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16" w:rsidRPr="008C748D" w:rsidRDefault="00C07B16" w:rsidP="00C37731">
      <w:pPr>
        <w:pStyle w:val="Spacerparatopoffirstpage"/>
        <w:rPr>
          <w:noProof w:val="0"/>
        </w:rPr>
        <w:sectPr w:rsidR="00C07B16" w:rsidRPr="008C748D" w:rsidSect="00CE750D">
          <w:footerReference w:type="even" r:id="rId9"/>
          <w:footerReference w:type="default" r:id="rId10"/>
          <w:footerReference w:type="first" r:id="rId11"/>
          <w:type w:val="continuous"/>
          <w:pgSz w:w="11906" w:h="16838" w:code="9"/>
          <w:pgMar w:top="567" w:right="851" w:bottom="1134" w:left="1134" w:header="510" w:footer="510" w:gutter="0"/>
          <w:cols w:space="340"/>
          <w:docGrid w:linePitch="360"/>
        </w:sectPr>
      </w:pPr>
    </w:p>
    <w:p w:rsidR="00306E5F" w:rsidRPr="00CF4A60" w:rsidRDefault="0075285D" w:rsidP="00C37731">
      <w:pPr>
        <w:pStyle w:val="Spacerparatopoffirstpage"/>
        <w:rPr>
          <w:noProof w:val="0"/>
        </w:rPr>
      </w:pPr>
      <w:r w:rsidRPr="00CF4A60">
        <w:rPr>
          <w:lang w:eastAsia="en-AU"/>
        </w:rPr>
        <w:lastRenderedPageBreak/>
        <w:drawing>
          <wp:anchor distT="0" distB="0" distL="114300" distR="114300" simplePos="0" relativeHeight="251652608" behindDoc="1" locked="1" layoutInCell="0" allowOverlap="1" wp14:anchorId="154F93DF" wp14:editId="28E8A196">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2">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CF4A60" w:rsidTr="001B5CC1">
        <w:trPr>
          <w:trHeight w:val="905"/>
        </w:trPr>
        <w:tc>
          <w:tcPr>
            <w:tcW w:w="9987" w:type="dxa"/>
            <w:shd w:val="clear" w:color="auto" w:fill="auto"/>
            <w:vAlign w:val="bottom"/>
          </w:tcPr>
          <w:p w:rsidR="004946F4" w:rsidRPr="00CF4A60" w:rsidRDefault="0046522F" w:rsidP="000D7DEE">
            <w:pPr>
              <w:pStyle w:val="DPCmainheading"/>
            </w:pPr>
            <w:r w:rsidRPr="00CF4A60">
              <w:t>Data Quality</w:t>
            </w:r>
          </w:p>
        </w:tc>
      </w:tr>
      <w:tr w:rsidR="005D6597" w:rsidRPr="00CF4A60" w:rsidTr="001B5CC1">
        <w:trPr>
          <w:trHeight w:val="298"/>
        </w:trPr>
        <w:tc>
          <w:tcPr>
            <w:tcW w:w="9987" w:type="dxa"/>
            <w:shd w:val="clear" w:color="auto" w:fill="auto"/>
            <w:tcMar>
              <w:top w:w="284" w:type="dxa"/>
              <w:bottom w:w="454" w:type="dxa"/>
            </w:tcMar>
          </w:tcPr>
          <w:p w:rsidR="005D6597" w:rsidRPr="00CF4A60" w:rsidRDefault="0046522F" w:rsidP="00CE750D">
            <w:pPr>
              <w:pStyle w:val="DPCmainsubheading"/>
            </w:pPr>
            <w:r w:rsidRPr="00CF4A60">
              <w:t>Information Management Framework</w:t>
            </w:r>
          </w:p>
        </w:tc>
      </w:tr>
    </w:tbl>
    <w:p w:rsidR="00E604DA" w:rsidRPr="00CF4A60" w:rsidRDefault="00E604DA" w:rsidP="00E604DA">
      <w:pPr>
        <w:pStyle w:val="DPCbody"/>
      </w:pPr>
    </w:p>
    <w:p w:rsidR="005E1B3C" w:rsidRPr="00CF4A60" w:rsidRDefault="005E1B3C" w:rsidP="005E4097">
      <w:pPr>
        <w:pStyle w:val="Heading1"/>
      </w:pPr>
    </w:p>
    <w:p w:rsidR="00893AF6" w:rsidRPr="00CF4A60" w:rsidRDefault="0046522F" w:rsidP="005E4097">
      <w:pPr>
        <w:pStyle w:val="Heading1"/>
      </w:pPr>
      <w:r w:rsidRPr="00CF4A60">
        <w:t>Standard</w:t>
      </w:r>
    </w:p>
    <w:p w:rsidR="002366BF" w:rsidRPr="00CF4A60" w:rsidRDefault="002366BF" w:rsidP="002366BF">
      <w:pPr>
        <w:pStyle w:val="DPCbullet1"/>
        <w:numPr>
          <w:ilvl w:val="0"/>
          <w:numId w:val="0"/>
        </w:numPr>
        <w:rPr>
          <w:szCs w:val="18"/>
        </w:rPr>
      </w:pPr>
      <w:r w:rsidRPr="00CF4A60">
        <w:rPr>
          <w:noProof/>
          <w:szCs w:val="18"/>
          <w:lang w:eastAsia="en-AU"/>
        </w:rPr>
        <mc:AlternateContent>
          <mc:Choice Requires="wps">
            <w:drawing>
              <wp:anchor distT="0" distB="0" distL="114300" distR="114300" simplePos="0" relativeHeight="251659264" behindDoc="0" locked="0" layoutInCell="1" allowOverlap="1" wp14:anchorId="7F8BCD95" wp14:editId="315AC205">
                <wp:simplePos x="0" y="0"/>
                <wp:positionH relativeFrom="column">
                  <wp:posOffset>33535</wp:posOffset>
                </wp:positionH>
                <wp:positionV relativeFrom="paragraph">
                  <wp:posOffset>38658</wp:posOffset>
                </wp:positionV>
                <wp:extent cx="6119447" cy="562708"/>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6119447" cy="562708"/>
                        </a:xfrm>
                        <a:prstGeom prst="rect">
                          <a:avLst/>
                        </a:prstGeom>
                        <a:solidFill>
                          <a:srgbClr val="E7F1F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66BF" w:rsidRPr="00055BC0" w:rsidRDefault="002366BF" w:rsidP="002366BF">
                            <w:pPr>
                              <w:pStyle w:val="DPCquote"/>
                              <w:rPr>
                                <w:color w:val="auto"/>
                                <w:sz w:val="24"/>
                              </w:rPr>
                            </w:pPr>
                            <w:r w:rsidRPr="00055BC0">
                              <w:rPr>
                                <w:color w:val="auto"/>
                                <w:sz w:val="24"/>
                              </w:rPr>
                              <w:t xml:space="preserve">Departments must establish and maintain a standard of data quality for critical </w:t>
                            </w:r>
                            <w:r w:rsidR="00055BC0">
                              <w:rPr>
                                <w:color w:val="auto"/>
                                <w:sz w:val="24"/>
                              </w:rPr>
                              <w:t>and shared data sets.</w:t>
                            </w:r>
                            <w:r w:rsidRPr="00055BC0">
                              <w:rPr>
                                <w:color w:val="auto"/>
                                <w:sz w:val="24"/>
                              </w:rPr>
                              <w:br/>
                              <w:t xml:space="preserve">data assets.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margin-left:2.65pt;margin-top:3.05pt;width:481.8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" fillcolor="#e7f1fa" stroked="f" strokeweight=".5pt">
                <v:textbox inset="2mm,2mm,2mm,2mm">
                  <w:txbxContent>
                    <w:p w:rsidR="002366BF" w:rsidRPr="00055BC0" w:rsidRDefault="002366BF" w:rsidP="002366BF">
                      <w:pPr>
                        <w:pStyle w:val="DPCquote"/>
                        <w:rPr>
                          <w:color w:val="auto"/>
                          <w:sz w:val="24"/>
                        </w:rPr>
                      </w:pPr>
                      <w:r w:rsidRPr="00055BC0">
                        <w:rPr>
                          <w:color w:val="auto"/>
                          <w:sz w:val="24"/>
                        </w:rPr>
                        <w:t xml:space="preserve">Departments must establish and maintain a standard of data quality for critical </w:t>
                      </w:r>
                      <w:r w:rsidR="00055BC0">
                        <w:rPr>
                          <w:color w:val="auto"/>
                          <w:sz w:val="24"/>
                        </w:rPr>
                        <w:t>and shared data sets.</w:t>
                      </w:r>
                      <w:r w:rsidRPr="00055BC0">
                        <w:rPr>
                          <w:color w:val="auto"/>
                          <w:sz w:val="24"/>
                        </w:rPr>
                        <w:br/>
                        <w:t xml:space="preserve">data assets. </w:t>
                      </w:r>
                    </w:p>
                  </w:txbxContent>
                </v:textbox>
              </v:shape>
            </w:pict>
          </mc:Fallback>
        </mc:AlternateContent>
      </w:r>
    </w:p>
    <w:p w:rsidR="002366BF" w:rsidRPr="00CF4A60" w:rsidRDefault="002366BF" w:rsidP="002366BF">
      <w:pPr>
        <w:pStyle w:val="DPCbullet1"/>
        <w:numPr>
          <w:ilvl w:val="0"/>
          <w:numId w:val="0"/>
        </w:numPr>
        <w:rPr>
          <w:szCs w:val="18"/>
        </w:rPr>
      </w:pPr>
    </w:p>
    <w:p w:rsidR="00D63B42" w:rsidRPr="00CF4A60" w:rsidRDefault="00D63B42" w:rsidP="00A455A0">
      <w:pPr>
        <w:pStyle w:val="DPCbody"/>
      </w:pPr>
      <w:r w:rsidRPr="00CF4A60">
        <w:t xml:space="preserve"> </w:t>
      </w:r>
    </w:p>
    <w:p w:rsidR="00AF6CCD" w:rsidRPr="00CF4A60" w:rsidRDefault="00AF6CCD" w:rsidP="00A455A0">
      <w:pPr>
        <w:pStyle w:val="DPCbody"/>
      </w:pPr>
    </w:p>
    <w:p w:rsidR="00E604DA" w:rsidRPr="00CF4A60" w:rsidRDefault="00E604DA" w:rsidP="00A455A0">
      <w:pPr>
        <w:pStyle w:val="DPCbody"/>
      </w:pPr>
    </w:p>
    <w:p w:rsidR="00E5229A" w:rsidRPr="00CF4A60" w:rsidRDefault="00E5229A" w:rsidP="00A455A0">
      <w:pPr>
        <w:pStyle w:val="DPCbody"/>
      </w:pPr>
    </w:p>
    <w:p w:rsidR="00E5229A" w:rsidRPr="00CF4A60" w:rsidRDefault="00E5229A" w:rsidP="00A455A0">
      <w:pPr>
        <w:pStyle w:val="DPCbody"/>
      </w:pPr>
    </w:p>
    <w:p w:rsidR="00E604DA" w:rsidRPr="00CF4A60" w:rsidRDefault="00E604DA" w:rsidP="00A455A0">
      <w:pPr>
        <w:pStyle w:val="DPCbody"/>
      </w:pPr>
    </w:p>
    <w:p w:rsidR="00E604DA" w:rsidRPr="00CF4A60" w:rsidRDefault="00E604DA" w:rsidP="00A455A0">
      <w:pPr>
        <w:pStyle w:val="DPCbody"/>
      </w:pPr>
    </w:p>
    <w:p w:rsidR="0046522F" w:rsidRPr="00CF4A60" w:rsidRDefault="0046522F" w:rsidP="0046522F">
      <w:pPr>
        <w:pStyle w:val="Heading1"/>
      </w:pPr>
      <w:r w:rsidRPr="00CF4A60">
        <w:t>Document Control</w:t>
      </w:r>
    </w:p>
    <w:tbl>
      <w:tblPr>
        <w:tblStyle w:val="TableGrid"/>
        <w:tblW w:w="9923" w:type="dxa"/>
        <w:tblLook w:val="04A0" w:firstRow="1" w:lastRow="0" w:firstColumn="1" w:lastColumn="0" w:noHBand="0" w:noVBand="1"/>
      </w:tblPr>
      <w:tblGrid>
        <w:gridCol w:w="1735"/>
        <w:gridCol w:w="3510"/>
        <w:gridCol w:w="1559"/>
        <w:gridCol w:w="3119"/>
      </w:tblGrid>
      <w:tr w:rsidR="0046522F" w:rsidRPr="00CF4A60" w:rsidTr="00CF4A60">
        <w:tc>
          <w:tcPr>
            <w:tcW w:w="1735" w:type="dxa"/>
            <w:vAlign w:val="center"/>
          </w:tcPr>
          <w:p w:rsidR="0046522F" w:rsidRPr="00CF4A60" w:rsidRDefault="0046522F" w:rsidP="0046522F">
            <w:pPr>
              <w:pStyle w:val="DPCtablecolhead"/>
              <w:spacing w:before="120" w:after="120"/>
            </w:pPr>
            <w:r w:rsidRPr="00CF4A60">
              <w:t>Applies to</w:t>
            </w:r>
          </w:p>
        </w:tc>
        <w:tc>
          <w:tcPr>
            <w:tcW w:w="3510" w:type="dxa"/>
            <w:vAlign w:val="center"/>
          </w:tcPr>
          <w:p w:rsidR="0046522F" w:rsidRPr="00CF4A60" w:rsidRDefault="0046522F" w:rsidP="0046522F">
            <w:pPr>
              <w:pStyle w:val="DPCtabletext"/>
              <w:spacing w:before="120" w:after="120"/>
            </w:pPr>
            <w:r w:rsidRPr="00CF4A60">
              <w:t>All departments and Victoria Police</w:t>
            </w:r>
          </w:p>
        </w:tc>
        <w:tc>
          <w:tcPr>
            <w:tcW w:w="1559" w:type="dxa"/>
            <w:vAlign w:val="center"/>
          </w:tcPr>
          <w:p w:rsidR="0046522F" w:rsidRPr="00CF4A60" w:rsidRDefault="0046522F" w:rsidP="0046522F">
            <w:pPr>
              <w:pStyle w:val="DPCtablecolhead"/>
              <w:spacing w:before="120" w:after="120"/>
            </w:pPr>
            <w:r w:rsidRPr="00CF4A60">
              <w:t>Authority</w:t>
            </w:r>
          </w:p>
        </w:tc>
        <w:tc>
          <w:tcPr>
            <w:tcW w:w="3119" w:type="dxa"/>
            <w:vAlign w:val="center"/>
          </w:tcPr>
          <w:p w:rsidR="0046522F" w:rsidRPr="00CF4A60" w:rsidRDefault="00CF4A60" w:rsidP="0046522F">
            <w:pPr>
              <w:pStyle w:val="DPCtabletext"/>
              <w:spacing w:before="120" w:after="120"/>
            </w:pPr>
            <w:r>
              <w:t>CIO Leadership Group</w:t>
            </w:r>
          </w:p>
        </w:tc>
      </w:tr>
      <w:tr w:rsidR="0046522F" w:rsidRPr="00CF4A60" w:rsidTr="00CF4A60">
        <w:tc>
          <w:tcPr>
            <w:tcW w:w="1735" w:type="dxa"/>
            <w:vAlign w:val="center"/>
          </w:tcPr>
          <w:p w:rsidR="0046522F" w:rsidRPr="00CF4A60" w:rsidRDefault="0046522F" w:rsidP="0046522F">
            <w:pPr>
              <w:pStyle w:val="DPCtablecolhead"/>
              <w:spacing w:before="120" w:after="120"/>
            </w:pPr>
            <w:r w:rsidRPr="00CF4A60">
              <w:t>Period</w:t>
            </w:r>
          </w:p>
        </w:tc>
        <w:tc>
          <w:tcPr>
            <w:tcW w:w="3510" w:type="dxa"/>
            <w:vAlign w:val="center"/>
          </w:tcPr>
          <w:p w:rsidR="0046522F" w:rsidRPr="00CF4A60" w:rsidRDefault="0046522F" w:rsidP="0046522F">
            <w:pPr>
              <w:pStyle w:val="DPCtabletext"/>
              <w:spacing w:before="120" w:after="120"/>
            </w:pPr>
            <w:r w:rsidRPr="00CF4A60">
              <w:t>2017-2020</w:t>
            </w:r>
          </w:p>
        </w:tc>
        <w:tc>
          <w:tcPr>
            <w:tcW w:w="1559" w:type="dxa"/>
            <w:vAlign w:val="center"/>
          </w:tcPr>
          <w:p w:rsidR="0046522F" w:rsidRPr="00CF4A60" w:rsidRDefault="0046522F" w:rsidP="0046522F">
            <w:pPr>
              <w:pStyle w:val="DPCtablecolhead"/>
              <w:spacing w:before="120" w:after="120"/>
            </w:pPr>
            <w:r w:rsidRPr="00CF4A60">
              <w:t>Advised by</w:t>
            </w:r>
          </w:p>
        </w:tc>
        <w:tc>
          <w:tcPr>
            <w:tcW w:w="3119" w:type="dxa"/>
            <w:vAlign w:val="center"/>
          </w:tcPr>
          <w:p w:rsidR="0046522F" w:rsidRPr="00CF4A60" w:rsidRDefault="00CF4A60" w:rsidP="0046522F">
            <w:pPr>
              <w:pStyle w:val="DPCtabletext"/>
              <w:spacing w:before="120" w:after="120"/>
            </w:pPr>
            <w:r w:rsidRPr="00CF4A60">
              <w:rPr>
                <w:sz w:val="18"/>
              </w:rPr>
              <w:t xml:space="preserve">Enterprise Solutions, </w:t>
            </w:r>
            <w:r>
              <w:rPr>
                <w:sz w:val="18"/>
              </w:rPr>
              <w:br/>
            </w:r>
            <w:r w:rsidRPr="00CF4A60">
              <w:rPr>
                <w:sz w:val="18"/>
              </w:rPr>
              <w:t>Department of Premier and Cabinet</w:t>
            </w:r>
          </w:p>
        </w:tc>
      </w:tr>
      <w:tr w:rsidR="0046522F" w:rsidRPr="00CF4A60" w:rsidTr="00CF4A60">
        <w:tc>
          <w:tcPr>
            <w:tcW w:w="1735" w:type="dxa"/>
            <w:vAlign w:val="center"/>
          </w:tcPr>
          <w:p w:rsidR="0046522F" w:rsidRPr="00CF4A60" w:rsidRDefault="0046522F" w:rsidP="0046522F">
            <w:pPr>
              <w:pStyle w:val="DPCtablecolhead"/>
              <w:spacing w:before="120" w:after="120"/>
            </w:pPr>
            <w:r w:rsidRPr="00CF4A60">
              <w:t>Issue Date</w:t>
            </w:r>
          </w:p>
        </w:tc>
        <w:tc>
          <w:tcPr>
            <w:tcW w:w="3510" w:type="dxa"/>
            <w:vAlign w:val="center"/>
          </w:tcPr>
          <w:p w:rsidR="0046522F" w:rsidRPr="00CF4A60" w:rsidRDefault="00F24C8D" w:rsidP="0046522F">
            <w:pPr>
              <w:pStyle w:val="DPCtabletext"/>
              <w:spacing w:before="120" w:after="120"/>
            </w:pPr>
            <w:r>
              <w:t>March 2018</w:t>
            </w:r>
          </w:p>
        </w:tc>
        <w:tc>
          <w:tcPr>
            <w:tcW w:w="1559" w:type="dxa"/>
            <w:vAlign w:val="center"/>
          </w:tcPr>
          <w:p w:rsidR="0046522F" w:rsidRPr="00CF4A60" w:rsidRDefault="0046522F" w:rsidP="0046522F">
            <w:pPr>
              <w:pStyle w:val="DPCtablecolhead"/>
              <w:spacing w:before="120" w:after="120"/>
            </w:pPr>
            <w:r w:rsidRPr="00CF4A60">
              <w:t>Document ID</w:t>
            </w:r>
          </w:p>
        </w:tc>
        <w:tc>
          <w:tcPr>
            <w:tcW w:w="3119" w:type="dxa"/>
            <w:vAlign w:val="center"/>
          </w:tcPr>
          <w:p w:rsidR="0046522F" w:rsidRPr="00CF4A60" w:rsidRDefault="0046522F" w:rsidP="006E2ECF">
            <w:pPr>
              <w:pStyle w:val="DPCtabletext"/>
              <w:spacing w:before="120" w:after="120"/>
            </w:pPr>
            <w:r w:rsidRPr="00CF4A60">
              <w:t>IM-STD-</w:t>
            </w:r>
            <w:r w:rsidR="006E2ECF">
              <w:t>07</w:t>
            </w:r>
          </w:p>
        </w:tc>
      </w:tr>
      <w:tr w:rsidR="0046522F" w:rsidRPr="00CF4A60" w:rsidTr="00CF4A60">
        <w:tc>
          <w:tcPr>
            <w:tcW w:w="1735" w:type="dxa"/>
            <w:vAlign w:val="center"/>
          </w:tcPr>
          <w:p w:rsidR="0046522F" w:rsidRPr="00CF4A60" w:rsidRDefault="0046522F" w:rsidP="0046522F">
            <w:pPr>
              <w:pStyle w:val="DPCtablecolhead"/>
              <w:spacing w:before="120" w:after="120"/>
            </w:pPr>
            <w:r w:rsidRPr="00CF4A60">
              <w:t>Review Date</w:t>
            </w:r>
          </w:p>
        </w:tc>
        <w:tc>
          <w:tcPr>
            <w:tcW w:w="3510" w:type="dxa"/>
            <w:vAlign w:val="center"/>
          </w:tcPr>
          <w:p w:rsidR="0046522F" w:rsidRPr="00CF4A60" w:rsidRDefault="00F24C8D" w:rsidP="0046522F">
            <w:pPr>
              <w:pStyle w:val="DPCtabletext"/>
              <w:spacing w:before="120" w:after="120"/>
            </w:pPr>
            <w:r>
              <w:t xml:space="preserve">March </w:t>
            </w:r>
            <w:r w:rsidR="0046522F" w:rsidRPr="00CF4A60">
              <w:t>2020</w:t>
            </w:r>
          </w:p>
        </w:tc>
        <w:tc>
          <w:tcPr>
            <w:tcW w:w="1559" w:type="dxa"/>
            <w:vAlign w:val="center"/>
          </w:tcPr>
          <w:p w:rsidR="0046522F" w:rsidRPr="00CF4A60" w:rsidRDefault="0046522F" w:rsidP="0046522F">
            <w:pPr>
              <w:pStyle w:val="DPCtablecolhead"/>
              <w:spacing w:before="120" w:after="120"/>
            </w:pPr>
            <w:r w:rsidRPr="00CF4A60">
              <w:t>Version</w:t>
            </w:r>
          </w:p>
        </w:tc>
        <w:tc>
          <w:tcPr>
            <w:tcW w:w="3119" w:type="dxa"/>
            <w:vAlign w:val="center"/>
          </w:tcPr>
          <w:p w:rsidR="0046522F" w:rsidRPr="00CF4A60" w:rsidRDefault="00CF4A60" w:rsidP="000705CF">
            <w:pPr>
              <w:pStyle w:val="DPCtabletext"/>
              <w:spacing w:before="120" w:after="120"/>
            </w:pPr>
            <w:r>
              <w:t>1.0</w:t>
            </w:r>
          </w:p>
        </w:tc>
      </w:tr>
    </w:tbl>
    <w:p w:rsidR="00E5229A" w:rsidRPr="00CF4A60" w:rsidRDefault="00E5229A" w:rsidP="00E5229A">
      <w:pPr>
        <w:spacing w:line="200" w:lineRule="exact"/>
        <w:ind w:left="101"/>
        <w:rPr>
          <w:rFonts w:ascii="Calibri" w:eastAsia="Calibri" w:hAnsi="Calibri" w:cs="Calibri"/>
        </w:rPr>
      </w:pPr>
    </w:p>
    <w:p w:rsidR="00E5229A" w:rsidRPr="00CF4A60" w:rsidRDefault="00E5229A" w:rsidP="00E5229A">
      <w:pPr>
        <w:spacing w:line="200" w:lineRule="exact"/>
        <w:rPr>
          <w:rFonts w:ascii="Arial" w:eastAsia="Cambria" w:hAnsi="Arial"/>
          <w:sz w:val="16"/>
          <w:szCs w:val="24"/>
        </w:rPr>
      </w:pPr>
      <w:r w:rsidRPr="00CF4A60">
        <w:rPr>
          <w:rFonts w:ascii="Arial" w:eastAsia="Cambria" w:hAnsi="Arial"/>
          <w:noProof/>
          <w:szCs w:val="24"/>
          <w:lang w:eastAsia="en-AU"/>
        </w:rPr>
        <w:drawing>
          <wp:anchor distT="0" distB="0" distL="114300" distR="114300" simplePos="0" relativeHeight="251661312" behindDoc="0" locked="0" layoutInCell="1" allowOverlap="1" wp14:anchorId="01D1FB15" wp14:editId="6F9A101F">
            <wp:simplePos x="0" y="0"/>
            <wp:positionH relativeFrom="column">
              <wp:align>left</wp:align>
            </wp:positionH>
            <wp:positionV relativeFrom="paragraph">
              <wp:align>top</wp:align>
            </wp:positionV>
            <wp:extent cx="750570" cy="27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0570" cy="275590"/>
                    </a:xfrm>
                    <a:prstGeom prst="rect">
                      <a:avLst/>
                    </a:prstGeom>
                    <a:noFill/>
                  </pic:spPr>
                </pic:pic>
              </a:graphicData>
            </a:graphic>
            <wp14:sizeRelH relativeFrom="page">
              <wp14:pctWidth>0</wp14:pctWidth>
            </wp14:sizeRelH>
            <wp14:sizeRelV relativeFrom="page">
              <wp14:pctHeight>0</wp14:pctHeight>
            </wp14:sizeRelV>
          </wp:anchor>
        </w:drawing>
      </w:r>
      <w:r w:rsidRPr="00CF4A60">
        <w:rPr>
          <w:rFonts w:ascii="Calibri" w:eastAsia="Calibri" w:hAnsi="Calibri" w:cs="Calibri"/>
        </w:rPr>
        <w:br w:type="textWrapping" w:clear="all"/>
      </w:r>
      <w:r w:rsidRPr="00CF4A60">
        <w:rPr>
          <w:spacing w:val="-1"/>
          <w:sz w:val="16"/>
        </w:rPr>
        <w:t>Except</w:t>
      </w:r>
      <w:r w:rsidRPr="00CF4A60">
        <w:rPr>
          <w:spacing w:val="-6"/>
          <w:sz w:val="16"/>
        </w:rPr>
        <w:t xml:space="preserve"> </w:t>
      </w:r>
      <w:r w:rsidRPr="00CF4A60">
        <w:rPr>
          <w:spacing w:val="-1"/>
          <w:sz w:val="16"/>
        </w:rPr>
        <w:t>for</w:t>
      </w:r>
      <w:r w:rsidRPr="00CF4A60">
        <w:rPr>
          <w:spacing w:val="-6"/>
          <w:sz w:val="16"/>
        </w:rPr>
        <w:t xml:space="preserve"> </w:t>
      </w:r>
      <w:r w:rsidRPr="00CF4A60">
        <w:rPr>
          <w:sz w:val="16"/>
        </w:rPr>
        <w:t>any</w:t>
      </w:r>
      <w:r w:rsidRPr="00CF4A60">
        <w:rPr>
          <w:spacing w:val="-5"/>
          <w:sz w:val="16"/>
        </w:rPr>
        <w:t xml:space="preserve"> </w:t>
      </w:r>
      <w:r w:rsidRPr="00CF4A60">
        <w:rPr>
          <w:spacing w:val="-1"/>
          <w:sz w:val="16"/>
        </w:rPr>
        <w:t>logos,</w:t>
      </w:r>
      <w:r w:rsidRPr="00CF4A60">
        <w:rPr>
          <w:spacing w:val="-6"/>
          <w:sz w:val="16"/>
        </w:rPr>
        <w:t xml:space="preserve"> </w:t>
      </w:r>
      <w:r w:rsidRPr="00CF4A60">
        <w:rPr>
          <w:sz w:val="16"/>
        </w:rPr>
        <w:t>emblems,</w:t>
      </w:r>
      <w:r w:rsidRPr="00CF4A60">
        <w:rPr>
          <w:spacing w:val="-6"/>
          <w:sz w:val="16"/>
        </w:rPr>
        <w:t xml:space="preserve"> </w:t>
      </w:r>
      <w:r w:rsidRPr="00CF4A60">
        <w:rPr>
          <w:spacing w:val="-1"/>
          <w:sz w:val="16"/>
        </w:rPr>
        <w:t>trademarks</w:t>
      </w:r>
      <w:r w:rsidRPr="00CF4A60">
        <w:rPr>
          <w:spacing w:val="-6"/>
          <w:sz w:val="16"/>
        </w:rPr>
        <w:t xml:space="preserve"> </w:t>
      </w:r>
      <w:r w:rsidRPr="00CF4A60">
        <w:rPr>
          <w:sz w:val="16"/>
        </w:rPr>
        <w:t>and</w:t>
      </w:r>
      <w:r w:rsidRPr="00CF4A60">
        <w:rPr>
          <w:spacing w:val="-6"/>
          <w:sz w:val="16"/>
        </w:rPr>
        <w:t xml:space="preserve"> </w:t>
      </w:r>
      <w:r w:rsidRPr="00CF4A60">
        <w:rPr>
          <w:sz w:val="16"/>
        </w:rPr>
        <w:t>contents</w:t>
      </w:r>
      <w:r w:rsidRPr="00CF4A60">
        <w:rPr>
          <w:spacing w:val="-6"/>
          <w:sz w:val="16"/>
        </w:rPr>
        <w:t xml:space="preserve"> </w:t>
      </w:r>
      <w:r w:rsidRPr="00CF4A60">
        <w:rPr>
          <w:sz w:val="16"/>
        </w:rPr>
        <w:t>attributed</w:t>
      </w:r>
      <w:r w:rsidRPr="00CF4A60">
        <w:rPr>
          <w:spacing w:val="-6"/>
          <w:sz w:val="16"/>
        </w:rPr>
        <w:t xml:space="preserve"> </w:t>
      </w:r>
      <w:r w:rsidRPr="00CF4A60">
        <w:rPr>
          <w:sz w:val="16"/>
        </w:rPr>
        <w:t>to</w:t>
      </w:r>
      <w:r w:rsidRPr="00CF4A60">
        <w:rPr>
          <w:spacing w:val="-5"/>
          <w:sz w:val="16"/>
        </w:rPr>
        <w:t xml:space="preserve"> </w:t>
      </w:r>
      <w:r w:rsidRPr="00CF4A60">
        <w:rPr>
          <w:sz w:val="16"/>
        </w:rPr>
        <w:t>other</w:t>
      </w:r>
      <w:r w:rsidRPr="00CF4A60">
        <w:rPr>
          <w:spacing w:val="-6"/>
          <w:sz w:val="16"/>
        </w:rPr>
        <w:t xml:space="preserve"> </w:t>
      </w:r>
      <w:r w:rsidRPr="00CF4A60">
        <w:rPr>
          <w:spacing w:val="-1"/>
          <w:sz w:val="16"/>
        </w:rPr>
        <w:t>parties,</w:t>
      </w:r>
      <w:r w:rsidRPr="00CF4A60">
        <w:rPr>
          <w:spacing w:val="-6"/>
          <w:sz w:val="16"/>
        </w:rPr>
        <w:t xml:space="preserve"> </w:t>
      </w:r>
      <w:r w:rsidRPr="00CF4A60">
        <w:rPr>
          <w:sz w:val="16"/>
        </w:rPr>
        <w:t>the statements of direction,</w:t>
      </w:r>
      <w:r w:rsidRPr="00CF4A60">
        <w:rPr>
          <w:spacing w:val="-6"/>
          <w:sz w:val="16"/>
        </w:rPr>
        <w:t xml:space="preserve"> </w:t>
      </w:r>
      <w:r w:rsidRPr="00CF4A60">
        <w:rPr>
          <w:spacing w:val="-1"/>
          <w:sz w:val="16"/>
        </w:rPr>
        <w:t>policies and</w:t>
      </w:r>
      <w:r w:rsidRPr="00CF4A60">
        <w:rPr>
          <w:spacing w:val="-3"/>
          <w:sz w:val="16"/>
        </w:rPr>
        <w:t xml:space="preserve"> </w:t>
      </w:r>
      <w:r w:rsidRPr="00CF4A60">
        <w:rPr>
          <w:spacing w:val="-1"/>
          <w:sz w:val="16"/>
        </w:rPr>
        <w:t>standards</w:t>
      </w:r>
      <w:r w:rsidRPr="00CF4A60">
        <w:rPr>
          <w:spacing w:val="-7"/>
          <w:sz w:val="16"/>
        </w:rPr>
        <w:t xml:space="preserve"> </w:t>
      </w:r>
      <w:r w:rsidRPr="00CF4A60">
        <w:rPr>
          <w:spacing w:val="1"/>
          <w:sz w:val="16"/>
        </w:rPr>
        <w:t>of</w:t>
      </w:r>
      <w:r w:rsidRPr="00CF4A60">
        <w:rPr>
          <w:spacing w:val="-7"/>
          <w:sz w:val="16"/>
        </w:rPr>
        <w:t xml:space="preserve"> </w:t>
      </w:r>
      <w:r w:rsidRPr="00CF4A60">
        <w:rPr>
          <w:sz w:val="16"/>
        </w:rPr>
        <w:t>the</w:t>
      </w:r>
      <w:r w:rsidRPr="00CF4A60">
        <w:rPr>
          <w:spacing w:val="-7"/>
          <w:sz w:val="16"/>
        </w:rPr>
        <w:t xml:space="preserve"> </w:t>
      </w:r>
      <w:r w:rsidRPr="00CF4A60">
        <w:rPr>
          <w:spacing w:val="-1"/>
          <w:sz w:val="16"/>
        </w:rPr>
        <w:t>Victorian</w:t>
      </w:r>
      <w:r w:rsidRPr="00CF4A60">
        <w:rPr>
          <w:spacing w:val="-6"/>
          <w:sz w:val="16"/>
        </w:rPr>
        <w:t xml:space="preserve"> </w:t>
      </w:r>
      <w:r w:rsidRPr="00CF4A60">
        <w:rPr>
          <w:sz w:val="16"/>
        </w:rPr>
        <w:t>Government</w:t>
      </w:r>
      <w:r w:rsidRPr="00CF4A60">
        <w:rPr>
          <w:spacing w:val="-6"/>
          <w:sz w:val="16"/>
        </w:rPr>
        <w:t xml:space="preserve">’s Victorian Secretaries Board or </w:t>
      </w:r>
      <w:r w:rsidRPr="00CF4A60">
        <w:rPr>
          <w:spacing w:val="-1"/>
          <w:sz w:val="16"/>
        </w:rPr>
        <w:t>CIO Leadership Group</w:t>
      </w:r>
      <w:r w:rsidRPr="00CF4A60">
        <w:rPr>
          <w:spacing w:val="-6"/>
          <w:sz w:val="16"/>
        </w:rPr>
        <w:t xml:space="preserve"> </w:t>
      </w:r>
      <w:r w:rsidRPr="00CF4A60">
        <w:rPr>
          <w:spacing w:val="1"/>
          <w:sz w:val="16"/>
        </w:rPr>
        <w:t>are</w:t>
      </w:r>
      <w:r w:rsidRPr="00CF4A60">
        <w:rPr>
          <w:spacing w:val="-7"/>
          <w:sz w:val="16"/>
        </w:rPr>
        <w:t xml:space="preserve"> </w:t>
      </w:r>
      <w:r w:rsidRPr="00CF4A60">
        <w:rPr>
          <w:sz w:val="16"/>
        </w:rPr>
        <w:t>licensed</w:t>
      </w:r>
      <w:r w:rsidRPr="00CF4A60">
        <w:rPr>
          <w:spacing w:val="-6"/>
          <w:sz w:val="16"/>
        </w:rPr>
        <w:t xml:space="preserve"> </w:t>
      </w:r>
      <w:r w:rsidRPr="00CF4A60">
        <w:rPr>
          <w:sz w:val="16"/>
        </w:rPr>
        <w:t>under</w:t>
      </w:r>
      <w:r w:rsidRPr="00CF4A60">
        <w:rPr>
          <w:spacing w:val="-6"/>
          <w:sz w:val="16"/>
        </w:rPr>
        <w:t xml:space="preserve"> </w:t>
      </w:r>
      <w:r w:rsidRPr="00CF4A60">
        <w:rPr>
          <w:sz w:val="16"/>
        </w:rPr>
        <w:t>the</w:t>
      </w:r>
      <w:r w:rsidRPr="00CF4A60">
        <w:rPr>
          <w:spacing w:val="-7"/>
          <w:sz w:val="16"/>
        </w:rPr>
        <w:t xml:space="preserve"> </w:t>
      </w:r>
      <w:r w:rsidRPr="00CF4A60">
        <w:rPr>
          <w:spacing w:val="-1"/>
          <w:sz w:val="16"/>
        </w:rPr>
        <w:t xml:space="preserve">Creative Commons Attribution 4.0 </w:t>
      </w:r>
      <w:r w:rsidRPr="00CF4A60">
        <w:rPr>
          <w:sz w:val="16"/>
        </w:rPr>
        <w:t>International licence. To view</w:t>
      </w:r>
      <w:r w:rsidRPr="00CF4A60">
        <w:rPr>
          <w:spacing w:val="-9"/>
          <w:sz w:val="16"/>
        </w:rPr>
        <w:t xml:space="preserve"> </w:t>
      </w:r>
      <w:r w:rsidRPr="00CF4A60">
        <w:rPr>
          <w:sz w:val="16"/>
        </w:rPr>
        <w:t>a</w:t>
      </w:r>
      <w:r w:rsidRPr="00CF4A60">
        <w:rPr>
          <w:spacing w:val="-8"/>
          <w:sz w:val="16"/>
        </w:rPr>
        <w:t xml:space="preserve"> </w:t>
      </w:r>
      <w:r w:rsidRPr="00CF4A60">
        <w:rPr>
          <w:sz w:val="16"/>
        </w:rPr>
        <w:t>copy</w:t>
      </w:r>
      <w:r w:rsidRPr="00CF4A60">
        <w:rPr>
          <w:spacing w:val="-7"/>
          <w:sz w:val="16"/>
        </w:rPr>
        <w:t xml:space="preserve"> </w:t>
      </w:r>
      <w:r w:rsidRPr="00CF4A60">
        <w:rPr>
          <w:sz w:val="16"/>
        </w:rPr>
        <w:t>of</w:t>
      </w:r>
      <w:r w:rsidRPr="00CF4A60">
        <w:rPr>
          <w:spacing w:val="-9"/>
          <w:sz w:val="16"/>
        </w:rPr>
        <w:t xml:space="preserve"> </w:t>
      </w:r>
      <w:r w:rsidRPr="00CF4A60">
        <w:rPr>
          <w:sz w:val="16"/>
        </w:rPr>
        <w:t>this</w:t>
      </w:r>
      <w:r w:rsidRPr="00CF4A60">
        <w:rPr>
          <w:spacing w:val="-9"/>
          <w:sz w:val="16"/>
        </w:rPr>
        <w:t xml:space="preserve"> </w:t>
      </w:r>
      <w:r w:rsidRPr="00CF4A60">
        <w:rPr>
          <w:sz w:val="16"/>
        </w:rPr>
        <w:t>licence</w:t>
      </w:r>
      <w:r w:rsidRPr="00CF4A60">
        <w:rPr>
          <w:spacing w:val="-1"/>
          <w:sz w:val="16"/>
        </w:rPr>
        <w:t>,</w:t>
      </w:r>
      <w:r w:rsidRPr="00CF4A60">
        <w:rPr>
          <w:spacing w:val="-8"/>
          <w:sz w:val="16"/>
        </w:rPr>
        <w:t xml:space="preserve"> </w:t>
      </w:r>
      <w:r w:rsidRPr="00CF4A60">
        <w:rPr>
          <w:sz w:val="16"/>
        </w:rPr>
        <w:t>visit</w:t>
      </w:r>
      <w:r w:rsidRPr="00CF4A60">
        <w:rPr>
          <w:spacing w:val="-5"/>
          <w:sz w:val="16"/>
        </w:rPr>
        <w:t xml:space="preserve"> </w:t>
      </w:r>
      <w:hyperlink r:id="rId14" w:history="1">
        <w:r w:rsidRPr="00CF4A60">
          <w:rPr>
            <w:rStyle w:val="Hyperlink"/>
            <w:rFonts w:eastAsia="MS Gothic"/>
            <w:sz w:val="16"/>
          </w:rPr>
          <w:t>https://creativecommons.org/licenses/by/4.0/</w:t>
        </w:r>
      </w:hyperlink>
      <w:r w:rsidRPr="00CF4A60">
        <w:rPr>
          <w:sz w:val="16"/>
        </w:rPr>
        <w:t xml:space="preserve">. </w:t>
      </w:r>
    </w:p>
    <w:p w:rsidR="00E5229A" w:rsidRPr="00CF4A60" w:rsidRDefault="00E5229A" w:rsidP="0046522F">
      <w:pPr>
        <w:pStyle w:val="DPCbody"/>
      </w:pPr>
    </w:p>
    <w:p w:rsidR="00302EBD" w:rsidRPr="00CF4A60" w:rsidRDefault="00302EBD">
      <w:pPr>
        <w:rPr>
          <w:rFonts w:asciiTheme="majorHAnsi" w:eastAsia="MS Gothic" w:hAnsiTheme="majorHAnsi" w:cs="Arial"/>
          <w:bCs/>
          <w:color w:val="0072CE"/>
          <w:kern w:val="32"/>
          <w:sz w:val="44"/>
          <w:szCs w:val="52"/>
        </w:rPr>
      </w:pPr>
      <w:r w:rsidRPr="00CF4A60">
        <w:br w:type="page"/>
      </w:r>
    </w:p>
    <w:p w:rsidR="0046522F" w:rsidRPr="00CF4A60" w:rsidRDefault="0046522F" w:rsidP="0046522F">
      <w:pPr>
        <w:pStyle w:val="Heading1"/>
      </w:pPr>
      <w:r w:rsidRPr="00CF4A60">
        <w:lastRenderedPageBreak/>
        <w:t>Requirements</w:t>
      </w:r>
      <w:r w:rsidR="002366BF" w:rsidRPr="00CF4A60">
        <w:tab/>
      </w:r>
    </w:p>
    <w:tbl>
      <w:tblPr>
        <w:tblStyle w:val="TableGrid"/>
        <w:tblW w:w="0" w:type="auto"/>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1188"/>
        <w:gridCol w:w="8024"/>
      </w:tblGrid>
      <w:tr w:rsidR="002366BF" w:rsidRPr="00CF4A60" w:rsidTr="00811562">
        <w:tc>
          <w:tcPr>
            <w:tcW w:w="1134" w:type="dxa"/>
            <w:hideMark/>
          </w:tcPr>
          <w:p w:rsidR="002366BF" w:rsidRPr="00CF4A60" w:rsidRDefault="00F05081" w:rsidP="00E55066">
            <w:pPr>
              <w:pStyle w:val="DPCbody"/>
            </w:pPr>
            <w:r w:rsidRPr="00CF4A60">
              <w:rPr>
                <w:noProof/>
                <w:sz w:val="48"/>
                <w:lang w:eastAsia="en-AU"/>
              </w:rPr>
              <w:drawing>
                <wp:anchor distT="0" distB="0" distL="114300" distR="114300" simplePos="0" relativeHeight="251663360" behindDoc="0" locked="0" layoutInCell="1" allowOverlap="0" wp14:anchorId="046957A6" wp14:editId="58543260">
                  <wp:simplePos x="0" y="0"/>
                  <wp:positionH relativeFrom="column">
                    <wp:posOffset>-28575</wp:posOffset>
                  </wp:positionH>
                  <wp:positionV relativeFrom="paragraph">
                    <wp:posOffset>149860</wp:posOffset>
                  </wp:positionV>
                  <wp:extent cx="617220" cy="4895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5">
                            <a:extLst>
                              <a:ext uri="{28A0092B-C50C-407E-A947-70E740481C1C}">
                                <a14:useLocalDpi xmlns:a14="http://schemas.microsoft.com/office/drawing/2010/main" val="0"/>
                              </a:ext>
                            </a:extLst>
                          </a:blip>
                          <a:stretch>
                            <a:fillRect/>
                          </a:stretch>
                        </pic:blipFill>
                        <pic:spPr>
                          <a:xfrm>
                            <a:off x="0" y="0"/>
                            <a:ext cx="617220" cy="489585"/>
                          </a:xfrm>
                          <a:prstGeom prst="rect">
                            <a:avLst/>
                          </a:prstGeom>
                        </pic:spPr>
                      </pic:pic>
                    </a:graphicData>
                  </a:graphic>
                  <wp14:sizeRelH relativeFrom="margin">
                    <wp14:pctWidth>0</wp14:pctWidth>
                  </wp14:sizeRelH>
                  <wp14:sizeRelV relativeFrom="margin">
                    <wp14:pctHeight>0</wp14:pctHeight>
                  </wp14:sizeRelV>
                </wp:anchor>
              </w:drawing>
            </w:r>
          </w:p>
        </w:tc>
        <w:tc>
          <w:tcPr>
            <w:tcW w:w="8024" w:type="dxa"/>
            <w:vAlign w:val="center"/>
            <w:hideMark/>
          </w:tcPr>
          <w:p w:rsidR="002366BF" w:rsidRPr="00CF4A60" w:rsidRDefault="002366BF" w:rsidP="004F1800">
            <w:pPr>
              <w:pStyle w:val="DPCbody"/>
            </w:pPr>
            <w:r w:rsidRPr="00CF4A60">
              <w:t>In this standard ‘data asset’ refers to a dataset containing structured data</w:t>
            </w:r>
            <w:r w:rsidR="004F1800" w:rsidRPr="00CF4A60">
              <w:rPr>
                <w:rStyle w:val="FootnoteReference"/>
              </w:rPr>
              <w:footnoteReference w:id="1"/>
            </w:r>
            <w:r w:rsidR="009C09C5" w:rsidRPr="00CF4A60">
              <w:t xml:space="preserve">. </w:t>
            </w:r>
            <w:r w:rsidR="00811562" w:rsidRPr="00CF4A60">
              <w:t>Unstructured data</w:t>
            </w:r>
            <w:r w:rsidR="009C09C5" w:rsidRPr="00CF4A60">
              <w:t xml:space="preserve"> are</w:t>
            </w:r>
            <w:r w:rsidR="00811562" w:rsidRPr="00CF4A60">
              <w:t xml:space="preserve"> not covered by this standard. </w:t>
            </w:r>
            <w:r w:rsidRPr="00CF4A60">
              <w:t xml:space="preserve"> </w:t>
            </w:r>
          </w:p>
        </w:tc>
      </w:tr>
    </w:tbl>
    <w:p w:rsidR="005D2C74" w:rsidRPr="00CF4A60" w:rsidRDefault="009F738B" w:rsidP="00C37731">
      <w:pPr>
        <w:pStyle w:val="DPCbody"/>
      </w:pPr>
      <w:r w:rsidRPr="00CF4A60">
        <w:t>D</w:t>
      </w:r>
      <w:r w:rsidR="005D2C74" w:rsidRPr="00CF4A60">
        <w:t>epartments must at a minimum:</w:t>
      </w:r>
    </w:p>
    <w:p w:rsidR="00C133EE" w:rsidRPr="00CF4A60" w:rsidRDefault="00530218" w:rsidP="00E55066">
      <w:pPr>
        <w:pStyle w:val="DPCnumberdigit"/>
      </w:pPr>
      <w:r w:rsidRPr="00CF4A60">
        <w:t xml:space="preserve">Ensure that </w:t>
      </w:r>
      <w:r w:rsidR="009F738B" w:rsidRPr="00CF4A60">
        <w:t xml:space="preserve">the </w:t>
      </w:r>
      <w:r w:rsidRPr="00CF4A60">
        <w:t xml:space="preserve">accountable </w:t>
      </w:r>
      <w:r w:rsidR="00E5229A" w:rsidRPr="00CF4A60">
        <w:t xml:space="preserve">data asset </w:t>
      </w:r>
      <w:r w:rsidRPr="00CF4A60">
        <w:t>custodian</w:t>
      </w:r>
      <w:r w:rsidR="009F738B" w:rsidRPr="00CF4A60">
        <w:t xml:space="preserve"> (</w:t>
      </w:r>
      <w:r w:rsidR="00E55066" w:rsidRPr="00CF4A60">
        <w:t>refer to</w:t>
      </w:r>
      <w:r w:rsidR="00E5229A" w:rsidRPr="00CF4A60">
        <w:t xml:space="preserve"> the</w:t>
      </w:r>
      <w:r w:rsidR="00E55066" w:rsidRPr="00CF4A60">
        <w:t xml:space="preserve"> </w:t>
      </w:r>
      <w:hyperlink r:id="rId16" w:history="1">
        <w:r w:rsidR="00E55066" w:rsidRPr="00CF4A60">
          <w:rPr>
            <w:rStyle w:val="Hyperlink"/>
          </w:rPr>
          <w:t>Information Management Governance Standard</w:t>
        </w:r>
      </w:hyperlink>
      <w:r w:rsidR="009F738B" w:rsidRPr="00CF4A60">
        <w:t>)</w:t>
      </w:r>
      <w:r w:rsidRPr="00CF4A60">
        <w:t xml:space="preserve"> is responsible for data quality m</w:t>
      </w:r>
      <w:r w:rsidR="009F738B" w:rsidRPr="00CF4A60">
        <w:t>anagement</w:t>
      </w:r>
      <w:r w:rsidR="00E55066" w:rsidRPr="00CF4A60">
        <w:t>.</w:t>
      </w:r>
      <w:r w:rsidR="00546E7C" w:rsidRPr="00CF4A60">
        <w:t xml:space="preserve"> </w:t>
      </w:r>
    </w:p>
    <w:p w:rsidR="00811562" w:rsidRPr="00CF4A60" w:rsidRDefault="00811562" w:rsidP="00E55066">
      <w:pPr>
        <w:pStyle w:val="DPCnumberdigit"/>
      </w:pPr>
      <w:r w:rsidRPr="00CF4A60">
        <w:t xml:space="preserve">Develop and maintain a Data Quality Management Plan for </w:t>
      </w:r>
      <w:r w:rsidR="00E5229A" w:rsidRPr="00CF4A60">
        <w:t xml:space="preserve">each </w:t>
      </w:r>
      <w:r w:rsidRPr="00CF4A60">
        <w:t xml:space="preserve">critical (high value/high risk) data asset. Key considerations to include in this plan would be </w:t>
      </w:r>
      <w:r w:rsidR="00302EBD" w:rsidRPr="00CF4A60">
        <w:t xml:space="preserve">details about data collection, age, validity, context, privacy, legislative compliance, and how </w:t>
      </w:r>
      <w:r w:rsidR="00E5229A" w:rsidRPr="00CF4A60">
        <w:t xml:space="preserve">the </w:t>
      </w:r>
      <w:r w:rsidR="00302EBD" w:rsidRPr="00CF4A60">
        <w:t xml:space="preserve">data </w:t>
      </w:r>
      <w:r w:rsidR="00E5229A" w:rsidRPr="00CF4A60">
        <w:t xml:space="preserve">asset </w:t>
      </w:r>
      <w:r w:rsidR="00302EBD" w:rsidRPr="00CF4A60">
        <w:t>can or cannot be reused or shared</w:t>
      </w:r>
      <w:r w:rsidR="00E5229A" w:rsidRPr="00CF4A60">
        <w:t xml:space="preserve"> (see the Data Quality Management Plan template)</w:t>
      </w:r>
      <w:r w:rsidR="00302EBD" w:rsidRPr="00CF4A60">
        <w:t>.</w:t>
      </w:r>
    </w:p>
    <w:p w:rsidR="00C133EE" w:rsidRPr="00CF4A60" w:rsidRDefault="00530218" w:rsidP="00C37731">
      <w:pPr>
        <w:pStyle w:val="DPCnumberdigit"/>
      </w:pPr>
      <w:r w:rsidRPr="00CF4A60">
        <w:t xml:space="preserve">Assess data assets against the following </w:t>
      </w:r>
      <w:r w:rsidR="00812C49" w:rsidRPr="00CF4A60">
        <w:t>measures (dimensions)</w:t>
      </w:r>
      <w:r w:rsidRPr="00CF4A60">
        <w:t>:</w:t>
      </w:r>
    </w:p>
    <w:p w:rsidR="00C133EE" w:rsidRPr="00CF4A60" w:rsidRDefault="00476824" w:rsidP="00530218">
      <w:pPr>
        <w:pStyle w:val="DPCnumberloweralphaindent"/>
        <w:numPr>
          <w:ilvl w:val="1"/>
          <w:numId w:val="28"/>
        </w:numPr>
      </w:pPr>
      <w:r w:rsidRPr="00CF4A60">
        <w:t xml:space="preserve">Is the data </w:t>
      </w:r>
      <w:r w:rsidRPr="00CF4A60">
        <w:rPr>
          <w:b/>
        </w:rPr>
        <w:t>accurate</w:t>
      </w:r>
      <w:r w:rsidR="00811562" w:rsidRPr="00CF4A60">
        <w:rPr>
          <w:b/>
        </w:rPr>
        <w:t xml:space="preserve"> </w:t>
      </w:r>
      <w:r w:rsidR="00811562" w:rsidRPr="00CF4A60">
        <w:t>and</w:t>
      </w:r>
      <w:r w:rsidR="00811562" w:rsidRPr="00CF4A60">
        <w:rPr>
          <w:b/>
        </w:rPr>
        <w:t xml:space="preserve"> valid</w:t>
      </w:r>
      <w:r w:rsidR="00812C49" w:rsidRPr="00CF4A60">
        <w:t>, and to what level?</w:t>
      </w:r>
    </w:p>
    <w:p w:rsidR="00530218" w:rsidRPr="00CF4A60" w:rsidRDefault="00530218" w:rsidP="00530218">
      <w:pPr>
        <w:pStyle w:val="DPCnumberloweralphaindent"/>
        <w:numPr>
          <w:ilvl w:val="1"/>
          <w:numId w:val="28"/>
        </w:numPr>
      </w:pPr>
      <w:r w:rsidRPr="00CF4A60">
        <w:t xml:space="preserve">How </w:t>
      </w:r>
      <w:r w:rsidRPr="00CF4A60">
        <w:rPr>
          <w:b/>
        </w:rPr>
        <w:t>complete</w:t>
      </w:r>
      <w:r w:rsidRPr="00CF4A60">
        <w:t xml:space="preserve"> is the data?</w:t>
      </w:r>
      <w:r w:rsidR="00812C49" w:rsidRPr="00CF4A60">
        <w:t xml:space="preserve"> </w:t>
      </w:r>
      <w:r w:rsidR="00D102B5" w:rsidRPr="00CF4A60">
        <w:t>Are there</w:t>
      </w:r>
      <w:r w:rsidR="00812C49" w:rsidRPr="00CF4A60">
        <w:t xml:space="preserve"> known gaps</w:t>
      </w:r>
      <w:r w:rsidR="00D102B5" w:rsidRPr="00CF4A60">
        <w:t>?</w:t>
      </w:r>
    </w:p>
    <w:p w:rsidR="00530218" w:rsidRPr="00CF4A60" w:rsidRDefault="00530218" w:rsidP="00530218">
      <w:pPr>
        <w:pStyle w:val="DPCnumberloweralphaindent"/>
        <w:numPr>
          <w:ilvl w:val="1"/>
          <w:numId w:val="28"/>
        </w:numPr>
      </w:pPr>
      <w:r w:rsidRPr="00CF4A60">
        <w:t>Is the data</w:t>
      </w:r>
      <w:r w:rsidR="00812C49" w:rsidRPr="00CF4A60">
        <w:t>set</w:t>
      </w:r>
      <w:r w:rsidRPr="00CF4A60">
        <w:t xml:space="preserve"> </w:t>
      </w:r>
      <w:r w:rsidRPr="00CF4A60">
        <w:rPr>
          <w:b/>
        </w:rPr>
        <w:t>representative</w:t>
      </w:r>
      <w:r w:rsidR="009F738B" w:rsidRPr="00CF4A60">
        <w:rPr>
          <w:b/>
        </w:rPr>
        <w:t xml:space="preserve"> </w:t>
      </w:r>
      <w:r w:rsidR="009F738B" w:rsidRPr="00CF4A60">
        <w:t>of</w:t>
      </w:r>
      <w:r w:rsidR="00811562" w:rsidRPr="00CF4A60">
        <w:t xml:space="preserve"> the conditions or scenario to which it refers?</w:t>
      </w:r>
    </w:p>
    <w:p w:rsidR="00530218" w:rsidRPr="00CF4A60" w:rsidRDefault="00811562" w:rsidP="00530218">
      <w:pPr>
        <w:pStyle w:val="DPCnumberloweralphaindent"/>
        <w:numPr>
          <w:ilvl w:val="1"/>
          <w:numId w:val="28"/>
        </w:numPr>
      </w:pPr>
      <w:r w:rsidRPr="00CF4A60">
        <w:t>Is the</w:t>
      </w:r>
      <w:r w:rsidRPr="00CF4A60">
        <w:rPr>
          <w:b/>
        </w:rPr>
        <w:t xml:space="preserve"> t</w:t>
      </w:r>
      <w:r w:rsidR="00530218" w:rsidRPr="00CF4A60">
        <w:rPr>
          <w:b/>
        </w:rPr>
        <w:t>imeliness</w:t>
      </w:r>
      <w:r w:rsidRPr="00CF4A60">
        <w:t xml:space="preserve"> and </w:t>
      </w:r>
      <w:r w:rsidR="00530218" w:rsidRPr="00CF4A60">
        <w:rPr>
          <w:b/>
        </w:rPr>
        <w:t>age</w:t>
      </w:r>
      <w:r w:rsidR="00530218" w:rsidRPr="00CF4A60">
        <w:t xml:space="preserve"> of </w:t>
      </w:r>
      <w:r w:rsidRPr="00CF4A60">
        <w:t xml:space="preserve">the </w:t>
      </w:r>
      <w:r w:rsidR="00530218" w:rsidRPr="00CF4A60">
        <w:t>data</w:t>
      </w:r>
      <w:r w:rsidRPr="00CF4A60">
        <w:t xml:space="preserve"> appropriate for it</w:t>
      </w:r>
      <w:r w:rsidR="00F05081" w:rsidRPr="00CF4A60">
        <w:t>s</w:t>
      </w:r>
      <w:r w:rsidRPr="00CF4A60">
        <w:t xml:space="preserve"> purpose</w:t>
      </w:r>
      <w:r w:rsidR="00530218" w:rsidRPr="00CF4A60">
        <w:t>?</w:t>
      </w:r>
    </w:p>
    <w:p w:rsidR="00811562" w:rsidRPr="00CF4A60" w:rsidRDefault="00811562" w:rsidP="00811562">
      <w:pPr>
        <w:pStyle w:val="DPCnumberloweralphaindent"/>
        <w:numPr>
          <w:ilvl w:val="1"/>
          <w:numId w:val="28"/>
        </w:numPr>
      </w:pPr>
      <w:r w:rsidRPr="00CF4A60">
        <w:t xml:space="preserve">What was the </w:t>
      </w:r>
      <w:r w:rsidRPr="00CF4A60">
        <w:rPr>
          <w:b/>
        </w:rPr>
        <w:t>collection</w:t>
      </w:r>
      <w:r w:rsidRPr="00CF4A60">
        <w:t xml:space="preserve"> method and was it consistent?</w:t>
      </w:r>
    </w:p>
    <w:p w:rsidR="000705CF" w:rsidRPr="00CF4A60" w:rsidRDefault="00DC18CA" w:rsidP="000705CF">
      <w:pPr>
        <w:pStyle w:val="DPCnumberdigit"/>
      </w:pPr>
      <w:r w:rsidRPr="00CF4A60">
        <w:t>Create a Data Qualit</w:t>
      </w:r>
      <w:r w:rsidR="00E55066" w:rsidRPr="00CF4A60">
        <w:t xml:space="preserve">y Statement for </w:t>
      </w:r>
      <w:r w:rsidR="00811562" w:rsidRPr="00CF4A60">
        <w:t>all</w:t>
      </w:r>
      <w:r w:rsidR="00E55066" w:rsidRPr="00CF4A60">
        <w:t xml:space="preserve"> critical </w:t>
      </w:r>
      <w:r w:rsidRPr="00CF4A60">
        <w:t>data asset</w:t>
      </w:r>
      <w:r w:rsidR="00811562" w:rsidRPr="00CF4A60">
        <w:t>s,</w:t>
      </w:r>
      <w:r w:rsidR="00E55066" w:rsidRPr="00CF4A60">
        <w:t xml:space="preserve"> dataset</w:t>
      </w:r>
      <w:r w:rsidR="00811562" w:rsidRPr="00CF4A60">
        <w:t>s</w:t>
      </w:r>
      <w:r w:rsidR="00E55066" w:rsidRPr="00CF4A60">
        <w:t xml:space="preserve"> to be shared with other departments or external partners</w:t>
      </w:r>
      <w:r w:rsidR="00811562" w:rsidRPr="00CF4A60">
        <w:t>, and data assets to be released to the public</w:t>
      </w:r>
      <w:r w:rsidRPr="00CF4A60">
        <w:t>. Th</w:t>
      </w:r>
      <w:r w:rsidR="009C09C5" w:rsidRPr="00CF4A60">
        <w:t>e</w:t>
      </w:r>
      <w:r w:rsidRPr="00CF4A60">
        <w:t xml:space="preserve"> Statement is to be </w:t>
      </w:r>
      <w:r w:rsidR="00454B16" w:rsidRPr="00CF4A60">
        <w:t xml:space="preserve">maintained and provided with the data </w:t>
      </w:r>
      <w:r w:rsidRPr="00CF4A60">
        <w:t>asset</w:t>
      </w:r>
      <w:r w:rsidR="00E55066" w:rsidRPr="00CF4A60">
        <w:t xml:space="preserve"> </w:t>
      </w:r>
      <w:r w:rsidR="009C09C5" w:rsidRPr="00CF4A60">
        <w:t>via</w:t>
      </w:r>
      <w:r w:rsidR="00E55066" w:rsidRPr="00CF4A60">
        <w:t xml:space="preserve"> </w:t>
      </w:r>
      <w:r w:rsidR="00302EBD" w:rsidRPr="00CF4A60">
        <w:t>the WoVG</w:t>
      </w:r>
      <w:r w:rsidR="00E55066" w:rsidRPr="00CF4A60">
        <w:t xml:space="preserve"> Information Asset Register</w:t>
      </w:r>
      <w:r w:rsidR="00302EBD" w:rsidRPr="00CF4A60">
        <w:rPr>
          <w:rStyle w:val="FootnoteReference"/>
        </w:rPr>
        <w:footnoteReference w:id="2"/>
      </w:r>
      <w:r w:rsidRPr="00CF4A60">
        <w:t xml:space="preserve">. </w:t>
      </w:r>
    </w:p>
    <w:tbl>
      <w:tblPr>
        <w:tblStyle w:val="TableGrid"/>
        <w:tblW w:w="0" w:type="auto"/>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1188"/>
        <w:gridCol w:w="8024"/>
      </w:tblGrid>
      <w:tr w:rsidR="000705CF" w:rsidRPr="00CF4A60" w:rsidTr="008D68A5">
        <w:tc>
          <w:tcPr>
            <w:tcW w:w="1134" w:type="dxa"/>
            <w:hideMark/>
          </w:tcPr>
          <w:p w:rsidR="000705CF" w:rsidRPr="00CF4A60" w:rsidRDefault="000705CF" w:rsidP="008D68A5">
            <w:pPr>
              <w:pStyle w:val="DPCbody"/>
            </w:pPr>
            <w:r w:rsidRPr="00CF4A60">
              <w:rPr>
                <w:noProof/>
                <w:sz w:val="48"/>
                <w:lang w:eastAsia="en-AU"/>
              </w:rPr>
              <w:drawing>
                <wp:anchor distT="0" distB="0" distL="114300" distR="114300" simplePos="0" relativeHeight="251667456" behindDoc="0" locked="0" layoutInCell="1" allowOverlap="0" wp14:anchorId="311D7A1F" wp14:editId="52E2CAA8">
                  <wp:simplePos x="0" y="0"/>
                  <wp:positionH relativeFrom="column">
                    <wp:posOffset>-28575</wp:posOffset>
                  </wp:positionH>
                  <wp:positionV relativeFrom="paragraph">
                    <wp:posOffset>149860</wp:posOffset>
                  </wp:positionV>
                  <wp:extent cx="617220" cy="4895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5">
                            <a:extLst>
                              <a:ext uri="{28A0092B-C50C-407E-A947-70E740481C1C}">
                                <a14:useLocalDpi xmlns:a14="http://schemas.microsoft.com/office/drawing/2010/main" val="0"/>
                              </a:ext>
                            </a:extLst>
                          </a:blip>
                          <a:stretch>
                            <a:fillRect/>
                          </a:stretch>
                        </pic:blipFill>
                        <pic:spPr>
                          <a:xfrm>
                            <a:off x="0" y="0"/>
                            <a:ext cx="617220" cy="489585"/>
                          </a:xfrm>
                          <a:prstGeom prst="rect">
                            <a:avLst/>
                          </a:prstGeom>
                        </pic:spPr>
                      </pic:pic>
                    </a:graphicData>
                  </a:graphic>
                  <wp14:sizeRelH relativeFrom="margin">
                    <wp14:pctWidth>0</wp14:pctWidth>
                  </wp14:sizeRelH>
                  <wp14:sizeRelV relativeFrom="margin">
                    <wp14:pctHeight>0</wp14:pctHeight>
                  </wp14:sizeRelV>
                </wp:anchor>
              </w:drawing>
            </w:r>
          </w:p>
        </w:tc>
        <w:tc>
          <w:tcPr>
            <w:tcW w:w="8024" w:type="dxa"/>
            <w:vAlign w:val="center"/>
            <w:hideMark/>
          </w:tcPr>
          <w:p w:rsidR="000705CF" w:rsidRPr="00CF4A60" w:rsidRDefault="000705CF" w:rsidP="008D68A5">
            <w:pPr>
              <w:pStyle w:val="DPCbody"/>
            </w:pPr>
            <w:r w:rsidRPr="00CF4A60">
              <w:t xml:space="preserve">See the Data Quality Management Guideline and associated tools for help in implementing this standard.  </w:t>
            </w:r>
          </w:p>
        </w:tc>
        <w:bookmarkStart w:id="3" w:name="_GoBack"/>
        <w:bookmarkEnd w:id="3"/>
      </w:tr>
    </w:tbl>
    <w:p w:rsidR="00CF4A60" w:rsidRDefault="00CF4A60" w:rsidP="00AC2A37">
      <w:pPr>
        <w:pStyle w:val="DPCbody"/>
      </w:pPr>
    </w:p>
    <w:p w:rsidR="00CF4A60" w:rsidRPr="00CF4A60" w:rsidRDefault="00CF4A60" w:rsidP="00CF4A60">
      <w:pPr>
        <w:pStyle w:val="DPCbody"/>
      </w:pPr>
      <w:r w:rsidRPr="00CF4A60">
        <w:br w:type="page"/>
      </w:r>
    </w:p>
    <w:p w:rsidR="00673388" w:rsidRPr="00CF4A60" w:rsidRDefault="0046522F" w:rsidP="005E4097">
      <w:pPr>
        <w:pStyle w:val="Heading1"/>
      </w:pPr>
      <w:r w:rsidRPr="00CF4A60">
        <w:lastRenderedPageBreak/>
        <w:t>Overview</w:t>
      </w:r>
    </w:p>
    <w:p w:rsidR="00302EBD" w:rsidRPr="00CF4A60" w:rsidRDefault="00302EBD" w:rsidP="002366BF">
      <w:pPr>
        <w:pStyle w:val="DPCbody"/>
      </w:pPr>
      <w:r w:rsidRPr="00CF4A60">
        <w:t>The purpose of the Data Quality Standard (the standard) is to define an approach to setting and maintaining the quality of data assets within the Victorian Government.</w:t>
      </w:r>
    </w:p>
    <w:p w:rsidR="00811562" w:rsidRPr="00CF4A60" w:rsidRDefault="002E6A54" w:rsidP="002366BF">
      <w:pPr>
        <w:pStyle w:val="DPCbody"/>
      </w:pPr>
      <w:r w:rsidRPr="00CF4A60">
        <w:t xml:space="preserve">In a broad sense, data is considered to be of sufficient quality if it </w:t>
      </w:r>
      <w:r w:rsidR="00B54248" w:rsidRPr="00CF4A60">
        <w:t xml:space="preserve">is </w:t>
      </w:r>
      <w:r w:rsidRPr="00CF4A60">
        <w:t>"fit-for-purpose"</w:t>
      </w:r>
      <w:r w:rsidR="00811562" w:rsidRPr="00CF4A60">
        <w:t xml:space="preserve"> and it correctly represents the real-world </w:t>
      </w:r>
      <w:r w:rsidR="00302EBD" w:rsidRPr="00CF4A60">
        <w:t xml:space="preserve">situation </w:t>
      </w:r>
      <w:r w:rsidR="00811562" w:rsidRPr="00CF4A60">
        <w:t xml:space="preserve">to which it refers. </w:t>
      </w:r>
    </w:p>
    <w:p w:rsidR="0046658A" w:rsidRPr="00CF4A60" w:rsidRDefault="002E6A54" w:rsidP="00A941F5">
      <w:pPr>
        <w:pStyle w:val="DPCbody"/>
      </w:pPr>
      <w:r w:rsidRPr="00CF4A60">
        <w:t>Departments and related organisations create and collect many different types</w:t>
      </w:r>
      <w:r w:rsidR="00302EBD" w:rsidRPr="00CF4A60">
        <w:t xml:space="preserve"> of data</w:t>
      </w:r>
      <w:r w:rsidRPr="00CF4A60">
        <w:t xml:space="preserve"> for various purposes. </w:t>
      </w:r>
      <w:r w:rsidR="00302EBD" w:rsidRPr="00CF4A60">
        <w:t>As determined by each department, s</w:t>
      </w:r>
      <w:r w:rsidRPr="00CF4A60">
        <w:t xml:space="preserve">ome data </w:t>
      </w:r>
      <w:r w:rsidR="00302EBD" w:rsidRPr="00CF4A60">
        <w:t xml:space="preserve">assets </w:t>
      </w:r>
      <w:r w:rsidRPr="00CF4A60">
        <w:t>will be</w:t>
      </w:r>
      <w:r w:rsidR="00302EBD" w:rsidRPr="00CF4A60">
        <w:t xml:space="preserve"> considered critical (high risk / high value) </w:t>
      </w:r>
      <w:r w:rsidRPr="00CF4A60">
        <w:t xml:space="preserve">for internal use, some </w:t>
      </w:r>
      <w:r w:rsidR="00302EBD" w:rsidRPr="00CF4A60">
        <w:t xml:space="preserve">data </w:t>
      </w:r>
      <w:r w:rsidR="001B24EF" w:rsidRPr="00CF4A60">
        <w:t xml:space="preserve">is </w:t>
      </w:r>
      <w:r w:rsidRPr="00CF4A60">
        <w:t xml:space="preserve">shared with other departments or external </w:t>
      </w:r>
      <w:r w:rsidR="00A941F5" w:rsidRPr="00CF4A60">
        <w:t>partners</w:t>
      </w:r>
      <w:r w:rsidRPr="00CF4A60">
        <w:t xml:space="preserve">, and some </w:t>
      </w:r>
      <w:r w:rsidR="001B24EF" w:rsidRPr="00CF4A60">
        <w:t xml:space="preserve">is </w:t>
      </w:r>
      <w:r w:rsidR="00A941F5" w:rsidRPr="00CF4A60">
        <w:t xml:space="preserve">released to the </w:t>
      </w:r>
      <w:r w:rsidRPr="00CF4A60">
        <w:t xml:space="preserve">public. </w:t>
      </w:r>
      <w:r w:rsidR="009C09C5" w:rsidRPr="00CF4A60">
        <w:t>D</w:t>
      </w:r>
      <w:r w:rsidR="00A941F5" w:rsidRPr="00CF4A60">
        <w:t xml:space="preserve">epartments will </w:t>
      </w:r>
      <w:r w:rsidRPr="00CF4A60">
        <w:t xml:space="preserve">define their own </w:t>
      </w:r>
      <w:r w:rsidR="00A941F5" w:rsidRPr="00CF4A60">
        <w:t xml:space="preserve">requirements and </w:t>
      </w:r>
      <w:r w:rsidRPr="00CF4A60">
        <w:t xml:space="preserve">acceptable levels of data quality according to </w:t>
      </w:r>
      <w:r w:rsidR="00A941F5" w:rsidRPr="00CF4A60">
        <w:t>the intended use of each dataset</w:t>
      </w:r>
      <w:r w:rsidR="0046658A" w:rsidRPr="00CF4A60">
        <w:t>, processes and purposes that the data</w:t>
      </w:r>
      <w:r w:rsidR="00A941F5" w:rsidRPr="00CF4A60">
        <w:t xml:space="preserve"> asset</w:t>
      </w:r>
      <w:r w:rsidR="0046658A" w:rsidRPr="00CF4A60">
        <w:t xml:space="preserve"> support</w:t>
      </w:r>
      <w:r w:rsidR="00A941F5" w:rsidRPr="00CF4A60">
        <w:t xml:space="preserve">s, and </w:t>
      </w:r>
      <w:r w:rsidR="0046658A" w:rsidRPr="00CF4A60">
        <w:t>particular needs</w:t>
      </w:r>
      <w:r w:rsidR="00A941F5" w:rsidRPr="00CF4A60">
        <w:t xml:space="preserve"> of its users</w:t>
      </w:r>
      <w:r w:rsidR="0046658A" w:rsidRPr="00CF4A60">
        <w:t>.</w:t>
      </w:r>
    </w:p>
    <w:p w:rsidR="00302EBD" w:rsidRPr="00CF4A60" w:rsidRDefault="00302EBD" w:rsidP="00A941F5">
      <w:pPr>
        <w:pStyle w:val="DPCbody"/>
      </w:pPr>
      <w:r w:rsidRPr="00CF4A60">
        <w:t>This standard outlines the minimum activities that are needed for departments to maintain the quality of their data assets, to help them to comply with their statutory and administrative obligations.</w:t>
      </w:r>
    </w:p>
    <w:p w:rsidR="0046522F" w:rsidRPr="00CF4A60" w:rsidRDefault="0046522F" w:rsidP="002E6A54">
      <w:pPr>
        <w:pStyle w:val="Heading1"/>
      </w:pPr>
      <w:r w:rsidRPr="00CF4A60">
        <w:t>Rationale</w:t>
      </w:r>
    </w:p>
    <w:p w:rsidR="0046658A" w:rsidRPr="00CF4A60" w:rsidRDefault="0046658A" w:rsidP="002366BF">
      <w:pPr>
        <w:pStyle w:val="DPCbody"/>
        <w:rPr>
          <w:b/>
        </w:rPr>
      </w:pPr>
      <w:r w:rsidRPr="00CF4A60">
        <w:t xml:space="preserve">Departments and agencies in Victoria are becoming more </w:t>
      </w:r>
      <w:r w:rsidR="00B54248" w:rsidRPr="00CF4A60">
        <w:t xml:space="preserve">aware of the </w:t>
      </w:r>
      <w:r w:rsidRPr="00CF4A60">
        <w:t>many</w:t>
      </w:r>
      <w:r w:rsidR="00B54248" w:rsidRPr="00CF4A60">
        <w:t xml:space="preserve"> benefits of </w:t>
      </w:r>
      <w:r w:rsidRPr="00CF4A60">
        <w:t xml:space="preserve">sharing </w:t>
      </w:r>
      <w:r w:rsidR="00B54248" w:rsidRPr="00CF4A60">
        <w:t xml:space="preserve">datasets </w:t>
      </w:r>
      <w:r w:rsidRPr="00CF4A60">
        <w:t xml:space="preserve">with </w:t>
      </w:r>
      <w:r w:rsidR="00510D89" w:rsidRPr="00CF4A60">
        <w:t xml:space="preserve">groups such as </w:t>
      </w:r>
      <w:r w:rsidRPr="00CF4A60">
        <w:t>other departments, organisations or the public</w:t>
      </w:r>
      <w:r w:rsidR="00B54248" w:rsidRPr="00CF4A60">
        <w:t>.</w:t>
      </w:r>
      <w:r w:rsidRPr="00CF4A60">
        <w:t xml:space="preserve"> The breadth and depth of the data captured and held by departments and agencies </w:t>
      </w:r>
      <w:r w:rsidR="00510D89" w:rsidRPr="00CF4A60">
        <w:t>varies greatly</w:t>
      </w:r>
      <w:r w:rsidRPr="00CF4A60">
        <w:t xml:space="preserve">, so a “one size fits all” approach to data quality is of little value. Rather, a broad set of </w:t>
      </w:r>
      <w:r w:rsidR="001B24EF" w:rsidRPr="00CF4A60">
        <w:t>minimum requirements</w:t>
      </w:r>
      <w:r w:rsidRPr="00CF4A60">
        <w:t xml:space="preserve"> that can be applied to each department’s data assets provides a solid foundation upon which each department can measure and improve the quality of the datasets they create or manage. </w:t>
      </w:r>
    </w:p>
    <w:p w:rsidR="00302EBD" w:rsidRPr="00CF4A60" w:rsidRDefault="0046658A" w:rsidP="002366BF">
      <w:pPr>
        <w:pStyle w:val="DPCbody"/>
      </w:pPr>
      <w:r w:rsidRPr="00CF4A60">
        <w:t>As more varied datasets are made available to wider audiences, a number of common characteristics emerge which, if maintained</w:t>
      </w:r>
      <w:r w:rsidR="002A00DC" w:rsidRPr="00CF4A60">
        <w:t xml:space="preserve"> to a certain standard</w:t>
      </w:r>
      <w:r w:rsidRPr="00CF4A60">
        <w:t xml:space="preserve">, will help </w:t>
      </w:r>
      <w:r w:rsidR="002A00DC" w:rsidRPr="00CF4A60">
        <w:t>other</w:t>
      </w:r>
      <w:r w:rsidRPr="00CF4A60">
        <w:t xml:space="preserve">s to make </w:t>
      </w:r>
      <w:r w:rsidR="002A00DC" w:rsidRPr="00CF4A60">
        <w:t>informed choices about using existing data for their own purposes.</w:t>
      </w:r>
      <w:r w:rsidR="00510D89" w:rsidRPr="00CF4A60">
        <w:t xml:space="preserve"> This </w:t>
      </w:r>
      <w:r w:rsidR="00302EBD" w:rsidRPr="00CF4A60">
        <w:t>s</w:t>
      </w:r>
      <w:r w:rsidR="00510D89" w:rsidRPr="00CF4A60">
        <w:t>tandard</w:t>
      </w:r>
      <w:r w:rsidR="00302EBD" w:rsidRPr="00CF4A60">
        <w:t xml:space="preserve"> (and associated </w:t>
      </w:r>
      <w:r w:rsidR="001B24EF" w:rsidRPr="00CF4A60">
        <w:t>guideline and tools</w:t>
      </w:r>
      <w:r w:rsidR="00302EBD" w:rsidRPr="00CF4A60">
        <w:t>)</w:t>
      </w:r>
      <w:r w:rsidR="00510D89" w:rsidRPr="00CF4A60">
        <w:t xml:space="preserve"> describe</w:t>
      </w:r>
      <w:r w:rsidR="001B24EF" w:rsidRPr="00CF4A60">
        <w:t>s</w:t>
      </w:r>
      <w:r w:rsidR="00510D89" w:rsidRPr="00CF4A60">
        <w:t xml:space="preserve"> these characteristics, or “dimensions”, </w:t>
      </w:r>
      <w:r w:rsidR="00302EBD" w:rsidRPr="00CF4A60">
        <w:t>to enable</w:t>
      </w:r>
      <w:r w:rsidR="00510D89" w:rsidRPr="00CF4A60">
        <w:t xml:space="preserve"> a </w:t>
      </w:r>
      <w:r w:rsidR="00302EBD" w:rsidRPr="00CF4A60">
        <w:t xml:space="preserve">minimum </w:t>
      </w:r>
      <w:r w:rsidR="00510D89" w:rsidRPr="00CF4A60">
        <w:t xml:space="preserve">data quality standard </w:t>
      </w:r>
      <w:r w:rsidR="00302EBD" w:rsidRPr="00CF4A60">
        <w:t>to</w:t>
      </w:r>
      <w:r w:rsidR="00510D89" w:rsidRPr="00CF4A60">
        <w:t xml:space="preserve"> be set and maintained across the </w:t>
      </w:r>
      <w:r w:rsidR="001B24EF" w:rsidRPr="00CF4A60">
        <w:t>Victorian Public Sector</w:t>
      </w:r>
      <w:r w:rsidR="00510D89" w:rsidRPr="00CF4A60">
        <w:t xml:space="preserve">. </w:t>
      </w:r>
    </w:p>
    <w:p w:rsidR="00510D89" w:rsidRPr="00CF4A60" w:rsidRDefault="00B54248" w:rsidP="002366BF">
      <w:pPr>
        <w:pStyle w:val="DPCbody"/>
        <w:rPr>
          <w:b/>
        </w:rPr>
      </w:pPr>
      <w:r w:rsidRPr="00CF4A60">
        <w:t xml:space="preserve">It is </w:t>
      </w:r>
      <w:r w:rsidR="0046658A" w:rsidRPr="00CF4A60">
        <w:t>difficult, if not impossible,</w:t>
      </w:r>
      <w:r w:rsidRPr="00CF4A60">
        <w:t xml:space="preserve"> to predict the needs of all users and the various ways in which data</w:t>
      </w:r>
      <w:r w:rsidR="002A00DC" w:rsidRPr="00CF4A60">
        <w:t>sets</w:t>
      </w:r>
      <w:r w:rsidRPr="00CF4A60">
        <w:t xml:space="preserve"> might be used</w:t>
      </w:r>
      <w:r w:rsidR="0046658A" w:rsidRPr="00CF4A60">
        <w:t xml:space="preserve"> and reused</w:t>
      </w:r>
      <w:r w:rsidR="002A00DC" w:rsidRPr="00CF4A60">
        <w:t xml:space="preserve"> after being shared</w:t>
      </w:r>
      <w:r w:rsidR="0046658A" w:rsidRPr="00CF4A60">
        <w:t xml:space="preserve">. </w:t>
      </w:r>
      <w:r w:rsidR="00510D89" w:rsidRPr="00CF4A60">
        <w:t xml:space="preserve">By setting and maintaining minimum quality standards, confidence in the data is greatly improved, and </w:t>
      </w:r>
      <w:r w:rsidR="001B24EF" w:rsidRPr="00CF4A60">
        <w:t xml:space="preserve">the </w:t>
      </w:r>
      <w:r w:rsidR="00510D89" w:rsidRPr="00CF4A60">
        <w:t xml:space="preserve">benefits of data sharing can be realised. Potential users can make informed choices about which datasets may be of use to them, how they are best used, and be aware of any limitations. </w:t>
      </w:r>
    </w:p>
    <w:p w:rsidR="0046522F" w:rsidRPr="00CF4A60" w:rsidRDefault="0046522F" w:rsidP="0046522F">
      <w:pPr>
        <w:pStyle w:val="Heading1"/>
      </w:pPr>
      <w:r w:rsidRPr="00CF4A60">
        <w:t>Derivation, scope and glossary</w:t>
      </w:r>
    </w:p>
    <w:p w:rsidR="0046522F" w:rsidRPr="00CF4A60" w:rsidRDefault="0046522F" w:rsidP="0046522F">
      <w:pPr>
        <w:pStyle w:val="Heading2"/>
      </w:pPr>
      <w:r w:rsidRPr="00CF4A60">
        <w:t>Derivation</w:t>
      </w:r>
    </w:p>
    <w:p w:rsidR="0046522F" w:rsidRPr="00CF4A60" w:rsidRDefault="00133098" w:rsidP="0046522F">
      <w:pPr>
        <w:pStyle w:val="DPCbody"/>
        <w:rPr>
          <w:color w:val="0072CE"/>
          <w:u w:val="dotted"/>
        </w:rPr>
      </w:pPr>
      <w:r w:rsidRPr="00CF4A60">
        <w:t>This standard is derived from</w:t>
      </w:r>
      <w:r w:rsidR="00302EBD" w:rsidRPr="00CF4A60">
        <w:t xml:space="preserve"> the </w:t>
      </w:r>
      <w:hyperlink r:id="rId17" w:history="1">
        <w:r w:rsidR="00302EBD" w:rsidRPr="00CF4A60">
          <w:rPr>
            <w:rStyle w:val="Hyperlink"/>
          </w:rPr>
          <w:t>WoVG Information Management Policy</w:t>
        </w:r>
      </w:hyperlink>
      <w:r w:rsidR="00302EBD" w:rsidRPr="00CF4A60">
        <w:t>, and is</w:t>
      </w:r>
      <w:r w:rsidR="00302EBD" w:rsidRPr="00CF4A60">
        <w:rPr>
          <w:rStyle w:val="Hyperlink"/>
        </w:rPr>
        <w:t xml:space="preserve"> </w:t>
      </w:r>
      <w:r w:rsidR="00302EBD" w:rsidRPr="00CF4A60">
        <w:t xml:space="preserve">guided by the </w:t>
      </w:r>
      <w:hyperlink r:id="rId18" w:history="1">
        <w:r w:rsidR="00302EBD" w:rsidRPr="00CF4A60">
          <w:rPr>
            <w:rStyle w:val="Hyperlink"/>
          </w:rPr>
          <w:t>Information Technology Strategy for the Victorian Government, 2016–2020</w:t>
        </w:r>
      </w:hyperlink>
      <w:r w:rsidR="00302EBD" w:rsidRPr="00CF4A60">
        <w:t xml:space="preserve"> (IT strategy). </w:t>
      </w:r>
      <w:r w:rsidR="00302EBD" w:rsidRPr="00CF4A60">
        <w:rPr>
          <w:rStyle w:val="Hyperlink"/>
        </w:rPr>
        <w:t xml:space="preserve"> </w:t>
      </w:r>
    </w:p>
    <w:p w:rsidR="0046522F" w:rsidRPr="00CF4A60" w:rsidRDefault="0046522F" w:rsidP="0046522F">
      <w:pPr>
        <w:pStyle w:val="Heading2"/>
      </w:pPr>
      <w:r w:rsidRPr="00CF4A60">
        <w:lastRenderedPageBreak/>
        <w:t>Scope</w:t>
      </w:r>
    </w:p>
    <w:p w:rsidR="0046522F" w:rsidRPr="00CF4A60" w:rsidRDefault="00133098" w:rsidP="0046522F">
      <w:pPr>
        <w:pStyle w:val="DPCbody"/>
      </w:pPr>
      <w:r w:rsidRPr="00CF4A60">
        <w:t>The following departments and agencies are formally in scope:</w:t>
      </w:r>
    </w:p>
    <w:p w:rsidR="00133098" w:rsidRPr="00CF4A60" w:rsidRDefault="00133098" w:rsidP="00133098">
      <w:pPr>
        <w:pStyle w:val="DPCbullet1"/>
      </w:pPr>
      <w:r w:rsidRPr="00CF4A60">
        <w:t>Department of Economic Development, Jobs, Transport and Resources</w:t>
      </w:r>
    </w:p>
    <w:p w:rsidR="00133098" w:rsidRPr="00CF4A60" w:rsidRDefault="00133098" w:rsidP="00133098">
      <w:pPr>
        <w:pStyle w:val="DPCbullet1"/>
      </w:pPr>
      <w:r w:rsidRPr="00CF4A60">
        <w:t>Department of Education and Training</w:t>
      </w:r>
    </w:p>
    <w:p w:rsidR="00133098" w:rsidRPr="00CF4A60" w:rsidRDefault="00133098" w:rsidP="00133098">
      <w:pPr>
        <w:pStyle w:val="DPCbullet1"/>
      </w:pPr>
      <w:r w:rsidRPr="00CF4A60">
        <w:t>Department of Environment, Land, Water and Planning</w:t>
      </w:r>
    </w:p>
    <w:p w:rsidR="00133098" w:rsidRPr="00CF4A60" w:rsidRDefault="00133098" w:rsidP="00133098">
      <w:pPr>
        <w:pStyle w:val="DPCbullet1"/>
      </w:pPr>
      <w:r w:rsidRPr="00CF4A60">
        <w:t>Department of Health and Human Services</w:t>
      </w:r>
    </w:p>
    <w:p w:rsidR="00133098" w:rsidRPr="00CF4A60" w:rsidRDefault="00133098" w:rsidP="00133098">
      <w:pPr>
        <w:pStyle w:val="DPCbullet1"/>
      </w:pPr>
      <w:r w:rsidRPr="00CF4A60">
        <w:t>Department of Justice and Regulation</w:t>
      </w:r>
    </w:p>
    <w:p w:rsidR="00133098" w:rsidRPr="00CF4A60" w:rsidRDefault="00133098" w:rsidP="00133098">
      <w:pPr>
        <w:pStyle w:val="DPCbullet1"/>
      </w:pPr>
      <w:r w:rsidRPr="00CF4A60">
        <w:t>Department of Premier and Cabinet</w:t>
      </w:r>
    </w:p>
    <w:p w:rsidR="00133098" w:rsidRPr="00CF4A60" w:rsidRDefault="00133098" w:rsidP="00133098">
      <w:pPr>
        <w:pStyle w:val="DPCbullet1"/>
      </w:pPr>
      <w:r w:rsidRPr="00CF4A60">
        <w:t>Department of Treasury and Finance</w:t>
      </w:r>
    </w:p>
    <w:p w:rsidR="00133098" w:rsidRPr="00CF4A60" w:rsidRDefault="00133098" w:rsidP="00133098">
      <w:pPr>
        <w:pStyle w:val="DPCbullet1"/>
      </w:pPr>
      <w:r w:rsidRPr="00CF4A60">
        <w:t>Victoria Police.</w:t>
      </w:r>
    </w:p>
    <w:p w:rsidR="005D2C74" w:rsidRPr="00CF4A60" w:rsidRDefault="005D2C74" w:rsidP="005D2C74">
      <w:pPr>
        <w:pStyle w:val="DPCbullet1"/>
        <w:numPr>
          <w:ilvl w:val="0"/>
          <w:numId w:val="0"/>
        </w:numPr>
      </w:pPr>
      <w:r w:rsidRPr="00CF4A60">
        <w:t>These are referred to collectively as ‘departments’ in this document.</w:t>
      </w:r>
      <w:r w:rsidR="001B24EF" w:rsidRPr="00CF4A60">
        <w:t xml:space="preserve">  </w:t>
      </w:r>
    </w:p>
    <w:p w:rsidR="00133098" w:rsidRPr="00CF4A60" w:rsidRDefault="00133098" w:rsidP="00133098">
      <w:pPr>
        <w:pStyle w:val="DPCbullet1"/>
        <w:numPr>
          <w:ilvl w:val="0"/>
          <w:numId w:val="0"/>
        </w:numPr>
        <w:ind w:left="284"/>
      </w:pPr>
    </w:p>
    <w:p w:rsidR="00133098" w:rsidRPr="00CF4A60" w:rsidRDefault="00A455A0" w:rsidP="00133098">
      <w:pPr>
        <w:pStyle w:val="DPCbody"/>
      </w:pPr>
      <w:r w:rsidRPr="00CF4A60">
        <w:t>While not required, t</w:t>
      </w:r>
      <w:r w:rsidR="00133098" w:rsidRPr="00CF4A60">
        <w:t xml:space="preserve">he standard </w:t>
      </w:r>
      <w:r w:rsidRPr="00CF4A60">
        <w:t>may be adopted by agencies and partner organisations, if desired.</w:t>
      </w:r>
      <w:r w:rsidR="00133098" w:rsidRPr="00CF4A60">
        <w:t xml:space="preserve"> </w:t>
      </w:r>
    </w:p>
    <w:p w:rsidR="0046522F" w:rsidRPr="00CF4A60" w:rsidRDefault="0046522F" w:rsidP="0046522F">
      <w:pPr>
        <w:pStyle w:val="Heading2"/>
      </w:pPr>
      <w:r w:rsidRPr="00CF4A60">
        <w:t>Glossary</w:t>
      </w:r>
    </w:p>
    <w:p w:rsidR="0046522F" w:rsidRPr="00CF4A60" w:rsidRDefault="00133098" w:rsidP="0046522F">
      <w:pPr>
        <w:pStyle w:val="DPCbody"/>
      </w:pPr>
      <w:r w:rsidRPr="00CF4A60">
        <w:t xml:space="preserve">The glossary of terms and abbreviations used in this document are defined in the </w:t>
      </w:r>
      <w:hyperlink r:id="rId19" w:history="1">
        <w:r w:rsidRPr="00CF4A60">
          <w:rPr>
            <w:rStyle w:val="Hyperlink"/>
          </w:rPr>
          <w:t>Information Management Glossary</w:t>
        </w:r>
      </w:hyperlink>
      <w:r w:rsidRPr="00CF4A60">
        <w:t>.</w:t>
      </w:r>
    </w:p>
    <w:p w:rsidR="0046522F" w:rsidRPr="00CF4A60" w:rsidRDefault="0046522F" w:rsidP="0046522F">
      <w:pPr>
        <w:pStyle w:val="Heading1"/>
      </w:pPr>
      <w:r w:rsidRPr="00CF4A60">
        <w:t>Related documents, tools and references</w:t>
      </w:r>
    </w:p>
    <w:p w:rsidR="006E2ECF" w:rsidRPr="00CF4A60" w:rsidRDefault="00262743" w:rsidP="002366BF">
      <w:pPr>
        <w:pStyle w:val="DPCbullet1"/>
        <w:rPr>
          <w:rStyle w:val="Hyperlink"/>
        </w:rPr>
      </w:pPr>
      <w:hyperlink r:id="rId20" w:history="1">
        <w:r w:rsidR="006E2ECF" w:rsidRPr="00CF4A60">
          <w:rPr>
            <w:rStyle w:val="Hyperlink"/>
          </w:rPr>
          <w:t>DataVic Access Policy</w:t>
        </w:r>
      </w:hyperlink>
      <w:r w:rsidR="006E2ECF" w:rsidRPr="00CF4A60">
        <w:rPr>
          <w:rStyle w:val="Hyperlink"/>
        </w:rPr>
        <w:t xml:space="preserve"> </w:t>
      </w:r>
    </w:p>
    <w:p w:rsidR="006E2ECF" w:rsidRPr="00CF4A60" w:rsidRDefault="00262743" w:rsidP="00501351">
      <w:pPr>
        <w:pStyle w:val="DPCbullet1"/>
        <w:rPr>
          <w:rStyle w:val="Hyperlink"/>
        </w:rPr>
      </w:pPr>
      <w:hyperlink r:id="rId21" w:history="1">
        <w:r w:rsidR="006E2ECF" w:rsidRPr="00CF4A60">
          <w:rPr>
            <w:rStyle w:val="Hyperlink"/>
          </w:rPr>
          <w:t>Freedom of Information guidelines</w:t>
        </w:r>
      </w:hyperlink>
    </w:p>
    <w:p w:rsidR="006E2ECF" w:rsidRPr="00CF4A60" w:rsidRDefault="00262743" w:rsidP="00501351">
      <w:pPr>
        <w:pStyle w:val="DPCbullet1"/>
        <w:rPr>
          <w:rStyle w:val="Hyperlink"/>
        </w:rPr>
      </w:pPr>
      <w:hyperlink r:id="rId22" w:history="1">
        <w:r w:rsidR="006E2ECF" w:rsidRPr="00CF4A60">
          <w:rPr>
            <w:rStyle w:val="Hyperlink"/>
          </w:rPr>
          <w:t>Public Record Office of Victoria (PROV) Standards Framework and Policies</w:t>
        </w:r>
      </w:hyperlink>
    </w:p>
    <w:p w:rsidR="006E2ECF" w:rsidRPr="00CF4A60" w:rsidRDefault="00262743" w:rsidP="00501351">
      <w:pPr>
        <w:pStyle w:val="DPCbullet1"/>
      </w:pPr>
      <w:hyperlink r:id="rId23" w:history="1">
        <w:r w:rsidR="006E2ECF" w:rsidRPr="006E2ECF">
          <w:rPr>
            <w:rStyle w:val="Hyperlink"/>
          </w:rPr>
          <w:t>Victorian Protective Data Security Framework</w:t>
        </w:r>
      </w:hyperlink>
      <w:r w:rsidR="006E2ECF" w:rsidRPr="00CF4A60">
        <w:t xml:space="preserve"> (VPDSF)</w:t>
      </w:r>
    </w:p>
    <w:p w:rsidR="006E2ECF" w:rsidRPr="00CF4A60" w:rsidRDefault="00262743" w:rsidP="00501351">
      <w:pPr>
        <w:pStyle w:val="DPCbullet1"/>
        <w:rPr>
          <w:rStyle w:val="Hyperlink"/>
        </w:rPr>
      </w:pPr>
      <w:hyperlink r:id="rId24" w:history="1">
        <w:r w:rsidR="006E2ECF" w:rsidRPr="00CF4A60">
          <w:rPr>
            <w:rStyle w:val="Hyperlink"/>
          </w:rPr>
          <w:t>WoVG Information Management Framework</w:t>
        </w:r>
      </w:hyperlink>
    </w:p>
    <w:p w:rsidR="006E2ECF" w:rsidRPr="00CF4A60" w:rsidRDefault="00262743" w:rsidP="00501351">
      <w:pPr>
        <w:pStyle w:val="DPCbullet1"/>
        <w:rPr>
          <w:rStyle w:val="Hyperlink"/>
        </w:rPr>
      </w:pPr>
      <w:hyperlink r:id="rId25" w:history="1">
        <w:r w:rsidR="006E2ECF" w:rsidRPr="00CF4A60">
          <w:rPr>
            <w:rStyle w:val="Hyperlink"/>
          </w:rPr>
          <w:t>WoVG Information Management Policy</w:t>
        </w:r>
      </w:hyperlink>
      <w:r w:rsidR="006E2ECF" w:rsidRPr="00CF4A60">
        <w:rPr>
          <w:rStyle w:val="Hyperlink"/>
        </w:rPr>
        <w:t xml:space="preserve"> </w:t>
      </w:r>
    </w:p>
    <w:p w:rsidR="0046522F" w:rsidRPr="00CF4A60" w:rsidRDefault="0046522F" w:rsidP="0046522F">
      <w:pPr>
        <w:pStyle w:val="Heading1"/>
      </w:pPr>
      <w:r w:rsidRPr="00CF4A60">
        <w:t>Further information</w:t>
      </w:r>
    </w:p>
    <w:p w:rsidR="001B24EF" w:rsidRPr="00CF4A60" w:rsidRDefault="0046522F" w:rsidP="0046522F">
      <w:pPr>
        <w:pStyle w:val="DPCbody"/>
      </w:pPr>
      <w:r w:rsidRPr="00CF4A60">
        <w:t xml:space="preserve">For further information regarding this standard, please contact Enterprise Solutions, Department of Premier and Cabinet, at: </w:t>
      </w:r>
      <w:hyperlink r:id="rId26" w:history="1">
        <w:r w:rsidRPr="00CF4A60">
          <w:rPr>
            <w:rStyle w:val="Hyperlink"/>
          </w:rPr>
          <w:t>enterprisesolutions@dpc.vic.gov.au</w:t>
        </w:r>
      </w:hyperlink>
      <w:r w:rsidRPr="00CF4A60">
        <w:t>.</w:t>
      </w:r>
    </w:p>
    <w:p w:rsidR="001B24EF" w:rsidRPr="00CF4A60" w:rsidRDefault="001B24EF">
      <w:pPr>
        <w:rPr>
          <w:rFonts w:asciiTheme="minorHAnsi" w:eastAsia="Times" w:hAnsiTheme="minorHAnsi" w:cs="Arial"/>
          <w:color w:val="000000" w:themeColor="text1"/>
          <w:sz w:val="22"/>
          <w:szCs w:val="22"/>
        </w:rPr>
      </w:pPr>
      <w:r w:rsidRPr="00CF4A60">
        <w:br w:type="page"/>
      </w:r>
    </w:p>
    <w:p w:rsidR="0046522F" w:rsidRPr="00CF4A60" w:rsidRDefault="0046522F" w:rsidP="0046522F">
      <w:pPr>
        <w:pStyle w:val="Heading1"/>
      </w:pPr>
      <w:r w:rsidRPr="00CF4A60">
        <w:lastRenderedPageBreak/>
        <w:t>Document Control</w:t>
      </w:r>
    </w:p>
    <w:p w:rsidR="0046522F" w:rsidRPr="00CF4A60" w:rsidRDefault="0046522F" w:rsidP="0046522F">
      <w:pPr>
        <w:pStyle w:val="Heading2"/>
      </w:pPr>
      <w:r w:rsidRPr="00CF4A60">
        <w:t>Approval</w:t>
      </w:r>
    </w:p>
    <w:p w:rsidR="0046522F" w:rsidRPr="00CF4A60" w:rsidRDefault="0046522F" w:rsidP="0046522F">
      <w:pPr>
        <w:pStyle w:val="DPCbody"/>
      </w:pPr>
      <w:r w:rsidRPr="00CF4A60">
        <w:t xml:space="preserve">This document was approved by the </w:t>
      </w:r>
      <w:r w:rsidR="006E2ECF">
        <w:t>CIO Leadership Group</w:t>
      </w:r>
      <w:r w:rsidRPr="00CF4A60">
        <w:t xml:space="preserve"> under authority of</w:t>
      </w:r>
      <w:r w:rsidR="00302EBD" w:rsidRPr="00CF4A60">
        <w:t xml:space="preserve"> </w:t>
      </w:r>
      <w:r w:rsidR="006E2ECF">
        <w:t xml:space="preserve">the Victorian Secretaries Board </w:t>
      </w:r>
      <w:r w:rsidRPr="00CF4A60">
        <w:t xml:space="preserve">on </w:t>
      </w:r>
      <w:r w:rsidR="006E2ECF">
        <w:t xml:space="preserve">05/03/2018 </w:t>
      </w:r>
      <w:r w:rsidRPr="00CF4A60">
        <w:t>and applies from the date of issue (see first page).</w:t>
      </w:r>
    </w:p>
    <w:p w:rsidR="0046522F" w:rsidRPr="00CF4A60" w:rsidRDefault="0046522F" w:rsidP="0046522F">
      <w:pPr>
        <w:pStyle w:val="Heading2"/>
      </w:pPr>
      <w:r w:rsidRPr="00CF4A60">
        <w:t>Version history</w:t>
      </w:r>
    </w:p>
    <w:tbl>
      <w:tblPr>
        <w:tblStyle w:val="TableGrid"/>
        <w:tblW w:w="5000" w:type="pct"/>
        <w:tblLook w:val="04A0" w:firstRow="1" w:lastRow="0" w:firstColumn="1" w:lastColumn="0" w:noHBand="0" w:noVBand="1"/>
      </w:tblPr>
      <w:tblGrid>
        <w:gridCol w:w="1339"/>
        <w:gridCol w:w="2027"/>
        <w:gridCol w:w="6771"/>
      </w:tblGrid>
      <w:tr w:rsidR="0046522F" w:rsidRPr="00CF4A60" w:rsidTr="006E2ECF">
        <w:tc>
          <w:tcPr>
            <w:tcW w:w="1339" w:type="dxa"/>
            <w:vAlign w:val="center"/>
          </w:tcPr>
          <w:p w:rsidR="0046522F" w:rsidRPr="00CF4A60" w:rsidRDefault="0046522F" w:rsidP="0046522F">
            <w:pPr>
              <w:pStyle w:val="DPCtablecolhead"/>
              <w:spacing w:before="120" w:after="120"/>
            </w:pPr>
            <w:r w:rsidRPr="00CF4A60">
              <w:t>Version</w:t>
            </w:r>
          </w:p>
        </w:tc>
        <w:tc>
          <w:tcPr>
            <w:tcW w:w="2027" w:type="dxa"/>
            <w:vAlign w:val="center"/>
          </w:tcPr>
          <w:p w:rsidR="0046522F" w:rsidRPr="00CF4A60" w:rsidRDefault="0046522F" w:rsidP="0046522F">
            <w:pPr>
              <w:pStyle w:val="DPCtablecolhead"/>
              <w:spacing w:before="120" w:after="120"/>
            </w:pPr>
            <w:r w:rsidRPr="00CF4A60">
              <w:t>Date</w:t>
            </w:r>
          </w:p>
        </w:tc>
        <w:tc>
          <w:tcPr>
            <w:tcW w:w="6771" w:type="dxa"/>
            <w:vAlign w:val="center"/>
          </w:tcPr>
          <w:p w:rsidR="0046522F" w:rsidRPr="00CF4A60" w:rsidRDefault="0046522F" w:rsidP="0046522F">
            <w:pPr>
              <w:pStyle w:val="DPCtablecolhead"/>
              <w:spacing w:before="120" w:after="120"/>
            </w:pPr>
            <w:r w:rsidRPr="00CF4A60">
              <w:t>Comments</w:t>
            </w:r>
          </w:p>
        </w:tc>
      </w:tr>
      <w:tr w:rsidR="0046522F" w:rsidRPr="00CF4A60" w:rsidTr="006E2ECF">
        <w:tc>
          <w:tcPr>
            <w:tcW w:w="1339" w:type="dxa"/>
            <w:vAlign w:val="center"/>
          </w:tcPr>
          <w:p w:rsidR="0046522F" w:rsidRPr="00CF4A60" w:rsidRDefault="00CF4A60" w:rsidP="0046522F">
            <w:pPr>
              <w:pStyle w:val="DPCtabletext"/>
              <w:spacing w:before="120" w:after="120"/>
            </w:pPr>
            <w:r>
              <w:t>1.0</w:t>
            </w:r>
          </w:p>
        </w:tc>
        <w:tc>
          <w:tcPr>
            <w:tcW w:w="2027" w:type="dxa"/>
            <w:vAlign w:val="center"/>
          </w:tcPr>
          <w:p w:rsidR="0046522F" w:rsidRPr="00CF4A60" w:rsidRDefault="006E2ECF" w:rsidP="0046522F">
            <w:pPr>
              <w:pStyle w:val="DPCtabletext"/>
              <w:spacing w:before="120" w:after="120"/>
            </w:pPr>
            <w:r>
              <w:t>05/03</w:t>
            </w:r>
            <w:r w:rsidR="00CF4A60">
              <w:t>/2018</w:t>
            </w:r>
          </w:p>
        </w:tc>
        <w:tc>
          <w:tcPr>
            <w:tcW w:w="6771" w:type="dxa"/>
            <w:vAlign w:val="center"/>
          </w:tcPr>
          <w:p w:rsidR="0046522F" w:rsidRPr="00CF4A60" w:rsidRDefault="006E2ECF" w:rsidP="0046522F">
            <w:pPr>
              <w:pStyle w:val="DPCtabletext"/>
              <w:spacing w:before="120" w:after="120"/>
            </w:pPr>
            <w:r>
              <w:t>Final version to be published</w:t>
            </w:r>
          </w:p>
        </w:tc>
      </w:tr>
    </w:tbl>
    <w:p w:rsidR="0046522F" w:rsidRPr="008C748D" w:rsidRDefault="0046522F" w:rsidP="009C09C5">
      <w:pPr>
        <w:pStyle w:val="DPCbodyaftertablefigure"/>
      </w:pPr>
    </w:p>
    <w:sectPr w:rsidR="0046522F" w:rsidRPr="008C748D" w:rsidSect="001B5CC1">
      <w:headerReference w:type="default" r:id="rId27"/>
      <w:footerReference w:type="default" r:id="rId28"/>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84" w:rsidRDefault="004A4284">
      <w:r>
        <w:separator/>
      </w:r>
    </w:p>
  </w:endnote>
  <w:endnote w:type="continuationSeparator" w:id="0">
    <w:p w:rsidR="004A4284" w:rsidRDefault="004A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1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F6" w:rsidRDefault="006E2ECF" w:rsidP="006E2ECF">
    <w:pPr>
      <w:pStyle w:val="Footer"/>
      <w:rPr>
        <w:rFonts w:ascii="Arial" w:hAnsi="Arial"/>
        <w:b/>
        <w:color w:val="3F3F3F"/>
      </w:rPr>
    </w:pPr>
    <w:bookmarkStart w:id="0" w:name="aliashNonProtectiveMarki1FooterEvenPages"/>
    <w:r>
      <w:rPr>
        <w:rFonts w:ascii="Arial" w:hAnsi="Arial"/>
        <w:b/>
        <w:color w:val="3F3F3F"/>
      </w:rPr>
      <w:t>For Official Use Only</w:t>
    </w:r>
  </w:p>
  <w:bookmarkEnd w:id="0"/>
  <w:p w:rsidR="00853CF6" w:rsidRDefault="00853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F6" w:rsidRDefault="006E2ECF" w:rsidP="006E2ECF">
    <w:pPr>
      <w:pStyle w:val="Footer"/>
      <w:rPr>
        <w:rFonts w:ascii="Arial" w:hAnsi="Arial"/>
        <w:b/>
        <w:color w:val="3F3F3F"/>
      </w:rPr>
    </w:pPr>
    <w:bookmarkStart w:id="1" w:name="aliashNonProtectiveMarking1FooterPrimary"/>
    <w:r>
      <w:rPr>
        <w:rFonts w:ascii="Arial" w:hAnsi="Arial"/>
        <w:b/>
        <w:color w:val="3F3F3F"/>
      </w:rPr>
      <w:t>For Official Use Only</w:t>
    </w:r>
  </w:p>
  <w:bookmarkEnd w:id="1"/>
  <w:p w:rsidR="00CE750D" w:rsidRDefault="00336814">
    <w:pPr>
      <w:pStyle w:val="Footer"/>
    </w:pPr>
    <w:r>
      <w:rPr>
        <w:noProof/>
        <w:lang w:eastAsia="en-AU"/>
      </w:rPr>
      <w:drawing>
        <wp:anchor distT="0" distB="0" distL="114300" distR="114300" simplePos="0" relativeHeight="251656704" behindDoc="0" locked="1" layoutInCell="0" allowOverlap="1" wp14:anchorId="1B475D78" wp14:editId="1BD98B54">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F6" w:rsidRDefault="006E2ECF" w:rsidP="006E2ECF">
    <w:pPr>
      <w:pStyle w:val="Footer"/>
      <w:rPr>
        <w:rFonts w:ascii="Arial" w:hAnsi="Arial"/>
        <w:b/>
        <w:color w:val="3F3F3F"/>
      </w:rPr>
    </w:pPr>
    <w:bookmarkStart w:id="2" w:name="aliashNonProtectiveMarki1FooterFirstPage"/>
    <w:r>
      <w:rPr>
        <w:rFonts w:ascii="Arial" w:hAnsi="Arial"/>
        <w:b/>
        <w:color w:val="3F3F3F"/>
      </w:rPr>
      <w:t>For Official Use Only</w:t>
    </w:r>
  </w:p>
  <w:bookmarkEnd w:id="2"/>
  <w:p w:rsidR="00853CF6" w:rsidRDefault="00853C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EF" w:rsidRDefault="00262743" w:rsidP="006E2ECF">
    <w:pPr>
      <w:pStyle w:val="DPCfooter"/>
      <w:rPr>
        <w:rFonts w:ascii="Arial" w:hAnsi="Arial" w:cs="Arial"/>
        <w:b/>
        <w:color w:val="3F3F3F"/>
        <w:sz w:val="20"/>
      </w:rPr>
    </w:pPr>
    <w:bookmarkStart w:id="4" w:name="aliashNonProtectiveMarking2FooterPrimary"/>
    <w:r>
      <w:rPr>
        <w:rFonts w:ascii="Arial" w:hAnsi="Arial" w:cs="Arial"/>
        <w:b/>
        <w:color w:val="3F3F3F"/>
        <w:sz w:val="20"/>
      </w:rPr>
      <w:t>Public</w:t>
    </w:r>
  </w:p>
  <w:bookmarkEnd w:id="4"/>
  <w:p w:rsidR="00657303" w:rsidRPr="00A95E3B" w:rsidRDefault="00D809EE" w:rsidP="00B01E7E">
    <w:pPr>
      <w:pStyle w:val="DPCfooter"/>
    </w:pPr>
    <w:r>
      <w:t>Data Quality</w:t>
    </w:r>
    <w:r w:rsidR="006E2ECF">
      <w:t xml:space="preserve"> Standard</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262743">
      <w:rPr>
        <w:noProof/>
      </w:rPr>
      <w:t>5</w:t>
    </w:r>
    <w:r w:rsidR="00EF362A" w:rsidRPr="00A95E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84" w:rsidRDefault="004A4284" w:rsidP="002862F1">
      <w:pPr>
        <w:spacing w:before="120"/>
      </w:pPr>
      <w:r>
        <w:separator/>
      </w:r>
    </w:p>
  </w:footnote>
  <w:footnote w:type="continuationSeparator" w:id="0">
    <w:p w:rsidR="004A4284" w:rsidRDefault="004A4284">
      <w:r>
        <w:continuationSeparator/>
      </w:r>
    </w:p>
  </w:footnote>
  <w:footnote w:id="1">
    <w:p w:rsidR="004F1800" w:rsidRDefault="004F1800" w:rsidP="004F1800">
      <w:pPr>
        <w:pStyle w:val="FootnoteText"/>
      </w:pPr>
      <w:r>
        <w:rPr>
          <w:rStyle w:val="FootnoteReference"/>
        </w:rPr>
        <w:footnoteRef/>
      </w:r>
      <w:r>
        <w:t xml:space="preserve"> </w:t>
      </w:r>
      <w:r w:rsidRPr="009C09C5">
        <w:t>'Structured data' refers to data that can be organised and stored in fixed fields</w:t>
      </w:r>
      <w:r>
        <w:t xml:space="preserve"> such as</w:t>
      </w:r>
      <w:r w:rsidRPr="009C09C5">
        <w:t xml:space="preserve"> in a relational database record or spreadsheet. 'Unstructured data' does not conform neatly into a </w:t>
      </w:r>
      <w:r>
        <w:t>fixed field format</w:t>
      </w:r>
      <w:r w:rsidRPr="009C09C5">
        <w:t>. Examples include</w:t>
      </w:r>
      <w:r>
        <w:t>:</w:t>
      </w:r>
      <w:r w:rsidRPr="009C09C5">
        <w:t xml:space="preserve"> data streams, social media data, documents, emails, videos, audio files, and images.</w:t>
      </w:r>
    </w:p>
  </w:footnote>
  <w:footnote w:id="2">
    <w:p w:rsidR="00302EBD" w:rsidRDefault="00302EBD">
      <w:pPr>
        <w:pStyle w:val="FootnoteText"/>
      </w:pPr>
      <w:r>
        <w:rPr>
          <w:rStyle w:val="FootnoteReference"/>
        </w:rPr>
        <w:footnoteRef/>
      </w:r>
      <w:r>
        <w:t xml:space="preserve"> The WoVG Information Asset Register is a requirement under the proposed Data Sharing Legislation.  It is flagged for development in 2017/2018.  The WoVG Information Asset Register will be internal to government and have access limited to Victorian Public Sector staff.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Default="00326A66">
    <w:pPr>
      <w:pStyle w:val="Header"/>
    </w:pPr>
    <w:r>
      <w:rPr>
        <w:noProof/>
        <w:lang w:eastAsia="en-AU"/>
      </w:rPr>
      <w:drawing>
        <wp:anchor distT="0" distB="0" distL="114300" distR="114300" simplePos="0" relativeHeight="251657728" behindDoc="0" locked="1" layoutInCell="0" allowOverlap="1" wp14:anchorId="49CF4A92" wp14:editId="427B0167">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00A"/>
    <w:multiLevelType w:val="hybridMultilevel"/>
    <w:tmpl w:val="77A46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C2478D2"/>
    <w:multiLevelType w:val="multilevel"/>
    <w:tmpl w:val="D34C9BAE"/>
    <w:styleLink w:val="ZZBullets"/>
    <w:lvl w:ilvl="0">
      <w:start w:val="1"/>
      <w:numFmt w:val="bullet"/>
      <w:pStyle w:val="DPCbullet1"/>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3DE83A38"/>
    <w:multiLevelType w:val="hybridMultilevel"/>
    <w:tmpl w:val="733C5A2C"/>
    <w:lvl w:ilvl="0" w:tplc="7700B5F8">
      <w:start w:val="1"/>
      <w:numFmt w:val="bullet"/>
      <w:pStyle w:val="DPCbulle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0713B2"/>
    <w:multiLevelType w:val="hybridMultilevel"/>
    <w:tmpl w:val="A5C89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B5F6D50"/>
    <w:multiLevelType w:val="hybridMultilevel"/>
    <w:tmpl w:val="C7DCE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A625BE"/>
    <w:multiLevelType w:val="hybridMultilevel"/>
    <w:tmpl w:val="2BF8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lvl w:ilvl="0">
        <w:start w:val="1"/>
        <w:numFmt w:val="bullet"/>
        <w:pStyle w:val="DPCbullet1"/>
        <w:lvlText w:val="▪"/>
        <w:lvlJc w:val="left"/>
        <w:pPr>
          <w:ind w:left="284" w:hanging="284"/>
        </w:pPr>
        <w:rPr>
          <w:rFonts w:hint="default"/>
          <w:color w:val="auto"/>
          <w:sz w:val="24"/>
        </w:rPr>
      </w:lvl>
    </w:lvlOverride>
  </w:num>
  <w:num w:numId="9">
    <w:abstractNumId w:val="13"/>
  </w:num>
  <w:num w:numId="10">
    <w:abstractNumId w:val="2"/>
  </w:num>
  <w:num w:numId="11">
    <w:abstractNumId w:val="10"/>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0"/>
  </w:num>
  <w:num w:numId="20">
    <w:abstractNumId w:val="9"/>
  </w:num>
  <w:num w:numId="21">
    <w:abstractNumId w:val="7"/>
  </w:num>
  <w:num w:numId="22">
    <w:abstractNumId w:val="0"/>
  </w:num>
  <w:num w:numId="23">
    <w:abstractNumId w:val="7"/>
  </w:num>
  <w:num w:numId="24">
    <w:abstractNumId w:val="8"/>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F6"/>
    <w:rsid w:val="000072B6"/>
    <w:rsid w:val="0001021B"/>
    <w:rsid w:val="00011D89"/>
    <w:rsid w:val="000137AB"/>
    <w:rsid w:val="00024D89"/>
    <w:rsid w:val="0002578B"/>
    <w:rsid w:val="00025E00"/>
    <w:rsid w:val="00033D81"/>
    <w:rsid w:val="00037D82"/>
    <w:rsid w:val="00041BF0"/>
    <w:rsid w:val="0004536B"/>
    <w:rsid w:val="00046B68"/>
    <w:rsid w:val="000527DD"/>
    <w:rsid w:val="00055BC0"/>
    <w:rsid w:val="000578B2"/>
    <w:rsid w:val="00060959"/>
    <w:rsid w:val="000705CF"/>
    <w:rsid w:val="00074219"/>
    <w:rsid w:val="00074ED5"/>
    <w:rsid w:val="000815CF"/>
    <w:rsid w:val="000820DE"/>
    <w:rsid w:val="00090171"/>
    <w:rsid w:val="0009080D"/>
    <w:rsid w:val="00096CD1"/>
    <w:rsid w:val="00097EBE"/>
    <w:rsid w:val="000A012C"/>
    <w:rsid w:val="000A0EB9"/>
    <w:rsid w:val="000A186C"/>
    <w:rsid w:val="000B21ED"/>
    <w:rsid w:val="000B231B"/>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33098"/>
    <w:rsid w:val="001447B3"/>
    <w:rsid w:val="00161939"/>
    <w:rsid w:val="00161AA0"/>
    <w:rsid w:val="00162093"/>
    <w:rsid w:val="00162627"/>
    <w:rsid w:val="00164CF0"/>
    <w:rsid w:val="001771DD"/>
    <w:rsid w:val="00177995"/>
    <w:rsid w:val="00177A8C"/>
    <w:rsid w:val="001828F5"/>
    <w:rsid w:val="00186B33"/>
    <w:rsid w:val="00192F9D"/>
    <w:rsid w:val="00196EB8"/>
    <w:rsid w:val="001979FF"/>
    <w:rsid w:val="00197B17"/>
    <w:rsid w:val="001A3ACE"/>
    <w:rsid w:val="001B24EF"/>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66BF"/>
    <w:rsid w:val="00237C67"/>
    <w:rsid w:val="00246C5E"/>
    <w:rsid w:val="00251343"/>
    <w:rsid w:val="00253641"/>
    <w:rsid w:val="00254F7A"/>
    <w:rsid w:val="002620BC"/>
    <w:rsid w:val="00262743"/>
    <w:rsid w:val="00263A90"/>
    <w:rsid w:val="0026408B"/>
    <w:rsid w:val="00267C3E"/>
    <w:rsid w:val="002709BB"/>
    <w:rsid w:val="002802E3"/>
    <w:rsid w:val="0028213D"/>
    <w:rsid w:val="002862F1"/>
    <w:rsid w:val="00290A59"/>
    <w:rsid w:val="00290F7E"/>
    <w:rsid w:val="00291373"/>
    <w:rsid w:val="0029597D"/>
    <w:rsid w:val="00295F99"/>
    <w:rsid w:val="002962C3"/>
    <w:rsid w:val="002A00DC"/>
    <w:rsid w:val="002A483C"/>
    <w:rsid w:val="002B1729"/>
    <w:rsid w:val="002B4DD4"/>
    <w:rsid w:val="002B5277"/>
    <w:rsid w:val="002B580A"/>
    <w:rsid w:val="002B77C1"/>
    <w:rsid w:val="002C2728"/>
    <w:rsid w:val="002E01D0"/>
    <w:rsid w:val="002E161D"/>
    <w:rsid w:val="002E6A54"/>
    <w:rsid w:val="002E6C95"/>
    <w:rsid w:val="002E7C36"/>
    <w:rsid w:val="002F32D0"/>
    <w:rsid w:val="002F5F31"/>
    <w:rsid w:val="00302216"/>
    <w:rsid w:val="00302EBD"/>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185F"/>
    <w:rsid w:val="003956CC"/>
    <w:rsid w:val="00395C9A"/>
    <w:rsid w:val="003A5639"/>
    <w:rsid w:val="003A6B67"/>
    <w:rsid w:val="003B15E6"/>
    <w:rsid w:val="003B6ECA"/>
    <w:rsid w:val="003C2045"/>
    <w:rsid w:val="003C2E6A"/>
    <w:rsid w:val="003C43A1"/>
    <w:rsid w:val="003C55F4"/>
    <w:rsid w:val="003C7A3F"/>
    <w:rsid w:val="003D3E8F"/>
    <w:rsid w:val="003D6475"/>
    <w:rsid w:val="003E28AD"/>
    <w:rsid w:val="003E375C"/>
    <w:rsid w:val="003E42AA"/>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4616"/>
    <w:rsid w:val="00454B16"/>
    <w:rsid w:val="00457337"/>
    <w:rsid w:val="0046021C"/>
    <w:rsid w:val="0046522F"/>
    <w:rsid w:val="0046658A"/>
    <w:rsid w:val="0047156E"/>
    <w:rsid w:val="0047372D"/>
    <w:rsid w:val="004743DD"/>
    <w:rsid w:val="00474CEA"/>
    <w:rsid w:val="00476824"/>
    <w:rsid w:val="00483968"/>
    <w:rsid w:val="00484F86"/>
    <w:rsid w:val="00490746"/>
    <w:rsid w:val="00490852"/>
    <w:rsid w:val="004909D3"/>
    <w:rsid w:val="004946F4"/>
    <w:rsid w:val="0049487E"/>
    <w:rsid w:val="004A3E81"/>
    <w:rsid w:val="004A4284"/>
    <w:rsid w:val="004A5C62"/>
    <w:rsid w:val="004A707D"/>
    <w:rsid w:val="004C6EEE"/>
    <w:rsid w:val="004C702B"/>
    <w:rsid w:val="004D016B"/>
    <w:rsid w:val="004D1B22"/>
    <w:rsid w:val="004D36F2"/>
    <w:rsid w:val="004E4649"/>
    <w:rsid w:val="004E5C2B"/>
    <w:rsid w:val="004F00DD"/>
    <w:rsid w:val="004F1800"/>
    <w:rsid w:val="004F2133"/>
    <w:rsid w:val="004F55F1"/>
    <w:rsid w:val="004F6936"/>
    <w:rsid w:val="00501351"/>
    <w:rsid w:val="00503DC6"/>
    <w:rsid w:val="005061AB"/>
    <w:rsid w:val="00506F5D"/>
    <w:rsid w:val="00510D89"/>
    <w:rsid w:val="005126D0"/>
    <w:rsid w:val="00520AB8"/>
    <w:rsid w:val="00526865"/>
    <w:rsid w:val="00530218"/>
    <w:rsid w:val="00530545"/>
    <w:rsid w:val="00536499"/>
    <w:rsid w:val="00543903"/>
    <w:rsid w:val="00546E29"/>
    <w:rsid w:val="00546E7C"/>
    <w:rsid w:val="00547A95"/>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7B8"/>
    <w:rsid w:val="005D2C74"/>
    <w:rsid w:val="005D6597"/>
    <w:rsid w:val="005E14E7"/>
    <w:rsid w:val="005E1B3C"/>
    <w:rsid w:val="005E409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7E0"/>
    <w:rsid w:val="006D2A3F"/>
    <w:rsid w:val="006E138B"/>
    <w:rsid w:val="006E2ECF"/>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1562"/>
    <w:rsid w:val="00812C49"/>
    <w:rsid w:val="00816735"/>
    <w:rsid w:val="00820141"/>
    <w:rsid w:val="00820E0C"/>
    <w:rsid w:val="008260DA"/>
    <w:rsid w:val="008516F2"/>
    <w:rsid w:val="00852EE6"/>
    <w:rsid w:val="00853CF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0AC0"/>
    <w:rsid w:val="00906490"/>
    <w:rsid w:val="009111B2"/>
    <w:rsid w:val="00924AE1"/>
    <w:rsid w:val="009269B1"/>
    <w:rsid w:val="00937BD9"/>
    <w:rsid w:val="009500F3"/>
    <w:rsid w:val="00950E2C"/>
    <w:rsid w:val="00951D50"/>
    <w:rsid w:val="009525EB"/>
    <w:rsid w:val="0096029D"/>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09C5"/>
    <w:rsid w:val="009C7A7E"/>
    <w:rsid w:val="009D02E8"/>
    <w:rsid w:val="009D51D0"/>
    <w:rsid w:val="009D70A4"/>
    <w:rsid w:val="009E08D1"/>
    <w:rsid w:val="009E1B95"/>
    <w:rsid w:val="009E496F"/>
    <w:rsid w:val="009E4B0D"/>
    <w:rsid w:val="009E6FE6"/>
    <w:rsid w:val="009E7F92"/>
    <w:rsid w:val="009F02A3"/>
    <w:rsid w:val="009F2F27"/>
    <w:rsid w:val="009F6BCB"/>
    <w:rsid w:val="009F738B"/>
    <w:rsid w:val="009F7B78"/>
    <w:rsid w:val="00A0057A"/>
    <w:rsid w:val="00A113E3"/>
    <w:rsid w:val="00A11421"/>
    <w:rsid w:val="00A157B1"/>
    <w:rsid w:val="00A22229"/>
    <w:rsid w:val="00A34DFE"/>
    <w:rsid w:val="00A44882"/>
    <w:rsid w:val="00A455A0"/>
    <w:rsid w:val="00A54715"/>
    <w:rsid w:val="00A6061C"/>
    <w:rsid w:val="00A62D44"/>
    <w:rsid w:val="00A65FEE"/>
    <w:rsid w:val="00A7161C"/>
    <w:rsid w:val="00A77AA3"/>
    <w:rsid w:val="00A8002A"/>
    <w:rsid w:val="00A872E5"/>
    <w:rsid w:val="00A941F5"/>
    <w:rsid w:val="00A95E3B"/>
    <w:rsid w:val="00A96067"/>
    <w:rsid w:val="00A96E65"/>
    <w:rsid w:val="00A97C72"/>
    <w:rsid w:val="00AA63D4"/>
    <w:rsid w:val="00AB06E8"/>
    <w:rsid w:val="00AB1CD3"/>
    <w:rsid w:val="00AB352F"/>
    <w:rsid w:val="00AB5739"/>
    <w:rsid w:val="00AC274B"/>
    <w:rsid w:val="00AC2A37"/>
    <w:rsid w:val="00AC6D36"/>
    <w:rsid w:val="00AD0CBA"/>
    <w:rsid w:val="00AD26E2"/>
    <w:rsid w:val="00AD2ED9"/>
    <w:rsid w:val="00AD525E"/>
    <w:rsid w:val="00AD6D6E"/>
    <w:rsid w:val="00AE126A"/>
    <w:rsid w:val="00AE3005"/>
    <w:rsid w:val="00AE3B0A"/>
    <w:rsid w:val="00AE3BAA"/>
    <w:rsid w:val="00AE51EF"/>
    <w:rsid w:val="00AE59A0"/>
    <w:rsid w:val="00AF0C57"/>
    <w:rsid w:val="00AF26F3"/>
    <w:rsid w:val="00AF6CCD"/>
    <w:rsid w:val="00B00672"/>
    <w:rsid w:val="00B01B4D"/>
    <w:rsid w:val="00B01E7E"/>
    <w:rsid w:val="00B04610"/>
    <w:rsid w:val="00B06571"/>
    <w:rsid w:val="00B068BA"/>
    <w:rsid w:val="00B13851"/>
    <w:rsid w:val="00B13B1C"/>
    <w:rsid w:val="00B1672F"/>
    <w:rsid w:val="00B22291"/>
    <w:rsid w:val="00B2417B"/>
    <w:rsid w:val="00B24E6F"/>
    <w:rsid w:val="00B26CB5"/>
    <w:rsid w:val="00B27256"/>
    <w:rsid w:val="00B2752E"/>
    <w:rsid w:val="00B307CC"/>
    <w:rsid w:val="00B30DA8"/>
    <w:rsid w:val="00B44A60"/>
    <w:rsid w:val="00B45141"/>
    <w:rsid w:val="00B5273A"/>
    <w:rsid w:val="00B54248"/>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8D2"/>
    <w:rsid w:val="00BF7F58"/>
    <w:rsid w:val="00C00C7D"/>
    <w:rsid w:val="00C01381"/>
    <w:rsid w:val="00C0527D"/>
    <w:rsid w:val="00C079B8"/>
    <w:rsid w:val="00C07B16"/>
    <w:rsid w:val="00C123EA"/>
    <w:rsid w:val="00C12A49"/>
    <w:rsid w:val="00C133EE"/>
    <w:rsid w:val="00C160A6"/>
    <w:rsid w:val="00C177D8"/>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77DC5"/>
    <w:rsid w:val="00C863C4"/>
    <w:rsid w:val="00C93C3E"/>
    <w:rsid w:val="00C952A3"/>
    <w:rsid w:val="00CA12E3"/>
    <w:rsid w:val="00CA6611"/>
    <w:rsid w:val="00CB177C"/>
    <w:rsid w:val="00CB5B6B"/>
    <w:rsid w:val="00CC2BFD"/>
    <w:rsid w:val="00CD26B2"/>
    <w:rsid w:val="00CD3476"/>
    <w:rsid w:val="00CD64DF"/>
    <w:rsid w:val="00CE61C2"/>
    <w:rsid w:val="00CE750D"/>
    <w:rsid w:val="00CF10EA"/>
    <w:rsid w:val="00CF2F50"/>
    <w:rsid w:val="00CF3C87"/>
    <w:rsid w:val="00CF4A60"/>
    <w:rsid w:val="00D02919"/>
    <w:rsid w:val="00D04C61"/>
    <w:rsid w:val="00D04D8E"/>
    <w:rsid w:val="00D052C4"/>
    <w:rsid w:val="00D05B8D"/>
    <w:rsid w:val="00D07EC0"/>
    <w:rsid w:val="00D07F00"/>
    <w:rsid w:val="00D102B5"/>
    <w:rsid w:val="00D208B9"/>
    <w:rsid w:val="00D21873"/>
    <w:rsid w:val="00D33E72"/>
    <w:rsid w:val="00D35BD6"/>
    <w:rsid w:val="00D361B5"/>
    <w:rsid w:val="00D411A2"/>
    <w:rsid w:val="00D50B9C"/>
    <w:rsid w:val="00D52D73"/>
    <w:rsid w:val="00D52E58"/>
    <w:rsid w:val="00D56C68"/>
    <w:rsid w:val="00D63B42"/>
    <w:rsid w:val="00D714CC"/>
    <w:rsid w:val="00D75EA7"/>
    <w:rsid w:val="00D809EE"/>
    <w:rsid w:val="00D81F21"/>
    <w:rsid w:val="00D95470"/>
    <w:rsid w:val="00D97CC0"/>
    <w:rsid w:val="00DA2619"/>
    <w:rsid w:val="00DA4239"/>
    <w:rsid w:val="00DB0B61"/>
    <w:rsid w:val="00DB314A"/>
    <w:rsid w:val="00DB38CA"/>
    <w:rsid w:val="00DB6419"/>
    <w:rsid w:val="00DB64FE"/>
    <w:rsid w:val="00DC090B"/>
    <w:rsid w:val="00DC18CA"/>
    <w:rsid w:val="00DC2CF1"/>
    <w:rsid w:val="00DC4FCF"/>
    <w:rsid w:val="00DC50E0"/>
    <w:rsid w:val="00DC6386"/>
    <w:rsid w:val="00DD1130"/>
    <w:rsid w:val="00DD1951"/>
    <w:rsid w:val="00DD24AB"/>
    <w:rsid w:val="00DD3E6F"/>
    <w:rsid w:val="00DD6628"/>
    <w:rsid w:val="00DE3250"/>
    <w:rsid w:val="00DE6028"/>
    <w:rsid w:val="00DE78A3"/>
    <w:rsid w:val="00DF1A71"/>
    <w:rsid w:val="00DF68C7"/>
    <w:rsid w:val="00E01976"/>
    <w:rsid w:val="00E170DC"/>
    <w:rsid w:val="00E26818"/>
    <w:rsid w:val="00E27FFC"/>
    <w:rsid w:val="00E30B15"/>
    <w:rsid w:val="00E40181"/>
    <w:rsid w:val="00E46998"/>
    <w:rsid w:val="00E5090F"/>
    <w:rsid w:val="00E5229A"/>
    <w:rsid w:val="00E55066"/>
    <w:rsid w:val="00E55734"/>
    <w:rsid w:val="00E604DA"/>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05081"/>
    <w:rsid w:val="00F11037"/>
    <w:rsid w:val="00F22EF4"/>
    <w:rsid w:val="00F24C8D"/>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5524"/>
    <w:rsid w:val="00F76CAB"/>
    <w:rsid w:val="00F772C6"/>
    <w:rsid w:val="00F85195"/>
    <w:rsid w:val="00F938BA"/>
    <w:rsid w:val="00F94A4E"/>
    <w:rsid w:val="00F9697E"/>
    <w:rsid w:val="00FA2C46"/>
    <w:rsid w:val="00FB4CDA"/>
    <w:rsid w:val="00FB6533"/>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26"/>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26"/>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21"/>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24"/>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semiHidden/>
    <w:unhideWhenUsed/>
    <w:rsid w:val="00E55066"/>
  </w:style>
  <w:style w:type="character" w:customStyle="1" w:styleId="CommentTextChar">
    <w:name w:val="Comment Text Char"/>
    <w:basedOn w:val="DefaultParagraphFont"/>
    <w:link w:val="CommentText"/>
    <w:uiPriority w:val="99"/>
    <w:semiHidden/>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26"/>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26"/>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21"/>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24"/>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semiHidden/>
    <w:unhideWhenUsed/>
    <w:rsid w:val="00E55066"/>
  </w:style>
  <w:style w:type="character" w:customStyle="1" w:styleId="CommentTextChar">
    <w:name w:val="Comment Text Char"/>
    <w:basedOn w:val="DefaultParagraphFont"/>
    <w:link w:val="CommentText"/>
    <w:uiPriority w:val="99"/>
    <w:semiHidden/>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86698">
      <w:bodyDiv w:val="1"/>
      <w:marLeft w:val="0"/>
      <w:marRight w:val="0"/>
      <w:marTop w:val="0"/>
      <w:marBottom w:val="0"/>
      <w:divBdr>
        <w:top w:val="none" w:sz="0" w:space="0" w:color="auto"/>
        <w:left w:val="none" w:sz="0" w:space="0" w:color="auto"/>
        <w:bottom w:val="none" w:sz="0" w:space="0" w:color="auto"/>
        <w:right w:val="none" w:sz="0" w:space="0" w:color="auto"/>
      </w:divBdr>
    </w:div>
    <w:div w:id="1167787991">
      <w:bodyDiv w:val="1"/>
      <w:marLeft w:val="0"/>
      <w:marRight w:val="0"/>
      <w:marTop w:val="0"/>
      <w:marBottom w:val="0"/>
      <w:divBdr>
        <w:top w:val="none" w:sz="0" w:space="0" w:color="auto"/>
        <w:left w:val="none" w:sz="0" w:space="0" w:color="auto"/>
        <w:bottom w:val="none" w:sz="0" w:space="0" w:color="auto"/>
        <w:right w:val="none" w:sz="0" w:space="0" w:color="auto"/>
      </w:divBdr>
    </w:div>
    <w:div w:id="1367755482">
      <w:bodyDiv w:val="1"/>
      <w:marLeft w:val="0"/>
      <w:marRight w:val="0"/>
      <w:marTop w:val="0"/>
      <w:marBottom w:val="0"/>
      <w:divBdr>
        <w:top w:val="none" w:sz="0" w:space="0" w:color="auto"/>
        <w:left w:val="none" w:sz="0" w:space="0" w:color="auto"/>
        <w:bottom w:val="none" w:sz="0" w:space="0" w:color="auto"/>
        <w:right w:val="none" w:sz="0" w:space="0" w:color="auto"/>
      </w:divBdr>
    </w:div>
    <w:div w:id="1766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enterprisesolutions.vic.gov.au/it-strategy/" TargetMode="External"/><Relationship Id="rId26" Type="http://schemas.openxmlformats.org/officeDocument/2006/relationships/hyperlink" Target="mailto:enterprisesolutions@dpc.vic.gov.au" TargetMode="External"/><Relationship Id="rId3" Type="http://schemas.openxmlformats.org/officeDocument/2006/relationships/styles" Target="styles.xml"/><Relationship Id="rId21" Type="http://schemas.openxmlformats.org/officeDocument/2006/relationships/hyperlink" Target="http://www.foi.vic.gov.au/home/for+government+agencies/foi+act+guidelines"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www.enterprisesolutions.vic.gov.au/information-management/" TargetMode="External"/><Relationship Id="rId25" Type="http://schemas.openxmlformats.org/officeDocument/2006/relationships/hyperlink" Target="http://www.enterprisesolutions.vic.gov.au/information-management/" TargetMode="External"/><Relationship Id="rId2" Type="http://schemas.openxmlformats.org/officeDocument/2006/relationships/numbering" Target="numbering.xml"/><Relationship Id="rId16" Type="http://schemas.openxmlformats.org/officeDocument/2006/relationships/hyperlink" Target="https://www.enterprisesolutions.vic.gov.au/information-management/" TargetMode="External"/><Relationship Id="rId20" Type="http://schemas.openxmlformats.org/officeDocument/2006/relationships/hyperlink" Target="http://www.dtf.vic.gov.au/Victorias-Economy/Victorian-Government-intellectual-property-and-data-policies/DataVic-Access-Policy-and-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enterprisesolutions.vic.gov.au/information-management/"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hyperlink" Target="https://www.cpdp.vic.gov.au/menu-data-security/victorian-protective-data-security-framework/vpdsf"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enterprisesolutions.vic.gov.au/information-managemen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creativecommons.org/licenses/by/4.0/" TargetMode="External"/><Relationship Id="rId22" Type="http://schemas.openxmlformats.org/officeDocument/2006/relationships/hyperlink" Target="https://www.prov.vic.gov.au/recordkeeping-government/about-standards-framework-polici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B1C7-9239-4FF4-9A78-E8575924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6490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7450</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William Beitzel (DPC)</cp:lastModifiedBy>
  <cp:revision>2</cp:revision>
  <cp:lastPrinted>2018-05-21T02:59:00Z</cp:lastPrinted>
  <dcterms:created xsi:type="dcterms:W3CDTF">2018-05-21T03:00:00Z</dcterms:created>
  <dcterms:modified xsi:type="dcterms:W3CDTF">2018-05-21T03:00:00Z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2cdcce75-74fe-42b3-bbe2-72ddc7bef1ab</vt:lpwstr>
  </property>
  <property fmtid="{D5CDD505-2E9C-101B-9397-08002B2CF9AE}" pid="4" name="PSPFClassification">
    <vt:lpwstr>For Official Use Only</vt:lpwstr>
  </property>
</Properties>
</file>