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5B71C" w14:textId="77777777" w:rsidR="00EE38E0" w:rsidRDefault="00EE38E0" w:rsidP="001E2EF5">
      <w:pPr>
        <w:pStyle w:val="Paragraph"/>
      </w:pPr>
      <w:bookmarkStart w:id="0" w:name="_GoBack"/>
      <w:bookmarkEnd w:id="0"/>
    </w:p>
    <w:p w14:paraId="381E6A9D" w14:textId="63B24D7B" w:rsidR="00413907" w:rsidRPr="00413907" w:rsidRDefault="00413907" w:rsidP="001E2EF5">
      <w:pPr>
        <w:pStyle w:val="Paragraph"/>
      </w:pPr>
      <w:r w:rsidRPr="00413907">
        <w:t>Victorian Members</w:t>
      </w:r>
      <w:r>
        <w:t xml:space="preserve"> of Parliament (MPs) </w:t>
      </w:r>
      <w:r w:rsidR="00F610F1">
        <w:t xml:space="preserve">and former MPs </w:t>
      </w:r>
      <w:r>
        <w:t xml:space="preserve">are either members of </w:t>
      </w:r>
      <w:r w:rsidR="005245FE">
        <w:t>the</w:t>
      </w:r>
      <w:r>
        <w:t xml:space="preserve"> defined benefit scheme</w:t>
      </w:r>
      <w:r w:rsidR="002C2A19">
        <w:t>s</w:t>
      </w:r>
      <w:r>
        <w:t xml:space="preserve"> under Part 3 of the </w:t>
      </w:r>
      <w:r w:rsidRPr="00413907">
        <w:rPr>
          <w:i/>
          <w:iCs/>
        </w:rPr>
        <w:t>Parliamentary Salaries, Allowances and Superannuation Act 1968</w:t>
      </w:r>
      <w:r>
        <w:t xml:space="preserve"> (Vic) (PSAS Act), or </w:t>
      </w:r>
      <w:r w:rsidR="005245FE">
        <w:t>the</w:t>
      </w:r>
      <w:r>
        <w:t xml:space="preserve"> accumulation scheme </w:t>
      </w:r>
      <w:r w:rsidR="005245FE">
        <w:t xml:space="preserve">under </w:t>
      </w:r>
      <w:r>
        <w:t>Part</w:t>
      </w:r>
      <w:r w:rsidR="00BB0579">
        <w:t> </w:t>
      </w:r>
      <w:r>
        <w:t>4 of the PSAS Act.</w:t>
      </w:r>
      <w:r w:rsidR="00B12C5C">
        <w:t xml:space="preserve"> There are currently two defined benefit schemes operating in respect of MPs</w:t>
      </w:r>
      <w:r w:rsidR="003B2E90">
        <w:t>,</w:t>
      </w:r>
      <w:r w:rsidR="00B12C5C">
        <w:t xml:space="preserve"> the Existing Benefits Scheme and the New Benefits Scheme.</w:t>
      </w:r>
    </w:p>
    <w:p w14:paraId="01ECE0C8" w14:textId="5352EEF9" w:rsidR="00267DBB" w:rsidRPr="001E2EF5" w:rsidRDefault="005B798B" w:rsidP="0095281B">
      <w:pPr>
        <w:pStyle w:val="VIRTHeading2"/>
      </w:pPr>
      <w:r w:rsidRPr="001E2EF5">
        <w:t>A1.</w:t>
      </w:r>
      <w:r w:rsidR="008E3188" w:rsidRPr="001E2EF5">
        <w:tab/>
      </w:r>
      <w:r w:rsidR="00E44C69" w:rsidRPr="001E2EF5">
        <w:t>W</w:t>
      </w:r>
      <w:r w:rsidR="004806B5" w:rsidRPr="001E2EF5">
        <w:t>hich scheme applies</w:t>
      </w:r>
    </w:p>
    <w:p w14:paraId="777800AA" w14:textId="77777777" w:rsidR="004806B5" w:rsidRPr="00192020" w:rsidRDefault="004806B5" w:rsidP="00A91560">
      <w:pPr>
        <w:pStyle w:val="Parapraphbeforeabulletlist"/>
      </w:pPr>
      <w:r w:rsidRPr="00192020">
        <w:t>All MPs were eligible</w:t>
      </w:r>
      <w:r w:rsidRPr="00AA33BA">
        <w:t xml:space="preserve"> to participate in the Existing Benefits Scheme when the </w:t>
      </w:r>
      <w:r w:rsidR="00B12C5C" w:rsidRPr="00AA33BA">
        <w:t xml:space="preserve">PSAS Act </w:t>
      </w:r>
      <w:r w:rsidRPr="00DB141B">
        <w:t>came into force</w:t>
      </w:r>
      <w:r w:rsidR="00E44C69" w:rsidRPr="00DB141B">
        <w:t xml:space="preserve"> in 1968</w:t>
      </w:r>
      <w:r w:rsidRPr="008D512C">
        <w:t xml:space="preserve">. MPs that were members of </w:t>
      </w:r>
      <w:r w:rsidR="00E44C69" w:rsidRPr="008D512C">
        <w:t>the</w:t>
      </w:r>
      <w:r w:rsidRPr="008D512C">
        <w:t xml:space="preserve"> </w:t>
      </w:r>
      <w:r w:rsidR="00E44C69" w:rsidRPr="00B20707">
        <w:t>previous</w:t>
      </w:r>
      <w:r w:rsidRPr="00921D2B">
        <w:t xml:space="preserve"> scheme</w:t>
      </w:r>
      <w:r w:rsidRPr="00160DD8">
        <w:t xml:space="preserve"> could elect within </w:t>
      </w:r>
      <w:r w:rsidR="00550423">
        <w:t>3</w:t>
      </w:r>
      <w:r w:rsidRPr="00160DD8">
        <w:t xml:space="preserve"> months to transfer to the </w:t>
      </w:r>
      <w:r w:rsidR="00E44C69" w:rsidRPr="00160DD8">
        <w:t>Existing Benefits Scheme</w:t>
      </w:r>
      <w:r w:rsidRPr="00160DD8">
        <w:t>.</w:t>
      </w:r>
      <w:r w:rsidR="009D49E7" w:rsidRPr="005346DB">
        <w:rPr>
          <w:vertAlign w:val="superscript"/>
        </w:rPr>
        <w:footnoteReference w:id="1"/>
      </w:r>
      <w:r w:rsidR="00433093" w:rsidRPr="00192020">
        <w:t xml:space="preserve"> Generally speaking:</w:t>
      </w:r>
    </w:p>
    <w:p w14:paraId="51BE79D0" w14:textId="04AF2DD0" w:rsidR="00E44C69" w:rsidRDefault="00732B51" w:rsidP="008E3188">
      <w:pPr>
        <w:pStyle w:val="VIRTBulletpoints"/>
      </w:pPr>
      <w:r>
        <w:t>t</w:t>
      </w:r>
      <w:r w:rsidR="004806B5" w:rsidRPr="009D49E7">
        <w:t xml:space="preserve">he Existing Benefits Scheme </w:t>
      </w:r>
      <w:r w:rsidR="005245FE">
        <w:t xml:space="preserve">covers </w:t>
      </w:r>
      <w:r w:rsidR="003775A9">
        <w:t xml:space="preserve">former MPs </w:t>
      </w:r>
      <w:r w:rsidR="00E44C69">
        <w:t xml:space="preserve">elected before 2 July </w:t>
      </w:r>
      <w:r w:rsidR="00E44C69" w:rsidRPr="00921D2B">
        <w:rPr>
          <w:color w:val="4D4D4D"/>
        </w:rPr>
        <w:t>1996</w:t>
      </w:r>
      <w:r w:rsidR="005245FE">
        <w:t xml:space="preserve"> who </w:t>
      </w:r>
      <w:r w:rsidR="00E44C69">
        <w:t>did not elect to join the New Benefits Scheme when it was introduced</w:t>
      </w:r>
    </w:p>
    <w:p w14:paraId="1353FB4E" w14:textId="27E1732A" w:rsidR="00E44C69" w:rsidRDefault="00732B51" w:rsidP="008E3188">
      <w:pPr>
        <w:pStyle w:val="VIRTBulletpoints"/>
      </w:pPr>
      <w:r>
        <w:t>t</w:t>
      </w:r>
      <w:r w:rsidR="00E44C69">
        <w:t xml:space="preserve">he New Benefits Scheme </w:t>
      </w:r>
      <w:r w:rsidR="005245FE">
        <w:t>covers</w:t>
      </w:r>
      <w:r w:rsidR="007312D7">
        <w:t xml:space="preserve"> existing </w:t>
      </w:r>
      <w:r w:rsidR="003775A9">
        <w:t xml:space="preserve">and former MPs </w:t>
      </w:r>
      <w:r w:rsidR="00E44C69">
        <w:t>elected between 2</w:t>
      </w:r>
      <w:r w:rsidR="00BB0579">
        <w:t> </w:t>
      </w:r>
      <w:r w:rsidR="00E44C69">
        <w:t>July 1996 and 9 November 2004</w:t>
      </w:r>
    </w:p>
    <w:p w14:paraId="17DC918A" w14:textId="12B05FBD" w:rsidR="00433093" w:rsidRPr="009D49E7" w:rsidRDefault="00732B51" w:rsidP="008E3188">
      <w:pPr>
        <w:pStyle w:val="VIRTBulletpoints"/>
      </w:pPr>
      <w:r>
        <w:t>t</w:t>
      </w:r>
      <w:r w:rsidR="00E44C69">
        <w:t xml:space="preserve">he </w:t>
      </w:r>
      <w:r w:rsidR="00E44C69" w:rsidRPr="00921D2B">
        <w:t>accumulation</w:t>
      </w:r>
      <w:r w:rsidR="00E44C69">
        <w:t xml:space="preserve"> scheme </w:t>
      </w:r>
      <w:r w:rsidR="005245FE">
        <w:t>covers</w:t>
      </w:r>
      <w:r w:rsidR="00E44C69">
        <w:t xml:space="preserve"> </w:t>
      </w:r>
      <w:r w:rsidR="007312D7">
        <w:t xml:space="preserve">existing </w:t>
      </w:r>
      <w:r w:rsidR="003775A9">
        <w:t>and former MPs</w:t>
      </w:r>
      <w:r w:rsidR="00E44C69">
        <w:t xml:space="preserve"> first elected from </w:t>
      </w:r>
      <w:r w:rsidR="004D1A38">
        <w:t>10</w:t>
      </w:r>
      <w:r w:rsidR="003E2A76">
        <w:t> </w:t>
      </w:r>
      <w:r w:rsidR="00E44C69">
        <w:t xml:space="preserve">November 2004. </w:t>
      </w:r>
    </w:p>
    <w:p w14:paraId="30EA5A0C" w14:textId="6BFCD5B6" w:rsidR="00BC5F29" w:rsidRDefault="004902DA" w:rsidP="0095281B">
      <w:pPr>
        <w:pStyle w:val="VIRTHeading2"/>
      </w:pPr>
      <w:r w:rsidRPr="00A152E0">
        <w:t>A2.</w:t>
      </w:r>
      <w:r w:rsidR="008E3188">
        <w:tab/>
      </w:r>
      <w:r w:rsidR="00FC5107">
        <w:t>Overview of h</w:t>
      </w:r>
      <w:r w:rsidR="009D49E7" w:rsidRPr="00B37AE1">
        <w:t>ow the defined</w:t>
      </w:r>
      <w:r w:rsidR="00BC5F29" w:rsidRPr="00B37AE1">
        <w:t xml:space="preserve"> benefit schemes operat</w:t>
      </w:r>
      <w:r w:rsidR="00FC5107">
        <w:t>e</w:t>
      </w:r>
    </w:p>
    <w:p w14:paraId="298D4638" w14:textId="3C1314F5" w:rsidR="008C5E8D" w:rsidRDefault="005841DD" w:rsidP="001E2EF5">
      <w:pPr>
        <w:pStyle w:val="Paragraph"/>
      </w:pPr>
      <w:r>
        <w:t>MPs in the defined benefit schemes are required to make after-tax contributions from their parliamentary salary to the Parliamentary Contributory Superannuation Fund (PCSF</w:t>
      </w:r>
      <w:r w:rsidR="002B17BA">
        <w:t>)</w:t>
      </w:r>
      <w:r w:rsidR="00E53843">
        <w:t xml:space="preserve"> in exchange for a financial benefit upon</w:t>
      </w:r>
      <w:r w:rsidR="004902DA">
        <w:t xml:space="preserve"> leaving the Parliament</w:t>
      </w:r>
      <w:r w:rsidR="002B17BA">
        <w:t xml:space="preserve">. </w:t>
      </w:r>
    </w:p>
    <w:p w14:paraId="2BCB8D3D" w14:textId="3B970825" w:rsidR="008C5E8D" w:rsidRDefault="005841DD" w:rsidP="001E2EF5">
      <w:pPr>
        <w:pStyle w:val="Paragraph"/>
      </w:pPr>
      <w:r>
        <w:t>Subject to certain eligibility requirements, former MPs in a defined benefit scheme receive a pension</w:t>
      </w:r>
      <w:r w:rsidR="008C5E8D">
        <w:t>, which is</w:t>
      </w:r>
      <w:r>
        <w:t xml:space="preserve"> revertible to their partner or </w:t>
      </w:r>
      <w:r w:rsidR="002478FE">
        <w:t xml:space="preserve">eligible </w:t>
      </w:r>
      <w:r w:rsidR="00921D2B">
        <w:t>children</w:t>
      </w:r>
      <w:r>
        <w:t xml:space="preserve"> upon the </w:t>
      </w:r>
      <w:r w:rsidR="003775A9">
        <w:t xml:space="preserve">former </w:t>
      </w:r>
      <w:r>
        <w:t>MP’s death.</w:t>
      </w:r>
    </w:p>
    <w:p w14:paraId="625A73A8" w14:textId="3556E9A8" w:rsidR="008E3188" w:rsidRDefault="003775A9" w:rsidP="001E2EF5">
      <w:pPr>
        <w:pStyle w:val="Paragraph"/>
      </w:pPr>
      <w:r>
        <w:t xml:space="preserve">Former </w:t>
      </w:r>
      <w:r w:rsidR="005841DD">
        <w:t>MPs who are not eligible for a pension instead receive a lump sum payment.</w:t>
      </w:r>
    </w:p>
    <w:p w14:paraId="624E99A9" w14:textId="7C69DB1B" w:rsidR="001E2EF5" w:rsidRDefault="001E2EF5" w:rsidP="001E2EF5">
      <w:pPr>
        <w:pStyle w:val="Paragraph"/>
      </w:pPr>
    </w:p>
    <w:p w14:paraId="11559BEF" w14:textId="6C56986D" w:rsidR="00BC5F29" w:rsidRPr="00B37AE1" w:rsidRDefault="00293707" w:rsidP="0095281B">
      <w:pPr>
        <w:pStyle w:val="VIRTHeading2"/>
      </w:pPr>
      <w:r w:rsidRPr="00B37AE1">
        <w:lastRenderedPageBreak/>
        <w:t>A</w:t>
      </w:r>
      <w:r w:rsidR="00FC5107">
        <w:t>3.</w:t>
      </w:r>
      <w:r w:rsidR="008E3188">
        <w:tab/>
      </w:r>
      <w:r w:rsidR="00BC5F29" w:rsidRPr="00B37AE1">
        <w:t>Amendments made in 2019</w:t>
      </w:r>
    </w:p>
    <w:p w14:paraId="1C4BECC7" w14:textId="77777777" w:rsidR="00433093" w:rsidRDefault="00BC5F29" w:rsidP="001E2EF5">
      <w:pPr>
        <w:pStyle w:val="Paragraph"/>
      </w:pPr>
      <w:r>
        <w:t xml:space="preserve">Prior to 2019, MP contributions and </w:t>
      </w:r>
      <w:r w:rsidR="00F610F1">
        <w:t xml:space="preserve">former MP </w:t>
      </w:r>
      <w:r>
        <w:t xml:space="preserve">pension entitlements under the defined benefit schemes were based on the </w:t>
      </w:r>
      <w:r w:rsidR="007312D7">
        <w:t xml:space="preserve">current </w:t>
      </w:r>
      <w:r>
        <w:t xml:space="preserve">basic </w:t>
      </w:r>
      <w:r w:rsidR="00433093">
        <w:t xml:space="preserve">salary paid to MPs, </w:t>
      </w:r>
      <w:r>
        <w:t>and</w:t>
      </w:r>
      <w:r w:rsidR="00433093">
        <w:t xml:space="preserve"> the</w:t>
      </w:r>
      <w:r>
        <w:t xml:space="preserve"> additional salaries paid to</w:t>
      </w:r>
      <w:r w:rsidR="00433093">
        <w:t xml:space="preserve"> certain parliamentary</w:t>
      </w:r>
      <w:r>
        <w:t xml:space="preserve"> office holders. </w:t>
      </w:r>
    </w:p>
    <w:p w14:paraId="27C756AD" w14:textId="77777777" w:rsidR="00160DD8" w:rsidRDefault="008C5E8D" w:rsidP="001E2EF5">
      <w:pPr>
        <w:pStyle w:val="Paragraph"/>
      </w:pPr>
      <w:r>
        <w:t xml:space="preserve">Legislative reforms carried out in </w:t>
      </w:r>
      <w:r w:rsidR="00541C65">
        <w:t>2019 introduced the concept of the ‘basic salary portion’</w:t>
      </w:r>
      <w:r w:rsidR="00192020">
        <w:t xml:space="preserve"> (BSP)</w:t>
      </w:r>
      <w:r w:rsidR="00541C65">
        <w:t>.</w:t>
      </w:r>
      <w:r>
        <w:rPr>
          <w:rStyle w:val="FootnoteReference"/>
        </w:rPr>
        <w:footnoteReference w:id="2"/>
      </w:r>
      <w:r w:rsidR="00160DD8">
        <w:t xml:space="preserve"> </w:t>
      </w:r>
      <w:r w:rsidR="00541C65">
        <w:t>MPs</w:t>
      </w:r>
      <w:r w:rsidR="002B17BA">
        <w:t xml:space="preserve"> (</w:t>
      </w:r>
      <w:r w:rsidR="00541C65">
        <w:t>including those in defined benefit schemes</w:t>
      </w:r>
      <w:r w:rsidR="002B17BA">
        <w:t xml:space="preserve">) </w:t>
      </w:r>
      <w:r w:rsidR="00541C65">
        <w:t>continue to receive the basic salary</w:t>
      </w:r>
      <w:r w:rsidR="002B17BA">
        <w:t xml:space="preserve"> and any additional salary</w:t>
      </w:r>
      <w:r w:rsidR="00433093">
        <w:t xml:space="preserve"> (if any)</w:t>
      </w:r>
      <w:r w:rsidR="002B17BA">
        <w:t xml:space="preserve"> to which they are entitled</w:t>
      </w:r>
      <w:r w:rsidR="00160DD8">
        <w:t>. However,</w:t>
      </w:r>
      <w:r w:rsidR="00541C65">
        <w:t xml:space="preserve"> the </w:t>
      </w:r>
      <w:r w:rsidR="00433093">
        <w:t xml:space="preserve">superannuation </w:t>
      </w:r>
      <w:r w:rsidR="00541C65">
        <w:t xml:space="preserve">contributions of MPs in the </w:t>
      </w:r>
      <w:r>
        <w:t>defined benefit schemes</w:t>
      </w:r>
      <w:r w:rsidR="00160DD8">
        <w:t xml:space="preserve"> and the pension entitlements of beneficiaries</w:t>
      </w:r>
      <w:r w:rsidR="00921D2B">
        <w:t xml:space="preserve"> (i.e. former MPs, partners and </w:t>
      </w:r>
      <w:r w:rsidR="005245FE">
        <w:t xml:space="preserve">eligible </w:t>
      </w:r>
      <w:r w:rsidR="00921D2B">
        <w:t>children)</w:t>
      </w:r>
      <w:r>
        <w:t xml:space="preserve"> </w:t>
      </w:r>
      <w:r w:rsidR="00541C65">
        <w:t xml:space="preserve">are now </w:t>
      </w:r>
      <w:r w:rsidR="005E30B8">
        <w:t>calculated</w:t>
      </w:r>
      <w:r w:rsidR="00541C65">
        <w:t xml:space="preserve"> </w:t>
      </w:r>
      <w:r w:rsidR="005E30B8">
        <w:t>using</w:t>
      </w:r>
      <w:r w:rsidR="00541C65">
        <w:t xml:space="preserve"> the </w:t>
      </w:r>
      <w:r w:rsidR="006E26CB">
        <w:t>BSP</w:t>
      </w:r>
      <w:r w:rsidR="00541C65">
        <w:t>.</w:t>
      </w:r>
      <w:r w:rsidR="00160DD8">
        <w:t xml:space="preserve"> </w:t>
      </w:r>
    </w:p>
    <w:p w14:paraId="2554F029" w14:textId="43292615" w:rsidR="00541C65" w:rsidRDefault="00160DD8" w:rsidP="00A91560">
      <w:pPr>
        <w:pStyle w:val="Parapraphbeforeabulletlist"/>
      </w:pPr>
      <w:r>
        <w:t xml:space="preserve">The </w:t>
      </w:r>
      <w:r w:rsidR="006E26CB">
        <w:t>BSP</w:t>
      </w:r>
      <w:r>
        <w:t xml:space="preserve"> was set </w:t>
      </w:r>
      <w:r w:rsidR="002478FE">
        <w:t>at $168,901</w:t>
      </w:r>
      <w:r w:rsidR="00B45F0B">
        <w:t xml:space="preserve"> per annum</w:t>
      </w:r>
      <w:r w:rsidR="002478FE">
        <w:t xml:space="preserve"> </w:t>
      </w:r>
      <w:r>
        <w:t xml:space="preserve">by the Tribunal in </w:t>
      </w:r>
      <w:r w:rsidR="00B45F0B">
        <w:t xml:space="preserve">the </w:t>
      </w:r>
      <w:r w:rsidRPr="00B1104A">
        <w:rPr>
          <w:i/>
          <w:iCs/>
        </w:rPr>
        <w:t>Members of Parliament (Victoria)</w:t>
      </w:r>
      <w:r>
        <w:rPr>
          <w:i/>
          <w:iCs/>
        </w:rPr>
        <w:t xml:space="preserve"> </w:t>
      </w:r>
      <w:r w:rsidRPr="00B1104A">
        <w:rPr>
          <w:i/>
          <w:iCs/>
        </w:rPr>
        <w:t>Determination No. 01/2019</w:t>
      </w:r>
      <w:r>
        <w:rPr>
          <w:i/>
          <w:iCs/>
        </w:rPr>
        <w:t>.</w:t>
      </w:r>
      <w:r>
        <w:t xml:space="preserve"> It is automatically indexed each financial year by the greater of the:</w:t>
      </w:r>
      <w:r w:rsidR="00A176AA">
        <w:rPr>
          <w:rStyle w:val="FootnoteReference"/>
        </w:rPr>
        <w:footnoteReference w:id="3"/>
      </w:r>
    </w:p>
    <w:p w14:paraId="468E090B" w14:textId="77777777" w:rsidR="00160DD8" w:rsidRDefault="00160DD8" w:rsidP="008E3188">
      <w:pPr>
        <w:pStyle w:val="VIRTBulletpoints"/>
      </w:pPr>
      <w:r w:rsidRPr="00B1104A">
        <w:t xml:space="preserve">annual increase in </w:t>
      </w:r>
      <w:r w:rsidRPr="008E3188">
        <w:t>the</w:t>
      </w:r>
      <w:r w:rsidRPr="00B1104A">
        <w:t xml:space="preserve"> All Groups Consumer Price Index number for Melbourne, or</w:t>
      </w:r>
    </w:p>
    <w:p w14:paraId="51FDD505" w14:textId="77777777" w:rsidR="00160DD8" w:rsidRDefault="00160DD8" w:rsidP="008E3188">
      <w:pPr>
        <w:pStyle w:val="VIRTBulletpoints"/>
      </w:pPr>
      <w:r w:rsidRPr="00B1104A">
        <w:t xml:space="preserve">annual increase in full-time adult average weekly ordinary time earnings of employees in Victoria in original terms as published by the Australian Bureau of Statistics, or </w:t>
      </w:r>
    </w:p>
    <w:p w14:paraId="11E1FB7C" w14:textId="5F3303E4" w:rsidR="00160DD8" w:rsidRPr="005346DB" w:rsidRDefault="009109F5" w:rsidP="008E3188">
      <w:pPr>
        <w:pStyle w:val="VIRTBulletpoints"/>
      </w:pPr>
      <w:r>
        <w:t xml:space="preserve">the indexation method set out in clause 8 of the </w:t>
      </w:r>
      <w:r w:rsidRPr="001E2EF5">
        <w:rPr>
          <w:i/>
          <w:iCs/>
        </w:rPr>
        <w:t>Members of Parliament (Victoria) Determination No. 01/2019</w:t>
      </w:r>
      <w:r w:rsidRPr="005346DB">
        <w:t xml:space="preserve">. </w:t>
      </w:r>
    </w:p>
    <w:p w14:paraId="25796F48" w14:textId="2C7B7947" w:rsidR="009109F5" w:rsidRDefault="00160DD8" w:rsidP="001E2EF5">
      <w:pPr>
        <w:pStyle w:val="Paragraph"/>
      </w:pPr>
      <w:r>
        <w:t>Legislative c</w:t>
      </w:r>
      <w:r w:rsidR="005E30B8">
        <w:t xml:space="preserve">hanges were also made to </w:t>
      </w:r>
      <w:r w:rsidR="00EC055D">
        <w:t xml:space="preserve">how </w:t>
      </w:r>
      <w:r w:rsidR="005E30B8">
        <w:t xml:space="preserve">the </w:t>
      </w:r>
      <w:r w:rsidR="00EC055D">
        <w:t xml:space="preserve">additional salaries of </w:t>
      </w:r>
      <w:r w:rsidR="00AA33BA">
        <w:t xml:space="preserve">parliamentary </w:t>
      </w:r>
      <w:r w:rsidR="00EC055D">
        <w:t>office holders</w:t>
      </w:r>
      <w:r w:rsidR="005E30B8">
        <w:t xml:space="preserve"> </w:t>
      </w:r>
      <w:r w:rsidR="00EC055D">
        <w:t>are</w:t>
      </w:r>
      <w:r w:rsidR="005E30B8">
        <w:t xml:space="preserve"> </w:t>
      </w:r>
      <w:r w:rsidR="009109F5">
        <w:t>treated</w:t>
      </w:r>
      <w:r w:rsidR="005E30B8">
        <w:t xml:space="preserve"> for the purposes of contributions and entitlements.</w:t>
      </w:r>
      <w:r w:rsidR="009109F5">
        <w:t xml:space="preserve"> </w:t>
      </w:r>
      <w:r w:rsidR="006E26CB">
        <w:t>Following those changes, o</w:t>
      </w:r>
      <w:r w:rsidR="009109F5">
        <w:t>ffice holders that receive an additional salary are required to make additional contributions to the PCSF,</w:t>
      </w:r>
      <w:r w:rsidR="00A176AA">
        <w:t xml:space="preserve"> and </w:t>
      </w:r>
      <w:r w:rsidR="00FA0DBA">
        <w:t>receive an increased superannuation benefit when they leave the Parliament,</w:t>
      </w:r>
      <w:r w:rsidR="009109F5">
        <w:t xml:space="preserve"> based on</w:t>
      </w:r>
      <w:r w:rsidR="00192020">
        <w:t xml:space="preserve"> the </w:t>
      </w:r>
      <w:r w:rsidR="006E26CB">
        <w:t>BSP</w:t>
      </w:r>
      <w:r w:rsidR="00192020">
        <w:t xml:space="preserve"> multiplied by</w:t>
      </w:r>
      <w:r w:rsidR="009109F5">
        <w:t xml:space="preserve"> </w:t>
      </w:r>
      <w:r w:rsidR="00192020">
        <w:t>a percentage specified in the PSAS Act in respect of that office</w:t>
      </w:r>
      <w:r w:rsidR="009109F5">
        <w:t xml:space="preserve"> </w:t>
      </w:r>
      <w:r w:rsidR="00192020">
        <w:t>(</w:t>
      </w:r>
      <w:r w:rsidR="00BA4C16">
        <w:t xml:space="preserve">Additional Salary Percentage, or </w:t>
      </w:r>
      <w:r w:rsidR="009109F5">
        <w:t>A</w:t>
      </w:r>
      <w:r w:rsidR="00BA4C16">
        <w:t>SP</w:t>
      </w:r>
      <w:r w:rsidR="00192020">
        <w:t>). The A</w:t>
      </w:r>
      <w:r w:rsidR="00BA4C16">
        <w:t>SP</w:t>
      </w:r>
      <w:r w:rsidR="00192020">
        <w:t xml:space="preserve"> for each office corresponds to the additional salary paid for that office prior to September 2019.</w:t>
      </w:r>
      <w:r w:rsidR="00A56DCE">
        <w:rPr>
          <w:rStyle w:val="FootnoteReference"/>
        </w:rPr>
        <w:footnoteReference w:id="4"/>
      </w:r>
      <w:r w:rsidR="006E26CB">
        <w:t xml:space="preserve"> </w:t>
      </w:r>
    </w:p>
    <w:p w14:paraId="6D6709EE" w14:textId="77777777" w:rsidR="001E2EF5" w:rsidRDefault="001E2EF5" w:rsidP="0021718D">
      <w:pPr>
        <w:pStyle w:val="Paragraph"/>
      </w:pPr>
    </w:p>
    <w:p w14:paraId="3EAEEF94" w14:textId="7512B202" w:rsidR="004806B5" w:rsidRPr="00B37AE1" w:rsidRDefault="00293707" w:rsidP="0095281B">
      <w:pPr>
        <w:pStyle w:val="VIRTHeading2"/>
      </w:pPr>
      <w:r w:rsidRPr="00B37AE1">
        <w:lastRenderedPageBreak/>
        <w:t>A</w:t>
      </w:r>
      <w:r w:rsidR="00FC5107">
        <w:t>4.</w:t>
      </w:r>
      <w:r w:rsidR="008E3188">
        <w:tab/>
      </w:r>
      <w:r w:rsidR="000F3175" w:rsidRPr="00B37AE1">
        <w:t>MP contributions</w:t>
      </w:r>
    </w:p>
    <w:p w14:paraId="5829D31C" w14:textId="544A497D" w:rsidR="00EC055D" w:rsidRDefault="0085703A" w:rsidP="001E2EF5">
      <w:pPr>
        <w:pStyle w:val="Paragraph"/>
      </w:pPr>
      <w:r>
        <w:t xml:space="preserve">MPs in </w:t>
      </w:r>
      <w:r w:rsidR="002B17BA">
        <w:t>the</w:t>
      </w:r>
      <w:r>
        <w:t xml:space="preserve"> defined benefit scheme</w:t>
      </w:r>
      <w:r w:rsidR="00AA33BA">
        <w:t>s</w:t>
      </w:r>
      <w:r>
        <w:t xml:space="preserve"> are required to make after-tax contributions to the PCSF.</w:t>
      </w:r>
      <w:r w:rsidR="002B17BA">
        <w:t xml:space="preserve"> </w:t>
      </w:r>
      <w:r w:rsidR="00B45F0B">
        <w:t>Al</w:t>
      </w:r>
      <w:r w:rsidR="006E26CB">
        <w:t>l</w:t>
      </w:r>
      <w:r w:rsidR="00EC055D">
        <w:t xml:space="preserve"> MP</w:t>
      </w:r>
      <w:r w:rsidR="006E26CB">
        <w:t>s are required to</w:t>
      </w:r>
      <w:r w:rsidR="00EC055D">
        <w:t xml:space="preserve"> contribute</w:t>
      </w:r>
      <w:r>
        <w:t xml:space="preserve"> </w:t>
      </w:r>
      <w:r w:rsidR="00EC055D">
        <w:t>an amount equal to</w:t>
      </w:r>
      <w:r>
        <w:t xml:space="preserve"> 11.5 per cent of the </w:t>
      </w:r>
      <w:r w:rsidR="006E26CB">
        <w:t>BSP</w:t>
      </w:r>
      <w:r w:rsidR="00B45F0B">
        <w:t xml:space="preserve"> for their first 20.5 years of service</w:t>
      </w:r>
      <w:r w:rsidR="006E26CB">
        <w:t xml:space="preserve">. If </w:t>
      </w:r>
      <w:r w:rsidR="0078352F">
        <w:t>an</w:t>
      </w:r>
      <w:r w:rsidR="006E26CB">
        <w:t xml:space="preserve"> MP </w:t>
      </w:r>
      <w:r w:rsidR="0078352F">
        <w:t>receives an additional salary, they are also required to contribute 11.5 per cent of the BSP</w:t>
      </w:r>
      <w:r>
        <w:t xml:space="preserve"> multiplied by </w:t>
      </w:r>
      <w:r w:rsidR="0078352F">
        <w:t>the applicable A</w:t>
      </w:r>
      <w:r w:rsidR="00BA4C16">
        <w:t>SP</w:t>
      </w:r>
      <w:r w:rsidR="00EC055D">
        <w:t xml:space="preserve"> </w:t>
      </w:r>
      <w:r w:rsidR="00B45F0B">
        <w:t xml:space="preserve">for as long as they hold that office </w:t>
      </w:r>
      <w:r w:rsidR="00EC055D">
        <w:t>(</w:t>
      </w:r>
      <w:r w:rsidR="000F3175">
        <w:t>equation</w:t>
      </w:r>
      <w:r w:rsidR="00B45F0B">
        <w:t>s</w:t>
      </w:r>
      <w:r w:rsidR="00EC055D">
        <w:t xml:space="preserve"> 2.1</w:t>
      </w:r>
      <w:r w:rsidR="00B45F0B">
        <w:t xml:space="preserve"> and 2.2</w:t>
      </w:r>
      <w:r w:rsidR="00EC055D">
        <w:t>)</w:t>
      </w:r>
      <w:r>
        <w:t>.</w:t>
      </w:r>
      <w:r w:rsidR="00FA0DBA">
        <w:rPr>
          <w:rStyle w:val="FootnoteReference"/>
        </w:rPr>
        <w:footnoteReference w:id="5"/>
      </w:r>
    </w:p>
    <w:p w14:paraId="5794CAE9" w14:textId="77777777" w:rsidR="00AA33BA" w:rsidRDefault="00AA33BA" w:rsidP="001E2EF5">
      <w:pPr>
        <w:pStyle w:val="Figureheading"/>
        <w:ind w:left="0" w:firstLine="0"/>
      </w:pPr>
    </w:p>
    <w:p w14:paraId="02394283" w14:textId="77777777" w:rsidR="000F3175" w:rsidRPr="005600EE" w:rsidRDefault="000F3175" w:rsidP="00921D2B">
      <w:pPr>
        <w:pStyle w:val="Figureheading"/>
        <w:rPr>
          <w:noProof/>
        </w:rPr>
      </w:pPr>
      <w:r w:rsidRPr="005600EE">
        <w:t>Equation</w:t>
      </w:r>
      <w:r w:rsidRPr="005600EE">
        <w:rPr>
          <w:noProof/>
        </w:rPr>
        <w:t xml:space="preserve"> 2.1: MP contributions under a defined benefit scheme – first 20.5 years</w:t>
      </w:r>
    </w:p>
    <w:p w14:paraId="69B94459" w14:textId="5635FFC6" w:rsidR="000F3175" w:rsidRPr="000F3175" w:rsidRDefault="0078352F" w:rsidP="001E2EF5">
      <w:pPr>
        <w:pStyle w:val="Paragraph"/>
        <w:rPr>
          <w:rFonts w:eastAsiaTheme="minorEastAsia"/>
        </w:rPr>
      </w:pPr>
      <m:oMathPara>
        <m:oMathParaPr>
          <m:jc m:val="center"/>
        </m:oMathParaPr>
        <m:oMath>
          <m:r>
            <m:rPr>
              <m:sty m:val="p"/>
            </m:rPr>
            <w:rPr>
              <w:rFonts w:ascii="Cambria Math" w:hAnsi="Cambria Math"/>
            </w:rPr>
            <m:t>contributions=</m:t>
          </m:r>
          <m:d>
            <m:dPr>
              <m:ctrlPr>
                <w:rPr>
                  <w:rFonts w:ascii="Cambria Math" w:hAnsi="Cambria Math"/>
                </w:rPr>
              </m:ctrlPr>
            </m:dPr>
            <m:e>
              <m:r>
                <m:rPr>
                  <m:sty m:val="p"/>
                </m:rPr>
                <w:rPr>
                  <w:rFonts w:ascii="Cambria Math" w:hAnsi="Cambria Math"/>
                </w:rPr>
                <m:t>0.115×BSP</m:t>
              </m:r>
              <m:ctrlPr>
                <w:rPr>
                  <w:rFonts w:ascii="Cambria Math" w:hAnsi="Cambria Math"/>
                  <w:i/>
                  <w:iCs/>
                </w:rPr>
              </m:ctrlPr>
            </m:e>
          </m:d>
          <m:r>
            <w:rPr>
              <w:rFonts w:ascii="Cambria Math" w:hAnsi="Cambria Math"/>
            </w:rPr>
            <m:t xml:space="preserve">+ </m:t>
          </m:r>
          <m:r>
            <m:rPr>
              <m:sty m:val="p"/>
            </m:rPr>
            <w:rPr>
              <w:rFonts w:ascii="Cambria Math" w:hAnsi="Cambria Math"/>
            </w:rPr>
            <m:t>(0.115×BSP×ASP)</m:t>
          </m:r>
        </m:oMath>
      </m:oMathPara>
    </w:p>
    <w:p w14:paraId="03800359" w14:textId="77777777" w:rsidR="000F3175" w:rsidRDefault="000F3175" w:rsidP="001E2EF5">
      <w:pPr>
        <w:pStyle w:val="Paragraph"/>
      </w:pPr>
    </w:p>
    <w:p w14:paraId="610D1EDC" w14:textId="77777777" w:rsidR="000F3175" w:rsidRPr="005600EE" w:rsidRDefault="000F3175" w:rsidP="00921D2B">
      <w:pPr>
        <w:pStyle w:val="Figureheading"/>
        <w:rPr>
          <w:noProof/>
        </w:rPr>
      </w:pPr>
      <w:r w:rsidRPr="005600EE">
        <w:rPr>
          <w:noProof/>
        </w:rPr>
        <w:t xml:space="preserve">Equation 2.2: MP </w:t>
      </w:r>
      <w:r w:rsidRPr="005600EE">
        <w:t>contributions</w:t>
      </w:r>
      <w:r w:rsidRPr="005600EE">
        <w:rPr>
          <w:noProof/>
        </w:rPr>
        <w:t xml:space="preserve"> under a defined benefit scheme – after 20.5 years</w:t>
      </w:r>
    </w:p>
    <w:p w14:paraId="4F65BA3C" w14:textId="08E37F57" w:rsidR="000F3175" w:rsidRPr="000F3175" w:rsidRDefault="0078352F" w:rsidP="001E2EF5">
      <w:pPr>
        <w:pStyle w:val="Paragraph"/>
        <w:rPr>
          <w:rFonts w:eastAsiaTheme="minorEastAsia"/>
        </w:rPr>
      </w:pPr>
      <m:oMathPara>
        <m:oMathParaPr>
          <m:jc m:val="center"/>
        </m:oMathParaPr>
        <m:oMath>
          <m:r>
            <m:rPr>
              <m:sty m:val="p"/>
            </m:rPr>
            <w:rPr>
              <w:rFonts w:ascii="Cambria Math" w:hAnsi="Cambria Math"/>
            </w:rPr>
            <m:t>contributions=0.115×BSP×ASP</m:t>
          </m:r>
        </m:oMath>
      </m:oMathPara>
    </w:p>
    <w:p w14:paraId="0CA6613F" w14:textId="601DBA20" w:rsidR="000F3175" w:rsidRPr="00B37AE1" w:rsidRDefault="00293707" w:rsidP="0095281B">
      <w:pPr>
        <w:pStyle w:val="VIRTHeading2"/>
      </w:pPr>
      <w:r w:rsidRPr="00B37AE1">
        <w:t>A</w:t>
      </w:r>
      <w:r w:rsidR="00FC5107">
        <w:t>5.</w:t>
      </w:r>
      <w:r w:rsidR="008E3188">
        <w:tab/>
      </w:r>
      <w:r w:rsidR="002F2565" w:rsidRPr="00B37AE1">
        <w:t>Pension eligibility</w:t>
      </w:r>
    </w:p>
    <w:p w14:paraId="65ED725F" w14:textId="77777777" w:rsidR="002F2565" w:rsidRPr="005600EE" w:rsidRDefault="002F2565" w:rsidP="0095281B">
      <w:pPr>
        <w:pStyle w:val="VirtHeading3"/>
      </w:pPr>
      <w:r w:rsidRPr="005600EE">
        <w:t>Existing Benefits Scheme</w:t>
      </w:r>
    </w:p>
    <w:p w14:paraId="61498119" w14:textId="05D1F4BA" w:rsidR="002F2565" w:rsidRDefault="002F2565" w:rsidP="00A91560">
      <w:pPr>
        <w:pStyle w:val="Parapraphbeforeabulletlist"/>
      </w:pPr>
      <w:r w:rsidRPr="002F2565">
        <w:t xml:space="preserve">A pension is payable to </w:t>
      </w:r>
      <w:r w:rsidR="003775A9">
        <w:t xml:space="preserve">former </w:t>
      </w:r>
      <w:r w:rsidRPr="002F2565">
        <w:t>MPs under the Existing Benefits Scheme</w:t>
      </w:r>
      <w:r>
        <w:t xml:space="preserve"> </w:t>
      </w:r>
      <w:r w:rsidR="00AA33BA">
        <w:t>i</w:t>
      </w:r>
      <w:r>
        <w:t>f they satisfy any of the following:</w:t>
      </w:r>
      <w:r w:rsidR="00FA0DBA">
        <w:rPr>
          <w:rStyle w:val="FootnoteReference"/>
        </w:rPr>
        <w:footnoteReference w:id="6"/>
      </w:r>
    </w:p>
    <w:p w14:paraId="5BEA8D13" w14:textId="77777777" w:rsidR="002F2565" w:rsidRPr="005346DB" w:rsidRDefault="002F2565" w:rsidP="008E3188">
      <w:pPr>
        <w:pStyle w:val="VIRTBulletpoints"/>
      </w:pPr>
      <w:r w:rsidRPr="005346DB">
        <w:t>their aggregate period of service as an MP is at least 15 years</w:t>
      </w:r>
    </w:p>
    <w:p w14:paraId="4C0C2F63" w14:textId="467FF1DC" w:rsidR="002F2565" w:rsidRPr="005346DB" w:rsidRDefault="002F2565" w:rsidP="00B04B63">
      <w:pPr>
        <w:pStyle w:val="VIRTBulletpoints"/>
        <w:ind w:left="357" w:hanging="357"/>
      </w:pPr>
      <w:r w:rsidRPr="005346DB">
        <w:t>their aggregate period of service is at least 12 years and they cease to be an MP due to resignation or retirement which does not require or cause the holding of a by-election (other than on the day of a general election)</w:t>
      </w:r>
    </w:p>
    <w:p w14:paraId="0A82B7DE" w14:textId="77777777" w:rsidR="002F2565" w:rsidRPr="005346DB" w:rsidRDefault="002F2565" w:rsidP="008E3188">
      <w:pPr>
        <w:pStyle w:val="VIRTBulletpoints"/>
      </w:pPr>
      <w:r w:rsidRPr="005346DB">
        <w:t xml:space="preserve">their aggregate period of service is at least </w:t>
      </w:r>
      <w:r w:rsidR="00550423" w:rsidRPr="005346DB">
        <w:t>8</w:t>
      </w:r>
      <w:r w:rsidRPr="005346DB">
        <w:t xml:space="preserve"> years, and:</w:t>
      </w:r>
    </w:p>
    <w:p w14:paraId="53D47D63" w14:textId="77777777" w:rsidR="002F2565" w:rsidRDefault="002F2565" w:rsidP="001E2EF5">
      <w:pPr>
        <w:pStyle w:val="VIRTBulletpoints"/>
        <w:numPr>
          <w:ilvl w:val="1"/>
          <w:numId w:val="11"/>
        </w:numPr>
      </w:pPr>
      <w:r>
        <w:t>they cease to be an MP as a result of a defeat at an election</w:t>
      </w:r>
      <w:r w:rsidR="00B45F0B">
        <w:t>,</w:t>
      </w:r>
      <w:r>
        <w:t xml:space="preserve"> or</w:t>
      </w:r>
    </w:p>
    <w:p w14:paraId="19DB3295" w14:textId="77777777" w:rsidR="002F2565" w:rsidRDefault="002F2565" w:rsidP="001E2EF5">
      <w:pPr>
        <w:pStyle w:val="VIRTBulletpoints"/>
        <w:numPr>
          <w:ilvl w:val="1"/>
          <w:numId w:val="11"/>
        </w:numPr>
      </w:pPr>
      <w:r>
        <w:t xml:space="preserve">they cease to be an MP due to resignation or not seeking re-election for good and sufficient reasons which satisfy </w:t>
      </w:r>
      <w:r w:rsidR="00DB141B">
        <w:t>ESSSSuper (as the</w:t>
      </w:r>
      <w:r>
        <w:t xml:space="preserve"> trustee of the </w:t>
      </w:r>
      <w:r w:rsidR="00AA33BA">
        <w:t>PCSF</w:t>
      </w:r>
      <w:r w:rsidR="00DB141B">
        <w:t>)</w:t>
      </w:r>
      <w:r>
        <w:t>.</w:t>
      </w:r>
    </w:p>
    <w:p w14:paraId="09303C06" w14:textId="6B3AA297" w:rsidR="002F2565" w:rsidRPr="005346DB" w:rsidRDefault="002F2565" w:rsidP="008E3188">
      <w:pPr>
        <w:pStyle w:val="VIRTBulletpoints"/>
      </w:pPr>
      <w:r w:rsidRPr="005346DB">
        <w:t xml:space="preserve">their aggregate period of service is at least </w:t>
      </w:r>
      <w:r w:rsidR="00861907" w:rsidRPr="005346DB">
        <w:t>6</w:t>
      </w:r>
      <w:r w:rsidRPr="005346DB">
        <w:t xml:space="preserve"> years, they served in at least </w:t>
      </w:r>
      <w:r w:rsidR="00861907" w:rsidRPr="005346DB">
        <w:t>three</w:t>
      </w:r>
      <w:r w:rsidRPr="005346DB">
        <w:t xml:space="preserve"> Parliaments, are over the age of 60 and cease to be an MP as a result of not seeking re-election at a general election. </w:t>
      </w:r>
    </w:p>
    <w:p w14:paraId="1A7B6702" w14:textId="77777777" w:rsidR="002F2565" w:rsidRPr="005600EE" w:rsidRDefault="002F2565" w:rsidP="0095281B">
      <w:pPr>
        <w:pStyle w:val="VirtHeading3"/>
      </w:pPr>
      <w:r w:rsidRPr="005600EE">
        <w:t xml:space="preserve">New </w:t>
      </w:r>
      <w:r w:rsidRPr="0095281B">
        <w:t>Benefits</w:t>
      </w:r>
      <w:r w:rsidRPr="005600EE">
        <w:t xml:space="preserve"> Scheme</w:t>
      </w:r>
    </w:p>
    <w:p w14:paraId="0B2B6D61" w14:textId="7607424D" w:rsidR="002F2565" w:rsidRDefault="002F2565" w:rsidP="001E2EF5">
      <w:pPr>
        <w:pStyle w:val="Paragraph"/>
      </w:pPr>
      <w:r w:rsidRPr="002F2565">
        <w:t>Under the New Benefits Scheme, a</w:t>
      </w:r>
      <w:r w:rsidR="003775A9">
        <w:t xml:space="preserve"> former</w:t>
      </w:r>
      <w:r w:rsidRPr="002F2565">
        <w:t xml:space="preserve"> MP’s eligibility for the pension depends on whether their retirement </w:t>
      </w:r>
      <w:r w:rsidR="003775A9">
        <w:t xml:space="preserve">from </w:t>
      </w:r>
      <w:r w:rsidR="007244F3">
        <w:t xml:space="preserve">the </w:t>
      </w:r>
      <w:r w:rsidR="003775A9">
        <w:t xml:space="preserve">Parliament </w:t>
      </w:r>
      <w:r w:rsidRPr="002F2565">
        <w:t>was considered to be ‘voluntary’ or ‘involuntary’.</w:t>
      </w:r>
      <w:r w:rsidR="00F14FB4">
        <w:rPr>
          <w:rStyle w:val="FootnoteReference"/>
        </w:rPr>
        <w:footnoteReference w:id="7"/>
      </w:r>
      <w:r>
        <w:t xml:space="preserve"> </w:t>
      </w:r>
    </w:p>
    <w:p w14:paraId="1C0FD7D1" w14:textId="77777777" w:rsidR="003612AE" w:rsidRPr="00732B51" w:rsidRDefault="003612AE" w:rsidP="00A91560">
      <w:pPr>
        <w:pStyle w:val="Parapraphbeforeabulletlist"/>
      </w:pPr>
      <w:r w:rsidRPr="00732B51">
        <w:t>A</w:t>
      </w:r>
      <w:r w:rsidR="003775A9" w:rsidRPr="00732B51">
        <w:t xml:space="preserve"> former</w:t>
      </w:r>
      <w:r w:rsidRPr="00732B51">
        <w:t xml:space="preserve"> MP is considered to have involuntarily retired if:</w:t>
      </w:r>
    </w:p>
    <w:p w14:paraId="26D71B88" w14:textId="77777777" w:rsidR="003612AE" w:rsidRPr="005346DB" w:rsidRDefault="003612AE" w:rsidP="008E3188">
      <w:pPr>
        <w:pStyle w:val="VIRTBulletpoints"/>
      </w:pPr>
      <w:r w:rsidRPr="005346DB">
        <w:t>they were at least 60 years old at the time that they ceased to be an MP</w:t>
      </w:r>
      <w:r w:rsidR="00B45F0B" w:rsidRPr="005346DB">
        <w:t>,</w:t>
      </w:r>
      <w:r w:rsidRPr="005346DB">
        <w:t xml:space="preserve"> or</w:t>
      </w:r>
    </w:p>
    <w:p w14:paraId="2548097F" w14:textId="77777777" w:rsidR="003612AE" w:rsidRPr="005346DB" w:rsidRDefault="003612AE" w:rsidP="008E3188">
      <w:pPr>
        <w:pStyle w:val="VIRTBulletpoints"/>
      </w:pPr>
      <w:r w:rsidRPr="005346DB">
        <w:t>they were defeated at an election.</w:t>
      </w:r>
    </w:p>
    <w:p w14:paraId="57A125DA" w14:textId="7AD1D83C" w:rsidR="005600EE" w:rsidRPr="00732B51" w:rsidRDefault="003612AE" w:rsidP="00A91560">
      <w:pPr>
        <w:pStyle w:val="Parapraphbeforeabulletlist"/>
      </w:pPr>
      <w:r w:rsidRPr="00732B51">
        <w:t>A</w:t>
      </w:r>
      <w:r w:rsidR="003775A9" w:rsidRPr="00732B51">
        <w:t xml:space="preserve"> former</w:t>
      </w:r>
      <w:r w:rsidRPr="00732B51">
        <w:t xml:space="preserve"> MP’s retirement is considered voluntary if</w:t>
      </w:r>
      <w:r w:rsidR="005600EE" w:rsidRPr="00732B51">
        <w:t>:</w:t>
      </w:r>
      <w:r w:rsidRPr="00732B51">
        <w:t xml:space="preserve"> </w:t>
      </w:r>
    </w:p>
    <w:p w14:paraId="5C35F86E" w14:textId="77777777" w:rsidR="005600EE" w:rsidRPr="005346DB" w:rsidRDefault="005600EE" w:rsidP="008E3188">
      <w:pPr>
        <w:pStyle w:val="VIRTBulletpoints"/>
      </w:pPr>
      <w:r w:rsidRPr="005346DB">
        <w:t>they were less than 60 years old at the t</w:t>
      </w:r>
      <w:r w:rsidR="002D7743" w:rsidRPr="005346DB">
        <w:t>i</w:t>
      </w:r>
      <w:r w:rsidRPr="005346DB">
        <w:t xml:space="preserve">me they </w:t>
      </w:r>
      <w:r w:rsidR="00DB141B" w:rsidRPr="005346DB">
        <w:t>left the Parliament</w:t>
      </w:r>
      <w:r w:rsidR="00B45F0B" w:rsidRPr="005346DB">
        <w:t>,</w:t>
      </w:r>
      <w:r w:rsidRPr="005346DB">
        <w:t xml:space="preserve"> or</w:t>
      </w:r>
    </w:p>
    <w:p w14:paraId="1D8884CE" w14:textId="77777777" w:rsidR="003612AE" w:rsidRPr="005346DB" w:rsidRDefault="003612AE" w:rsidP="008E3188">
      <w:pPr>
        <w:pStyle w:val="VIRTBulletpoints"/>
      </w:pPr>
      <w:r w:rsidRPr="005346DB">
        <w:t xml:space="preserve">it occurred in circumstances </w:t>
      </w:r>
      <w:r w:rsidR="005600EE" w:rsidRPr="005346DB">
        <w:t>which</w:t>
      </w:r>
      <w:r w:rsidRPr="005346DB">
        <w:t>, in the opinion of ESSSuper (the administrator of the PCSF), should be treated as such.</w:t>
      </w:r>
    </w:p>
    <w:p w14:paraId="195B9B72" w14:textId="23DF7839" w:rsidR="003612AE" w:rsidRPr="00732B51" w:rsidRDefault="003612AE" w:rsidP="00A91560">
      <w:pPr>
        <w:pStyle w:val="Parapraphbeforeabulletlist"/>
      </w:pPr>
      <w:r w:rsidRPr="00732B51">
        <w:t>If a</w:t>
      </w:r>
      <w:r w:rsidR="003775A9" w:rsidRPr="00732B51">
        <w:t xml:space="preserve"> former</w:t>
      </w:r>
      <w:r w:rsidRPr="00732B51">
        <w:t xml:space="preserve"> MP’s retirement is considered </w:t>
      </w:r>
      <w:r w:rsidRPr="005346DB">
        <w:t>involuntary</w:t>
      </w:r>
      <w:r w:rsidRPr="00732B51">
        <w:t>, they are eligible for the pension if:</w:t>
      </w:r>
      <w:r w:rsidR="00A152E0" w:rsidRPr="005346DB">
        <w:rPr>
          <w:noProof/>
          <w:vertAlign w:val="superscript"/>
          <w:lang w:val="en-US"/>
        </w:rPr>
        <w:footnoteReference w:id="8"/>
      </w:r>
    </w:p>
    <w:p w14:paraId="6A671843" w14:textId="77777777" w:rsidR="003612AE" w:rsidRPr="005346DB" w:rsidRDefault="003612AE" w:rsidP="008E3188">
      <w:pPr>
        <w:pStyle w:val="VIRTBulletpoints"/>
      </w:pPr>
      <w:r w:rsidRPr="005346DB">
        <w:t xml:space="preserve">they were an MP for at least </w:t>
      </w:r>
      <w:r w:rsidR="00861907" w:rsidRPr="005346DB">
        <w:t>8</w:t>
      </w:r>
      <w:r w:rsidRPr="005346DB">
        <w:t xml:space="preserve"> years</w:t>
      </w:r>
      <w:r w:rsidR="00B45F0B" w:rsidRPr="005346DB">
        <w:t>,</w:t>
      </w:r>
      <w:r w:rsidRPr="005346DB">
        <w:t xml:space="preserve"> or</w:t>
      </w:r>
    </w:p>
    <w:p w14:paraId="101AB6DB" w14:textId="5EE0C4EB" w:rsidR="003612AE" w:rsidRPr="005346DB" w:rsidRDefault="003612AE" w:rsidP="008E3188">
      <w:pPr>
        <w:pStyle w:val="VIRTBulletpoints"/>
      </w:pPr>
      <w:r w:rsidRPr="005346DB">
        <w:t xml:space="preserve">they have on at least </w:t>
      </w:r>
      <w:r w:rsidR="00861907" w:rsidRPr="005346DB">
        <w:t>three</w:t>
      </w:r>
      <w:r w:rsidRPr="005346DB">
        <w:t xml:space="preserve"> occasions ceased to be a member</w:t>
      </w:r>
      <w:r w:rsidR="00DB141B" w:rsidRPr="005346DB">
        <w:t xml:space="preserve"> of the Parliament</w:t>
      </w:r>
      <w:r w:rsidRPr="005346DB">
        <w:t xml:space="preserve"> on the dissolution or expiration of the Le</w:t>
      </w:r>
      <w:r w:rsidR="00B94F08" w:rsidRPr="005346DB">
        <w:t>g</w:t>
      </w:r>
      <w:r w:rsidRPr="005346DB">
        <w:t>islative Assembly, or due to expiration of their term of office</w:t>
      </w:r>
      <w:r w:rsidR="009F0BBA" w:rsidRPr="005346DB">
        <w:t>.</w:t>
      </w:r>
    </w:p>
    <w:p w14:paraId="6BE5B457" w14:textId="77777777" w:rsidR="009F0BBA" w:rsidRPr="005346DB" w:rsidRDefault="009F0BBA" w:rsidP="00A91560">
      <w:pPr>
        <w:pStyle w:val="Parapraphbeforeabulletlist"/>
      </w:pPr>
      <w:r w:rsidRPr="005346DB">
        <w:t>If a</w:t>
      </w:r>
      <w:r w:rsidR="003775A9" w:rsidRPr="005346DB">
        <w:t xml:space="preserve"> former</w:t>
      </w:r>
      <w:r w:rsidRPr="005346DB">
        <w:t xml:space="preserve"> MP’s retirement is considered voluntary, they are eligible for the pension if:</w:t>
      </w:r>
    </w:p>
    <w:p w14:paraId="66446411" w14:textId="77777777" w:rsidR="009F0BBA" w:rsidRPr="005346DB" w:rsidRDefault="009F0BBA" w:rsidP="008E3188">
      <w:pPr>
        <w:pStyle w:val="VIRTBulletpoints"/>
      </w:pPr>
      <w:r w:rsidRPr="005346DB">
        <w:t>they were a</w:t>
      </w:r>
      <w:r w:rsidR="00273978" w:rsidRPr="005346DB">
        <w:t>n</w:t>
      </w:r>
      <w:r w:rsidRPr="005346DB">
        <w:t xml:space="preserve"> MP for at least 12 years</w:t>
      </w:r>
      <w:r w:rsidR="00B45F0B" w:rsidRPr="005346DB">
        <w:t>,</w:t>
      </w:r>
      <w:r w:rsidRPr="005346DB">
        <w:t xml:space="preserve"> or</w:t>
      </w:r>
    </w:p>
    <w:p w14:paraId="68BFC0C2" w14:textId="77777777" w:rsidR="006505F8" w:rsidRPr="005346DB" w:rsidRDefault="009F0BBA" w:rsidP="008E3188">
      <w:pPr>
        <w:pStyle w:val="VIRTBulletpoints"/>
      </w:pPr>
      <w:r w:rsidRPr="005346DB">
        <w:t xml:space="preserve">they have on at least four occasions ceased to be a member </w:t>
      </w:r>
      <w:r w:rsidR="00DB141B" w:rsidRPr="005346DB">
        <w:t xml:space="preserve">of the Parliament </w:t>
      </w:r>
      <w:r w:rsidRPr="005346DB">
        <w:t>on the dissolution or expiration of the Legislative Assembly, or due to expiration of their term of office.</w:t>
      </w:r>
      <w:r w:rsidR="006505F8" w:rsidRPr="005346DB">
        <w:br w:type="page"/>
      </w:r>
    </w:p>
    <w:p w14:paraId="1F52B17D" w14:textId="56FEC51D" w:rsidR="00523896" w:rsidRPr="00B37AE1" w:rsidRDefault="00293707" w:rsidP="0095281B">
      <w:pPr>
        <w:pStyle w:val="VIRTHeading2"/>
      </w:pPr>
      <w:r w:rsidRPr="00B37AE1">
        <w:t>A</w:t>
      </w:r>
      <w:r w:rsidR="00FC5107">
        <w:t>6.</w:t>
      </w:r>
      <w:r w:rsidR="008E3188">
        <w:tab/>
      </w:r>
      <w:r w:rsidR="00523896" w:rsidRPr="00B37AE1">
        <w:t>Value of the pension</w:t>
      </w:r>
    </w:p>
    <w:p w14:paraId="426FC82D" w14:textId="77777777" w:rsidR="00523896" w:rsidRPr="005600EE" w:rsidRDefault="00523896" w:rsidP="0095281B">
      <w:pPr>
        <w:pStyle w:val="VirtHeading3"/>
      </w:pPr>
      <w:r w:rsidRPr="005600EE">
        <w:t>Existing Benefits Scheme</w:t>
      </w:r>
    </w:p>
    <w:p w14:paraId="555F2FED" w14:textId="77503FFC" w:rsidR="00523896" w:rsidRDefault="00523896" w:rsidP="001E2EF5">
      <w:pPr>
        <w:pStyle w:val="Paragraph"/>
      </w:pPr>
      <w:r w:rsidRPr="00523896">
        <w:t>The value of the pension</w:t>
      </w:r>
      <w:r w:rsidR="008D512C">
        <w:t xml:space="preserve"> provided to former MPs in the Existing Benefits Scheme</w:t>
      </w:r>
      <w:r w:rsidRPr="00523896">
        <w:t xml:space="preserve"> depends on a number of factors, and is determined </w:t>
      </w:r>
      <w:r>
        <w:t>usi</w:t>
      </w:r>
      <w:r w:rsidR="00A4065E">
        <w:t>n</w:t>
      </w:r>
      <w:r>
        <w:t>g</w:t>
      </w:r>
      <w:r w:rsidRPr="00523896">
        <w:t xml:space="preserve"> the </w:t>
      </w:r>
      <w:r w:rsidR="00E53843">
        <w:t>formula in equation</w:t>
      </w:r>
      <w:r w:rsidR="00BB0579">
        <w:t> </w:t>
      </w:r>
      <w:r w:rsidR="00E53843">
        <w:t>2.3.</w:t>
      </w:r>
    </w:p>
    <w:p w14:paraId="3FBE7F2C" w14:textId="77777777" w:rsidR="00E53843" w:rsidRPr="00E53843" w:rsidRDefault="00E53843" w:rsidP="00DB141B">
      <w:pPr>
        <w:pStyle w:val="Figureheading"/>
        <w:rPr>
          <w:noProof/>
        </w:rPr>
      </w:pPr>
      <w:r w:rsidRPr="00E53843">
        <w:rPr>
          <w:noProof/>
        </w:rPr>
        <w:t xml:space="preserve">Equation 2.3: </w:t>
      </w:r>
      <w:r>
        <w:rPr>
          <w:noProof/>
        </w:rPr>
        <w:t>Value of MP</w:t>
      </w:r>
      <w:r w:rsidRPr="00E53843">
        <w:rPr>
          <w:noProof/>
        </w:rPr>
        <w:t xml:space="preserve"> pension under the Existing Benefits Scheme</w:t>
      </w:r>
    </w:p>
    <w:p w14:paraId="0A21A04B" w14:textId="77777777" w:rsidR="00523896" w:rsidRPr="008D512C" w:rsidRDefault="00DB141B" w:rsidP="001E2EF5">
      <w:pPr>
        <w:pStyle w:val="Paragraph"/>
        <w:rPr>
          <w:rFonts w:eastAsiaTheme="minorEastAsia"/>
          <w:iCs/>
        </w:rPr>
      </w:pPr>
      <m:oMathPara>
        <m:oMathParaPr>
          <m:jc m:val="center"/>
        </m:oMathParaPr>
        <m:oMath>
          <m:r>
            <m:rPr>
              <m:sty m:val="p"/>
            </m:rPr>
            <w:rPr>
              <w:rFonts w:ascii="Cambria Math" w:hAnsi="Cambria Math"/>
            </w:rPr>
            <m:t>pension=A×R×BSP</m:t>
          </m:r>
        </m:oMath>
      </m:oMathPara>
    </w:p>
    <w:p w14:paraId="259476D1" w14:textId="0E77896C" w:rsidR="00523896" w:rsidRDefault="00523896" w:rsidP="001E2EF5">
      <w:pPr>
        <w:pStyle w:val="Paragraph"/>
      </w:pPr>
      <w:r>
        <w:t xml:space="preserve">The variable </w:t>
      </w:r>
      <w:r w:rsidRPr="00DB141B">
        <w:t>A</w:t>
      </w:r>
      <w:r>
        <w:t xml:space="preserve"> takes into account the </w:t>
      </w:r>
      <w:r w:rsidR="003775A9">
        <w:t xml:space="preserve">former </w:t>
      </w:r>
      <w:r>
        <w:t>MP’s length of service</w:t>
      </w:r>
      <w:r w:rsidR="003775A9">
        <w:t xml:space="preserve"> in</w:t>
      </w:r>
      <w:r w:rsidR="007244F3">
        <w:t xml:space="preserve"> the</w:t>
      </w:r>
      <w:r w:rsidR="003775A9">
        <w:t xml:space="preserve"> Parliament</w:t>
      </w:r>
      <w:r>
        <w:t>. Generally speaking, the longer a</w:t>
      </w:r>
      <w:r w:rsidR="003775A9">
        <w:t xml:space="preserve"> former</w:t>
      </w:r>
      <w:r>
        <w:t xml:space="preserve"> MP serve</w:t>
      </w:r>
      <w:r w:rsidR="003775A9">
        <w:t>d</w:t>
      </w:r>
      <w:r>
        <w:t xml:space="preserve"> the higher the pension they will receive. The highest pension is paid to </w:t>
      </w:r>
      <w:r w:rsidR="003775A9">
        <w:t xml:space="preserve">former </w:t>
      </w:r>
      <w:r>
        <w:t xml:space="preserve">MPs who served an aggregate of at least 20.5 years. The value of </w:t>
      </w:r>
      <w:r w:rsidRPr="008D512C">
        <w:t>A</w:t>
      </w:r>
      <w:r>
        <w:t xml:space="preserve"> ranges from 0.36 to 0.75.</w:t>
      </w:r>
    </w:p>
    <w:p w14:paraId="4B9EEABE" w14:textId="77777777" w:rsidR="00523896" w:rsidRDefault="00523896" w:rsidP="001E2EF5">
      <w:pPr>
        <w:pStyle w:val="Paragraph"/>
      </w:pPr>
      <w:r>
        <w:t xml:space="preserve">The variable </w:t>
      </w:r>
      <w:r w:rsidRPr="008D512C">
        <w:t>R</w:t>
      </w:r>
      <w:r>
        <w:t xml:space="preserve"> takes into account the years in which a</w:t>
      </w:r>
      <w:r w:rsidR="003775A9">
        <w:t xml:space="preserve"> former</w:t>
      </w:r>
      <w:r>
        <w:t xml:space="preserve"> MP may have been </w:t>
      </w:r>
      <w:r w:rsidR="005245FE">
        <w:t xml:space="preserve">an </w:t>
      </w:r>
      <w:r>
        <w:t>office holder and received an additional salary. Generally speaking, the more additional salary a</w:t>
      </w:r>
      <w:r w:rsidR="003775A9">
        <w:t xml:space="preserve"> former</w:t>
      </w:r>
      <w:r>
        <w:t xml:space="preserve"> MP receive</w:t>
      </w:r>
      <w:r w:rsidR="003775A9">
        <w:t>d</w:t>
      </w:r>
      <w:r>
        <w:t xml:space="preserve"> the higher their pension.</w:t>
      </w:r>
      <w:r w:rsidR="008D512C">
        <w:t xml:space="preserve"> The specific formulas used to calculate the va</w:t>
      </w:r>
      <w:r w:rsidR="00C27BF3">
        <w:t>riables</w:t>
      </w:r>
      <w:r w:rsidR="008D512C">
        <w:t xml:space="preserve"> of A and R are set out in section 15 of the PSAS Act. </w:t>
      </w:r>
    </w:p>
    <w:p w14:paraId="2AA06B6B" w14:textId="77777777" w:rsidR="00523896" w:rsidRPr="005600EE" w:rsidRDefault="00523896" w:rsidP="0095281B">
      <w:pPr>
        <w:pStyle w:val="VirtHeading3"/>
      </w:pPr>
      <w:r w:rsidRPr="005600EE">
        <w:t>New Benefits Scheme</w:t>
      </w:r>
    </w:p>
    <w:p w14:paraId="6745AD07" w14:textId="5FC5026B" w:rsidR="00523896" w:rsidRDefault="00523896" w:rsidP="001E2EF5">
      <w:pPr>
        <w:pStyle w:val="Paragraph"/>
      </w:pPr>
      <w:r w:rsidRPr="00523896">
        <w:t xml:space="preserve">The </w:t>
      </w:r>
      <w:r w:rsidR="005245FE">
        <w:t xml:space="preserve">value of the </w:t>
      </w:r>
      <w:r w:rsidRPr="00523896">
        <w:t xml:space="preserve">pension </w:t>
      </w:r>
      <w:r w:rsidR="005245FE">
        <w:t xml:space="preserve">provided to </w:t>
      </w:r>
      <w:r w:rsidRPr="00523896">
        <w:t>former MPs</w:t>
      </w:r>
      <w:r w:rsidR="008D512C">
        <w:t xml:space="preserve"> in the New Benefits Scheme</w:t>
      </w:r>
      <w:r w:rsidRPr="00523896">
        <w:t xml:space="preserve"> </w:t>
      </w:r>
      <w:r w:rsidR="005245FE">
        <w:t>is</w:t>
      </w:r>
      <w:r w:rsidRPr="00523896">
        <w:t xml:space="preserve"> calculated as</w:t>
      </w:r>
      <w:r w:rsidR="00B94F08">
        <w:t xml:space="preserve"> a</w:t>
      </w:r>
      <w:r w:rsidRPr="00523896">
        <w:t xml:space="preserve"> percentage of the current </w:t>
      </w:r>
      <w:r w:rsidR="008D512C">
        <w:t>BSP</w:t>
      </w:r>
      <w:r w:rsidRPr="00523896">
        <w:t>.</w:t>
      </w:r>
      <w:r>
        <w:t xml:space="preserve"> The minimum amount that can be paid is 50 per cent</w:t>
      </w:r>
      <w:r w:rsidR="00D85BE1">
        <w:t xml:space="preserve"> </w:t>
      </w:r>
      <w:r w:rsidR="001E33C2">
        <w:t xml:space="preserve">of the BSP </w:t>
      </w:r>
      <w:r w:rsidR="00D85BE1">
        <w:t>(currently $84,450.5</w:t>
      </w:r>
      <w:r w:rsidR="001E33C2">
        <w:t>0</w:t>
      </w:r>
      <w:r w:rsidR="00B45F0B">
        <w:t xml:space="preserve"> per annum</w:t>
      </w:r>
      <w:r w:rsidR="00D85BE1">
        <w:t>)</w:t>
      </w:r>
      <w:r>
        <w:t>. Fo</w:t>
      </w:r>
      <w:r w:rsidR="00A10B0C">
        <w:t xml:space="preserve">r every year of service over </w:t>
      </w:r>
      <w:r w:rsidR="00861907">
        <w:t>8</w:t>
      </w:r>
      <w:r w:rsidR="00BB0579">
        <w:t xml:space="preserve"> years</w:t>
      </w:r>
      <w:r w:rsidR="00A10B0C">
        <w:t xml:space="preserve">, the </w:t>
      </w:r>
      <w:r w:rsidR="003775A9">
        <w:t xml:space="preserve">former </w:t>
      </w:r>
      <w:r w:rsidR="00A10B0C">
        <w:t>MP receives an additional 2.5 per cent, up to a maximum of 75 per cent for 18 or more years of service. A pro</w:t>
      </w:r>
      <w:r w:rsidR="00A14438">
        <w:t xml:space="preserve"> </w:t>
      </w:r>
      <w:r w:rsidR="00A10B0C">
        <w:t>rata amount is paid for partial years of service.</w:t>
      </w:r>
      <w:r w:rsidR="00F14FB4">
        <w:rPr>
          <w:rStyle w:val="FootnoteReference"/>
        </w:rPr>
        <w:footnoteReference w:id="9"/>
      </w:r>
    </w:p>
    <w:p w14:paraId="770BD87B" w14:textId="6F3F710F" w:rsidR="00A10B0C" w:rsidRDefault="003775A9" w:rsidP="001E2EF5">
      <w:pPr>
        <w:pStyle w:val="Paragraph"/>
      </w:pPr>
      <w:r>
        <w:t xml:space="preserve">Former </w:t>
      </w:r>
      <w:r w:rsidR="00A10B0C">
        <w:t xml:space="preserve">MPs </w:t>
      </w:r>
      <w:r w:rsidR="00B94F08">
        <w:t>who were an office holder</w:t>
      </w:r>
      <w:r w:rsidR="00A10B0C">
        <w:t xml:space="preserve"> also receive an additional pension</w:t>
      </w:r>
      <w:r w:rsidR="00C27BF3">
        <w:t xml:space="preserve">, based on the years that they held that office and the applicable </w:t>
      </w:r>
      <w:r w:rsidR="00BA4C16">
        <w:t>ASP</w:t>
      </w:r>
      <w:r w:rsidR="00B45F0B">
        <w:t xml:space="preserve"> (equation 2.4)</w:t>
      </w:r>
      <w:r w:rsidR="00A10B0C">
        <w:t xml:space="preserve">. For </w:t>
      </w:r>
      <w:r>
        <w:t xml:space="preserve">former </w:t>
      </w:r>
      <w:r w:rsidR="00A10B0C">
        <w:t xml:space="preserve">MPs who held more than one office, the additional pensions are combined. </w:t>
      </w:r>
      <w:r w:rsidR="00A10B0C" w:rsidRPr="00273978">
        <w:t xml:space="preserve">However, the total additional pension </w:t>
      </w:r>
      <w:r w:rsidR="00C27BF3" w:rsidRPr="00273978">
        <w:t>a</w:t>
      </w:r>
      <w:r w:rsidRPr="00273978">
        <w:t xml:space="preserve"> former</w:t>
      </w:r>
      <w:r w:rsidR="00C27BF3" w:rsidRPr="00273978">
        <w:t xml:space="preserve"> MP </w:t>
      </w:r>
      <w:r w:rsidR="00A10B0C" w:rsidRPr="00273978">
        <w:t xml:space="preserve">can receive </w:t>
      </w:r>
      <w:r w:rsidR="00B94F08" w:rsidRPr="00273978">
        <w:t>cannot exceed</w:t>
      </w:r>
      <w:r w:rsidR="00A10B0C" w:rsidRPr="00273978">
        <w:t xml:space="preserve"> 75</w:t>
      </w:r>
      <w:r w:rsidR="00BB0579">
        <w:t> </w:t>
      </w:r>
      <w:r w:rsidR="00A10B0C" w:rsidRPr="00273978">
        <w:t xml:space="preserve">per cent of the </w:t>
      </w:r>
      <w:r w:rsidR="00C27BF3" w:rsidRPr="00273978">
        <w:t>BSP mu</w:t>
      </w:r>
      <w:r w:rsidR="00BB0579">
        <w:t>l</w:t>
      </w:r>
      <w:r w:rsidR="00C27BF3" w:rsidRPr="00273978">
        <w:t xml:space="preserve">tiplied by the highest </w:t>
      </w:r>
      <w:r w:rsidR="00BA4C16">
        <w:t>ASP</w:t>
      </w:r>
      <w:r w:rsidR="00C27BF3" w:rsidRPr="00273978">
        <w:t xml:space="preserve"> that applies to the offices they held</w:t>
      </w:r>
      <w:r w:rsidR="00A10B0C" w:rsidRPr="00273978">
        <w:t>.</w:t>
      </w:r>
    </w:p>
    <w:p w14:paraId="1C7CD8F4" w14:textId="77777777" w:rsidR="008D512C" w:rsidRPr="00E53843" w:rsidRDefault="00C27BF3" w:rsidP="008D512C">
      <w:pPr>
        <w:pStyle w:val="Figureheading"/>
        <w:rPr>
          <w:noProof/>
        </w:rPr>
      </w:pPr>
      <w:r>
        <w:rPr>
          <w:noProof/>
        </w:rPr>
        <w:t>E</w:t>
      </w:r>
      <w:r w:rsidR="008D512C" w:rsidRPr="00E53843">
        <w:rPr>
          <w:noProof/>
        </w:rPr>
        <w:t>quation 2.</w:t>
      </w:r>
      <w:r w:rsidR="008D512C">
        <w:rPr>
          <w:noProof/>
        </w:rPr>
        <w:t>4</w:t>
      </w:r>
      <w:r w:rsidR="008D512C" w:rsidRPr="00E53843">
        <w:rPr>
          <w:noProof/>
        </w:rPr>
        <w:t xml:space="preserve">: </w:t>
      </w:r>
      <w:r w:rsidR="008D512C">
        <w:rPr>
          <w:noProof/>
        </w:rPr>
        <w:t>Value of additional</w:t>
      </w:r>
      <w:r w:rsidR="008D512C" w:rsidRPr="00E53843">
        <w:rPr>
          <w:noProof/>
        </w:rPr>
        <w:t xml:space="preserve"> pension</w:t>
      </w:r>
      <w:r w:rsidR="008D512C">
        <w:rPr>
          <w:noProof/>
        </w:rPr>
        <w:t xml:space="preserve"> </w:t>
      </w:r>
      <w:r w:rsidR="008D512C" w:rsidRPr="00E53843">
        <w:rPr>
          <w:noProof/>
        </w:rPr>
        <w:t xml:space="preserve">under the </w:t>
      </w:r>
      <w:r w:rsidR="008D512C">
        <w:rPr>
          <w:noProof/>
        </w:rPr>
        <w:t>New</w:t>
      </w:r>
      <w:r w:rsidR="008D512C" w:rsidRPr="00E53843">
        <w:rPr>
          <w:noProof/>
        </w:rPr>
        <w:t xml:space="preserve"> Benefits Scheme</w:t>
      </w:r>
    </w:p>
    <w:p w14:paraId="2D53E1BA" w14:textId="73ED4D98" w:rsidR="00A91560" w:rsidRDefault="008D512C" w:rsidP="001E2EF5">
      <w:pPr>
        <w:pStyle w:val="Paragraph"/>
        <w:rPr>
          <w:rFonts w:eastAsiaTheme="minorEastAsia"/>
        </w:rPr>
      </w:pPr>
      <m:oMathPara>
        <m:oMath>
          <m:r>
            <m:rPr>
              <m:sty m:val="p"/>
            </m:rPr>
            <w:rPr>
              <w:rFonts w:ascii="Cambria Math" w:hAnsi="Cambria Math"/>
            </w:rPr>
            <m:t>pension=BSP×ASP×0.0625× years office held</m:t>
          </m:r>
        </m:oMath>
      </m:oMathPara>
    </w:p>
    <w:p w14:paraId="7D925C4F" w14:textId="3C06E07C" w:rsidR="00B94F08" w:rsidRPr="00B37AE1" w:rsidRDefault="00AD4C4D" w:rsidP="0095281B">
      <w:pPr>
        <w:pStyle w:val="VIRTHeading2"/>
      </w:pPr>
      <w:r w:rsidRPr="00B37AE1">
        <w:t>A</w:t>
      </w:r>
      <w:r w:rsidR="00FC5107">
        <w:t>7.</w:t>
      </w:r>
      <w:r w:rsidR="008E3188">
        <w:tab/>
      </w:r>
      <w:r w:rsidR="00B94F08" w:rsidRPr="00B37AE1">
        <w:t>Payments for MPs who are not eligible for the pension</w:t>
      </w:r>
    </w:p>
    <w:p w14:paraId="72EC3A35" w14:textId="2CA26B86" w:rsidR="0011546B" w:rsidRDefault="0011546B" w:rsidP="00A91560">
      <w:pPr>
        <w:pStyle w:val="Parapraphbeforeabulletlist"/>
      </w:pPr>
      <w:r w:rsidRPr="0011546B">
        <w:t>Under both defined benefit schemes,</w:t>
      </w:r>
      <w:r>
        <w:t xml:space="preserve"> lump sum payments are made to:</w:t>
      </w:r>
    </w:p>
    <w:p w14:paraId="6B81F8AA" w14:textId="77777777" w:rsidR="0011546B" w:rsidRPr="005346DB" w:rsidRDefault="004928EE" w:rsidP="008E3188">
      <w:pPr>
        <w:pStyle w:val="VIRTBulletpoints"/>
      </w:pPr>
      <w:r w:rsidRPr="005346DB">
        <w:t>f</w:t>
      </w:r>
      <w:r w:rsidR="003775A9" w:rsidRPr="005346DB">
        <w:t xml:space="preserve">ormer </w:t>
      </w:r>
      <w:r w:rsidR="0011546B" w:rsidRPr="005346DB">
        <w:t>MPs who cease to be a member as the result of</w:t>
      </w:r>
      <w:r w:rsidR="003114D8" w:rsidRPr="005346DB">
        <w:t xml:space="preserve"> </w:t>
      </w:r>
      <w:r w:rsidR="0011546B" w:rsidRPr="005346DB">
        <w:t>defeat at an election, or as the result of resignation or not seeking re-election, and who are not eligible for the pension</w:t>
      </w:r>
    </w:p>
    <w:p w14:paraId="742D83DF" w14:textId="12D76BE0" w:rsidR="0011546B" w:rsidRPr="005346DB" w:rsidRDefault="0011546B" w:rsidP="008E3188">
      <w:pPr>
        <w:pStyle w:val="VIRTBulletpoints"/>
      </w:pPr>
      <w:r w:rsidRPr="005346DB">
        <w:t xml:space="preserve">the personal representative of an MP </w:t>
      </w:r>
      <w:r w:rsidR="00A4065E" w:rsidRPr="005346DB">
        <w:t>who</w:t>
      </w:r>
      <w:r w:rsidRPr="005346DB">
        <w:t xml:space="preserve"> dies while serving if they are</w:t>
      </w:r>
      <w:r w:rsidR="00A4065E" w:rsidRPr="005346DB">
        <w:t xml:space="preserve"> not</w:t>
      </w:r>
      <w:r w:rsidRPr="005346DB">
        <w:t xml:space="preserve"> survived by a partner</w:t>
      </w:r>
      <w:r w:rsidR="00921D2B" w:rsidRPr="005346DB">
        <w:t xml:space="preserve"> or</w:t>
      </w:r>
      <w:r w:rsidRPr="005346DB">
        <w:t xml:space="preserve"> </w:t>
      </w:r>
      <w:r w:rsidR="005245FE" w:rsidRPr="005346DB">
        <w:t xml:space="preserve">eligible </w:t>
      </w:r>
      <w:r w:rsidRPr="005346DB">
        <w:t>children.</w:t>
      </w:r>
      <w:r w:rsidR="00151F09">
        <w:rPr>
          <w:rStyle w:val="FootnoteReference"/>
        </w:rPr>
        <w:footnoteReference w:id="10"/>
      </w:r>
    </w:p>
    <w:p w14:paraId="1128F46E" w14:textId="77777777" w:rsidR="00DC3DE4" w:rsidRPr="005600EE" w:rsidRDefault="00DC3DE4" w:rsidP="0095281B">
      <w:pPr>
        <w:pStyle w:val="VirtHeading3"/>
      </w:pPr>
      <w:r w:rsidRPr="005600EE">
        <w:t>Existing Benefits Scheme</w:t>
      </w:r>
    </w:p>
    <w:p w14:paraId="6B35E185" w14:textId="77777777" w:rsidR="00DC3DE4" w:rsidRPr="00DC3DE4" w:rsidRDefault="00DC3DE4" w:rsidP="00A91560">
      <w:pPr>
        <w:pStyle w:val="Parapraphbeforeabulletlist"/>
      </w:pPr>
      <w:r w:rsidRPr="00DC3DE4">
        <w:t>The lump</w:t>
      </w:r>
      <w:r>
        <w:t xml:space="preserve"> </w:t>
      </w:r>
      <w:r w:rsidRPr="00DC3DE4">
        <w:t>sum payment is equal to</w:t>
      </w:r>
      <w:r>
        <w:t xml:space="preserve"> the sum of</w:t>
      </w:r>
      <w:r w:rsidRPr="00DC3DE4">
        <w:t>:</w:t>
      </w:r>
    </w:p>
    <w:p w14:paraId="0D19A90D" w14:textId="77777777" w:rsidR="00DC3DE4" w:rsidRPr="005346DB" w:rsidRDefault="00DC3DE4" w:rsidP="008E3188">
      <w:pPr>
        <w:pStyle w:val="VIRTBulletpoints"/>
      </w:pPr>
      <w:r w:rsidRPr="005346DB">
        <w:t xml:space="preserve">the </w:t>
      </w:r>
      <w:r w:rsidR="007C6383" w:rsidRPr="005346DB">
        <w:t xml:space="preserve">contributions </w:t>
      </w:r>
      <w:r w:rsidRPr="005346DB">
        <w:t>made from the MP’s salary</w:t>
      </w:r>
    </w:p>
    <w:p w14:paraId="2C770368" w14:textId="3F2BD56A" w:rsidR="00DC3DE4" w:rsidRPr="005346DB" w:rsidRDefault="00DC3DE4" w:rsidP="008E3188">
      <w:pPr>
        <w:pStyle w:val="VIRTBulletpoints"/>
      </w:pPr>
      <w:r w:rsidRPr="005346DB">
        <w:t>2</w:t>
      </w:r>
      <w:r w:rsidR="002C0547" w:rsidRPr="005346DB">
        <w:t xml:space="preserve"> </w:t>
      </w:r>
      <w:r w:rsidR="002C0547" w:rsidRPr="005346DB">
        <w:rPr>
          <w:vertAlign w:val="superscript"/>
        </w:rPr>
        <w:t>1</w:t>
      </w:r>
      <w:r w:rsidR="002C0547" w:rsidRPr="005346DB">
        <w:t>/</w:t>
      </w:r>
      <w:r w:rsidR="002C0547" w:rsidRPr="005346DB">
        <w:rPr>
          <w:vertAlign w:val="subscript"/>
        </w:rPr>
        <w:t>3</w:t>
      </w:r>
      <w:r w:rsidR="00A25E63" w:rsidRPr="005346DB">
        <w:t xml:space="preserve"> </w:t>
      </w:r>
      <w:r w:rsidRPr="005346DB">
        <w:t xml:space="preserve">times the </w:t>
      </w:r>
      <w:r w:rsidR="007C6383" w:rsidRPr="005346DB">
        <w:t>contributions</w:t>
      </w:r>
      <w:r w:rsidRPr="005346DB">
        <w:t xml:space="preserve"> made before 1 December 1993 and 1</w:t>
      </w:r>
      <w:r w:rsidR="002C0547" w:rsidRPr="005346DB">
        <w:t xml:space="preserve"> </w:t>
      </w:r>
      <w:r w:rsidR="002C0547" w:rsidRPr="005346DB">
        <w:rPr>
          <w:vertAlign w:val="superscript"/>
        </w:rPr>
        <w:t>2</w:t>
      </w:r>
      <w:r w:rsidR="002C0547" w:rsidRPr="005346DB">
        <w:t>/</w:t>
      </w:r>
      <w:r w:rsidR="002C0547" w:rsidRPr="005346DB">
        <w:rPr>
          <w:vertAlign w:val="subscript"/>
        </w:rPr>
        <w:t>3</w:t>
      </w:r>
      <w:r w:rsidR="00A25E63" w:rsidRPr="005346DB">
        <w:t xml:space="preserve"> </w:t>
      </w:r>
      <w:r w:rsidRPr="005346DB">
        <w:t xml:space="preserve">times the </w:t>
      </w:r>
      <w:r w:rsidR="007C6383" w:rsidRPr="005346DB">
        <w:t>contributions</w:t>
      </w:r>
      <w:r w:rsidRPr="005346DB">
        <w:t xml:space="preserve"> made after that date (</w:t>
      </w:r>
      <w:r w:rsidR="00E53843" w:rsidRPr="005346DB">
        <w:t>A</w:t>
      </w:r>
      <w:r w:rsidRPr="005346DB">
        <w:t xml:space="preserve">dditional </w:t>
      </w:r>
      <w:r w:rsidR="00E53843" w:rsidRPr="005346DB">
        <w:t>A</w:t>
      </w:r>
      <w:r w:rsidRPr="005346DB">
        <w:t xml:space="preserve">mount). </w:t>
      </w:r>
    </w:p>
    <w:p w14:paraId="6CCA82A6" w14:textId="41FDB18A" w:rsidR="00DC3DE4" w:rsidRPr="00DC3DE4" w:rsidRDefault="00DC3DE4" w:rsidP="00A91560">
      <w:pPr>
        <w:pStyle w:val="Parapraphbeforeabulletlist"/>
      </w:pPr>
      <w:r w:rsidRPr="00DC3DE4">
        <w:t>However, if a lump</w:t>
      </w:r>
      <w:r>
        <w:t xml:space="preserve"> </w:t>
      </w:r>
      <w:r w:rsidRPr="00DC3DE4">
        <w:t>sum payment is being made to a</w:t>
      </w:r>
      <w:r w:rsidR="003775A9">
        <w:t xml:space="preserve"> former</w:t>
      </w:r>
      <w:r w:rsidRPr="00DC3DE4">
        <w:t xml:space="preserve"> MP who did</w:t>
      </w:r>
      <w:r w:rsidR="00A4065E">
        <w:t xml:space="preserve"> not</w:t>
      </w:r>
      <w:r w:rsidRPr="00DC3DE4">
        <w:t xml:space="preserve"> cease to be a member</w:t>
      </w:r>
      <w:r w:rsidR="007C6383">
        <w:t xml:space="preserve"> of the Parliament</w:t>
      </w:r>
      <w:r w:rsidR="004D1673" w:rsidRPr="003114D8">
        <w:t>—</w:t>
      </w:r>
    </w:p>
    <w:p w14:paraId="3002FA4A" w14:textId="77777777" w:rsidR="00DC3DE4" w:rsidRPr="005346DB" w:rsidRDefault="00DC3DE4" w:rsidP="008E3188">
      <w:pPr>
        <w:pStyle w:val="VIRTBulletpoints"/>
      </w:pPr>
      <w:r w:rsidRPr="005346DB">
        <w:t xml:space="preserve">as the result of defeat at an election, or </w:t>
      </w:r>
    </w:p>
    <w:p w14:paraId="7D48B694" w14:textId="796E8435" w:rsidR="00DC3DE4" w:rsidRPr="005346DB" w:rsidRDefault="00DC3DE4" w:rsidP="008E3188">
      <w:pPr>
        <w:pStyle w:val="VIRTBulletpoints"/>
      </w:pPr>
      <w:r w:rsidRPr="005346DB">
        <w:t>as the result of resignation or not seeking re-election, for good and sufficient reasons which satisfy the trustees</w:t>
      </w:r>
      <w:r w:rsidR="004D1673" w:rsidRPr="005346DB">
        <w:t>—</w:t>
      </w:r>
      <w:r w:rsidRPr="005346DB">
        <w:t xml:space="preserve"> </w:t>
      </w:r>
    </w:p>
    <w:p w14:paraId="699159D4" w14:textId="77777777" w:rsidR="00DC3DE4" w:rsidRPr="00A91560" w:rsidRDefault="00DC3DE4" w:rsidP="00A91560">
      <w:pPr>
        <w:pStyle w:val="Paragraph"/>
      </w:pPr>
      <w:r w:rsidRPr="00A91560">
        <w:t xml:space="preserve">then they only </w:t>
      </w:r>
      <w:r w:rsidR="007C6383" w:rsidRPr="00A91560">
        <w:t>receive</w:t>
      </w:r>
      <w:r w:rsidRPr="00A91560">
        <w:t xml:space="preserve"> their </w:t>
      </w:r>
      <w:r w:rsidR="007C6383" w:rsidRPr="00A91560">
        <w:t>contributions</w:t>
      </w:r>
      <w:r w:rsidRPr="00A91560">
        <w:t xml:space="preserve"> back plus half of the </w:t>
      </w:r>
      <w:r w:rsidR="00E53843" w:rsidRPr="00A91560">
        <w:t>A</w:t>
      </w:r>
      <w:r w:rsidRPr="00A91560">
        <w:t xml:space="preserve">dditional </w:t>
      </w:r>
      <w:r w:rsidR="00E53843" w:rsidRPr="00A91560">
        <w:t>A</w:t>
      </w:r>
      <w:r w:rsidRPr="00A91560">
        <w:t>mount.</w:t>
      </w:r>
    </w:p>
    <w:p w14:paraId="083002D8" w14:textId="07D0C6D2" w:rsidR="00DC3DE4" w:rsidRDefault="007C6383" w:rsidP="00A91560">
      <w:pPr>
        <w:pStyle w:val="Paragraph"/>
      </w:pPr>
      <w:r w:rsidRPr="00A91560">
        <w:t xml:space="preserve">Special rules apply for </w:t>
      </w:r>
      <w:r w:rsidR="003775A9" w:rsidRPr="00A91560">
        <w:t xml:space="preserve">former </w:t>
      </w:r>
      <w:r w:rsidRPr="00A91560">
        <w:t>MPs that receive a lump sum payment and subsequently bec</w:t>
      </w:r>
      <w:r w:rsidR="003775A9" w:rsidRPr="00A91560">
        <w:t>o</w:t>
      </w:r>
      <w:r w:rsidRPr="00A91560">
        <w:t>me eligible for a pension (i.e. as a result of returning to the Parliament)</w:t>
      </w:r>
      <w:r w:rsidR="00DC3DE4" w:rsidRPr="00A91560">
        <w:t>.</w:t>
      </w:r>
    </w:p>
    <w:p w14:paraId="1C6DCA4D" w14:textId="77777777" w:rsidR="0095281B" w:rsidRDefault="0095281B" w:rsidP="0095281B">
      <w:pPr>
        <w:pStyle w:val="VirtHeading3"/>
      </w:pPr>
    </w:p>
    <w:p w14:paraId="22866DFE" w14:textId="77777777" w:rsidR="0095281B" w:rsidRDefault="0095281B" w:rsidP="0095281B">
      <w:pPr>
        <w:pStyle w:val="VirtHeading3"/>
      </w:pPr>
    </w:p>
    <w:p w14:paraId="380324B3" w14:textId="77777777" w:rsidR="0095281B" w:rsidRDefault="0095281B" w:rsidP="0095281B">
      <w:pPr>
        <w:pStyle w:val="VirtHeading3"/>
      </w:pPr>
    </w:p>
    <w:p w14:paraId="0386FDB2" w14:textId="77777777" w:rsidR="0095281B" w:rsidRDefault="0095281B" w:rsidP="0095281B">
      <w:pPr>
        <w:pStyle w:val="VirtHeading3"/>
      </w:pPr>
    </w:p>
    <w:p w14:paraId="34E9D05E" w14:textId="6BA3BC98" w:rsidR="00DC3DE4" w:rsidRPr="005600EE" w:rsidRDefault="00DC3DE4" w:rsidP="0095281B">
      <w:pPr>
        <w:pStyle w:val="VirtHeading3"/>
      </w:pPr>
      <w:r w:rsidRPr="005600EE">
        <w:t>New Benefits Scheme</w:t>
      </w:r>
    </w:p>
    <w:p w14:paraId="08EB6CF6" w14:textId="020C7441" w:rsidR="00DC3DE4" w:rsidRPr="00DC3DE4" w:rsidRDefault="00DC3DE4" w:rsidP="0095281B">
      <w:pPr>
        <w:pStyle w:val="Paragraph"/>
      </w:pPr>
      <w:r w:rsidRPr="00DC3DE4">
        <w:t>If a</w:t>
      </w:r>
      <w:r w:rsidR="003775A9">
        <w:t xml:space="preserve"> former</w:t>
      </w:r>
      <w:r w:rsidRPr="00DC3DE4">
        <w:t xml:space="preserve"> MP retire</w:t>
      </w:r>
      <w:r w:rsidR="003775A9">
        <w:t>d</w:t>
      </w:r>
      <w:r w:rsidR="00F610F1">
        <w:t xml:space="preserve"> </w:t>
      </w:r>
      <w:r w:rsidRPr="00DC3DE4">
        <w:t>involuntarily, the lump</w:t>
      </w:r>
      <w:r w:rsidR="00431828">
        <w:t xml:space="preserve"> </w:t>
      </w:r>
      <w:r w:rsidRPr="00DC3DE4">
        <w:t xml:space="preserve">sum payment is equal to the deductions made from the MP’s salary </w:t>
      </w:r>
      <w:r w:rsidR="00431828">
        <w:t>multiplied by</w:t>
      </w:r>
      <w:r w:rsidRPr="00DC3DE4">
        <w:t xml:space="preserve"> 3</w:t>
      </w:r>
      <w:r w:rsidR="004D1673">
        <w:t xml:space="preserve"> </w:t>
      </w:r>
      <w:r w:rsidR="004D1673" w:rsidRPr="005346DB">
        <w:rPr>
          <w:vertAlign w:val="superscript"/>
        </w:rPr>
        <w:t>1</w:t>
      </w:r>
      <w:r w:rsidR="004D1673">
        <w:t>/</w:t>
      </w:r>
      <w:r w:rsidR="004D1673" w:rsidRPr="005346DB">
        <w:rPr>
          <w:vertAlign w:val="subscript"/>
        </w:rPr>
        <w:t>3</w:t>
      </w:r>
      <w:r w:rsidR="00550423">
        <w:t>.</w:t>
      </w:r>
      <w:r w:rsidR="00A56DCE">
        <w:rPr>
          <w:rStyle w:val="FootnoteReference"/>
          <w:rFonts w:eastAsiaTheme="minorEastAsia"/>
        </w:rPr>
        <w:footnoteReference w:id="11"/>
      </w:r>
    </w:p>
    <w:p w14:paraId="4ABFBF6E" w14:textId="3E033718" w:rsidR="00DC3DE4" w:rsidRPr="00DC3DE4" w:rsidRDefault="00DC3DE4" w:rsidP="00A91560">
      <w:pPr>
        <w:pStyle w:val="Parapraphbeforeabulletlist"/>
      </w:pPr>
      <w:r w:rsidRPr="00DC3DE4">
        <w:t>If a</w:t>
      </w:r>
      <w:r w:rsidR="003775A9">
        <w:t xml:space="preserve"> former </w:t>
      </w:r>
      <w:r w:rsidRPr="00DC3DE4">
        <w:t>MP retire</w:t>
      </w:r>
      <w:r w:rsidR="003775A9">
        <w:t>d</w:t>
      </w:r>
      <w:r w:rsidRPr="00DC3DE4">
        <w:t xml:space="preserve"> voluntarily, their lump</w:t>
      </w:r>
      <w:r w:rsidR="00431828">
        <w:t xml:space="preserve"> </w:t>
      </w:r>
      <w:r w:rsidRPr="00DC3DE4">
        <w:t>sum payment is instead equal to</w:t>
      </w:r>
      <w:r w:rsidR="00431828">
        <w:t xml:space="preserve"> the sum of</w:t>
      </w:r>
      <w:r w:rsidRPr="00DC3DE4">
        <w:t>:</w:t>
      </w:r>
    </w:p>
    <w:p w14:paraId="391FC34A" w14:textId="77777777" w:rsidR="00DC3DE4" w:rsidRPr="005346DB" w:rsidRDefault="00DC3DE4" w:rsidP="008E3188">
      <w:pPr>
        <w:pStyle w:val="VIRTBulletpoints"/>
      </w:pPr>
      <w:r w:rsidRPr="005346DB">
        <w:t>the deductions made from their salary</w:t>
      </w:r>
    </w:p>
    <w:p w14:paraId="1293D00B" w14:textId="0CD07E32" w:rsidR="00242595" w:rsidRPr="005346DB" w:rsidRDefault="00DC3DE4" w:rsidP="008E3188">
      <w:pPr>
        <w:pStyle w:val="VIRTBulletpoints"/>
      </w:pPr>
      <w:r w:rsidRPr="005346DB">
        <w:t xml:space="preserve">1 </w:t>
      </w:r>
      <w:r w:rsidR="004D1673" w:rsidRPr="005346DB">
        <w:rPr>
          <w:vertAlign w:val="superscript"/>
        </w:rPr>
        <w:t>1</w:t>
      </w:r>
      <w:r w:rsidR="004D1673" w:rsidRPr="005346DB">
        <w:t>/</w:t>
      </w:r>
      <w:r w:rsidR="004D1673" w:rsidRPr="005346DB">
        <w:rPr>
          <w:vertAlign w:val="subscript"/>
        </w:rPr>
        <w:t>6</w:t>
      </w:r>
      <w:r w:rsidR="00A152E0">
        <w:t xml:space="preserve"> </w:t>
      </w:r>
      <w:r w:rsidRPr="005346DB">
        <w:t>times the deductions made during the last 8 years of service.</w:t>
      </w:r>
    </w:p>
    <w:p w14:paraId="4BA0E786" w14:textId="73754C1D" w:rsidR="00431828" w:rsidRPr="00B37AE1" w:rsidRDefault="00AD4C4D" w:rsidP="0095281B">
      <w:pPr>
        <w:pStyle w:val="VIRTHeading2"/>
      </w:pPr>
      <w:r w:rsidRPr="00B37AE1">
        <w:t>A</w:t>
      </w:r>
      <w:r w:rsidR="00FC5107">
        <w:t>8.</w:t>
      </w:r>
      <w:r w:rsidR="008E3188">
        <w:tab/>
      </w:r>
      <w:r w:rsidR="00431828" w:rsidRPr="00B37AE1">
        <w:t>Converting all or part of a pension into a lump sum</w:t>
      </w:r>
    </w:p>
    <w:p w14:paraId="76DEDBFD" w14:textId="77777777" w:rsidR="00015396" w:rsidRPr="005600EE" w:rsidRDefault="00015396" w:rsidP="0095281B">
      <w:pPr>
        <w:pStyle w:val="VirtHeading3"/>
      </w:pPr>
      <w:r w:rsidRPr="005600EE">
        <w:t>Existing Benefits Scheme</w:t>
      </w:r>
    </w:p>
    <w:p w14:paraId="5EAA70B8" w14:textId="77777777" w:rsidR="00436EE8" w:rsidRDefault="003775A9" w:rsidP="001E2EF5">
      <w:pPr>
        <w:pStyle w:val="Paragraph"/>
      </w:pPr>
      <w:r>
        <w:t xml:space="preserve">Former </w:t>
      </w:r>
      <w:r w:rsidR="00015396" w:rsidRPr="00015396">
        <w:t xml:space="preserve">MPs </w:t>
      </w:r>
      <w:r w:rsidR="00436EE8">
        <w:t xml:space="preserve">in the Existing Benefits Scheme </w:t>
      </w:r>
      <w:r w:rsidR="00015396" w:rsidRPr="00015396">
        <w:t xml:space="preserve">that are entitled to the pension may, within </w:t>
      </w:r>
      <w:r w:rsidR="00173CE8">
        <w:t>3</w:t>
      </w:r>
      <w:r w:rsidR="00015396" w:rsidRPr="00015396">
        <w:t xml:space="preserve"> months of ceasing to be a member</w:t>
      </w:r>
      <w:r w:rsidR="007C6383">
        <w:t xml:space="preserve"> of the Parliament</w:t>
      </w:r>
      <w:r w:rsidR="00015396" w:rsidRPr="00015396">
        <w:t>, elect to convert all or part of their pension into a lump sum payment.</w:t>
      </w:r>
      <w:r w:rsidR="003B0154">
        <w:rPr>
          <w:rStyle w:val="FootnoteReference"/>
        </w:rPr>
        <w:footnoteReference w:id="12"/>
      </w:r>
      <w:r w:rsidR="00015396" w:rsidRPr="00015396">
        <w:t xml:space="preserve"> </w:t>
      </w:r>
    </w:p>
    <w:p w14:paraId="4BB32DC4" w14:textId="2E2B30E3" w:rsidR="00EF2001" w:rsidRPr="00015396" w:rsidRDefault="00436EE8" w:rsidP="001E2EF5">
      <w:pPr>
        <w:pStyle w:val="Paragraph"/>
      </w:pPr>
      <w:r>
        <w:t xml:space="preserve">The </w:t>
      </w:r>
      <w:r w:rsidR="003775A9">
        <w:t xml:space="preserve">former </w:t>
      </w:r>
      <w:r>
        <w:t xml:space="preserve">MP’s ongoing pension is then reduced by the percentage of the pension that they converted into a lump sum. </w:t>
      </w:r>
      <w:r w:rsidR="007C6383">
        <w:t xml:space="preserve">For </w:t>
      </w:r>
      <w:r w:rsidR="003775A9">
        <w:t xml:space="preserve">former </w:t>
      </w:r>
      <w:r w:rsidR="007C6383">
        <w:t>MPs that were younger tha</w:t>
      </w:r>
      <w:r w:rsidR="001E33C2">
        <w:t>n</w:t>
      </w:r>
      <w:r w:rsidR="007C6383">
        <w:t xml:space="preserve"> 66</w:t>
      </w:r>
      <w:r w:rsidR="0091219A">
        <w:t> years</w:t>
      </w:r>
      <w:r w:rsidR="007C6383">
        <w:t xml:space="preserve"> </w:t>
      </w:r>
      <w:r w:rsidR="0091219A">
        <w:t xml:space="preserve">old </w:t>
      </w:r>
      <w:r w:rsidR="007C6383">
        <w:t>when they left the Parliament, t</w:t>
      </w:r>
      <w:r w:rsidR="00015396" w:rsidRPr="00015396">
        <w:t xml:space="preserve">he </w:t>
      </w:r>
      <w:r w:rsidR="005245FE">
        <w:t xml:space="preserve">maximum </w:t>
      </w:r>
      <w:r w:rsidR="00015396" w:rsidRPr="00015396">
        <w:t>lump sum is equal to the annual pension entitlement multiplied by</w:t>
      </w:r>
      <w:r w:rsidR="007C6383">
        <w:t xml:space="preserve"> 10. The lump sum payment is reduced for </w:t>
      </w:r>
      <w:r w:rsidR="003775A9">
        <w:t xml:space="preserve">former </w:t>
      </w:r>
      <w:r w:rsidR="007C6383">
        <w:t>MPs that reach</w:t>
      </w:r>
      <w:r w:rsidR="003775A9">
        <w:t xml:space="preserve">ed </w:t>
      </w:r>
      <w:r w:rsidR="007C6383">
        <w:t>66 years of age</w:t>
      </w:r>
      <w:r w:rsidR="003775A9">
        <w:t xml:space="preserve"> while serving</w:t>
      </w:r>
      <w:r w:rsidR="004928EE">
        <w:t xml:space="preserve"> </w:t>
      </w:r>
      <w:r w:rsidR="003775A9">
        <w:t>as an MP</w:t>
      </w:r>
      <w:r w:rsidR="007C6383">
        <w:t>, unless they le</w:t>
      </w:r>
      <w:r w:rsidR="003775A9">
        <w:t>ft</w:t>
      </w:r>
      <w:r w:rsidR="007C6383">
        <w:t xml:space="preserve"> the Parliament at or before the next general election held after they reached 66</w:t>
      </w:r>
      <w:r w:rsidR="00460AF4">
        <w:t> </w:t>
      </w:r>
      <w:r w:rsidR="007C6383">
        <w:t xml:space="preserve">years of age and </w:t>
      </w:r>
      <w:r w:rsidR="003775A9">
        <w:t>their leaving did</w:t>
      </w:r>
      <w:r w:rsidR="007C6383">
        <w:t xml:space="preserve"> not require the holding of a by-election.</w:t>
      </w:r>
    </w:p>
    <w:p w14:paraId="33EF99C3" w14:textId="77777777" w:rsidR="00015396" w:rsidRDefault="00436EE8" w:rsidP="001E2EF5">
      <w:pPr>
        <w:pStyle w:val="Paragraph"/>
      </w:pPr>
      <w:r>
        <w:t xml:space="preserve">Special rules apply for </w:t>
      </w:r>
      <w:r w:rsidR="003775A9">
        <w:t xml:space="preserve">former </w:t>
      </w:r>
      <w:r>
        <w:t>MPs that choose to convert part of their pension into a lump sum payment, and subsequently return to the Parliament</w:t>
      </w:r>
      <w:r w:rsidR="00015396">
        <w:t>.</w:t>
      </w:r>
      <w:r w:rsidR="00A25E63">
        <w:rPr>
          <w:rStyle w:val="FootnoteReference"/>
        </w:rPr>
        <w:footnoteReference w:id="13"/>
      </w:r>
    </w:p>
    <w:p w14:paraId="09EA945A" w14:textId="77777777" w:rsidR="00015396" w:rsidRPr="005600EE" w:rsidRDefault="00015396" w:rsidP="0095281B">
      <w:pPr>
        <w:pStyle w:val="VirtHeading3"/>
      </w:pPr>
      <w:r w:rsidRPr="005600EE">
        <w:t>New Benefits Scheme</w:t>
      </w:r>
    </w:p>
    <w:p w14:paraId="0749F141" w14:textId="5794B199" w:rsidR="00015396" w:rsidRPr="00015396" w:rsidRDefault="003775A9" w:rsidP="001E2EF5">
      <w:pPr>
        <w:pStyle w:val="Paragraph"/>
      </w:pPr>
      <w:r>
        <w:t xml:space="preserve">Former </w:t>
      </w:r>
      <w:r w:rsidR="00015396" w:rsidRPr="00015396">
        <w:t xml:space="preserve">MPs </w:t>
      </w:r>
      <w:r w:rsidR="00436EE8">
        <w:t xml:space="preserve">in the New Benefits Scheme </w:t>
      </w:r>
      <w:r w:rsidR="00015396" w:rsidRPr="00015396">
        <w:t xml:space="preserve">that are entitled to the pension may, within </w:t>
      </w:r>
      <w:r w:rsidR="00173CE8">
        <w:t>3</w:t>
      </w:r>
      <w:r w:rsidR="00015396" w:rsidRPr="00015396">
        <w:t xml:space="preserve"> months of ceasing to be a member</w:t>
      </w:r>
      <w:r w:rsidR="00436EE8">
        <w:t xml:space="preserve"> of </w:t>
      </w:r>
      <w:r w:rsidR="007244F3">
        <w:t xml:space="preserve">the </w:t>
      </w:r>
      <w:r w:rsidR="00436EE8">
        <w:t>Parliament</w:t>
      </w:r>
      <w:r w:rsidR="00015396" w:rsidRPr="00015396">
        <w:t>, elect to convert all or part of their pension into a lump sum payment. The rules on how the lump sum is calculated and the annual pension is reduced are the same as for the Existing Benefits Scheme, explained above.</w:t>
      </w:r>
      <w:r w:rsidR="00AA45A4">
        <w:rPr>
          <w:rStyle w:val="FootnoteReference"/>
        </w:rPr>
        <w:footnoteReference w:id="14"/>
      </w:r>
    </w:p>
    <w:p w14:paraId="6060AF8B" w14:textId="77777777" w:rsidR="00460AF4" w:rsidRDefault="00015396" w:rsidP="001E2EF5">
      <w:pPr>
        <w:pStyle w:val="Paragraph"/>
      </w:pPr>
      <w:r w:rsidRPr="00015396">
        <w:t>Under the rules for the New Benefits Scheme, ESSSuper may defer a</w:t>
      </w:r>
      <w:r w:rsidR="003775A9">
        <w:t xml:space="preserve"> former</w:t>
      </w:r>
      <w:r w:rsidRPr="00015396">
        <w:t xml:space="preserve"> MP’s decision to convert part of their pension into a lump sum for up to 12 months, if it is of the opinion that the person is likely to become an MP again within 12 months of becoming eligible for the pension. If th</w:t>
      </w:r>
      <w:r w:rsidR="00436EE8">
        <w:t>at</w:t>
      </w:r>
      <w:r w:rsidRPr="00015396">
        <w:t xml:space="preserve"> person become</w:t>
      </w:r>
      <w:r w:rsidR="00436EE8">
        <w:t>s</w:t>
      </w:r>
      <w:r w:rsidRPr="00015396">
        <w:t xml:space="preserve"> an MP again within the 12 month</w:t>
      </w:r>
      <w:r w:rsidR="00436EE8">
        <w:t xml:space="preserve"> period</w:t>
      </w:r>
      <w:r w:rsidRPr="00015396">
        <w:t>, the</w:t>
      </w:r>
      <w:r w:rsidR="00436EE8">
        <w:t>ir decision is of no effect</w:t>
      </w:r>
      <w:r w:rsidRPr="00015396">
        <w:t>.</w:t>
      </w:r>
      <w:r w:rsidR="007113CE">
        <w:t xml:space="preserve"> </w:t>
      </w:r>
    </w:p>
    <w:p w14:paraId="3AB8F2B3" w14:textId="49FF40AB" w:rsidR="00A25E63" w:rsidRDefault="00436EE8" w:rsidP="001E2EF5">
      <w:pPr>
        <w:pStyle w:val="Paragraph"/>
      </w:pPr>
      <w:r>
        <w:t xml:space="preserve">Special rules apply for </w:t>
      </w:r>
      <w:r w:rsidR="003775A9">
        <w:t xml:space="preserve">former </w:t>
      </w:r>
      <w:r>
        <w:t xml:space="preserve">MPs that choose to convert part of their pension into a lump sum payment, </w:t>
      </w:r>
      <w:r w:rsidRPr="00D51B93">
        <w:t>and</w:t>
      </w:r>
      <w:r>
        <w:t xml:space="preserve"> subsequently return to the Parliament.</w:t>
      </w:r>
    </w:p>
    <w:p w14:paraId="64439DAF" w14:textId="2FABE088" w:rsidR="00A25E63" w:rsidRPr="00B37AE1" w:rsidRDefault="00AD4C4D" w:rsidP="0095281B">
      <w:pPr>
        <w:pStyle w:val="VIRTHeading2"/>
      </w:pPr>
      <w:r w:rsidRPr="00B37AE1">
        <w:t>A</w:t>
      </w:r>
      <w:r w:rsidR="00FC5107">
        <w:t>9.</w:t>
      </w:r>
      <w:r w:rsidR="008E3188">
        <w:tab/>
      </w:r>
      <w:r w:rsidR="00A25E63" w:rsidRPr="00B37AE1">
        <w:t>Restrictions on lump sum payments due to preservation</w:t>
      </w:r>
    </w:p>
    <w:p w14:paraId="1105288E" w14:textId="1230E403" w:rsidR="003114D8" w:rsidRDefault="003114D8" w:rsidP="001E2EF5">
      <w:pPr>
        <w:pStyle w:val="Paragraph"/>
      </w:pPr>
      <w:r>
        <w:t xml:space="preserve">As explained above, under both schemes, </w:t>
      </w:r>
      <w:r w:rsidR="003775A9">
        <w:t xml:space="preserve">former </w:t>
      </w:r>
      <w:r>
        <w:t xml:space="preserve">MPs may receive a lump sum payment, either because they are ineligible to receive the pension or because they choose to convert part or all of their pension into a lump sum. However, the lump sum amount that </w:t>
      </w:r>
      <w:r w:rsidR="003775A9">
        <w:t xml:space="preserve">former </w:t>
      </w:r>
      <w:r>
        <w:t>MPs can receive is restricted by Commonwealth ‘preservation’ rules. These rules restrict how much of a lump sum retirement benefit can be provided to a person before they retire and reach their ‘preservation age’ (</w:t>
      </w:r>
      <w:r w:rsidR="00436EE8">
        <w:t xml:space="preserve">which </w:t>
      </w:r>
      <w:r>
        <w:t xml:space="preserve">ranges from 55 to 60 </w:t>
      </w:r>
      <w:r w:rsidR="007244F3">
        <w:t xml:space="preserve">years </w:t>
      </w:r>
      <w:r>
        <w:t xml:space="preserve">depending on when the person was born). These restrictions cease to apply once the person reaches 65 </w:t>
      </w:r>
      <w:r w:rsidR="007244F3">
        <w:t xml:space="preserve">years </w:t>
      </w:r>
      <w:r>
        <w:t>or in other specific circumstances (e.g. death or permanent disablement).</w:t>
      </w:r>
    </w:p>
    <w:p w14:paraId="0DF18B3B" w14:textId="2DE0D609" w:rsidR="00A25E63" w:rsidRPr="00B37AE1" w:rsidRDefault="00AD4C4D" w:rsidP="0095281B">
      <w:pPr>
        <w:pStyle w:val="VIRTHeading2"/>
      </w:pPr>
      <w:r w:rsidRPr="00B37AE1">
        <w:t>A</w:t>
      </w:r>
      <w:r w:rsidR="00FC5107">
        <w:t>10.</w:t>
      </w:r>
      <w:r w:rsidR="008E3188">
        <w:tab/>
      </w:r>
      <w:r w:rsidR="00A25E63" w:rsidRPr="00B37AE1">
        <w:t xml:space="preserve">Special rules for ceasing to be an MP due to </w:t>
      </w:r>
      <w:r w:rsidR="0021718D">
        <w:br/>
      </w:r>
      <w:r w:rsidR="00A25E63" w:rsidRPr="00B37AE1">
        <w:t>ill-health</w:t>
      </w:r>
    </w:p>
    <w:p w14:paraId="06772064" w14:textId="3C4008D3" w:rsidR="003114D8" w:rsidRPr="003114D8" w:rsidRDefault="003114D8" w:rsidP="001E2EF5">
      <w:pPr>
        <w:pStyle w:val="Paragraph"/>
      </w:pPr>
      <w:r>
        <w:t xml:space="preserve">Both schemes feature special rules regarding pensions provided to </w:t>
      </w:r>
      <w:r w:rsidR="003775A9">
        <w:t xml:space="preserve">former </w:t>
      </w:r>
      <w:r>
        <w:t>MPs who cease</w:t>
      </w:r>
      <w:r w:rsidR="003775A9">
        <w:t>d</w:t>
      </w:r>
      <w:r>
        <w:t xml:space="preserve"> to be a member</w:t>
      </w:r>
      <w:r w:rsidR="00436EE8">
        <w:t xml:space="preserve"> of </w:t>
      </w:r>
      <w:r w:rsidR="007244F3">
        <w:t xml:space="preserve">the </w:t>
      </w:r>
      <w:r w:rsidR="00436EE8">
        <w:t>Parliament</w:t>
      </w:r>
      <w:r>
        <w:t xml:space="preserve"> because their ill-health rendered them incapable of </w:t>
      </w:r>
      <w:r w:rsidR="00436EE8">
        <w:t>serving</w:t>
      </w:r>
      <w:r>
        <w:t xml:space="preserve">. Subject to certain requirements, these </w:t>
      </w:r>
      <w:r w:rsidR="003775A9">
        <w:t xml:space="preserve">former </w:t>
      </w:r>
      <w:r>
        <w:t>MPs can receive the pension regardless of time served.</w:t>
      </w:r>
      <w:r>
        <w:rPr>
          <w:rStyle w:val="FootnoteReference"/>
        </w:rPr>
        <w:footnoteReference w:id="15"/>
      </w:r>
      <w:r>
        <w:t xml:space="preserve"> However, these </w:t>
      </w:r>
      <w:r w:rsidR="003775A9">
        <w:t xml:space="preserve">former </w:t>
      </w:r>
      <w:r>
        <w:t xml:space="preserve">MPs are not able to cash out their pension for a lump sum. </w:t>
      </w:r>
    </w:p>
    <w:p w14:paraId="23225A85" w14:textId="7AE648A3" w:rsidR="00A25E63" w:rsidRPr="00B37AE1" w:rsidRDefault="00DD6C88" w:rsidP="0095281B">
      <w:pPr>
        <w:pStyle w:val="VIRTHeading2"/>
      </w:pPr>
      <w:r w:rsidRPr="00B37AE1">
        <w:t>A</w:t>
      </w:r>
      <w:r w:rsidR="00FC5107">
        <w:t>11.</w:t>
      </w:r>
      <w:r w:rsidR="0021718D">
        <w:tab/>
      </w:r>
      <w:r w:rsidR="00A25E63" w:rsidRPr="00B37AE1">
        <w:t>Partner pensions</w:t>
      </w:r>
    </w:p>
    <w:p w14:paraId="77F77103" w14:textId="77777777" w:rsidR="003114D8" w:rsidRDefault="003114D8" w:rsidP="001E2EF5">
      <w:pPr>
        <w:pStyle w:val="Paragraph"/>
      </w:pPr>
      <w:r w:rsidRPr="003114D8">
        <w:t>Following the</w:t>
      </w:r>
      <w:r>
        <w:t xml:space="preserve"> death of an MP</w:t>
      </w:r>
      <w:r w:rsidR="003775A9">
        <w:t xml:space="preserve"> or former MP</w:t>
      </w:r>
      <w:r>
        <w:t>, their partner is entitled to a pension. If a</w:t>
      </w:r>
      <w:r w:rsidR="004928EE">
        <w:t>n</w:t>
      </w:r>
      <w:r>
        <w:t xml:space="preserve"> MP dies while in office, their partner receives a pension regardless of how long the MP had served. The method for calculating partner pensions differs between the two schemes.</w:t>
      </w:r>
      <w:r w:rsidR="00AA45A4">
        <w:rPr>
          <w:rStyle w:val="FootnoteReference"/>
        </w:rPr>
        <w:footnoteReference w:id="16"/>
      </w:r>
    </w:p>
    <w:p w14:paraId="6AB771FB" w14:textId="77777777" w:rsidR="00642F82" w:rsidRPr="005600EE" w:rsidRDefault="00642F82" w:rsidP="0095281B">
      <w:pPr>
        <w:pStyle w:val="VirtHeading3"/>
      </w:pPr>
      <w:r w:rsidRPr="005600EE">
        <w:t>Existing Benefits Scheme</w:t>
      </w:r>
    </w:p>
    <w:p w14:paraId="1A9C879F" w14:textId="192B3435" w:rsidR="00642F82" w:rsidRDefault="00B20707" w:rsidP="001E2EF5">
      <w:pPr>
        <w:pStyle w:val="Paragraph"/>
      </w:pPr>
      <w:r>
        <w:t>Under the Existing Benefits Scheme, i</w:t>
      </w:r>
      <w:r w:rsidR="00642F82">
        <w:t xml:space="preserve">f a former MP </w:t>
      </w:r>
      <w:r w:rsidR="00A4065E">
        <w:t>who</w:t>
      </w:r>
      <w:r w:rsidR="00642F82">
        <w:t xml:space="preserve"> was receiving the pension dies, their partner receives </w:t>
      </w:r>
      <w:r w:rsidR="004D1673" w:rsidRPr="005B3B11">
        <w:rPr>
          <w:vertAlign w:val="superscript"/>
        </w:rPr>
        <w:t>2</w:t>
      </w:r>
      <w:r w:rsidR="004D1673">
        <w:t>/</w:t>
      </w:r>
      <w:r w:rsidR="004D1673" w:rsidRPr="005B3B11">
        <w:rPr>
          <w:vertAlign w:val="subscript"/>
        </w:rPr>
        <w:t>3</w:t>
      </w:r>
      <w:r w:rsidR="004D1673">
        <w:t xml:space="preserve"> </w:t>
      </w:r>
      <w:r w:rsidR="00642F82">
        <w:t xml:space="preserve">of the pension, or the </w:t>
      </w:r>
      <w:r>
        <w:t>‘</w:t>
      </w:r>
      <w:r w:rsidR="00642F82">
        <w:t>minimum pension</w:t>
      </w:r>
      <w:r>
        <w:t>’ (explained below)</w:t>
      </w:r>
      <w:r w:rsidR="00642F82">
        <w:t xml:space="preserve">, whichever is greater at the time of the </w:t>
      </w:r>
      <w:r w:rsidR="003775A9">
        <w:t xml:space="preserve">former </w:t>
      </w:r>
      <w:r w:rsidR="00642F82">
        <w:t xml:space="preserve">MP’s death. </w:t>
      </w:r>
    </w:p>
    <w:p w14:paraId="020BA5A6" w14:textId="436D731D" w:rsidR="00B20707" w:rsidRDefault="00642F82" w:rsidP="001E2EF5">
      <w:pPr>
        <w:pStyle w:val="Paragraph"/>
      </w:pPr>
      <w:r>
        <w:t>If a</w:t>
      </w:r>
      <w:r w:rsidR="004928EE">
        <w:t>n</w:t>
      </w:r>
      <w:r>
        <w:t xml:space="preserve"> MP dies </w:t>
      </w:r>
      <w:r w:rsidR="003775A9">
        <w:t xml:space="preserve">while in office </w:t>
      </w:r>
      <w:r>
        <w:t xml:space="preserve">and had served an aggregate of at least </w:t>
      </w:r>
      <w:r w:rsidR="00861907">
        <w:t>8</w:t>
      </w:r>
      <w:r>
        <w:t xml:space="preserve"> years, their partner receives either </w:t>
      </w:r>
      <w:r w:rsidR="004D1673" w:rsidRPr="005B3B11">
        <w:rPr>
          <w:vertAlign w:val="superscript"/>
        </w:rPr>
        <w:t>2</w:t>
      </w:r>
      <w:r w:rsidR="004D1673">
        <w:t>/</w:t>
      </w:r>
      <w:r w:rsidR="004D1673" w:rsidRPr="005B3B11">
        <w:rPr>
          <w:vertAlign w:val="subscript"/>
        </w:rPr>
        <w:t>3</w:t>
      </w:r>
      <w:r w:rsidR="004D1673">
        <w:t xml:space="preserve"> </w:t>
      </w:r>
      <w:r>
        <w:t xml:space="preserve">of the pension that the MP would have received </w:t>
      </w:r>
      <w:r w:rsidR="003775A9">
        <w:t xml:space="preserve">as a former MP </w:t>
      </w:r>
      <w:r>
        <w:t xml:space="preserve">(assuming they were eligible) or the </w:t>
      </w:r>
      <w:r w:rsidR="00FA1523">
        <w:t>‘</w:t>
      </w:r>
      <w:r>
        <w:t>minimum pension</w:t>
      </w:r>
      <w:r w:rsidR="00FA1523">
        <w:t>’</w:t>
      </w:r>
      <w:r>
        <w:t>, whichever was greater at the time of the MP’s death.</w:t>
      </w:r>
    </w:p>
    <w:p w14:paraId="13DE7E57" w14:textId="77777777" w:rsidR="00642F82" w:rsidRDefault="00642F82" w:rsidP="001E2EF5">
      <w:pPr>
        <w:pStyle w:val="Paragraph"/>
      </w:pPr>
      <w:r>
        <w:t>If a</w:t>
      </w:r>
      <w:r w:rsidR="004928EE">
        <w:t>n</w:t>
      </w:r>
      <w:r>
        <w:t xml:space="preserve"> MP dies </w:t>
      </w:r>
      <w:r w:rsidR="003775A9">
        <w:t xml:space="preserve">while in office </w:t>
      </w:r>
      <w:r>
        <w:t xml:space="preserve">and had not served an aggregate of at least </w:t>
      </w:r>
      <w:r w:rsidR="00861907">
        <w:t>8</w:t>
      </w:r>
      <w:r>
        <w:t xml:space="preserve"> years, their partner receives the </w:t>
      </w:r>
      <w:r w:rsidR="00FA1523">
        <w:t>‘</w:t>
      </w:r>
      <w:r>
        <w:t>minimum pension</w:t>
      </w:r>
      <w:r w:rsidR="00FA1523">
        <w:t>’</w:t>
      </w:r>
      <w:r>
        <w:t>.</w:t>
      </w:r>
    </w:p>
    <w:p w14:paraId="59A18974" w14:textId="77777777" w:rsidR="00B20707" w:rsidRDefault="00B20707" w:rsidP="001E2EF5">
      <w:pPr>
        <w:pStyle w:val="Paragraph"/>
      </w:pPr>
      <w:r>
        <w:t xml:space="preserve">The ‘minimum pension’ is calculated using a complex formula set out in section 18 of the PSAS Act. Generally speaking, it </w:t>
      </w:r>
      <w:r w:rsidR="00FA1523">
        <w:t>can range between 30 and</w:t>
      </w:r>
      <w:r>
        <w:t xml:space="preserve"> 40 per cent of the current BSP.</w:t>
      </w:r>
    </w:p>
    <w:p w14:paraId="2522FA50" w14:textId="77777777" w:rsidR="00031748" w:rsidRPr="005600EE" w:rsidRDefault="00031748" w:rsidP="0095281B">
      <w:pPr>
        <w:pStyle w:val="VirtHeading3"/>
      </w:pPr>
      <w:r w:rsidRPr="005600EE">
        <w:t>New Benefits Scheme</w:t>
      </w:r>
    </w:p>
    <w:p w14:paraId="49E99A5D" w14:textId="076F32F7" w:rsidR="00031748" w:rsidRDefault="00B20707" w:rsidP="001E2EF5">
      <w:pPr>
        <w:pStyle w:val="Paragraph"/>
      </w:pPr>
      <w:r>
        <w:t>Under the New Benefits Scheme, t</w:t>
      </w:r>
      <w:r w:rsidR="00031748">
        <w:t xml:space="preserve">he partner’s pension is equal to </w:t>
      </w:r>
      <w:r w:rsidR="004D1673" w:rsidRPr="005B3B11">
        <w:rPr>
          <w:vertAlign w:val="superscript"/>
        </w:rPr>
        <w:t>5</w:t>
      </w:r>
      <w:r w:rsidR="004D1673">
        <w:t>/</w:t>
      </w:r>
      <w:r w:rsidR="004D1673" w:rsidRPr="005B3B11">
        <w:rPr>
          <w:vertAlign w:val="subscript"/>
        </w:rPr>
        <w:t>6</w:t>
      </w:r>
      <w:r w:rsidR="004D1673">
        <w:t xml:space="preserve"> </w:t>
      </w:r>
      <w:r w:rsidR="00031748">
        <w:t xml:space="preserve">of the </w:t>
      </w:r>
      <w:r w:rsidR="003775A9">
        <w:t xml:space="preserve">former </w:t>
      </w:r>
      <w:r w:rsidR="00031748">
        <w:t>MP’s pension. In the case of a</w:t>
      </w:r>
      <w:r w:rsidR="00273978">
        <w:t>n</w:t>
      </w:r>
      <w:r w:rsidR="00031748">
        <w:t xml:space="preserve"> MP </w:t>
      </w:r>
      <w:r w:rsidR="003775A9">
        <w:t xml:space="preserve">who dies while in office </w:t>
      </w:r>
      <w:r w:rsidR="00031748">
        <w:t xml:space="preserve">who has not served at least </w:t>
      </w:r>
      <w:r w:rsidR="00861907">
        <w:t>8</w:t>
      </w:r>
      <w:r w:rsidR="00031748">
        <w:t xml:space="preserve"> years at the time of death, their partner’s pension is calculated as if the MP had served at least </w:t>
      </w:r>
      <w:r w:rsidR="00861907">
        <w:t>8</w:t>
      </w:r>
      <w:r w:rsidR="00031748">
        <w:t xml:space="preserve"> years.</w:t>
      </w:r>
    </w:p>
    <w:p w14:paraId="21D3D0AE" w14:textId="51C81854" w:rsidR="00A25E63" w:rsidRPr="00B37AE1" w:rsidRDefault="00DD6C88" w:rsidP="0095281B">
      <w:pPr>
        <w:pStyle w:val="VIRTHeading2"/>
      </w:pPr>
      <w:r w:rsidRPr="00B37AE1">
        <w:t>A</w:t>
      </w:r>
      <w:r w:rsidR="0021718D">
        <w:t>12.</w:t>
      </w:r>
      <w:r w:rsidR="0021718D">
        <w:tab/>
      </w:r>
      <w:r w:rsidR="00A25E63" w:rsidRPr="00B37AE1">
        <w:t>Pensions to children</w:t>
      </w:r>
    </w:p>
    <w:p w14:paraId="55F97675" w14:textId="77777777" w:rsidR="003114D8" w:rsidRPr="003114D8" w:rsidRDefault="003114D8" w:rsidP="001E2EF5">
      <w:pPr>
        <w:pStyle w:val="Paragraph"/>
      </w:pPr>
      <w:r w:rsidRPr="003114D8">
        <w:t xml:space="preserve">Pensions can also be paid in respect of </w:t>
      </w:r>
      <w:r w:rsidR="005245FE">
        <w:t xml:space="preserve">a former MP’s eligible </w:t>
      </w:r>
      <w:r w:rsidRPr="003114D8">
        <w:t xml:space="preserve">children. </w:t>
      </w:r>
      <w:r w:rsidR="00154B15">
        <w:t xml:space="preserve">Children can receive the pension if they are </w:t>
      </w:r>
      <w:r w:rsidRPr="003114D8">
        <w:t xml:space="preserve">under 18 years old, or </w:t>
      </w:r>
      <w:r w:rsidR="00154B15">
        <w:t>if they are</w:t>
      </w:r>
      <w:r w:rsidR="00154B15" w:rsidRPr="003114D8">
        <w:t xml:space="preserve"> </w:t>
      </w:r>
      <w:r w:rsidR="00AA45A4">
        <w:t>under</w:t>
      </w:r>
      <w:r w:rsidRPr="003114D8">
        <w:t xml:space="preserve"> 25 </w:t>
      </w:r>
      <w:r w:rsidR="00154B15">
        <w:t xml:space="preserve">years old and </w:t>
      </w:r>
      <w:r w:rsidRPr="003114D8">
        <w:t xml:space="preserve">in the opinion of ESSSuper </w:t>
      </w:r>
      <w:r w:rsidR="00154B15">
        <w:t>they are</w:t>
      </w:r>
      <w:r w:rsidRPr="003114D8">
        <w:t xml:space="preserve"> a full-time student. </w:t>
      </w:r>
      <w:r w:rsidR="00921D2B">
        <w:t xml:space="preserve">Pensions are also provided for children that </w:t>
      </w:r>
      <w:r w:rsidR="00FA1523">
        <w:t>are</w:t>
      </w:r>
      <w:r w:rsidRPr="003114D8">
        <w:t xml:space="preserve"> over 18 years old and that ha</w:t>
      </w:r>
      <w:r w:rsidR="00FA1523">
        <w:t>ve</w:t>
      </w:r>
      <w:r w:rsidRPr="003114D8">
        <w:t xml:space="preserve"> a significant, permanent (or likely permanent) disability that requires ongoing support services.</w:t>
      </w:r>
      <w:r>
        <w:rPr>
          <w:rStyle w:val="FootnoteReference"/>
        </w:rPr>
        <w:footnoteReference w:id="17"/>
      </w:r>
      <w:r w:rsidRPr="003114D8">
        <w:t xml:space="preserve"> </w:t>
      </w:r>
    </w:p>
    <w:p w14:paraId="5E4238C6" w14:textId="77777777" w:rsidR="003114D8" w:rsidRPr="003114D8" w:rsidRDefault="003114D8" w:rsidP="00A91560">
      <w:pPr>
        <w:pStyle w:val="Parapraphbeforeabulletlist"/>
      </w:pPr>
      <w:r w:rsidRPr="003114D8">
        <w:t xml:space="preserve">Broadly speaking, a pension </w:t>
      </w:r>
      <w:r w:rsidR="005245FE">
        <w:t xml:space="preserve">is </w:t>
      </w:r>
      <w:r w:rsidRPr="003114D8">
        <w:t>payable where—</w:t>
      </w:r>
    </w:p>
    <w:p w14:paraId="2D88EEB4" w14:textId="77777777" w:rsidR="003114D8" w:rsidRPr="005B3B11" w:rsidRDefault="003114D8" w:rsidP="008E3188">
      <w:pPr>
        <w:pStyle w:val="VIRTBulletpoints"/>
      </w:pPr>
      <w:r w:rsidRPr="005B3B11">
        <w:t>a former MP receiving the pension, or a</w:t>
      </w:r>
      <w:r w:rsidR="007312D7" w:rsidRPr="005B3B11">
        <w:t>n existing</w:t>
      </w:r>
      <w:r w:rsidRPr="005B3B11">
        <w:t xml:space="preserve"> MP, dies without a partner</w:t>
      </w:r>
      <w:r w:rsidR="00B45F0B" w:rsidRPr="005B3B11">
        <w:t>,</w:t>
      </w:r>
      <w:r w:rsidRPr="005B3B11">
        <w:t xml:space="preserve"> or</w:t>
      </w:r>
    </w:p>
    <w:p w14:paraId="793A4302" w14:textId="77777777" w:rsidR="003114D8" w:rsidRPr="005B3B11" w:rsidRDefault="003114D8" w:rsidP="008E3188">
      <w:pPr>
        <w:pStyle w:val="VIRTBulletpoints"/>
      </w:pPr>
      <w:r w:rsidRPr="005B3B11">
        <w:t xml:space="preserve">both the former </w:t>
      </w:r>
      <w:r w:rsidR="005245FE" w:rsidRPr="005B3B11">
        <w:t>MP</w:t>
      </w:r>
      <w:r w:rsidRPr="005B3B11">
        <w:t xml:space="preserve"> and their partner have died—</w:t>
      </w:r>
    </w:p>
    <w:p w14:paraId="4B2998D7" w14:textId="77777777" w:rsidR="003114D8" w:rsidRPr="003114D8" w:rsidRDefault="003114D8" w:rsidP="001E2EF5">
      <w:pPr>
        <w:pStyle w:val="Paragraph"/>
      </w:pPr>
      <w:r w:rsidRPr="003114D8">
        <w:t>and they leave behind a</w:t>
      </w:r>
      <w:r w:rsidR="005245FE">
        <w:t>n eligible</w:t>
      </w:r>
      <w:r w:rsidRPr="003114D8">
        <w:t xml:space="preserve"> child. </w:t>
      </w:r>
    </w:p>
    <w:p w14:paraId="15D9465A" w14:textId="77777777" w:rsidR="003114D8" w:rsidRPr="003114D8" w:rsidRDefault="003114D8" w:rsidP="001E2EF5">
      <w:pPr>
        <w:pStyle w:val="Paragraph"/>
      </w:pPr>
      <w:r w:rsidRPr="003114D8">
        <w:t xml:space="preserve">Under the Existing Benefits Scheme, ESSSuper can pay </w:t>
      </w:r>
      <w:r w:rsidR="005245FE">
        <w:t xml:space="preserve">a </w:t>
      </w:r>
      <w:r w:rsidRPr="003114D8">
        <w:t xml:space="preserve">pension in respect of each </w:t>
      </w:r>
      <w:r w:rsidR="005245FE">
        <w:t xml:space="preserve">eligible </w:t>
      </w:r>
      <w:r w:rsidRPr="003114D8">
        <w:t xml:space="preserve">child, although the total </w:t>
      </w:r>
      <w:r w:rsidR="005245FE">
        <w:t xml:space="preserve">value of the pensions </w:t>
      </w:r>
      <w:r w:rsidRPr="003114D8">
        <w:t>can</w:t>
      </w:r>
      <w:r w:rsidR="005245FE">
        <w:t>no</w:t>
      </w:r>
      <w:r w:rsidRPr="003114D8">
        <w:t xml:space="preserve">t exceed the </w:t>
      </w:r>
      <w:r w:rsidR="005245FE">
        <w:t xml:space="preserve">value of the </w:t>
      </w:r>
      <w:r w:rsidRPr="003114D8">
        <w:t xml:space="preserve">pension that would have been payable to a partner of the </w:t>
      </w:r>
      <w:r w:rsidR="005245FE">
        <w:t xml:space="preserve">former </w:t>
      </w:r>
      <w:r w:rsidRPr="003114D8">
        <w:t>MP.</w:t>
      </w:r>
      <w:r w:rsidR="00E20E5E">
        <w:rPr>
          <w:rStyle w:val="FootnoteReference"/>
        </w:rPr>
        <w:footnoteReference w:id="18"/>
      </w:r>
    </w:p>
    <w:p w14:paraId="21616B22" w14:textId="6636B637" w:rsidR="00DC3DE4" w:rsidRPr="0011546B" w:rsidRDefault="003114D8" w:rsidP="001E2EF5">
      <w:pPr>
        <w:pStyle w:val="Paragraph"/>
      </w:pPr>
      <w:r>
        <w:t xml:space="preserve">Under the New Benefits Scheme, the pension each </w:t>
      </w:r>
      <w:r w:rsidR="005245FE">
        <w:t xml:space="preserve">eligible </w:t>
      </w:r>
      <w:r>
        <w:t xml:space="preserve">child receives is equal to </w:t>
      </w:r>
      <w:r w:rsidR="004D1673" w:rsidRPr="005B3B11">
        <w:rPr>
          <w:rFonts w:eastAsiaTheme="minorEastAsia"/>
          <w:vertAlign w:val="superscript"/>
        </w:rPr>
        <w:t>1</w:t>
      </w:r>
      <w:r w:rsidR="004D1673">
        <w:rPr>
          <w:rFonts w:eastAsiaTheme="minorEastAsia"/>
        </w:rPr>
        <w:t>/</w:t>
      </w:r>
      <w:r w:rsidR="004D1673" w:rsidRPr="005B3B11">
        <w:rPr>
          <w:rFonts w:eastAsiaTheme="minorEastAsia"/>
          <w:vertAlign w:val="subscript"/>
        </w:rPr>
        <w:t>4</w:t>
      </w:r>
      <w:r w:rsidR="004D1673">
        <w:rPr>
          <w:rFonts w:eastAsiaTheme="minorEastAsia"/>
        </w:rPr>
        <w:t xml:space="preserve"> </w:t>
      </w:r>
      <w:r>
        <w:t xml:space="preserve">of the pension </w:t>
      </w:r>
      <w:r w:rsidR="005245FE">
        <w:t xml:space="preserve">of the former MP’s partner </w:t>
      </w:r>
      <w:r>
        <w:t xml:space="preserve">(or the pension the </w:t>
      </w:r>
      <w:r w:rsidR="00B20707">
        <w:t>partner</w:t>
      </w:r>
      <w:r>
        <w:t xml:space="preserve"> would have received if the </w:t>
      </w:r>
      <w:r w:rsidR="005245FE">
        <w:t xml:space="preserve">former </w:t>
      </w:r>
      <w:r>
        <w:t xml:space="preserve">MP had one). If there are more than four children, each receives a pension equal to the pension </w:t>
      </w:r>
      <w:r w:rsidR="005245FE">
        <w:t xml:space="preserve">of the former MP’s partner </w:t>
      </w:r>
      <w:r>
        <w:t>divided by the number of children.</w:t>
      </w:r>
    </w:p>
    <w:sectPr w:rsidR="00DC3DE4" w:rsidRPr="0011546B" w:rsidSect="008E3188">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2126" w:right="1559" w:bottom="1701" w:left="170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0F9C" w14:textId="77777777" w:rsidR="00B42F3F" w:rsidRDefault="00B42F3F">
      <w:r>
        <w:separator/>
      </w:r>
    </w:p>
  </w:endnote>
  <w:endnote w:type="continuationSeparator" w:id="0">
    <w:p w14:paraId="5B7E6306" w14:textId="77777777" w:rsidR="00B42F3F" w:rsidRDefault="00B4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94BF" w14:textId="77777777" w:rsidR="00CF6BC8" w:rsidRDefault="00CF6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009080"/>
      <w:docPartObj>
        <w:docPartGallery w:val="Page Numbers (Bottom of Page)"/>
        <w:docPartUnique/>
      </w:docPartObj>
    </w:sdtPr>
    <w:sdtEndPr>
      <w:rPr>
        <w:noProof/>
        <w:sz w:val="26"/>
        <w:szCs w:val="26"/>
      </w:rPr>
    </w:sdtEndPr>
    <w:sdtContent>
      <w:p w14:paraId="673B6347" w14:textId="77777777" w:rsidR="00921D2B" w:rsidRPr="00522C06" w:rsidRDefault="00D95AFE">
        <w:pPr>
          <w:pStyle w:val="Footer"/>
          <w:jc w:val="center"/>
          <w:rPr>
            <w:sz w:val="26"/>
            <w:szCs w:val="26"/>
          </w:rPr>
        </w:pPr>
        <w:r>
          <w:rPr>
            <w:noProof/>
            <w:sz w:val="26"/>
            <w:szCs w:val="26"/>
          </w:rPr>
          <mc:AlternateContent>
            <mc:Choice Requires="wps">
              <w:drawing>
                <wp:anchor distT="0" distB="0" distL="114300" distR="114300" simplePos="0" relativeHeight="251667968" behindDoc="0" locked="0" layoutInCell="0" allowOverlap="1" wp14:anchorId="7DF0388E" wp14:editId="03B69274">
                  <wp:simplePos x="0" y="0"/>
                  <wp:positionH relativeFrom="page">
                    <wp:posOffset>0</wp:posOffset>
                  </wp:positionH>
                  <wp:positionV relativeFrom="page">
                    <wp:posOffset>10236200</wp:posOffset>
                  </wp:positionV>
                  <wp:extent cx="7556500" cy="266700"/>
                  <wp:effectExtent l="0" t="0" r="0" b="0"/>
                  <wp:wrapNone/>
                  <wp:docPr id="3" name="MSIPCM7a02438c9d8112455f20dfd2" descr="{&quot;HashCode&quot;:-126760350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2541E" w14:textId="77777777" w:rsidR="00921D2B" w:rsidRPr="00792FB5" w:rsidRDefault="00921D2B" w:rsidP="00792FB5">
                              <w:pPr>
                                <w:rPr>
                                  <w:rFonts w:ascii="Calibri" w:hAnsi="Calibri" w:cs="Calibri"/>
                                  <w:color w:val="000000"/>
                                  <w:sz w:val="22"/>
                                </w:rPr>
                              </w:pPr>
                              <w:r w:rsidRPr="00792FB5">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0388E" id="_x0000_t202" coordsize="21600,21600" o:spt="202" path="m,l,21600r21600,l21600,xe">
                  <v:stroke joinstyle="miter"/>
                  <v:path gradientshapeok="t" o:connecttype="rect"/>
                </v:shapetype>
                <v:shape id="MSIPCM7a02438c9d8112455f20dfd2" o:spid="_x0000_s1026" type="#_x0000_t202" alt="{&quot;HashCode&quot;:-1267603503,&quot;Height&quot;:842.0,&quot;Width&quot;:595.0,&quot;Placement&quot;:&quot;Footer&quot;,&quot;Index&quot;:&quot;Primary&quot;,&quot;Section&quot;:1,&quot;Top&quot;:0.0,&quot;Left&quot;:0.0}" style="position:absolute;left:0;text-align:left;margin-left:0;margin-top:806pt;width:595pt;height:2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" o:allowincell="f" filled="f" stroked="f">
                  <v:path arrowok="t"/>
                  <v:textbox inset="20pt,0,,0">
                    <w:txbxContent>
                      <w:p w14:paraId="2A52541E" w14:textId="77777777" w:rsidR="00921D2B" w:rsidRPr="00792FB5" w:rsidRDefault="00921D2B" w:rsidP="00792FB5">
                        <w:pPr>
                          <w:rPr>
                            <w:rFonts w:ascii="Calibri" w:hAnsi="Calibri" w:cs="Calibri"/>
                            <w:color w:val="000000"/>
                            <w:sz w:val="22"/>
                          </w:rPr>
                        </w:pPr>
                        <w:r w:rsidRPr="00792FB5">
                          <w:rPr>
                            <w:rFonts w:ascii="Calibri" w:hAnsi="Calibri" w:cs="Calibri"/>
                            <w:color w:val="000000"/>
                            <w:sz w:val="22"/>
                          </w:rPr>
                          <w:t>OFFICIAL</w:t>
                        </w:r>
                      </w:p>
                    </w:txbxContent>
                  </v:textbox>
                  <w10:wrap anchorx="page" anchory="page"/>
                </v:shape>
              </w:pict>
            </mc:Fallback>
          </mc:AlternateContent>
        </w:r>
        <w:r w:rsidR="00921D2B" w:rsidRPr="00522C06">
          <w:rPr>
            <w:sz w:val="26"/>
            <w:szCs w:val="26"/>
          </w:rPr>
          <w:fldChar w:fldCharType="begin"/>
        </w:r>
        <w:r w:rsidR="00921D2B" w:rsidRPr="00522C06">
          <w:rPr>
            <w:sz w:val="26"/>
            <w:szCs w:val="26"/>
          </w:rPr>
          <w:instrText xml:space="preserve"> PAGE   \* MERGEFORMAT </w:instrText>
        </w:r>
        <w:r w:rsidR="00921D2B" w:rsidRPr="00522C06">
          <w:rPr>
            <w:sz w:val="26"/>
            <w:szCs w:val="26"/>
          </w:rPr>
          <w:fldChar w:fldCharType="separate"/>
        </w:r>
        <w:r w:rsidR="00921D2B" w:rsidRPr="00522C06">
          <w:rPr>
            <w:noProof/>
            <w:sz w:val="26"/>
            <w:szCs w:val="26"/>
          </w:rPr>
          <w:t>2</w:t>
        </w:r>
        <w:r w:rsidR="00921D2B" w:rsidRPr="00522C06">
          <w:rPr>
            <w:noProof/>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6"/>
        <w:szCs w:val="26"/>
      </w:rPr>
      <w:id w:val="-1659611484"/>
      <w:docPartObj>
        <w:docPartGallery w:val="Page Numbers (Bottom of Page)"/>
        <w:docPartUnique/>
      </w:docPartObj>
    </w:sdtPr>
    <w:sdtEndPr>
      <w:rPr>
        <w:noProof/>
      </w:rPr>
    </w:sdtEndPr>
    <w:sdtContent>
      <w:p w14:paraId="2B396E9A" w14:textId="77777777" w:rsidR="00921D2B" w:rsidRPr="00522C06" w:rsidRDefault="00D95AFE" w:rsidP="00522C06">
        <w:pPr>
          <w:pStyle w:val="Footer"/>
          <w:jc w:val="center"/>
          <w:rPr>
            <w:sz w:val="26"/>
            <w:szCs w:val="26"/>
          </w:rPr>
        </w:pPr>
        <w:r>
          <w:rPr>
            <w:noProof/>
            <w:sz w:val="26"/>
            <w:szCs w:val="26"/>
          </w:rPr>
          <mc:AlternateContent>
            <mc:Choice Requires="wps">
              <w:drawing>
                <wp:anchor distT="0" distB="0" distL="114300" distR="114300" simplePos="0" relativeHeight="251668992" behindDoc="0" locked="0" layoutInCell="0" allowOverlap="1" wp14:anchorId="7F988D08" wp14:editId="1A676A63">
                  <wp:simplePos x="0" y="0"/>
                  <wp:positionH relativeFrom="page">
                    <wp:posOffset>0</wp:posOffset>
                  </wp:positionH>
                  <wp:positionV relativeFrom="page">
                    <wp:posOffset>10236200</wp:posOffset>
                  </wp:positionV>
                  <wp:extent cx="7556500" cy="266700"/>
                  <wp:effectExtent l="0" t="0" r="0" b="0"/>
                  <wp:wrapNone/>
                  <wp:docPr id="1" name="MSIPCMfb484d0a8867bce0f57a8aa7" descr="{&quot;HashCode&quot;:-126760350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56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0B1B" w14:textId="77777777" w:rsidR="00921D2B" w:rsidRPr="00792FB5" w:rsidRDefault="00921D2B" w:rsidP="00792FB5">
                              <w:pPr>
                                <w:rPr>
                                  <w:rFonts w:ascii="Calibri" w:hAnsi="Calibri" w:cs="Calibri"/>
                                  <w:color w:val="000000"/>
                                  <w:sz w:val="22"/>
                                </w:rPr>
                              </w:pPr>
                              <w:r w:rsidRPr="00792FB5">
                                <w:rPr>
                                  <w:rFonts w:ascii="Calibri" w:hAnsi="Calibri" w:cs="Calibri"/>
                                  <w:color w:val="000000"/>
                                  <w:sz w:val="22"/>
                                </w:rPr>
                                <w:t>OFFICIAL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88D08" id="_x0000_t202" coordsize="21600,21600" o:spt="202" path="m,l,21600r21600,l21600,xe">
                  <v:stroke joinstyle="miter"/>
                  <v:path gradientshapeok="t" o:connecttype="rect"/>
                </v:shapetype>
                <v:shape id="MSIPCMfb484d0a8867bce0f57a8aa7" o:spid="_x0000_s1027"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" o:allowincell="f" filled="f" stroked="f">
                  <v:path arrowok="t"/>
                  <v:textbox inset="20pt,0,,0">
                    <w:txbxContent>
                      <w:p w14:paraId="2FDB0B1B" w14:textId="77777777" w:rsidR="00921D2B" w:rsidRPr="00792FB5" w:rsidRDefault="00921D2B" w:rsidP="00792FB5">
                        <w:pPr>
                          <w:rPr>
                            <w:rFonts w:ascii="Calibri" w:hAnsi="Calibri" w:cs="Calibri"/>
                            <w:color w:val="000000"/>
                            <w:sz w:val="22"/>
                          </w:rPr>
                        </w:pPr>
                        <w:r w:rsidRPr="00792FB5">
                          <w:rPr>
                            <w:rFonts w:ascii="Calibri" w:hAnsi="Calibri" w:cs="Calibri"/>
                            <w:color w:val="000000"/>
                            <w:sz w:val="22"/>
                          </w:rPr>
                          <w:t>OFFICIAL</w:t>
                        </w:r>
                      </w:p>
                    </w:txbxContent>
                  </v:textbox>
                  <w10:wrap anchorx="page" anchory="page"/>
                </v:shape>
              </w:pict>
            </mc:Fallback>
          </mc:AlternateContent>
        </w:r>
        <w:r w:rsidR="00921D2B" w:rsidRPr="00522C06">
          <w:rPr>
            <w:sz w:val="26"/>
            <w:szCs w:val="26"/>
          </w:rPr>
          <w:fldChar w:fldCharType="begin"/>
        </w:r>
        <w:r w:rsidR="00921D2B" w:rsidRPr="00522C06">
          <w:rPr>
            <w:sz w:val="26"/>
            <w:szCs w:val="26"/>
          </w:rPr>
          <w:instrText xml:space="preserve"> PAGE   \* MERGEFORMAT </w:instrText>
        </w:r>
        <w:r w:rsidR="00921D2B" w:rsidRPr="00522C06">
          <w:rPr>
            <w:sz w:val="26"/>
            <w:szCs w:val="26"/>
          </w:rPr>
          <w:fldChar w:fldCharType="separate"/>
        </w:r>
        <w:r w:rsidR="00921D2B" w:rsidRPr="00522C06">
          <w:rPr>
            <w:noProof/>
            <w:sz w:val="26"/>
            <w:szCs w:val="26"/>
          </w:rPr>
          <w:t>2</w:t>
        </w:r>
        <w:r w:rsidR="00921D2B" w:rsidRPr="00522C06">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9A710" w14:textId="77777777" w:rsidR="00B42F3F" w:rsidRDefault="00B42F3F">
      <w:r>
        <w:separator/>
      </w:r>
    </w:p>
  </w:footnote>
  <w:footnote w:type="continuationSeparator" w:id="0">
    <w:p w14:paraId="39378029" w14:textId="77777777" w:rsidR="00B42F3F" w:rsidRDefault="00B42F3F">
      <w:r>
        <w:continuationSeparator/>
      </w:r>
    </w:p>
  </w:footnote>
  <w:footnote w:id="1">
    <w:p w14:paraId="24EDBB2E" w14:textId="77777777" w:rsidR="00921D2B" w:rsidRPr="00B37AE1" w:rsidRDefault="00921D2B" w:rsidP="00A152E0">
      <w:pPr>
        <w:pStyle w:val="FootnoteText"/>
        <w:spacing w:before="0"/>
        <w:rPr>
          <w:color w:val="4D4D4D" w:themeColor="accent6"/>
        </w:rPr>
      </w:pPr>
      <w:r w:rsidRPr="00B37AE1">
        <w:rPr>
          <w:rStyle w:val="FootnoteReference"/>
          <w:color w:val="4D4D4D" w:themeColor="accent6"/>
        </w:rPr>
        <w:footnoteRef/>
      </w:r>
      <w:r w:rsidRPr="00B37AE1">
        <w:rPr>
          <w:color w:val="4D4D4D" w:themeColor="accent6"/>
        </w:rPr>
        <w:t xml:space="preserve"> PSAS Act, s21.</w:t>
      </w:r>
    </w:p>
  </w:footnote>
  <w:footnote w:id="2">
    <w:p w14:paraId="61B53FE2" w14:textId="77777777" w:rsidR="00921D2B" w:rsidRPr="00B37AE1" w:rsidRDefault="00921D2B" w:rsidP="00A152E0">
      <w:pPr>
        <w:pStyle w:val="FootnoteText"/>
        <w:spacing w:before="0"/>
      </w:pPr>
      <w:r w:rsidRPr="00B37AE1">
        <w:rPr>
          <w:rStyle w:val="FootnoteReference"/>
        </w:rPr>
        <w:footnoteRef/>
      </w:r>
      <w:r w:rsidRPr="00B37AE1">
        <w:t xml:space="preserve"> </w:t>
      </w:r>
      <w:r w:rsidRPr="00B37AE1">
        <w:rPr>
          <w:i/>
          <w:iCs/>
        </w:rPr>
        <w:t>Victorian Independent Remuneration Tribunal and Improving Parliamentary Standards Act 2019</w:t>
      </w:r>
      <w:r w:rsidRPr="00B37AE1">
        <w:t xml:space="preserve"> (Vic)</w:t>
      </w:r>
      <w:r w:rsidR="000C580C" w:rsidRPr="00B37AE1">
        <w:t>, s17(5)(b)</w:t>
      </w:r>
      <w:r w:rsidRPr="00B37AE1">
        <w:t>.</w:t>
      </w:r>
    </w:p>
  </w:footnote>
  <w:footnote w:id="3">
    <w:p w14:paraId="0160A18A" w14:textId="77777777" w:rsidR="00A176AA" w:rsidRPr="00B37AE1" w:rsidRDefault="00A176AA" w:rsidP="00A152E0">
      <w:pPr>
        <w:pStyle w:val="FootnoteText"/>
        <w:spacing w:before="0"/>
      </w:pPr>
      <w:r w:rsidRPr="00B37AE1">
        <w:rPr>
          <w:rStyle w:val="FootnoteReference"/>
        </w:rPr>
        <w:footnoteRef/>
      </w:r>
      <w:r w:rsidRPr="00B37AE1">
        <w:t xml:space="preserve"> PSAS Act, s10(1). </w:t>
      </w:r>
    </w:p>
  </w:footnote>
  <w:footnote w:id="4">
    <w:p w14:paraId="7321D5D7" w14:textId="77777777" w:rsidR="00A56DCE" w:rsidRPr="00B37AE1" w:rsidRDefault="00A56DCE" w:rsidP="00A152E0">
      <w:pPr>
        <w:pStyle w:val="FootnoteText"/>
        <w:spacing w:before="0"/>
      </w:pPr>
      <w:r w:rsidRPr="00B37AE1">
        <w:rPr>
          <w:rStyle w:val="FootnoteReference"/>
        </w:rPr>
        <w:footnoteRef/>
      </w:r>
      <w:r w:rsidRPr="00B37AE1">
        <w:t xml:space="preserve"> Except for the Parliamentary Secretary to the Premier and the Deputy Government Whip in the Assembly.</w:t>
      </w:r>
    </w:p>
  </w:footnote>
  <w:footnote w:id="5">
    <w:p w14:paraId="74158779" w14:textId="77777777" w:rsidR="00FA0DBA" w:rsidRPr="00B37AE1" w:rsidRDefault="00FA0DBA" w:rsidP="00A152E0">
      <w:pPr>
        <w:pStyle w:val="FootnoteText"/>
        <w:spacing w:before="0"/>
      </w:pPr>
      <w:r w:rsidRPr="00B37AE1">
        <w:rPr>
          <w:rStyle w:val="FootnoteReference"/>
        </w:rPr>
        <w:footnoteRef/>
      </w:r>
      <w:r w:rsidRPr="00B37AE1">
        <w:t xml:space="preserve"> PSAS Act, s14.</w:t>
      </w:r>
    </w:p>
  </w:footnote>
  <w:footnote w:id="6">
    <w:p w14:paraId="78FB27C3" w14:textId="77777777" w:rsidR="00FA0DBA" w:rsidRDefault="00FA0DBA" w:rsidP="00A152E0">
      <w:pPr>
        <w:pStyle w:val="FootnoteText"/>
        <w:spacing w:before="0"/>
      </w:pPr>
      <w:r w:rsidRPr="00B37AE1">
        <w:rPr>
          <w:rStyle w:val="FootnoteReference"/>
        </w:rPr>
        <w:footnoteRef/>
      </w:r>
      <w:r w:rsidRPr="00B37AE1">
        <w:t xml:space="preserve"> PSAS Act, s15</w:t>
      </w:r>
      <w:r w:rsidR="007D3BE4" w:rsidRPr="00B37AE1">
        <w:t>(1A)</w:t>
      </w:r>
      <w:r w:rsidRPr="00B37AE1">
        <w:t>.</w:t>
      </w:r>
      <w:r>
        <w:t xml:space="preserve"> </w:t>
      </w:r>
    </w:p>
  </w:footnote>
  <w:footnote w:id="7">
    <w:p w14:paraId="563158F4" w14:textId="06C6F23B" w:rsidR="00F14FB4" w:rsidRPr="00B37AE1" w:rsidRDefault="00F14FB4" w:rsidP="00A152E0">
      <w:pPr>
        <w:pStyle w:val="FootnoteText"/>
        <w:spacing w:before="0"/>
      </w:pPr>
      <w:r w:rsidRPr="00B37AE1">
        <w:rPr>
          <w:rStyle w:val="FootnoteReference"/>
        </w:rPr>
        <w:footnoteRef/>
      </w:r>
      <w:r w:rsidRPr="00B37AE1">
        <w:t xml:space="preserve"> </w:t>
      </w:r>
      <w:r w:rsidRPr="00B37AE1">
        <w:fldChar w:fldCharType="begin"/>
      </w:r>
      <w:r w:rsidRPr="00B37AE1">
        <w:instrText xml:space="preserve"> ADDIN ZOTERO_ITEM CSL_CITATION {"citationID":"PoIztKWq","properties":{"formattedCitation":"Emergency Services Superannuation Board, \\uc0\\u8220{}Parliamentary Contributory Superannuation Fund Member Handbook - New Benefits Scheme (Division 3),\\uc0\\u8221{} 7.","plainCitation":"Emergency Services Superannuation Board, “Parliamentary Contributory Superannuation Fund Member Handbook - New Benefits Scheme (Division 3),” 7.","noteIndex":7},"citationItems":[{"id":425,"uris":["http://zotero.org/groups/2355244/items/YBRVPYGW"],"uri":["http://zotero.org/groups/2355244/items/YBRVPYGW"],"itemData":{"id":425,"type":"article","title":"Parliamentary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Board","given":""}],"issued":{"date-parts":[["2017"]]}},"locator":"7"}],"schema":"https://github.com/citation-style-language/schema/raw/master/csl-citation.json"} </w:instrText>
      </w:r>
      <w:r w:rsidRPr="00B37AE1">
        <w:fldChar w:fldCharType="separate"/>
      </w:r>
      <w:r w:rsidR="00D51B93" w:rsidRPr="00B37AE1">
        <w:rPr>
          <w:color w:val="4D4D4D"/>
        </w:rPr>
        <w:t xml:space="preserve">Emergency Services and State Superannuation Board, </w:t>
      </w:r>
      <w:r w:rsidR="00D51B93" w:rsidRPr="00B37AE1">
        <w:rPr>
          <w:i/>
          <w:iCs/>
          <w:color w:val="4D4D4D"/>
        </w:rPr>
        <w:t>Parliamentary Contributory Superannuation Fund Member Handbook - New Benefits Scheme (Division 3)</w:t>
      </w:r>
      <w:r w:rsidR="00D51B93" w:rsidRPr="00B37AE1">
        <w:rPr>
          <w:color w:val="4D4D4D"/>
        </w:rPr>
        <w:t xml:space="preserve"> (ESSSuper: Melbourne, 2017),</w:t>
      </w:r>
      <w:r w:rsidRPr="00B37AE1">
        <w:rPr>
          <w:rFonts w:cs="Calibri Light"/>
          <w:szCs w:val="24"/>
        </w:rPr>
        <w:t xml:space="preserve"> 7.</w:t>
      </w:r>
      <w:r w:rsidRPr="00B37AE1">
        <w:fldChar w:fldCharType="end"/>
      </w:r>
    </w:p>
  </w:footnote>
  <w:footnote w:id="8">
    <w:p w14:paraId="49A96C82" w14:textId="77777777" w:rsidR="00A152E0" w:rsidRDefault="00A152E0" w:rsidP="00A152E0">
      <w:pPr>
        <w:pStyle w:val="FootnoteText"/>
        <w:spacing w:before="0"/>
      </w:pPr>
      <w:r w:rsidRPr="00B37AE1">
        <w:rPr>
          <w:rStyle w:val="FootnoteReference"/>
        </w:rPr>
        <w:footnoteRef/>
      </w:r>
      <w:r w:rsidRPr="00B37AE1">
        <w:t xml:space="preserve"> </w:t>
      </w:r>
      <w:r w:rsidRPr="00B37AE1">
        <w:rPr>
          <w:color w:val="4D4D4D"/>
        </w:rPr>
        <w:t>Emergency Services and State Superannuation Board</w:t>
      </w:r>
      <w:r w:rsidRPr="00B37AE1">
        <w:rPr>
          <w:rFonts w:cs="Calibri Light"/>
        </w:rPr>
        <w:t>, 12.</w:t>
      </w:r>
    </w:p>
  </w:footnote>
  <w:footnote w:id="9">
    <w:p w14:paraId="13FAE091" w14:textId="503FDB33" w:rsidR="00F14FB4" w:rsidRDefault="00F14FB4" w:rsidP="0095281B">
      <w:pPr>
        <w:pStyle w:val="FootnoteText"/>
        <w:spacing w:before="0"/>
      </w:pPr>
      <w:r w:rsidRPr="00D51B93">
        <w:rPr>
          <w:rStyle w:val="FootnoteReference"/>
          <w:color w:val="4D4D4D"/>
        </w:rPr>
        <w:footnoteRef/>
      </w:r>
      <w:r w:rsidR="0091219A">
        <w:rPr>
          <w:color w:val="4D4D4D"/>
        </w:rPr>
        <w:t xml:space="preserve"> </w:t>
      </w:r>
      <w:r w:rsidRPr="00D51B93">
        <w:rPr>
          <w:color w:val="4D4D4D"/>
        </w:rPr>
        <w:fldChar w:fldCharType="begin"/>
      </w:r>
      <w:r w:rsidRPr="00D51B93">
        <w:rPr>
          <w:color w:val="4D4D4D"/>
        </w:rPr>
        <w:instrText xml:space="preserve"> ADDIN ZOTERO_ITEM CSL_CITATION {"citationID":"Wyc60POu","properties":{"formattedCitation":"Emergency Services Superannuation Board, 12.","plainCitation":"Emergency Services Superannuation Board, 12.","noteIndex":9},"citationItems":[{"id":425,"uris":["http://zotero.org/groups/2355244/items/YBRVPYGW"],"uri":["http://zotero.org/groups/2355244/items/YBRVPYGW"],"itemData":{"id":425,"type":"article","title":"Parliamentary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Board","given":""}],"issued":{"date-parts":[["2017"]]}},"locator":"12"}],"schema":"https://github.com/citation-style-language/schema/raw/master/csl-citation.json"} </w:instrText>
      </w:r>
      <w:r w:rsidRPr="00D51B93">
        <w:rPr>
          <w:color w:val="4D4D4D"/>
        </w:rPr>
        <w:fldChar w:fldCharType="separate"/>
      </w:r>
      <w:r w:rsidR="00D51B93" w:rsidRPr="00D51B93">
        <w:rPr>
          <w:color w:val="4D4D4D"/>
        </w:rPr>
        <w:t>Emergency Services and State Superannuation Board</w:t>
      </w:r>
      <w:r w:rsidRPr="00D51B93">
        <w:rPr>
          <w:rFonts w:cs="Calibri Light"/>
          <w:color w:val="4D4D4D"/>
        </w:rPr>
        <w:t>, 12.</w:t>
      </w:r>
      <w:r w:rsidRPr="00D51B93">
        <w:rPr>
          <w:color w:val="4D4D4D"/>
        </w:rPr>
        <w:fldChar w:fldCharType="end"/>
      </w:r>
    </w:p>
  </w:footnote>
  <w:footnote w:id="10">
    <w:p w14:paraId="6D5237B4" w14:textId="493EBC34" w:rsidR="00151F09" w:rsidRDefault="00151F09" w:rsidP="00A152E0">
      <w:pPr>
        <w:pStyle w:val="FootnoteText"/>
        <w:spacing w:before="0"/>
      </w:pPr>
      <w:r>
        <w:rPr>
          <w:rStyle w:val="FootnoteReference"/>
        </w:rPr>
        <w:footnoteRef/>
      </w:r>
      <w:r>
        <w:t xml:space="preserve"> </w:t>
      </w:r>
      <w:r w:rsidRPr="00D51B93">
        <w:rPr>
          <w:color w:val="4D4D4D"/>
        </w:rPr>
        <w:t>PSAS Act, s15;</w:t>
      </w:r>
      <w:r w:rsidRPr="00D51B93">
        <w:rPr>
          <w:color w:val="4D4D4D"/>
        </w:rPr>
        <w:fldChar w:fldCharType="begin"/>
      </w:r>
      <w:r w:rsidRPr="00D51B93">
        <w:rPr>
          <w:color w:val="4D4D4D"/>
        </w:rPr>
        <w:instrText xml:space="preserve"> ADDIN ZOTERO_ITEM CSL_CITATION {"citationID":"MFdl5SDb","properties":{"formattedCitation":"Emergency Services Superannuation Board, 15.","plainCitation":"Emergency Services Superannuation Board, 15.","noteIndex":10},"citationItems":[{"id":425,"uris":["http://zotero.org/groups/2355244/items/YBRVPYGW"],"uri":["http://zotero.org/groups/2355244/items/YBRVPYGW"],"itemData":{"id":425,"type":"article","title":"Parliamentary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Board","given":""}],"issued":{"date-parts":[["2017"]]}},"locator":"15"}],"schema":"https://github.com/citation-style-language/schema/raw/master/csl-citation.json"} </w:instrText>
      </w:r>
      <w:r w:rsidRPr="00D51B93">
        <w:rPr>
          <w:color w:val="4D4D4D"/>
        </w:rPr>
        <w:fldChar w:fldCharType="separate"/>
      </w:r>
      <w:r w:rsidRPr="00D51B93">
        <w:rPr>
          <w:color w:val="4D4D4D"/>
        </w:rPr>
        <w:t xml:space="preserve"> Emergency Services and </w:t>
      </w:r>
      <w:r w:rsidRPr="006505F8">
        <w:rPr>
          <w:color w:val="4D4D4D"/>
        </w:rPr>
        <w:t>State</w:t>
      </w:r>
      <w:r w:rsidRPr="00D51B93">
        <w:rPr>
          <w:color w:val="4D4D4D"/>
        </w:rPr>
        <w:t xml:space="preserve"> Superannuation Board</w:t>
      </w:r>
      <w:r>
        <w:rPr>
          <w:color w:val="4D4D4D"/>
        </w:rPr>
        <w:t>,</w:t>
      </w:r>
      <w:r w:rsidRPr="00D51B93">
        <w:rPr>
          <w:rFonts w:cs="Calibri Light"/>
          <w:color w:val="4D4D4D"/>
        </w:rPr>
        <w:t xml:space="preserve"> </w:t>
      </w:r>
      <w:r>
        <w:rPr>
          <w:rFonts w:cs="Calibri Light"/>
          <w:color w:val="4D4D4D"/>
        </w:rPr>
        <w:t>11 and 16</w:t>
      </w:r>
      <w:r w:rsidRPr="00D51B93">
        <w:rPr>
          <w:rFonts w:cs="Calibri Light"/>
          <w:color w:val="4D4D4D"/>
        </w:rPr>
        <w:t>.</w:t>
      </w:r>
      <w:r w:rsidRPr="00D51B93">
        <w:rPr>
          <w:color w:val="4D4D4D"/>
        </w:rPr>
        <w:fldChar w:fldCharType="end"/>
      </w:r>
    </w:p>
  </w:footnote>
  <w:footnote w:id="11">
    <w:p w14:paraId="1B173646" w14:textId="77777777" w:rsidR="00A56DCE" w:rsidRPr="006505F8" w:rsidRDefault="00A56DCE" w:rsidP="00A152E0">
      <w:pPr>
        <w:pStyle w:val="FootnoteText"/>
        <w:spacing w:before="0"/>
        <w:rPr>
          <w:color w:val="4D4D4D"/>
        </w:rPr>
      </w:pPr>
      <w:r w:rsidRPr="006505F8">
        <w:rPr>
          <w:rStyle w:val="FootnoteReference"/>
          <w:color w:val="4D4D4D"/>
        </w:rPr>
        <w:footnoteRef/>
      </w:r>
      <w:r w:rsidRPr="006505F8">
        <w:rPr>
          <w:color w:val="4D4D4D"/>
        </w:rPr>
        <w:t xml:space="preserve"> If an MP dies while serving and is not survived by a partner or eligible children, the lump sum paid to their estate is equal to the greater of:</w:t>
      </w:r>
    </w:p>
    <w:p w14:paraId="6489D067" w14:textId="4129682C" w:rsidR="00A56DCE" w:rsidRPr="006505F8" w:rsidRDefault="00A56DCE" w:rsidP="0021718D">
      <w:pPr>
        <w:pStyle w:val="FootnoteText"/>
        <w:numPr>
          <w:ilvl w:val="0"/>
          <w:numId w:val="54"/>
        </w:numPr>
        <w:spacing w:before="0"/>
        <w:ind w:left="357" w:hanging="357"/>
        <w:rPr>
          <w:color w:val="4D4D4D"/>
        </w:rPr>
      </w:pPr>
      <w:r w:rsidRPr="006505F8">
        <w:rPr>
          <w:color w:val="4D4D4D"/>
        </w:rPr>
        <w:t>the deductions made from the MP salary, plus 2</w:t>
      </w:r>
      <w:r w:rsidR="004D1673">
        <w:rPr>
          <w:color w:val="4D4D4D"/>
        </w:rPr>
        <w:t xml:space="preserve"> </w:t>
      </w:r>
      <w:r w:rsidR="004D1673" w:rsidRPr="005346DB">
        <w:rPr>
          <w:color w:val="4D4D4D"/>
          <w:vertAlign w:val="superscript"/>
        </w:rPr>
        <w:t>1</w:t>
      </w:r>
      <w:r w:rsidR="004D1673">
        <w:rPr>
          <w:color w:val="4D4D4D"/>
        </w:rPr>
        <w:t>/</w:t>
      </w:r>
      <w:r w:rsidR="004D1673" w:rsidRPr="005346DB">
        <w:rPr>
          <w:color w:val="4D4D4D"/>
          <w:vertAlign w:val="subscript"/>
        </w:rPr>
        <w:t>3</w:t>
      </w:r>
      <w:r w:rsidR="004D1673">
        <w:rPr>
          <w:color w:val="4D4D4D"/>
        </w:rPr>
        <w:t xml:space="preserve"> </w:t>
      </w:r>
      <w:r w:rsidRPr="006505F8">
        <w:rPr>
          <w:color w:val="4D4D4D"/>
        </w:rPr>
        <w:t>times the deductions made during the last 8 years of service</w:t>
      </w:r>
    </w:p>
    <w:p w14:paraId="160CE95F" w14:textId="77777777" w:rsidR="00A56DCE" w:rsidRDefault="00A56DCE" w:rsidP="0021718D">
      <w:pPr>
        <w:pStyle w:val="FootnoteText"/>
        <w:numPr>
          <w:ilvl w:val="0"/>
          <w:numId w:val="54"/>
        </w:numPr>
        <w:spacing w:before="0"/>
        <w:ind w:left="357" w:hanging="357"/>
      </w:pPr>
      <w:r w:rsidRPr="006505F8">
        <w:rPr>
          <w:color w:val="4D4D4D"/>
        </w:rPr>
        <w:t>the ‘superannuation guarantee safety-net amount’, which is actuarially determined.</w:t>
      </w:r>
    </w:p>
  </w:footnote>
  <w:footnote w:id="12">
    <w:p w14:paraId="08618ED9" w14:textId="77777777" w:rsidR="003B0154" w:rsidRPr="00D51B93" w:rsidRDefault="003B0154" w:rsidP="00A152E0">
      <w:pPr>
        <w:pStyle w:val="FootnoteText"/>
        <w:spacing w:before="0"/>
        <w:rPr>
          <w:color w:val="4D4D4D"/>
        </w:rPr>
      </w:pPr>
      <w:r w:rsidRPr="00D51B93">
        <w:rPr>
          <w:rStyle w:val="FootnoteReference"/>
          <w:color w:val="4D4D4D"/>
        </w:rPr>
        <w:footnoteRef/>
      </w:r>
      <w:r w:rsidRPr="00D51B93">
        <w:rPr>
          <w:color w:val="4D4D4D"/>
        </w:rPr>
        <w:t xml:space="preserve"> PSAS Act, s16</w:t>
      </w:r>
      <w:r w:rsidR="007D3BE4" w:rsidRPr="00D51B93">
        <w:rPr>
          <w:color w:val="4D4D4D"/>
        </w:rPr>
        <w:t>(1)</w:t>
      </w:r>
      <w:r w:rsidRPr="00D51B93">
        <w:rPr>
          <w:color w:val="4D4D4D"/>
        </w:rPr>
        <w:t xml:space="preserve">. </w:t>
      </w:r>
    </w:p>
  </w:footnote>
  <w:footnote w:id="13">
    <w:p w14:paraId="21B1CA30" w14:textId="77777777" w:rsidR="00921D2B" w:rsidRPr="00D51B93" w:rsidRDefault="00921D2B" w:rsidP="00A152E0">
      <w:pPr>
        <w:pStyle w:val="FootnoteText"/>
        <w:spacing w:before="0"/>
        <w:rPr>
          <w:color w:val="4D4D4D"/>
        </w:rPr>
      </w:pPr>
      <w:r w:rsidRPr="00D51B93">
        <w:rPr>
          <w:rStyle w:val="FootnoteReference"/>
          <w:color w:val="4D4D4D"/>
        </w:rPr>
        <w:footnoteRef/>
      </w:r>
      <w:r w:rsidRPr="00D51B93">
        <w:rPr>
          <w:color w:val="4D4D4D"/>
        </w:rPr>
        <w:t xml:space="preserve"> PSAS Act, s20.</w:t>
      </w:r>
    </w:p>
  </w:footnote>
  <w:footnote w:id="14">
    <w:p w14:paraId="3CA6657C" w14:textId="75DD637D" w:rsidR="00AA45A4" w:rsidRDefault="00AA45A4" w:rsidP="00A152E0">
      <w:pPr>
        <w:pStyle w:val="FootnoteText"/>
        <w:spacing w:before="0"/>
      </w:pPr>
      <w:r w:rsidRPr="00D51B93">
        <w:rPr>
          <w:rStyle w:val="FootnoteReference"/>
          <w:color w:val="4D4D4D"/>
        </w:rPr>
        <w:footnoteRef/>
      </w:r>
      <w:r w:rsidRPr="00D51B93">
        <w:rPr>
          <w:color w:val="4D4D4D"/>
        </w:rPr>
        <w:t xml:space="preserve"> </w:t>
      </w:r>
      <w:r w:rsidRPr="00D51B93">
        <w:rPr>
          <w:color w:val="4D4D4D"/>
        </w:rPr>
        <w:fldChar w:fldCharType="begin"/>
      </w:r>
      <w:r w:rsidRPr="00D51B93">
        <w:rPr>
          <w:color w:val="4D4D4D"/>
        </w:rPr>
        <w:instrText xml:space="preserve"> ADDIN ZOTERO_ITEM CSL_CITATION {"citationID":"IAjPz3pS","properties":{"formattedCitation":"Emergency Services Superannuation Board, 16\\uc0\\u8211{}17.","plainCitation":"Emergency Services Superannuation Board, 16–17.","noteIndex":21},"citationItems":[{"id":425,"uris":["http://zotero.org/groups/2355244/items/YBRVPYGW"],"uri":["http://zotero.org/groups/2355244/items/YBRVPYGW"],"itemData":{"id":425,"type":"article","title":"Parliamentary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Board","given":""}],"issued":{"date-parts":[["2017"]]}},"locator":"16-17"}],"schema":"https://github.com/citation-style-language/schema/raw/master/csl-citation.json"} </w:instrText>
      </w:r>
      <w:r w:rsidRPr="00D51B93">
        <w:rPr>
          <w:color w:val="4D4D4D"/>
        </w:rPr>
        <w:fldChar w:fldCharType="separate"/>
      </w:r>
      <w:r w:rsidR="00D51B93" w:rsidRPr="00E049A5">
        <w:rPr>
          <w:color w:val="4D4D4D"/>
        </w:rPr>
        <w:t>Emergency Services and State Superannuation Board</w:t>
      </w:r>
      <w:r w:rsidRPr="00D51B93">
        <w:rPr>
          <w:rFonts w:cs="Calibri Light"/>
          <w:color w:val="4D4D4D"/>
          <w:szCs w:val="24"/>
        </w:rPr>
        <w:t>, 13–14.</w:t>
      </w:r>
      <w:r w:rsidRPr="00D51B93">
        <w:rPr>
          <w:color w:val="4D4D4D"/>
        </w:rPr>
        <w:fldChar w:fldCharType="end"/>
      </w:r>
      <w:r w:rsidRPr="00D51B93">
        <w:rPr>
          <w:color w:val="4D4D4D"/>
        </w:rPr>
        <w:t xml:space="preserve"> </w:t>
      </w:r>
    </w:p>
  </w:footnote>
  <w:footnote w:id="15">
    <w:p w14:paraId="56901BEA" w14:textId="19478506" w:rsidR="00921D2B" w:rsidRPr="00D51B93" w:rsidRDefault="00921D2B" w:rsidP="00A152E0">
      <w:pPr>
        <w:pStyle w:val="FootnoteText"/>
        <w:spacing w:before="0"/>
        <w:rPr>
          <w:color w:val="4D4D4D"/>
        </w:rPr>
      </w:pPr>
      <w:r w:rsidRPr="00D51B93">
        <w:rPr>
          <w:rStyle w:val="FootnoteReference"/>
          <w:color w:val="4D4D4D"/>
        </w:rPr>
        <w:footnoteRef/>
      </w:r>
      <w:r w:rsidRPr="00D51B93">
        <w:rPr>
          <w:color w:val="4D4D4D"/>
        </w:rPr>
        <w:t xml:space="preserve"> PSAS Act, s17</w:t>
      </w:r>
      <w:r w:rsidR="003B0154" w:rsidRPr="00D51B93">
        <w:rPr>
          <w:color w:val="4D4D4D"/>
        </w:rPr>
        <w:t xml:space="preserve">; </w:t>
      </w:r>
      <w:r w:rsidR="003B0154" w:rsidRPr="00D51B93">
        <w:rPr>
          <w:color w:val="4D4D4D"/>
        </w:rPr>
        <w:fldChar w:fldCharType="begin"/>
      </w:r>
      <w:r w:rsidR="003B0154" w:rsidRPr="00D51B93">
        <w:rPr>
          <w:color w:val="4D4D4D"/>
        </w:rPr>
        <w:instrText xml:space="preserve"> ADDIN ZOTERO_ITEM CSL_CITATION {"citationID":"IAjPz3pS","properties":{"formattedCitation":"Emergency Services Superannuation Board, 16\\uc0\\u8211{}17.","plainCitation":"Emergency Services Superannuation Board, 16–17.","noteIndex":21},"citationItems":[{"id":425,"uris":["http://zotero.org/groups/2355244/items/YBRVPYGW"],"uri":["http://zotero.org/groups/2355244/items/YBRVPYGW"],"itemData":{"id":425,"type":"article","title":"Parliamentary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Board","given":""}],"issued":{"date-parts":[["2017"]]}},"locator":"16-17"}],"schema":"https://github.com/citation-style-language/schema/raw/master/csl-citation.json"} </w:instrText>
      </w:r>
      <w:r w:rsidR="003B0154" w:rsidRPr="00D51B93">
        <w:rPr>
          <w:color w:val="4D4D4D"/>
        </w:rPr>
        <w:fldChar w:fldCharType="separate"/>
      </w:r>
      <w:r w:rsidR="00D51B93" w:rsidRPr="00E049A5">
        <w:rPr>
          <w:color w:val="4D4D4D"/>
        </w:rPr>
        <w:t>Emergency Services and State Superannuation Board</w:t>
      </w:r>
      <w:r w:rsidR="003B0154" w:rsidRPr="00D51B93">
        <w:rPr>
          <w:rFonts w:cs="Calibri Light"/>
          <w:color w:val="4D4D4D"/>
          <w:szCs w:val="24"/>
        </w:rPr>
        <w:t>, 16–17.</w:t>
      </w:r>
      <w:r w:rsidR="003B0154" w:rsidRPr="00D51B93">
        <w:rPr>
          <w:color w:val="4D4D4D"/>
        </w:rPr>
        <w:fldChar w:fldCharType="end"/>
      </w:r>
    </w:p>
  </w:footnote>
  <w:footnote w:id="16">
    <w:p w14:paraId="718BBFFD" w14:textId="67C6E482" w:rsidR="00AA45A4" w:rsidRDefault="00AA45A4" w:rsidP="00A152E0">
      <w:pPr>
        <w:pStyle w:val="FootnoteText"/>
        <w:spacing w:before="0"/>
      </w:pPr>
      <w:r w:rsidRPr="00D51B93">
        <w:rPr>
          <w:rStyle w:val="FootnoteReference"/>
          <w:color w:val="4D4D4D"/>
        </w:rPr>
        <w:footnoteRef/>
      </w:r>
      <w:r w:rsidRPr="00D51B93">
        <w:rPr>
          <w:color w:val="4D4D4D"/>
        </w:rPr>
        <w:t xml:space="preserve"> PSAS Act, s18;</w:t>
      </w:r>
      <w:r w:rsidRPr="00D51B93">
        <w:rPr>
          <w:color w:val="4D4D4D"/>
        </w:rPr>
        <w:fldChar w:fldCharType="begin"/>
      </w:r>
      <w:r w:rsidRPr="00D51B93">
        <w:rPr>
          <w:color w:val="4D4D4D"/>
        </w:rPr>
        <w:instrText xml:space="preserve"> ADDIN ZOTERO_ITEM CSL_CITATION {"citationID":"IAjPz3pS","properties":{"formattedCitation":"Emergency Services Superannuation Board, 16\\uc0\\u8211{}17.","plainCitation":"Emergency Services Superannuation Board, 16–17.","noteIndex":21},"citationItems":[{"id":425,"uris":["http://zotero.org/groups/2355244/items/YBRVPYGW"],"uri":["http://zotero.org/groups/2355244/items/YBRVPYGW"],"itemData":{"id":425,"type":"article","title":"Parliamentary Contributory Superannuation Fund Member Handbook - New Benefits Scheme (Division 3)","author":[{"family":"Emergency Services Superannuation Board","given":""}],"issued":{"date-parts":[["2017"]]}},"locator":"16-17"}],"schema":"https://github.com/citation-style-language/schema/raw/master/csl-citation.json"} </w:instrText>
      </w:r>
      <w:r w:rsidRPr="00D51B93">
        <w:rPr>
          <w:color w:val="4D4D4D"/>
        </w:rPr>
        <w:fldChar w:fldCharType="separate"/>
      </w:r>
      <w:r w:rsidR="00D51B93" w:rsidRPr="00D51B93">
        <w:rPr>
          <w:color w:val="4D4D4D"/>
        </w:rPr>
        <w:t xml:space="preserve"> </w:t>
      </w:r>
      <w:r w:rsidR="00D51B93" w:rsidRPr="00E049A5">
        <w:rPr>
          <w:color w:val="4D4D4D"/>
        </w:rPr>
        <w:t xml:space="preserve">Emergency </w:t>
      </w:r>
      <w:r w:rsidR="00D51B93" w:rsidRPr="002B0457">
        <w:rPr>
          <w:color w:val="4D4D4D"/>
        </w:rPr>
        <w:t>Services</w:t>
      </w:r>
      <w:r w:rsidR="00D51B93" w:rsidRPr="00E049A5">
        <w:rPr>
          <w:color w:val="4D4D4D"/>
        </w:rPr>
        <w:t xml:space="preserve"> and State Superannuation Board</w:t>
      </w:r>
      <w:r w:rsidRPr="00D51B93">
        <w:rPr>
          <w:rFonts w:cs="Calibri Light"/>
          <w:color w:val="4D4D4D"/>
          <w:szCs w:val="24"/>
        </w:rPr>
        <w:t>, 15.</w:t>
      </w:r>
      <w:r w:rsidRPr="00D51B93">
        <w:rPr>
          <w:color w:val="4D4D4D"/>
        </w:rPr>
        <w:fldChar w:fldCharType="end"/>
      </w:r>
    </w:p>
  </w:footnote>
  <w:footnote w:id="17">
    <w:p w14:paraId="195140E7" w14:textId="77777777" w:rsidR="00921D2B" w:rsidRPr="002B0457" w:rsidRDefault="00921D2B" w:rsidP="00A152E0">
      <w:pPr>
        <w:pStyle w:val="FootnoteText"/>
        <w:spacing w:before="0"/>
        <w:rPr>
          <w:color w:val="4D4D4D"/>
        </w:rPr>
      </w:pPr>
      <w:r w:rsidRPr="002B0457">
        <w:rPr>
          <w:rStyle w:val="FootnoteReference"/>
          <w:color w:val="4D4D4D"/>
        </w:rPr>
        <w:footnoteRef/>
      </w:r>
      <w:r w:rsidRPr="002B0457">
        <w:rPr>
          <w:color w:val="4D4D4D"/>
        </w:rPr>
        <w:t xml:space="preserve"> PSAS Act, s</w:t>
      </w:r>
      <w:r w:rsidR="00AA45A4" w:rsidRPr="002B0457">
        <w:rPr>
          <w:color w:val="4D4D4D"/>
        </w:rPr>
        <w:t>s</w:t>
      </w:r>
      <w:r w:rsidRPr="002B0457">
        <w:rPr>
          <w:color w:val="4D4D4D"/>
        </w:rPr>
        <w:t>10A</w:t>
      </w:r>
      <w:r w:rsidR="00AA45A4" w:rsidRPr="002B0457">
        <w:rPr>
          <w:color w:val="4D4D4D"/>
        </w:rPr>
        <w:t xml:space="preserve"> and 10B</w:t>
      </w:r>
      <w:r w:rsidRPr="002B0457">
        <w:rPr>
          <w:color w:val="4D4D4D"/>
        </w:rPr>
        <w:t xml:space="preserve">; </w:t>
      </w:r>
      <w:r w:rsidR="00D51B93" w:rsidRPr="002B0457">
        <w:rPr>
          <w:color w:val="4D4D4D"/>
        </w:rPr>
        <w:t>Emergency Services and State Superannuation Board</w:t>
      </w:r>
      <w:r w:rsidR="00AA45A4" w:rsidRPr="002B0457">
        <w:rPr>
          <w:rFonts w:cs="Calibri Light"/>
          <w:color w:val="4D4D4D"/>
          <w:szCs w:val="24"/>
        </w:rPr>
        <w:t>, 15</w:t>
      </w:r>
      <w:r w:rsidRPr="002B0457">
        <w:rPr>
          <w:color w:val="4D4D4D"/>
        </w:rPr>
        <w:t>.</w:t>
      </w:r>
    </w:p>
  </w:footnote>
  <w:footnote w:id="18">
    <w:p w14:paraId="5D339849" w14:textId="77777777" w:rsidR="00921D2B" w:rsidRDefault="00921D2B" w:rsidP="00A152E0">
      <w:pPr>
        <w:pStyle w:val="FootnoteText"/>
        <w:spacing w:before="0"/>
      </w:pPr>
      <w:r w:rsidRPr="002B0457">
        <w:rPr>
          <w:rStyle w:val="FootnoteReference"/>
          <w:color w:val="4D4D4D"/>
        </w:rPr>
        <w:footnoteRef/>
      </w:r>
      <w:r w:rsidRPr="002B0457">
        <w:rPr>
          <w:color w:val="4D4D4D"/>
        </w:rPr>
        <w:t xml:space="preserve"> PSAS Act, s18(6).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67C6" w14:textId="77777777" w:rsidR="00CF6BC8" w:rsidRDefault="00CF6B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DD90E" w14:textId="77777777" w:rsidR="00921D2B" w:rsidRDefault="00921D2B">
    <w:pPr>
      <w:pStyle w:val="Header"/>
      <w:rPr>
        <w:noProof/>
      </w:rPr>
    </w:pPr>
    <w:r>
      <w:rPr>
        <w:noProof/>
      </w:rPr>
      <w:drawing>
        <wp:anchor distT="0" distB="0" distL="114300" distR="114300" simplePos="0" relativeHeight="251653120" behindDoc="0" locked="0" layoutInCell="1" allowOverlap="1" wp14:anchorId="719B7B1F" wp14:editId="74CF549C">
          <wp:simplePos x="0" y="0"/>
          <wp:positionH relativeFrom="page">
            <wp:posOffset>4348264</wp:posOffset>
          </wp:positionH>
          <wp:positionV relativeFrom="page">
            <wp:posOffset>252919</wp:posOffset>
          </wp:positionV>
          <wp:extent cx="3205480" cy="875260"/>
          <wp:effectExtent l="0" t="0" r="0" b="0"/>
          <wp:wrapNone/>
          <wp:docPr id="5" name="Picture 5"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rotWithShape="1">
                  <a:blip r:embed="rId1"/>
                  <a:srcRect b="37968"/>
                  <a:stretch/>
                </pic:blipFill>
                <pic:spPr bwMode="auto">
                  <a:xfrm>
                    <a:off x="0" y="0"/>
                    <a:ext cx="3206323" cy="8754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5700D2">
      <w:rPr>
        <w:noProof/>
      </w:rPr>
      <w:drawing>
        <wp:anchor distT="0" distB="0" distL="114300" distR="114300" simplePos="0" relativeHeight="251665408" behindDoc="0" locked="0" layoutInCell="1" allowOverlap="1" wp14:anchorId="50EDEAB8" wp14:editId="52526D09">
          <wp:simplePos x="0" y="0"/>
          <wp:positionH relativeFrom="column">
            <wp:posOffset>1270</wp:posOffset>
          </wp:positionH>
          <wp:positionV relativeFrom="page">
            <wp:posOffset>339982</wp:posOffset>
          </wp:positionV>
          <wp:extent cx="846306" cy="7074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 Logo CMYK Reversed.eps"/>
                  <pic:cNvPicPr/>
                </pic:nvPicPr>
                <pic:blipFill>
                  <a:blip r:embed="rId2">
                    <a:extLst>
                      <a:ext uri="{28A0092B-C50C-407E-A947-70E740481C1C}">
                        <a14:useLocalDpi xmlns:a14="http://schemas.microsoft.com/office/drawing/2010/main" val="0"/>
                      </a:ext>
                    </a:extLst>
                  </a:blip>
                  <a:stretch>
                    <a:fillRect/>
                  </a:stretch>
                </pic:blipFill>
                <pic:spPr>
                  <a:xfrm>
                    <a:off x="0" y="0"/>
                    <a:ext cx="846306" cy="707410"/>
                  </a:xfrm>
                  <a:prstGeom prst="rect">
                    <a:avLst/>
                  </a:prstGeom>
                </pic:spPr>
              </pic:pic>
            </a:graphicData>
          </a:graphic>
          <wp14:sizeRelH relativeFrom="margin">
            <wp14:pctWidth>0</wp14:pctWidth>
          </wp14:sizeRelH>
          <wp14:sizeRelV relativeFrom="margin">
            <wp14:pctHeight>0</wp14:pctHeight>
          </wp14:sizeRelV>
        </wp:anchor>
      </w:drawing>
    </w:r>
    <w:r w:rsidR="00D95AFE">
      <w:rPr>
        <w:noProof/>
      </w:rPr>
      <mc:AlternateContent>
        <mc:Choice Requires="wps">
          <w:drawing>
            <wp:anchor distT="0" distB="0" distL="114300" distR="114300" simplePos="0" relativeHeight="251664896" behindDoc="1" locked="0" layoutInCell="1" allowOverlap="1" wp14:anchorId="3F2DC417" wp14:editId="59C88DAE">
              <wp:simplePos x="0" y="0"/>
              <wp:positionH relativeFrom="page">
                <wp:posOffset>3175</wp:posOffset>
              </wp:positionH>
              <wp:positionV relativeFrom="page">
                <wp:posOffset>243205</wp:posOffset>
              </wp:positionV>
              <wp:extent cx="7560310" cy="88519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88519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94893" id="Rectangle 3" o:spid="_x0000_s1026" style="position:absolute;margin-left:.25pt;margin-top:19.15pt;width:595.3pt;height:69.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" fillcolor="#4b4b4b" stroked="f" strokecolor="#4a7ebb" strokeweight="1.5pt">
              <v:shadow opacity="22938f" offset="0"/>
              <v:path arrowok="t"/>
              <v:textbox inset=",7.2pt,,7.2pt"/>
              <w10:wrap anchorx="page" anchory="page"/>
            </v:rect>
          </w:pict>
        </mc:Fallback>
      </mc:AlternateContent>
    </w:r>
  </w:p>
  <w:p w14:paraId="7B9CA9A7" w14:textId="77777777" w:rsidR="00921D2B" w:rsidRDefault="0092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CD4E5" w14:textId="77777777" w:rsidR="00921D2B" w:rsidRDefault="001F2DAF">
    <w:pPr>
      <w:pStyle w:val="Header"/>
    </w:pPr>
    <w:r w:rsidRPr="001F2DAF">
      <w:rPr>
        <w:rFonts w:ascii="Rockwell" w:hAnsi="Rockwell" w:cs="Times New Roman (Body CS)"/>
        <w:noProof/>
        <w:color w:val="FFFFFF" w:themeColor="background1"/>
        <w:sz w:val="44"/>
        <w:szCs w:val="44"/>
        <w:lang w:val="en-US"/>
      </w:rPr>
      <w:t>Appendix</w:t>
    </w:r>
    <w:r w:rsidR="005B798B">
      <w:rPr>
        <w:rFonts w:ascii="Rockwell" w:hAnsi="Rockwell" w:cs="Times New Roman (Body CS)"/>
        <w:noProof/>
        <w:color w:val="FFFFFF" w:themeColor="background1"/>
        <w:sz w:val="44"/>
        <w:szCs w:val="44"/>
        <w:lang w:val="en-US"/>
      </w:rPr>
      <w:t xml:space="preserve"> A</w:t>
    </w:r>
    <w:r w:rsidRPr="001F2DAF">
      <w:rPr>
        <w:rFonts w:ascii="Rockwell" w:hAnsi="Rockwell" w:cs="Times New Roman (Body CS)"/>
        <w:noProof/>
        <w:color w:val="FFFFFF" w:themeColor="background1"/>
        <w:sz w:val="44"/>
        <w:szCs w:val="44"/>
        <w:lang w:val="en-US"/>
      </w:rPr>
      <w:t xml:space="preserve">: Summary of MP </w:t>
    </w:r>
    <w:r w:rsidRPr="001F2DAF">
      <w:rPr>
        <w:rFonts w:ascii="Rockwell" w:hAnsi="Rockwell" w:cs="Times New Roman (Body CS)"/>
        <w:noProof/>
        <w:color w:val="FFFFFF" w:themeColor="background1"/>
        <w:sz w:val="44"/>
        <w:szCs w:val="44"/>
        <w:lang w:val="en-US"/>
      </w:rPr>
      <w:br/>
      <w:t>defined benefit schemes</w:t>
    </w:r>
    <w:r w:rsidRPr="001F2DAF">
      <w:rPr>
        <w:noProof/>
        <w:color w:val="FFFFFF" w:themeColor="background1"/>
      </w:rPr>
      <w:t xml:space="preserve"> </w:t>
    </w:r>
    <w:r w:rsidR="00921D2B">
      <w:rPr>
        <w:noProof/>
      </w:rPr>
      <w:drawing>
        <wp:anchor distT="0" distB="0" distL="114300" distR="114300" simplePos="0" relativeHeight="251656192" behindDoc="0" locked="0" layoutInCell="1" allowOverlap="1" wp14:anchorId="0E1D3127" wp14:editId="10F363D0">
          <wp:simplePos x="0" y="0"/>
          <wp:positionH relativeFrom="page">
            <wp:posOffset>4345940</wp:posOffset>
          </wp:positionH>
          <wp:positionV relativeFrom="page">
            <wp:posOffset>104140</wp:posOffset>
          </wp:positionV>
          <wp:extent cx="3205480" cy="1442720"/>
          <wp:effectExtent l="0" t="0" r="0" b="0"/>
          <wp:wrapNone/>
          <wp:docPr id="7" name="Picture 7" descr="VIRT_ColourBars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RT_ColourBars_top.png"/>
                  <pic:cNvPicPr/>
                </pic:nvPicPr>
                <pic:blipFill>
                  <a:blip r:embed="rId1"/>
                  <a:stretch>
                    <a:fillRect/>
                  </a:stretch>
                </pic:blipFill>
                <pic:spPr>
                  <a:xfrm>
                    <a:off x="0" y="0"/>
                    <a:ext cx="3205480" cy="1442720"/>
                  </a:xfrm>
                  <a:prstGeom prst="rect">
                    <a:avLst/>
                  </a:prstGeom>
                </pic:spPr>
              </pic:pic>
            </a:graphicData>
          </a:graphic>
          <wp14:sizeRelV relativeFrom="margin">
            <wp14:pctHeight>0</wp14:pctHeight>
          </wp14:sizeRelV>
        </wp:anchor>
      </w:drawing>
    </w:r>
    <w:r w:rsidR="00D95AFE">
      <w:rPr>
        <w:noProof/>
      </w:rPr>
      <mc:AlternateContent>
        <mc:Choice Requires="wps">
          <w:drawing>
            <wp:anchor distT="0" distB="0" distL="114300" distR="114300" simplePos="0" relativeHeight="251659776" behindDoc="1" locked="0" layoutInCell="1" allowOverlap="1" wp14:anchorId="6448D058" wp14:editId="586D9922">
              <wp:simplePos x="0" y="0"/>
              <wp:positionH relativeFrom="page">
                <wp:posOffset>-13335</wp:posOffset>
              </wp:positionH>
              <wp:positionV relativeFrom="page">
                <wp:posOffset>104140</wp:posOffset>
              </wp:positionV>
              <wp:extent cx="7560310" cy="144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440180"/>
                      </a:xfrm>
                      <a:prstGeom prst="rect">
                        <a:avLst/>
                      </a:prstGeom>
                      <a:solidFill>
                        <a:srgbClr val="4B4B4B"/>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B9D99" id="Rectangle 3" o:spid="_x0000_s1026" style="position:absolute;margin-left:-1.05pt;margin-top:8.2pt;width:595.3pt;height:113.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" fillcolor="#4b4b4b" stroked="f" strokecolor="#4a7ebb" strokeweight="1.5pt">
              <v:shadow opacity="22938f" offset="0"/>
              <v:path arrowok="t"/>
              <v:textbox inset=",7.2pt,,7.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F6F0D98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328120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815432"/>
    <w:multiLevelType w:val="hybridMultilevel"/>
    <w:tmpl w:val="9FA04FC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E95DD2"/>
    <w:multiLevelType w:val="hybridMultilevel"/>
    <w:tmpl w:val="1E04F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E251A"/>
    <w:multiLevelType w:val="hybridMultilevel"/>
    <w:tmpl w:val="FBC094F4"/>
    <w:lvl w:ilvl="0" w:tplc="0C09001B">
      <w:start w:val="1"/>
      <w:numFmt w:val="lowerRoman"/>
      <w:lvlText w:val="%1."/>
      <w:lvlJc w:val="righ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76F5A28"/>
    <w:multiLevelType w:val="hybridMultilevel"/>
    <w:tmpl w:val="07A49F9E"/>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6" w15:restartNumberingAfterBreak="0">
    <w:nsid w:val="07D360CD"/>
    <w:multiLevelType w:val="hybridMultilevel"/>
    <w:tmpl w:val="87485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B11A2"/>
    <w:multiLevelType w:val="hybridMultilevel"/>
    <w:tmpl w:val="42867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F13CBD"/>
    <w:multiLevelType w:val="hybridMultilevel"/>
    <w:tmpl w:val="857E96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9907120"/>
    <w:multiLevelType w:val="hybridMultilevel"/>
    <w:tmpl w:val="0F06DE72"/>
    <w:lvl w:ilvl="0" w:tplc="4BB4B740">
      <w:start w:val="1"/>
      <w:numFmt w:val="decimal"/>
      <w:lvlText w:val="%1."/>
      <w:lvlJc w:val="left"/>
      <w:pPr>
        <w:ind w:left="360" w:hanging="360"/>
      </w:pPr>
      <w:rPr>
        <w:rFonts w:hint="default"/>
        <w:b w:val="0"/>
        <w:bCs/>
        <w:i w:val="0"/>
      </w:rPr>
    </w:lvl>
    <w:lvl w:ilvl="1" w:tplc="561CCEC4">
      <w:start w:val="1"/>
      <w:numFmt w:val="lowerRoman"/>
      <w:lvlText w:val="%2."/>
      <w:lvlJc w:val="righ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ACD50F2"/>
    <w:multiLevelType w:val="multilevel"/>
    <w:tmpl w:val="336AE5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D2078DB"/>
    <w:multiLevelType w:val="hybridMultilevel"/>
    <w:tmpl w:val="694854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067376E"/>
    <w:multiLevelType w:val="hybridMultilevel"/>
    <w:tmpl w:val="70005384"/>
    <w:lvl w:ilvl="0" w:tplc="410A7AA8">
      <w:start w:val="1"/>
      <w:numFmt w:val="bullet"/>
      <w:lvlText w:val="‒"/>
      <w:lvlJc w:val="left"/>
      <w:pPr>
        <w:ind w:left="360" w:hanging="360"/>
      </w:pPr>
      <w:rPr>
        <w:rFonts w:ascii="Calibri Light" w:hAnsi="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26702F3"/>
    <w:multiLevelType w:val="hybridMultilevel"/>
    <w:tmpl w:val="87C03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436F3"/>
    <w:multiLevelType w:val="hybridMultilevel"/>
    <w:tmpl w:val="AD18F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C72A19"/>
    <w:multiLevelType w:val="hybridMultilevel"/>
    <w:tmpl w:val="7C08A954"/>
    <w:lvl w:ilvl="0" w:tplc="939E7DB6">
      <w:start w:val="1"/>
      <w:numFmt w:val="bullet"/>
      <w:lvlText w:val="‒"/>
      <w:lvlJc w:val="left"/>
      <w:pPr>
        <w:tabs>
          <w:tab w:val="num" w:pos="720"/>
        </w:tabs>
        <w:ind w:left="720" w:hanging="360"/>
      </w:pPr>
      <w:rPr>
        <w:rFonts w:ascii="Calibri" w:hAnsi="Calibri" w:hint="default"/>
      </w:rPr>
    </w:lvl>
    <w:lvl w:ilvl="1" w:tplc="547EF8B8" w:tentative="1">
      <w:start w:val="1"/>
      <w:numFmt w:val="bullet"/>
      <w:lvlText w:val="‒"/>
      <w:lvlJc w:val="left"/>
      <w:pPr>
        <w:tabs>
          <w:tab w:val="num" w:pos="1440"/>
        </w:tabs>
        <w:ind w:left="1440" w:hanging="360"/>
      </w:pPr>
      <w:rPr>
        <w:rFonts w:ascii="Calibri" w:hAnsi="Calibri" w:hint="default"/>
      </w:rPr>
    </w:lvl>
    <w:lvl w:ilvl="2" w:tplc="6AE07244" w:tentative="1">
      <w:start w:val="1"/>
      <w:numFmt w:val="bullet"/>
      <w:lvlText w:val="‒"/>
      <w:lvlJc w:val="left"/>
      <w:pPr>
        <w:tabs>
          <w:tab w:val="num" w:pos="2160"/>
        </w:tabs>
        <w:ind w:left="2160" w:hanging="360"/>
      </w:pPr>
      <w:rPr>
        <w:rFonts w:ascii="Calibri" w:hAnsi="Calibri" w:hint="default"/>
      </w:rPr>
    </w:lvl>
    <w:lvl w:ilvl="3" w:tplc="00982C98" w:tentative="1">
      <w:start w:val="1"/>
      <w:numFmt w:val="bullet"/>
      <w:lvlText w:val="‒"/>
      <w:lvlJc w:val="left"/>
      <w:pPr>
        <w:tabs>
          <w:tab w:val="num" w:pos="2880"/>
        </w:tabs>
        <w:ind w:left="2880" w:hanging="360"/>
      </w:pPr>
      <w:rPr>
        <w:rFonts w:ascii="Calibri" w:hAnsi="Calibri" w:hint="default"/>
      </w:rPr>
    </w:lvl>
    <w:lvl w:ilvl="4" w:tplc="33B4E0D2" w:tentative="1">
      <w:start w:val="1"/>
      <w:numFmt w:val="bullet"/>
      <w:lvlText w:val="‒"/>
      <w:lvlJc w:val="left"/>
      <w:pPr>
        <w:tabs>
          <w:tab w:val="num" w:pos="3600"/>
        </w:tabs>
        <w:ind w:left="3600" w:hanging="360"/>
      </w:pPr>
      <w:rPr>
        <w:rFonts w:ascii="Calibri" w:hAnsi="Calibri" w:hint="default"/>
      </w:rPr>
    </w:lvl>
    <w:lvl w:ilvl="5" w:tplc="6CA6B884" w:tentative="1">
      <w:start w:val="1"/>
      <w:numFmt w:val="bullet"/>
      <w:lvlText w:val="‒"/>
      <w:lvlJc w:val="left"/>
      <w:pPr>
        <w:tabs>
          <w:tab w:val="num" w:pos="4320"/>
        </w:tabs>
        <w:ind w:left="4320" w:hanging="360"/>
      </w:pPr>
      <w:rPr>
        <w:rFonts w:ascii="Calibri" w:hAnsi="Calibri" w:hint="default"/>
      </w:rPr>
    </w:lvl>
    <w:lvl w:ilvl="6" w:tplc="1FFC4B4C" w:tentative="1">
      <w:start w:val="1"/>
      <w:numFmt w:val="bullet"/>
      <w:lvlText w:val="‒"/>
      <w:lvlJc w:val="left"/>
      <w:pPr>
        <w:tabs>
          <w:tab w:val="num" w:pos="5040"/>
        </w:tabs>
        <w:ind w:left="5040" w:hanging="360"/>
      </w:pPr>
      <w:rPr>
        <w:rFonts w:ascii="Calibri" w:hAnsi="Calibri" w:hint="default"/>
      </w:rPr>
    </w:lvl>
    <w:lvl w:ilvl="7" w:tplc="173492E6" w:tentative="1">
      <w:start w:val="1"/>
      <w:numFmt w:val="bullet"/>
      <w:lvlText w:val="‒"/>
      <w:lvlJc w:val="left"/>
      <w:pPr>
        <w:tabs>
          <w:tab w:val="num" w:pos="5760"/>
        </w:tabs>
        <w:ind w:left="5760" w:hanging="360"/>
      </w:pPr>
      <w:rPr>
        <w:rFonts w:ascii="Calibri" w:hAnsi="Calibri" w:hint="default"/>
      </w:rPr>
    </w:lvl>
    <w:lvl w:ilvl="8" w:tplc="2BF80EA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C65486F"/>
    <w:multiLevelType w:val="hybridMultilevel"/>
    <w:tmpl w:val="AC1087B0"/>
    <w:lvl w:ilvl="0" w:tplc="FFCE4156">
      <w:start w:val="1"/>
      <w:numFmt w:val="bullet"/>
      <w:pStyle w:val="VIRTBulletpoin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087D0D"/>
    <w:multiLevelType w:val="hybridMultilevel"/>
    <w:tmpl w:val="43880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A709DE"/>
    <w:multiLevelType w:val="hybridMultilevel"/>
    <w:tmpl w:val="7228E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752536"/>
    <w:multiLevelType w:val="hybridMultilevel"/>
    <w:tmpl w:val="84D67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17F6472"/>
    <w:multiLevelType w:val="hybridMultilevel"/>
    <w:tmpl w:val="2AD23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0938C8"/>
    <w:multiLevelType w:val="hybridMultilevel"/>
    <w:tmpl w:val="8A70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551C67"/>
    <w:multiLevelType w:val="hybridMultilevel"/>
    <w:tmpl w:val="C43CC7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5164DB"/>
    <w:multiLevelType w:val="hybridMultilevel"/>
    <w:tmpl w:val="7292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F2B70"/>
    <w:multiLevelType w:val="hybridMultilevel"/>
    <w:tmpl w:val="45BE1B76"/>
    <w:lvl w:ilvl="0" w:tplc="2F7ACF58">
      <w:start w:val="1"/>
      <w:numFmt w:val="bullet"/>
      <w:lvlText w:val="—"/>
      <w:lvlJc w:val="left"/>
      <w:pPr>
        <w:ind w:left="1140" w:hanging="360"/>
      </w:pPr>
      <w:rPr>
        <w:rFonts w:ascii="Calibri Light" w:hAnsi="Calibri Light"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6" w15:restartNumberingAfterBreak="0">
    <w:nsid w:val="5B1F0B2C"/>
    <w:multiLevelType w:val="hybridMultilevel"/>
    <w:tmpl w:val="A2C61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627F8A"/>
    <w:multiLevelType w:val="hybridMultilevel"/>
    <w:tmpl w:val="18002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51C2DB9"/>
    <w:multiLevelType w:val="hybridMultilevel"/>
    <w:tmpl w:val="8C006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326342"/>
    <w:multiLevelType w:val="hybridMultilevel"/>
    <w:tmpl w:val="48D69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275FB7"/>
    <w:multiLevelType w:val="multilevel"/>
    <w:tmpl w:val="4B9036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73FB2472"/>
    <w:multiLevelType w:val="hybridMultilevel"/>
    <w:tmpl w:val="A142F5C6"/>
    <w:lvl w:ilvl="0" w:tplc="2F7ACF58">
      <w:start w:val="1"/>
      <w:numFmt w:val="bullet"/>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71591D"/>
    <w:multiLevelType w:val="hybridMultilevel"/>
    <w:tmpl w:val="CABAC518"/>
    <w:lvl w:ilvl="0" w:tplc="2F7ACF58">
      <w:start w:val="1"/>
      <w:numFmt w:val="bullet"/>
      <w:lvlText w:val="—"/>
      <w:lvlJc w:val="left"/>
      <w:pPr>
        <w:ind w:left="720" w:hanging="360"/>
      </w:pPr>
      <w:rPr>
        <w:rFonts w:ascii="Calibri Light" w:hAnsi="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82B99"/>
    <w:multiLevelType w:val="hybridMultilevel"/>
    <w:tmpl w:val="DA7E90D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FCD3C3C"/>
    <w:multiLevelType w:val="hybridMultilevel"/>
    <w:tmpl w:val="0DE43DBA"/>
    <w:lvl w:ilvl="0" w:tplc="2F7ACF58">
      <w:start w:val="1"/>
      <w:numFmt w:val="bullet"/>
      <w:lvlText w:val="—"/>
      <w:lvlJc w:val="left"/>
      <w:pPr>
        <w:ind w:left="720" w:hanging="360"/>
      </w:pPr>
      <w:rPr>
        <w:rFonts w:ascii="Calibri Light" w:hAnsi="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3"/>
  </w:num>
  <w:num w:numId="3">
    <w:abstractNumId w:val="12"/>
  </w:num>
  <w:num w:numId="4">
    <w:abstractNumId w:val="15"/>
  </w:num>
  <w:num w:numId="5">
    <w:abstractNumId w:val="4"/>
  </w:num>
  <w:num w:numId="6">
    <w:abstractNumId w:val="34"/>
  </w:num>
  <w:num w:numId="7">
    <w:abstractNumId w:val="2"/>
  </w:num>
  <w:num w:numId="8">
    <w:abstractNumId w:val="1"/>
  </w:num>
  <w:num w:numId="9">
    <w:abstractNumId w:val="0"/>
  </w:num>
  <w:num w:numId="10">
    <w:abstractNumId w:val="33"/>
  </w:num>
  <w:num w:numId="11">
    <w:abstractNumId w:val="16"/>
  </w:num>
  <w:num w:numId="12">
    <w:abstractNumId w:val="3"/>
  </w:num>
  <w:num w:numId="13">
    <w:abstractNumId w:val="11"/>
  </w:num>
  <w:num w:numId="14">
    <w:abstractNumId w:val="31"/>
  </w:num>
  <w:num w:numId="15">
    <w:abstractNumId w:val="25"/>
  </w:num>
  <w:num w:numId="16">
    <w:abstractNumId w:val="32"/>
  </w:num>
  <w:num w:numId="17">
    <w:abstractNumId w:val="8"/>
  </w:num>
  <w:num w:numId="18">
    <w:abstractNumId w:val="7"/>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30"/>
  </w:num>
  <w:num w:numId="32">
    <w:abstractNumId w:val="14"/>
  </w:num>
  <w:num w:numId="33">
    <w:abstractNumId w:val="21"/>
  </w:num>
  <w:num w:numId="34">
    <w:abstractNumId w:val="13"/>
  </w:num>
  <w:num w:numId="35">
    <w:abstractNumId w:val="19"/>
  </w:num>
  <w:num w:numId="36">
    <w:abstractNumId w:val="29"/>
  </w:num>
  <w:num w:numId="37">
    <w:abstractNumId w:val="20"/>
  </w:num>
  <w:num w:numId="38">
    <w:abstractNumId w:val="27"/>
  </w:num>
  <w:num w:numId="39">
    <w:abstractNumId w:val="22"/>
  </w:num>
  <w:num w:numId="40">
    <w:abstractNumId w:val="28"/>
  </w:num>
  <w:num w:numId="41">
    <w:abstractNumId w:val="24"/>
  </w:num>
  <w:num w:numId="42">
    <w:abstractNumId w:val="26"/>
  </w:num>
  <w:num w:numId="43">
    <w:abstractNumId w:val="6"/>
  </w:num>
  <w:num w:numId="44">
    <w:abstractNumId w:val="18"/>
  </w:num>
  <w:num w:numId="45">
    <w:abstractNumId w:val="17"/>
  </w:num>
  <w:num w:numId="46">
    <w:abstractNumId w:val="16"/>
  </w:num>
  <w:num w:numId="47">
    <w:abstractNumId w:val="16"/>
  </w:num>
  <w:num w:numId="48">
    <w:abstractNumId w:val="16"/>
  </w:num>
  <w:num w:numId="49">
    <w:abstractNumId w:val="30"/>
  </w:num>
  <w:num w:numId="50">
    <w:abstractNumId w:val="30"/>
  </w:num>
  <w:num w:numId="51">
    <w:abstractNumId w:val="30"/>
  </w:num>
  <w:num w:numId="52">
    <w:abstractNumId w:val="10"/>
  </w:num>
  <w:num w:numId="53">
    <w:abstractNumId w:val="16"/>
  </w:num>
  <w:num w:numId="54">
    <w:abstractNumId w:val="5"/>
  </w:num>
  <w:num w:numId="55">
    <w:abstractNumId w:val="30"/>
  </w:num>
  <w:num w:numId="56">
    <w:abstractNumId w:val="30"/>
  </w:num>
  <w:num w:numId="57">
    <w:abstractNumId w:val="30"/>
  </w:num>
  <w:num w:numId="58">
    <w:abstractNumId w:val="30"/>
  </w:num>
  <w:num w:numId="59">
    <w:abstractNumId w:val="16"/>
  </w:num>
  <w:num w:numId="60">
    <w:abstractNumId w:val="16"/>
  </w:num>
  <w:num w:numId="61">
    <w:abstractNumId w:val="16"/>
  </w:num>
  <w:num w:numId="62">
    <w:abstractNumId w:val="16"/>
  </w:num>
  <w:num w:numId="63">
    <w:abstractNumId w:val="16"/>
  </w:num>
  <w:num w:numId="64">
    <w:abstractNumId w:val="16"/>
  </w:num>
  <w:num w:numId="65">
    <w:abstractNumId w:val="16"/>
  </w:num>
  <w:num w:numId="66">
    <w:abstractNumId w:val="16"/>
  </w:num>
  <w:num w:numId="67">
    <w:abstractNumId w:val="16"/>
  </w:num>
  <w:num w:numId="68">
    <w:abstractNumId w:val="16"/>
  </w:num>
  <w:num w:numId="69">
    <w:abstractNumId w:val="16"/>
  </w:num>
  <w:num w:numId="70">
    <w:abstractNumId w:val="16"/>
  </w:num>
  <w:num w:numId="71">
    <w:abstractNumId w:val="16"/>
  </w:num>
  <w:num w:numId="72">
    <w:abstractNumId w:val="16"/>
  </w:num>
  <w:num w:numId="73">
    <w:abstractNumId w:val="16"/>
  </w:num>
  <w:num w:numId="74">
    <w:abstractNumId w:val="30"/>
  </w:num>
  <w:num w:numId="75">
    <w:abstractNumId w:val="30"/>
  </w:num>
  <w:num w:numId="76">
    <w:abstractNumId w:val="30"/>
  </w:num>
  <w:num w:numId="77">
    <w:abstractNumId w:val="30"/>
  </w:num>
  <w:num w:numId="78">
    <w:abstractNumId w:val="1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ocumentProtection w:edit="readOnly" w:formatting="1" w:enforcement="1" w:cryptProviderType="rsaAES" w:cryptAlgorithmClass="hash" w:cryptAlgorithmType="typeAny" w:cryptAlgorithmSid="14" w:cryptSpinCount="100000" w:hash="fRpxrT1h3M/B+H2BN0tELwZ97x7xflMX95KTyH2DOd0T1dcPQ1+WLAuoU5xDmzYWIha758kYIVAk6nqJwoaoQw==" w:salt="puPWam0Uk3DmSxqk3SsFcQ=="/>
  <w:defaultTabStop w:val="794"/>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D2"/>
    <w:rsid w:val="00010EDB"/>
    <w:rsid w:val="00015396"/>
    <w:rsid w:val="0002187D"/>
    <w:rsid w:val="00031748"/>
    <w:rsid w:val="000418AB"/>
    <w:rsid w:val="0004295D"/>
    <w:rsid w:val="00056472"/>
    <w:rsid w:val="000605EC"/>
    <w:rsid w:val="000730ED"/>
    <w:rsid w:val="000753A3"/>
    <w:rsid w:val="000759EA"/>
    <w:rsid w:val="00080152"/>
    <w:rsid w:val="00080166"/>
    <w:rsid w:val="00090F01"/>
    <w:rsid w:val="00092B1F"/>
    <w:rsid w:val="00092FBB"/>
    <w:rsid w:val="00095CF3"/>
    <w:rsid w:val="000A5498"/>
    <w:rsid w:val="000B2A41"/>
    <w:rsid w:val="000C580C"/>
    <w:rsid w:val="000D500C"/>
    <w:rsid w:val="000E38CA"/>
    <w:rsid w:val="000E614E"/>
    <w:rsid w:val="000E7919"/>
    <w:rsid w:val="000F00E4"/>
    <w:rsid w:val="000F3175"/>
    <w:rsid w:val="000F3652"/>
    <w:rsid w:val="00101005"/>
    <w:rsid w:val="0010112B"/>
    <w:rsid w:val="00102565"/>
    <w:rsid w:val="00103E27"/>
    <w:rsid w:val="00104C26"/>
    <w:rsid w:val="00107E1C"/>
    <w:rsid w:val="00111593"/>
    <w:rsid w:val="00111872"/>
    <w:rsid w:val="001128A0"/>
    <w:rsid w:val="00112B86"/>
    <w:rsid w:val="0011546B"/>
    <w:rsid w:val="00117A49"/>
    <w:rsid w:val="00124676"/>
    <w:rsid w:val="00125A7C"/>
    <w:rsid w:val="001270A6"/>
    <w:rsid w:val="00136188"/>
    <w:rsid w:val="0014139B"/>
    <w:rsid w:val="00141863"/>
    <w:rsid w:val="00142676"/>
    <w:rsid w:val="00145751"/>
    <w:rsid w:val="0014679C"/>
    <w:rsid w:val="00151F09"/>
    <w:rsid w:val="00152EC7"/>
    <w:rsid w:val="00154B15"/>
    <w:rsid w:val="00156315"/>
    <w:rsid w:val="00160DD8"/>
    <w:rsid w:val="00167C6A"/>
    <w:rsid w:val="00172FBE"/>
    <w:rsid w:val="00173CE8"/>
    <w:rsid w:val="001754B2"/>
    <w:rsid w:val="00175D7B"/>
    <w:rsid w:val="0018598D"/>
    <w:rsid w:val="00186EBF"/>
    <w:rsid w:val="00191F01"/>
    <w:rsid w:val="00192020"/>
    <w:rsid w:val="001A1CB4"/>
    <w:rsid w:val="001A645B"/>
    <w:rsid w:val="001A7519"/>
    <w:rsid w:val="001B3CCC"/>
    <w:rsid w:val="001C7C92"/>
    <w:rsid w:val="001D6E06"/>
    <w:rsid w:val="001E1779"/>
    <w:rsid w:val="001E2EF5"/>
    <w:rsid w:val="001E33C2"/>
    <w:rsid w:val="001E4F87"/>
    <w:rsid w:val="001E5C6B"/>
    <w:rsid w:val="001F16B3"/>
    <w:rsid w:val="001F2DAF"/>
    <w:rsid w:val="001F56A5"/>
    <w:rsid w:val="001F5CAB"/>
    <w:rsid w:val="00200000"/>
    <w:rsid w:val="00205D90"/>
    <w:rsid w:val="00206CD7"/>
    <w:rsid w:val="00207EF5"/>
    <w:rsid w:val="0021718D"/>
    <w:rsid w:val="00217FF4"/>
    <w:rsid w:val="00234A9F"/>
    <w:rsid w:val="00235872"/>
    <w:rsid w:val="00242595"/>
    <w:rsid w:val="00244BE8"/>
    <w:rsid w:val="00246A81"/>
    <w:rsid w:val="002478FE"/>
    <w:rsid w:val="0026670F"/>
    <w:rsid w:val="00267DBB"/>
    <w:rsid w:val="002735CF"/>
    <w:rsid w:val="00273978"/>
    <w:rsid w:val="00284748"/>
    <w:rsid w:val="00284DD1"/>
    <w:rsid w:val="00290166"/>
    <w:rsid w:val="002917C8"/>
    <w:rsid w:val="00293707"/>
    <w:rsid w:val="00293B40"/>
    <w:rsid w:val="002A09EB"/>
    <w:rsid w:val="002A6E0F"/>
    <w:rsid w:val="002B0457"/>
    <w:rsid w:val="002B17BA"/>
    <w:rsid w:val="002B2972"/>
    <w:rsid w:val="002C0547"/>
    <w:rsid w:val="002C2572"/>
    <w:rsid w:val="002C2691"/>
    <w:rsid w:val="002C2A19"/>
    <w:rsid w:val="002D05B5"/>
    <w:rsid w:val="002D40DF"/>
    <w:rsid w:val="002D4FCA"/>
    <w:rsid w:val="002D75BB"/>
    <w:rsid w:val="002D7743"/>
    <w:rsid w:val="002E0AE1"/>
    <w:rsid w:val="002E5202"/>
    <w:rsid w:val="002E57AD"/>
    <w:rsid w:val="002E7226"/>
    <w:rsid w:val="002F2565"/>
    <w:rsid w:val="002F2B87"/>
    <w:rsid w:val="00304F98"/>
    <w:rsid w:val="003104EB"/>
    <w:rsid w:val="003114D8"/>
    <w:rsid w:val="003121FF"/>
    <w:rsid w:val="00320B9F"/>
    <w:rsid w:val="0033073D"/>
    <w:rsid w:val="003358CC"/>
    <w:rsid w:val="00335F44"/>
    <w:rsid w:val="00357AA8"/>
    <w:rsid w:val="003612AE"/>
    <w:rsid w:val="003775A9"/>
    <w:rsid w:val="00377BF0"/>
    <w:rsid w:val="0038445E"/>
    <w:rsid w:val="003A022F"/>
    <w:rsid w:val="003A2FE2"/>
    <w:rsid w:val="003A7AF5"/>
    <w:rsid w:val="003B0154"/>
    <w:rsid w:val="003B2E90"/>
    <w:rsid w:val="003C549B"/>
    <w:rsid w:val="003D71DC"/>
    <w:rsid w:val="003E2A76"/>
    <w:rsid w:val="003E3626"/>
    <w:rsid w:val="003E4068"/>
    <w:rsid w:val="003E4744"/>
    <w:rsid w:val="004020C5"/>
    <w:rsid w:val="00404731"/>
    <w:rsid w:val="0040657E"/>
    <w:rsid w:val="00406CAC"/>
    <w:rsid w:val="00410C50"/>
    <w:rsid w:val="00413907"/>
    <w:rsid w:val="00415C85"/>
    <w:rsid w:val="00431828"/>
    <w:rsid w:val="00433093"/>
    <w:rsid w:val="00436EE8"/>
    <w:rsid w:val="00446C21"/>
    <w:rsid w:val="00447348"/>
    <w:rsid w:val="00453335"/>
    <w:rsid w:val="00460AF4"/>
    <w:rsid w:val="004613C1"/>
    <w:rsid w:val="00466476"/>
    <w:rsid w:val="00471F1E"/>
    <w:rsid w:val="00474D76"/>
    <w:rsid w:val="00476A68"/>
    <w:rsid w:val="00480263"/>
    <w:rsid w:val="004806B5"/>
    <w:rsid w:val="004902DA"/>
    <w:rsid w:val="004928EE"/>
    <w:rsid w:val="004941E8"/>
    <w:rsid w:val="0049789C"/>
    <w:rsid w:val="004A2761"/>
    <w:rsid w:val="004A3E71"/>
    <w:rsid w:val="004A446E"/>
    <w:rsid w:val="004B1BE2"/>
    <w:rsid w:val="004B5B21"/>
    <w:rsid w:val="004B62D1"/>
    <w:rsid w:val="004C02D3"/>
    <w:rsid w:val="004C08E8"/>
    <w:rsid w:val="004D044C"/>
    <w:rsid w:val="004D1673"/>
    <w:rsid w:val="004D1A38"/>
    <w:rsid w:val="004D5AE2"/>
    <w:rsid w:val="004E08F3"/>
    <w:rsid w:val="004E2991"/>
    <w:rsid w:val="00501713"/>
    <w:rsid w:val="0050649F"/>
    <w:rsid w:val="005177E8"/>
    <w:rsid w:val="00522C06"/>
    <w:rsid w:val="00523896"/>
    <w:rsid w:val="005245FE"/>
    <w:rsid w:val="00526BE4"/>
    <w:rsid w:val="005346DB"/>
    <w:rsid w:val="00536155"/>
    <w:rsid w:val="00541C65"/>
    <w:rsid w:val="00546780"/>
    <w:rsid w:val="00550423"/>
    <w:rsid w:val="0055071D"/>
    <w:rsid w:val="00552745"/>
    <w:rsid w:val="0055367E"/>
    <w:rsid w:val="005600EE"/>
    <w:rsid w:val="005604B8"/>
    <w:rsid w:val="00560CB4"/>
    <w:rsid w:val="005611B3"/>
    <w:rsid w:val="0056213A"/>
    <w:rsid w:val="00563128"/>
    <w:rsid w:val="00563233"/>
    <w:rsid w:val="00564D5B"/>
    <w:rsid w:val="00566785"/>
    <w:rsid w:val="005700D2"/>
    <w:rsid w:val="00574A0A"/>
    <w:rsid w:val="00574BD2"/>
    <w:rsid w:val="00576E3C"/>
    <w:rsid w:val="0057708B"/>
    <w:rsid w:val="005841DD"/>
    <w:rsid w:val="00584FE7"/>
    <w:rsid w:val="005865FA"/>
    <w:rsid w:val="0059112A"/>
    <w:rsid w:val="005A4C89"/>
    <w:rsid w:val="005B17DB"/>
    <w:rsid w:val="005B3B11"/>
    <w:rsid w:val="005B6542"/>
    <w:rsid w:val="005B798B"/>
    <w:rsid w:val="005C0DF6"/>
    <w:rsid w:val="005C42E4"/>
    <w:rsid w:val="005D0D3D"/>
    <w:rsid w:val="005D5E92"/>
    <w:rsid w:val="005E1D68"/>
    <w:rsid w:val="005E27B4"/>
    <w:rsid w:val="005E30B8"/>
    <w:rsid w:val="005F39A3"/>
    <w:rsid w:val="005F3E98"/>
    <w:rsid w:val="0060468F"/>
    <w:rsid w:val="00607B5E"/>
    <w:rsid w:val="00607CBA"/>
    <w:rsid w:val="00622ABC"/>
    <w:rsid w:val="0062350C"/>
    <w:rsid w:val="0062395D"/>
    <w:rsid w:val="00636559"/>
    <w:rsid w:val="00637200"/>
    <w:rsid w:val="00642F82"/>
    <w:rsid w:val="00646A4D"/>
    <w:rsid w:val="006505F8"/>
    <w:rsid w:val="00654DB6"/>
    <w:rsid w:val="006574CC"/>
    <w:rsid w:val="00667931"/>
    <w:rsid w:val="00673532"/>
    <w:rsid w:val="006775E0"/>
    <w:rsid w:val="00693D1C"/>
    <w:rsid w:val="0069487D"/>
    <w:rsid w:val="006959DB"/>
    <w:rsid w:val="006A1F4A"/>
    <w:rsid w:val="006A6716"/>
    <w:rsid w:val="006A6968"/>
    <w:rsid w:val="006B318F"/>
    <w:rsid w:val="006D4FDD"/>
    <w:rsid w:val="006E0580"/>
    <w:rsid w:val="006E26CB"/>
    <w:rsid w:val="006E4562"/>
    <w:rsid w:val="006F2BFC"/>
    <w:rsid w:val="006F54AC"/>
    <w:rsid w:val="0070159B"/>
    <w:rsid w:val="007030B7"/>
    <w:rsid w:val="007034CC"/>
    <w:rsid w:val="00710283"/>
    <w:rsid w:val="007113CE"/>
    <w:rsid w:val="007149D9"/>
    <w:rsid w:val="007244F3"/>
    <w:rsid w:val="007312D7"/>
    <w:rsid w:val="007321A0"/>
    <w:rsid w:val="00732B51"/>
    <w:rsid w:val="0073526E"/>
    <w:rsid w:val="0073547D"/>
    <w:rsid w:val="00745CCC"/>
    <w:rsid w:val="00746401"/>
    <w:rsid w:val="00747DB2"/>
    <w:rsid w:val="00753877"/>
    <w:rsid w:val="00755DDC"/>
    <w:rsid w:val="00765D96"/>
    <w:rsid w:val="0077165E"/>
    <w:rsid w:val="00775318"/>
    <w:rsid w:val="00777EA4"/>
    <w:rsid w:val="00780CFA"/>
    <w:rsid w:val="0078352F"/>
    <w:rsid w:val="00784BB4"/>
    <w:rsid w:val="00792FB5"/>
    <w:rsid w:val="007A1A5C"/>
    <w:rsid w:val="007A43D1"/>
    <w:rsid w:val="007A51E5"/>
    <w:rsid w:val="007B1EDB"/>
    <w:rsid w:val="007C1B79"/>
    <w:rsid w:val="007C6383"/>
    <w:rsid w:val="007D3A44"/>
    <w:rsid w:val="007D3BE4"/>
    <w:rsid w:val="007D4DE6"/>
    <w:rsid w:val="007E01D1"/>
    <w:rsid w:val="007E0F00"/>
    <w:rsid w:val="007E10EA"/>
    <w:rsid w:val="007F6524"/>
    <w:rsid w:val="007F7522"/>
    <w:rsid w:val="00805BBE"/>
    <w:rsid w:val="00814859"/>
    <w:rsid w:val="00815F2F"/>
    <w:rsid w:val="008216F1"/>
    <w:rsid w:val="00823B37"/>
    <w:rsid w:val="00830CD1"/>
    <w:rsid w:val="00833B7E"/>
    <w:rsid w:val="0083427B"/>
    <w:rsid w:val="0083583D"/>
    <w:rsid w:val="00835B30"/>
    <w:rsid w:val="00843691"/>
    <w:rsid w:val="008501B4"/>
    <w:rsid w:val="00851F0A"/>
    <w:rsid w:val="00852E72"/>
    <w:rsid w:val="0085703A"/>
    <w:rsid w:val="00861907"/>
    <w:rsid w:val="00883607"/>
    <w:rsid w:val="0089201E"/>
    <w:rsid w:val="008A24AC"/>
    <w:rsid w:val="008A56CD"/>
    <w:rsid w:val="008A7190"/>
    <w:rsid w:val="008B336C"/>
    <w:rsid w:val="008C5E8D"/>
    <w:rsid w:val="008D512C"/>
    <w:rsid w:val="008E3188"/>
    <w:rsid w:val="008F5DA3"/>
    <w:rsid w:val="009109F5"/>
    <w:rsid w:val="0091219A"/>
    <w:rsid w:val="00921D2B"/>
    <w:rsid w:val="009243FD"/>
    <w:rsid w:val="00924E7B"/>
    <w:rsid w:val="00930290"/>
    <w:rsid w:val="00933E34"/>
    <w:rsid w:val="00936C1E"/>
    <w:rsid w:val="009410A7"/>
    <w:rsid w:val="0095281B"/>
    <w:rsid w:val="00962FF4"/>
    <w:rsid w:val="009716D6"/>
    <w:rsid w:val="00980680"/>
    <w:rsid w:val="00983869"/>
    <w:rsid w:val="00984FD8"/>
    <w:rsid w:val="00987848"/>
    <w:rsid w:val="00997C48"/>
    <w:rsid w:val="009A3750"/>
    <w:rsid w:val="009A6326"/>
    <w:rsid w:val="009B3984"/>
    <w:rsid w:val="009C14A7"/>
    <w:rsid w:val="009C2FD1"/>
    <w:rsid w:val="009C5753"/>
    <w:rsid w:val="009D49E7"/>
    <w:rsid w:val="009E23C1"/>
    <w:rsid w:val="009E41CD"/>
    <w:rsid w:val="009E7F65"/>
    <w:rsid w:val="009F0BBA"/>
    <w:rsid w:val="00A10B0C"/>
    <w:rsid w:val="00A136F6"/>
    <w:rsid w:val="00A14438"/>
    <w:rsid w:val="00A152E0"/>
    <w:rsid w:val="00A16CEC"/>
    <w:rsid w:val="00A176AA"/>
    <w:rsid w:val="00A25E63"/>
    <w:rsid w:val="00A36B90"/>
    <w:rsid w:val="00A37B1B"/>
    <w:rsid w:val="00A4065E"/>
    <w:rsid w:val="00A41A12"/>
    <w:rsid w:val="00A41AC3"/>
    <w:rsid w:val="00A43C7B"/>
    <w:rsid w:val="00A53B28"/>
    <w:rsid w:val="00A56DCE"/>
    <w:rsid w:val="00A65CE8"/>
    <w:rsid w:val="00A67153"/>
    <w:rsid w:val="00A85C88"/>
    <w:rsid w:val="00A86BD3"/>
    <w:rsid w:val="00A90507"/>
    <w:rsid w:val="00A90B54"/>
    <w:rsid w:val="00A91560"/>
    <w:rsid w:val="00A946AC"/>
    <w:rsid w:val="00A95802"/>
    <w:rsid w:val="00A96480"/>
    <w:rsid w:val="00A967E8"/>
    <w:rsid w:val="00A9757D"/>
    <w:rsid w:val="00AA273B"/>
    <w:rsid w:val="00AA33BA"/>
    <w:rsid w:val="00AA45A4"/>
    <w:rsid w:val="00AB29A3"/>
    <w:rsid w:val="00AC2CBC"/>
    <w:rsid w:val="00AD262F"/>
    <w:rsid w:val="00AD4C4D"/>
    <w:rsid w:val="00B01A8D"/>
    <w:rsid w:val="00B04B63"/>
    <w:rsid w:val="00B1104A"/>
    <w:rsid w:val="00B11F1B"/>
    <w:rsid w:val="00B12C5C"/>
    <w:rsid w:val="00B15BD2"/>
    <w:rsid w:val="00B20707"/>
    <w:rsid w:val="00B215BA"/>
    <w:rsid w:val="00B37AE1"/>
    <w:rsid w:val="00B426A6"/>
    <w:rsid w:val="00B42F3F"/>
    <w:rsid w:val="00B45F0B"/>
    <w:rsid w:val="00B52EB4"/>
    <w:rsid w:val="00B62C77"/>
    <w:rsid w:val="00B64147"/>
    <w:rsid w:val="00B65C71"/>
    <w:rsid w:val="00B8315A"/>
    <w:rsid w:val="00B930CE"/>
    <w:rsid w:val="00B94F08"/>
    <w:rsid w:val="00BA4C16"/>
    <w:rsid w:val="00BA7337"/>
    <w:rsid w:val="00BB0579"/>
    <w:rsid w:val="00BB1037"/>
    <w:rsid w:val="00BC356B"/>
    <w:rsid w:val="00BC5F29"/>
    <w:rsid w:val="00BC6C55"/>
    <w:rsid w:val="00BD7ABC"/>
    <w:rsid w:val="00BE1A6C"/>
    <w:rsid w:val="00BF01CE"/>
    <w:rsid w:val="00BF12AA"/>
    <w:rsid w:val="00BF1745"/>
    <w:rsid w:val="00BF742A"/>
    <w:rsid w:val="00C03DAA"/>
    <w:rsid w:val="00C101D6"/>
    <w:rsid w:val="00C22966"/>
    <w:rsid w:val="00C22E1F"/>
    <w:rsid w:val="00C2376E"/>
    <w:rsid w:val="00C27BF3"/>
    <w:rsid w:val="00C542E3"/>
    <w:rsid w:val="00C56305"/>
    <w:rsid w:val="00C56603"/>
    <w:rsid w:val="00C60ECB"/>
    <w:rsid w:val="00C75FB6"/>
    <w:rsid w:val="00C7693B"/>
    <w:rsid w:val="00C769B6"/>
    <w:rsid w:val="00C87031"/>
    <w:rsid w:val="00C93217"/>
    <w:rsid w:val="00C93F53"/>
    <w:rsid w:val="00C94138"/>
    <w:rsid w:val="00CA5DD7"/>
    <w:rsid w:val="00CB7909"/>
    <w:rsid w:val="00CC5397"/>
    <w:rsid w:val="00CD5569"/>
    <w:rsid w:val="00CE70EA"/>
    <w:rsid w:val="00CF6BC8"/>
    <w:rsid w:val="00D03E4A"/>
    <w:rsid w:val="00D20C2B"/>
    <w:rsid w:val="00D44838"/>
    <w:rsid w:val="00D45DB3"/>
    <w:rsid w:val="00D51A12"/>
    <w:rsid w:val="00D51B93"/>
    <w:rsid w:val="00D62598"/>
    <w:rsid w:val="00D63D91"/>
    <w:rsid w:val="00D64587"/>
    <w:rsid w:val="00D6477A"/>
    <w:rsid w:val="00D67FA2"/>
    <w:rsid w:val="00D717B5"/>
    <w:rsid w:val="00D72739"/>
    <w:rsid w:val="00D75E8F"/>
    <w:rsid w:val="00D8365D"/>
    <w:rsid w:val="00D836A6"/>
    <w:rsid w:val="00D85BE1"/>
    <w:rsid w:val="00D866E2"/>
    <w:rsid w:val="00D8683A"/>
    <w:rsid w:val="00D86942"/>
    <w:rsid w:val="00D90700"/>
    <w:rsid w:val="00D95AFE"/>
    <w:rsid w:val="00DA6AC3"/>
    <w:rsid w:val="00DB141B"/>
    <w:rsid w:val="00DC3DE4"/>
    <w:rsid w:val="00DD6C88"/>
    <w:rsid w:val="00DD6CE1"/>
    <w:rsid w:val="00DE3053"/>
    <w:rsid w:val="00DE30CB"/>
    <w:rsid w:val="00E06362"/>
    <w:rsid w:val="00E074AB"/>
    <w:rsid w:val="00E14F55"/>
    <w:rsid w:val="00E20E5E"/>
    <w:rsid w:val="00E21354"/>
    <w:rsid w:val="00E24FB4"/>
    <w:rsid w:val="00E36B19"/>
    <w:rsid w:val="00E42BB0"/>
    <w:rsid w:val="00E44C69"/>
    <w:rsid w:val="00E44E73"/>
    <w:rsid w:val="00E45DAC"/>
    <w:rsid w:val="00E4782F"/>
    <w:rsid w:val="00E50967"/>
    <w:rsid w:val="00E53843"/>
    <w:rsid w:val="00E57EE2"/>
    <w:rsid w:val="00E61467"/>
    <w:rsid w:val="00E721E8"/>
    <w:rsid w:val="00E76AD5"/>
    <w:rsid w:val="00E85B9D"/>
    <w:rsid w:val="00E869FF"/>
    <w:rsid w:val="00E901F2"/>
    <w:rsid w:val="00E91687"/>
    <w:rsid w:val="00E95B86"/>
    <w:rsid w:val="00E96822"/>
    <w:rsid w:val="00EA72A0"/>
    <w:rsid w:val="00EB2F62"/>
    <w:rsid w:val="00EB428D"/>
    <w:rsid w:val="00EC0434"/>
    <w:rsid w:val="00EC055D"/>
    <w:rsid w:val="00EC4BC2"/>
    <w:rsid w:val="00EC5B50"/>
    <w:rsid w:val="00ED1842"/>
    <w:rsid w:val="00ED52AE"/>
    <w:rsid w:val="00ED5FE1"/>
    <w:rsid w:val="00EE2D12"/>
    <w:rsid w:val="00EE38E0"/>
    <w:rsid w:val="00EE4F27"/>
    <w:rsid w:val="00EE5AFB"/>
    <w:rsid w:val="00EE694B"/>
    <w:rsid w:val="00EE6A32"/>
    <w:rsid w:val="00EF2001"/>
    <w:rsid w:val="00F02DAC"/>
    <w:rsid w:val="00F121BC"/>
    <w:rsid w:val="00F14FB4"/>
    <w:rsid w:val="00F20AC1"/>
    <w:rsid w:val="00F21209"/>
    <w:rsid w:val="00F2470F"/>
    <w:rsid w:val="00F24F2A"/>
    <w:rsid w:val="00F25F2A"/>
    <w:rsid w:val="00F265D0"/>
    <w:rsid w:val="00F37B3D"/>
    <w:rsid w:val="00F50E4A"/>
    <w:rsid w:val="00F5368E"/>
    <w:rsid w:val="00F610F1"/>
    <w:rsid w:val="00F63D83"/>
    <w:rsid w:val="00F65C46"/>
    <w:rsid w:val="00F80A7C"/>
    <w:rsid w:val="00F85619"/>
    <w:rsid w:val="00F93E50"/>
    <w:rsid w:val="00FA0DBA"/>
    <w:rsid w:val="00FA1523"/>
    <w:rsid w:val="00FA4F38"/>
    <w:rsid w:val="00FB19BB"/>
    <w:rsid w:val="00FB38DE"/>
    <w:rsid w:val="00FB413A"/>
    <w:rsid w:val="00FB69A1"/>
    <w:rsid w:val="00FC5107"/>
    <w:rsid w:val="00FC74BF"/>
    <w:rsid w:val="00FC7E9D"/>
    <w:rsid w:val="00FD0BB1"/>
    <w:rsid w:val="00FD38E3"/>
    <w:rsid w:val="00FD4F60"/>
    <w:rsid w:val="00FE2DF6"/>
    <w:rsid w:val="00FE626C"/>
    <w:rsid w:val="00FE7948"/>
    <w:rsid w:val="00FF08B7"/>
    <w:rsid w:val="00FF15B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49646A"/>
  <w15:docId w15:val="{4CF763B1-07A4-1648-98AE-D1E01A22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A273B"/>
    <w:rPr>
      <w:rFonts w:ascii="Calibri Light" w:hAnsi="Calibri Light"/>
      <w:sz w:val="20"/>
      <w:lang w:val="en-AU"/>
    </w:rPr>
  </w:style>
  <w:style w:type="paragraph" w:styleId="Heading2">
    <w:name w:val="heading 2"/>
    <w:basedOn w:val="Normal"/>
    <w:next w:val="Normal"/>
    <w:link w:val="Heading2Char"/>
    <w:uiPriority w:val="9"/>
    <w:unhideWhenUsed/>
    <w:qFormat/>
    <w:rsid w:val="00AB5DFB"/>
    <w:pPr>
      <w:keepNext/>
      <w:pBdr>
        <w:top w:val="single" w:sz="4" w:space="1" w:color="D9D9D9" w:themeColor="background1" w:themeShade="D9"/>
      </w:pBdr>
      <w:tabs>
        <w:tab w:val="left" w:pos="454"/>
      </w:tabs>
      <w:spacing w:before="240" w:after="60"/>
      <w:outlineLvl w:val="1"/>
    </w:pPr>
    <w:rPr>
      <w:rFonts w:asciiTheme="majorHAnsi" w:eastAsiaTheme="majorEastAsia" w:hAnsiTheme="majorHAnsi" w:cstheme="majorBidi"/>
      <w:bCs/>
      <w:iCs/>
      <w:caps/>
      <w:color w:val="482583"/>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B25242"/>
    <w:pPr>
      <w:spacing w:after="120"/>
    </w:pPr>
    <w:rPr>
      <w:rFonts w:ascii="Helvetica Neue" w:eastAsia="Cambria" w:hAnsi="Helvetica Neue" w:cs="Times New Roman"/>
      <w:i/>
      <w:sz w:val="12"/>
    </w:rPr>
  </w:style>
  <w:style w:type="character" w:customStyle="1" w:styleId="Heading2Char">
    <w:name w:val="Heading 2 Char"/>
    <w:basedOn w:val="DefaultParagraphFont"/>
    <w:link w:val="Heading2"/>
    <w:uiPriority w:val="9"/>
    <w:rsid w:val="00AB5DFB"/>
    <w:rPr>
      <w:rFonts w:asciiTheme="majorHAnsi" w:eastAsiaTheme="majorEastAsia" w:hAnsiTheme="majorHAnsi" w:cstheme="majorBidi"/>
      <w:bCs/>
      <w:iCs/>
      <w:caps/>
      <w:color w:val="482583"/>
      <w:sz w:val="24"/>
      <w:szCs w:val="28"/>
      <w:lang w:val="en-US"/>
    </w:rPr>
  </w:style>
  <w:style w:type="paragraph" w:styleId="Header">
    <w:name w:val="header"/>
    <w:basedOn w:val="Normal"/>
    <w:link w:val="HeaderChar"/>
    <w:uiPriority w:val="99"/>
    <w:unhideWhenUsed/>
    <w:rsid w:val="005700D2"/>
    <w:pPr>
      <w:tabs>
        <w:tab w:val="center" w:pos="4320"/>
        <w:tab w:val="right" w:pos="8640"/>
      </w:tabs>
    </w:pPr>
  </w:style>
  <w:style w:type="character" w:customStyle="1" w:styleId="HeaderChar">
    <w:name w:val="Header Char"/>
    <w:basedOn w:val="DefaultParagraphFont"/>
    <w:link w:val="Header"/>
    <w:uiPriority w:val="99"/>
    <w:rsid w:val="005700D2"/>
  </w:style>
  <w:style w:type="paragraph" w:styleId="Footer">
    <w:name w:val="footer"/>
    <w:basedOn w:val="Normal"/>
    <w:link w:val="FooterChar"/>
    <w:uiPriority w:val="99"/>
    <w:unhideWhenUsed/>
    <w:rsid w:val="005700D2"/>
    <w:pPr>
      <w:tabs>
        <w:tab w:val="center" w:pos="4320"/>
        <w:tab w:val="right" w:pos="8640"/>
      </w:tabs>
    </w:pPr>
  </w:style>
  <w:style w:type="character" w:customStyle="1" w:styleId="FooterChar">
    <w:name w:val="Footer Char"/>
    <w:basedOn w:val="DefaultParagraphFont"/>
    <w:link w:val="Footer"/>
    <w:uiPriority w:val="99"/>
    <w:rsid w:val="005700D2"/>
  </w:style>
  <w:style w:type="paragraph" w:customStyle="1" w:styleId="BasicParagraph">
    <w:name w:val="[Basic Paragraph]"/>
    <w:basedOn w:val="Normal"/>
    <w:uiPriority w:val="99"/>
    <w:rsid w:val="000753A3"/>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link w:val="ListParagraphChar"/>
    <w:rsid w:val="00AA273B"/>
    <w:pPr>
      <w:ind w:left="720"/>
      <w:contextualSpacing/>
    </w:pPr>
  </w:style>
  <w:style w:type="paragraph" w:styleId="FootnoteText">
    <w:name w:val="footnote text"/>
    <w:basedOn w:val="Normal"/>
    <w:link w:val="FootnoteTextChar"/>
    <w:uiPriority w:val="8"/>
    <w:unhideWhenUsed/>
    <w:qFormat/>
    <w:rsid w:val="00E4782F"/>
    <w:pPr>
      <w:spacing w:before="180"/>
      <w:jc w:val="both"/>
    </w:pPr>
    <w:rPr>
      <w:spacing w:val="-6"/>
      <w:sz w:val="18"/>
      <w:szCs w:val="20"/>
    </w:rPr>
  </w:style>
  <w:style w:type="character" w:customStyle="1" w:styleId="FootnoteTextChar">
    <w:name w:val="Footnote Text Char"/>
    <w:basedOn w:val="DefaultParagraphFont"/>
    <w:link w:val="FootnoteText"/>
    <w:uiPriority w:val="8"/>
    <w:rsid w:val="00E4782F"/>
    <w:rPr>
      <w:rFonts w:ascii="Calibri Light" w:hAnsi="Calibri Light"/>
      <w:spacing w:val="-6"/>
      <w:sz w:val="18"/>
      <w:szCs w:val="20"/>
      <w:lang w:val="en-AU"/>
    </w:rPr>
  </w:style>
  <w:style w:type="character" w:styleId="FootnoteReference">
    <w:name w:val="footnote reference"/>
    <w:basedOn w:val="DefaultParagraphFont"/>
    <w:uiPriority w:val="8"/>
    <w:unhideWhenUsed/>
    <w:rsid w:val="00E4782F"/>
    <w:rPr>
      <w:vertAlign w:val="superscript"/>
    </w:rPr>
  </w:style>
  <w:style w:type="table" w:styleId="ListTable3-Accent2">
    <w:name w:val="List Table 3 Accent 2"/>
    <w:basedOn w:val="TableNormal"/>
    <w:uiPriority w:val="48"/>
    <w:rsid w:val="00E4782F"/>
    <w:rPr>
      <w:sz w:val="22"/>
      <w:szCs w:val="22"/>
      <w:lang w:val="en-AU"/>
    </w:r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styleId="BalloonText">
    <w:name w:val="Balloon Text"/>
    <w:basedOn w:val="Normal"/>
    <w:link w:val="BalloonTextChar"/>
    <w:semiHidden/>
    <w:unhideWhenUsed/>
    <w:rsid w:val="00167C6A"/>
    <w:rPr>
      <w:rFonts w:ascii="Segoe UI" w:hAnsi="Segoe UI" w:cs="Segoe UI"/>
      <w:sz w:val="18"/>
      <w:szCs w:val="18"/>
    </w:rPr>
  </w:style>
  <w:style w:type="character" w:customStyle="1" w:styleId="BalloonTextChar">
    <w:name w:val="Balloon Text Char"/>
    <w:basedOn w:val="DefaultParagraphFont"/>
    <w:link w:val="BalloonText"/>
    <w:semiHidden/>
    <w:rsid w:val="00167C6A"/>
    <w:rPr>
      <w:rFonts w:ascii="Segoe UI" w:hAnsi="Segoe UI" w:cs="Segoe UI"/>
      <w:sz w:val="18"/>
      <w:szCs w:val="18"/>
    </w:rPr>
  </w:style>
  <w:style w:type="paragraph" w:customStyle="1" w:styleId="VIRTBulletpoints">
    <w:name w:val="VIRT Bullet points"/>
    <w:basedOn w:val="Normal"/>
    <w:link w:val="VIRTBulletpointsChar"/>
    <w:autoRedefine/>
    <w:qFormat/>
    <w:locked/>
    <w:rsid w:val="008E3188"/>
    <w:pPr>
      <w:numPr>
        <w:numId w:val="11"/>
      </w:numPr>
      <w:spacing w:line="276" w:lineRule="auto"/>
      <w:contextualSpacing/>
      <w:jc w:val="both"/>
    </w:pPr>
    <w:rPr>
      <w:rFonts w:cs="Arial"/>
      <w:noProof/>
      <w:color w:val="4D4D4D" w:themeColor="accent6"/>
      <w:sz w:val="26"/>
      <w:szCs w:val="20"/>
      <w:lang w:val="en-US"/>
    </w:rPr>
  </w:style>
  <w:style w:type="character" w:customStyle="1" w:styleId="VIRTBulletpointsChar">
    <w:name w:val="VIRT Bullet points Char"/>
    <w:basedOn w:val="DefaultParagraphFont"/>
    <w:link w:val="VIRTBulletpoints"/>
    <w:locked/>
    <w:rsid w:val="008E3188"/>
    <w:rPr>
      <w:rFonts w:ascii="Calibri Light" w:hAnsi="Calibri Light" w:cs="Arial"/>
      <w:noProof/>
      <w:color w:val="4D4D4D" w:themeColor="accent6"/>
      <w:sz w:val="26"/>
      <w:szCs w:val="20"/>
    </w:rPr>
  </w:style>
  <w:style w:type="character" w:styleId="CommentReference">
    <w:name w:val="annotation reference"/>
    <w:basedOn w:val="DefaultParagraphFont"/>
    <w:semiHidden/>
    <w:unhideWhenUsed/>
    <w:rsid w:val="002E7226"/>
    <w:rPr>
      <w:sz w:val="16"/>
      <w:szCs w:val="16"/>
    </w:rPr>
  </w:style>
  <w:style w:type="paragraph" w:styleId="CommentText">
    <w:name w:val="annotation text"/>
    <w:basedOn w:val="Normal"/>
    <w:link w:val="CommentTextChar"/>
    <w:semiHidden/>
    <w:unhideWhenUsed/>
    <w:rsid w:val="002E7226"/>
    <w:rPr>
      <w:szCs w:val="20"/>
    </w:rPr>
  </w:style>
  <w:style w:type="character" w:customStyle="1" w:styleId="CommentTextChar">
    <w:name w:val="Comment Text Char"/>
    <w:basedOn w:val="DefaultParagraphFont"/>
    <w:link w:val="CommentText"/>
    <w:semiHidden/>
    <w:rsid w:val="002E7226"/>
    <w:rPr>
      <w:rFonts w:ascii="Calibri Light" w:hAnsi="Calibri Light"/>
      <w:sz w:val="20"/>
      <w:szCs w:val="20"/>
      <w:lang w:val="en-AU"/>
    </w:rPr>
  </w:style>
  <w:style w:type="paragraph" w:styleId="CommentSubject">
    <w:name w:val="annotation subject"/>
    <w:basedOn w:val="CommentText"/>
    <w:next w:val="CommentText"/>
    <w:link w:val="CommentSubjectChar"/>
    <w:semiHidden/>
    <w:unhideWhenUsed/>
    <w:rsid w:val="002E7226"/>
    <w:rPr>
      <w:b/>
      <w:bCs/>
    </w:rPr>
  </w:style>
  <w:style w:type="character" w:customStyle="1" w:styleId="CommentSubjectChar">
    <w:name w:val="Comment Subject Char"/>
    <w:basedOn w:val="CommentTextChar"/>
    <w:link w:val="CommentSubject"/>
    <w:semiHidden/>
    <w:rsid w:val="002E7226"/>
    <w:rPr>
      <w:rFonts w:ascii="Calibri Light" w:hAnsi="Calibri Light"/>
      <w:b/>
      <w:bCs/>
      <w:sz w:val="20"/>
      <w:szCs w:val="20"/>
      <w:lang w:val="en-AU"/>
    </w:rPr>
  </w:style>
  <w:style w:type="paragraph" w:customStyle="1" w:styleId="Paragraph">
    <w:name w:val="Paragraph"/>
    <w:autoRedefine/>
    <w:qFormat/>
    <w:locked/>
    <w:rsid w:val="001E2EF5"/>
    <w:pPr>
      <w:spacing w:before="180" w:after="180" w:line="276" w:lineRule="auto"/>
      <w:jc w:val="both"/>
    </w:pPr>
    <w:rPr>
      <w:rFonts w:ascii="Calibri Light" w:hAnsi="Calibri Light"/>
      <w:noProof/>
      <w:color w:val="4D4D4D"/>
      <w:sz w:val="26"/>
      <w:szCs w:val="26"/>
    </w:rPr>
  </w:style>
  <w:style w:type="character" w:styleId="PlaceholderText">
    <w:name w:val="Placeholder Text"/>
    <w:basedOn w:val="DefaultParagraphFont"/>
    <w:semiHidden/>
    <w:rsid w:val="000F3175"/>
    <w:rPr>
      <w:color w:val="808080"/>
    </w:rPr>
  </w:style>
  <w:style w:type="paragraph" w:customStyle="1" w:styleId="DPCbody">
    <w:name w:val="DPC body"/>
    <w:qFormat/>
    <w:rsid w:val="00DC3DE4"/>
    <w:pPr>
      <w:spacing w:after="160" w:line="300" w:lineRule="atLeast"/>
    </w:pPr>
    <w:rPr>
      <w:rFonts w:eastAsia="Times" w:cs="Arial"/>
      <w:color w:val="000000" w:themeColor="text1"/>
      <w:sz w:val="22"/>
      <w:szCs w:val="22"/>
      <w:lang w:val="en-AU"/>
    </w:rPr>
  </w:style>
  <w:style w:type="paragraph" w:customStyle="1" w:styleId="DPCbullet1">
    <w:name w:val="DPC bullet 1"/>
    <w:basedOn w:val="DPCbody"/>
    <w:qFormat/>
    <w:rsid w:val="00DC3DE4"/>
    <w:pPr>
      <w:numPr>
        <w:numId w:val="37"/>
      </w:numPr>
      <w:spacing w:after="60"/>
    </w:pPr>
  </w:style>
  <w:style w:type="paragraph" w:customStyle="1" w:styleId="DPCbullet2">
    <w:name w:val="DPC bullet 2"/>
    <w:basedOn w:val="DPCbody"/>
    <w:uiPriority w:val="2"/>
    <w:qFormat/>
    <w:rsid w:val="00DC3DE4"/>
    <w:pPr>
      <w:numPr>
        <w:ilvl w:val="1"/>
        <w:numId w:val="37"/>
      </w:numPr>
      <w:spacing w:after="60"/>
    </w:pPr>
  </w:style>
  <w:style w:type="numbering" w:customStyle="1" w:styleId="ZZBullets">
    <w:name w:val="ZZ Bullets"/>
    <w:rsid w:val="00DC3DE4"/>
    <w:pPr>
      <w:numPr>
        <w:numId w:val="37"/>
      </w:numPr>
    </w:pPr>
  </w:style>
  <w:style w:type="paragraph" w:customStyle="1" w:styleId="VIRTHeading2">
    <w:name w:val="VIRT Heading 2"/>
    <w:basedOn w:val="Normal"/>
    <w:link w:val="VIRTHeading2Char"/>
    <w:autoRedefine/>
    <w:qFormat/>
    <w:rsid w:val="0095281B"/>
    <w:pPr>
      <w:keepNext/>
      <w:spacing w:before="240" w:after="240"/>
      <w:ind w:left="794" w:hanging="794"/>
      <w:outlineLvl w:val="0"/>
    </w:pPr>
    <w:rPr>
      <w:rFonts w:ascii="Rockwell" w:hAnsi="Rockwell" w:cs="Times New Roman (Body CS)"/>
      <w:noProof/>
      <w:color w:val="007449"/>
      <w:sz w:val="36"/>
      <w:szCs w:val="36"/>
      <w:lang w:val="en-US"/>
    </w:rPr>
  </w:style>
  <w:style w:type="character" w:customStyle="1" w:styleId="VIRTHeading2Char">
    <w:name w:val="VIRT Heading 2 Char"/>
    <w:basedOn w:val="DefaultParagraphFont"/>
    <w:link w:val="VIRTHeading2"/>
    <w:locked/>
    <w:rsid w:val="0095281B"/>
    <w:rPr>
      <w:rFonts w:ascii="Rockwell" w:hAnsi="Rockwell" w:cs="Times New Roman (Body CS)"/>
      <w:noProof/>
      <w:color w:val="007449"/>
      <w:sz w:val="36"/>
      <w:szCs w:val="36"/>
    </w:rPr>
  </w:style>
  <w:style w:type="paragraph" w:customStyle="1" w:styleId="VirtHeading3">
    <w:name w:val="Virt Heading 3"/>
    <w:basedOn w:val="ListParagraph"/>
    <w:link w:val="VirtHeading3Char"/>
    <w:qFormat/>
    <w:rsid w:val="0095281B"/>
    <w:pPr>
      <w:spacing w:before="180" w:after="180"/>
      <w:ind w:hanging="720"/>
    </w:pPr>
    <w:rPr>
      <w:rFonts w:ascii="Rockwell" w:hAnsi="Rockwell" w:cs="Times New Roman (Body CS)"/>
      <w:noProof/>
      <w:color w:val="007449"/>
      <w:sz w:val="30"/>
      <w:szCs w:val="32"/>
      <w:lang w:val="en-US"/>
    </w:rPr>
  </w:style>
  <w:style w:type="paragraph" w:customStyle="1" w:styleId="VIRTheading4">
    <w:name w:val="VIRT heading 4"/>
    <w:link w:val="VIRTheading4Char"/>
    <w:autoRedefine/>
    <w:qFormat/>
    <w:rsid w:val="00AA33BA"/>
    <w:pPr>
      <w:keepNext/>
      <w:spacing w:before="120" w:after="120"/>
    </w:pPr>
    <w:rPr>
      <w:rFonts w:ascii="Calibri Light" w:hAnsi="Calibri Light" w:cs="Arial"/>
      <w:b/>
      <w:color w:val="148A5D" w:themeColor="accent2"/>
      <w:sz w:val="26"/>
      <w:szCs w:val="20"/>
      <w:lang w:val="en-AU"/>
    </w:rPr>
  </w:style>
  <w:style w:type="character" w:customStyle="1" w:styleId="ListParagraphChar">
    <w:name w:val="List Paragraph Char"/>
    <w:basedOn w:val="DefaultParagraphFont"/>
    <w:link w:val="ListParagraph"/>
    <w:rsid w:val="00AA33BA"/>
    <w:rPr>
      <w:rFonts w:ascii="Calibri Light" w:hAnsi="Calibri Light"/>
      <w:sz w:val="20"/>
      <w:lang w:val="en-AU"/>
    </w:rPr>
  </w:style>
  <w:style w:type="character" w:customStyle="1" w:styleId="VirtHeading3Char">
    <w:name w:val="Virt Heading 3 Char"/>
    <w:basedOn w:val="ListParagraphChar"/>
    <w:link w:val="VirtHeading3"/>
    <w:rsid w:val="0095281B"/>
    <w:rPr>
      <w:rFonts w:ascii="Rockwell" w:hAnsi="Rockwell" w:cs="Times New Roman (Body CS)"/>
      <w:noProof/>
      <w:color w:val="007449"/>
      <w:sz w:val="30"/>
      <w:szCs w:val="32"/>
      <w:lang w:val="en-AU"/>
    </w:rPr>
  </w:style>
  <w:style w:type="character" w:customStyle="1" w:styleId="VIRTheading4Char">
    <w:name w:val="VIRT heading 4 Char"/>
    <w:basedOn w:val="DefaultParagraphFont"/>
    <w:link w:val="VIRTheading4"/>
    <w:rsid w:val="00AA33BA"/>
    <w:rPr>
      <w:rFonts w:ascii="Calibri Light" w:hAnsi="Calibri Light" w:cs="Arial"/>
      <w:b/>
      <w:color w:val="148A5D" w:themeColor="accent2"/>
      <w:sz w:val="26"/>
      <w:szCs w:val="20"/>
      <w:lang w:val="en-AU"/>
    </w:rPr>
  </w:style>
  <w:style w:type="paragraph" w:customStyle="1" w:styleId="Figureheading">
    <w:name w:val="Figure heading"/>
    <w:basedOn w:val="Normal"/>
    <w:link w:val="FigureheadingChar"/>
    <w:qFormat/>
    <w:rsid w:val="00AA33BA"/>
    <w:pPr>
      <w:keepNext/>
      <w:tabs>
        <w:tab w:val="left" w:pos="1276"/>
      </w:tabs>
      <w:spacing w:before="120" w:after="120"/>
      <w:ind w:left="1191" w:hanging="1191"/>
      <w:contextualSpacing/>
    </w:pPr>
    <w:rPr>
      <w:b/>
      <w:bCs/>
      <w:color w:val="26664E" w:themeColor="accent1"/>
      <w:sz w:val="24"/>
      <w:szCs w:val="20"/>
    </w:rPr>
  </w:style>
  <w:style w:type="character" w:customStyle="1" w:styleId="FigureheadingChar">
    <w:name w:val="Figure heading Char"/>
    <w:basedOn w:val="DefaultParagraphFont"/>
    <w:link w:val="Figureheading"/>
    <w:rsid w:val="00AA33BA"/>
    <w:rPr>
      <w:rFonts w:ascii="Calibri Light" w:hAnsi="Calibri Light"/>
      <w:b/>
      <w:bCs/>
      <w:color w:val="26664E" w:themeColor="accent1"/>
      <w:szCs w:val="20"/>
      <w:lang w:val="en-AU"/>
    </w:rPr>
  </w:style>
  <w:style w:type="paragraph" w:customStyle="1" w:styleId="Parapraphbeforeabulletlist">
    <w:name w:val="Parapraph before a bullet list"/>
    <w:basedOn w:val="Paragraph"/>
    <w:link w:val="ParapraphbeforeabulletlistChar"/>
    <w:autoRedefine/>
    <w:qFormat/>
    <w:locked/>
    <w:rsid w:val="00A91560"/>
    <w:pPr>
      <w:spacing w:after="120"/>
    </w:pPr>
    <w:rPr>
      <w:rFonts w:eastAsiaTheme="minorEastAsia" w:cs="Times New Roman (Body CS)"/>
      <w:noProof w:val="0"/>
      <w:color w:val="4D4D4D" w:themeColor="accent6"/>
      <w:szCs w:val="44"/>
      <w:lang w:val="en-AU"/>
    </w:rPr>
  </w:style>
  <w:style w:type="character" w:customStyle="1" w:styleId="ParapraphbeforeabulletlistChar">
    <w:name w:val="Parapraph before a bullet list Char"/>
    <w:basedOn w:val="DefaultParagraphFont"/>
    <w:link w:val="Parapraphbeforeabulletlist"/>
    <w:rsid w:val="00A91560"/>
    <w:rPr>
      <w:rFonts w:ascii="Calibri Light" w:eastAsiaTheme="minorEastAsia" w:hAnsi="Calibri Light" w:cs="Times New Roman (Body CS)"/>
      <w:color w:val="4D4D4D" w:themeColor="accent6"/>
      <w:sz w:val="26"/>
      <w:szCs w:val="44"/>
      <w:lang w:val="en-AU"/>
    </w:rPr>
  </w:style>
  <w:style w:type="paragraph" w:styleId="Revision">
    <w:name w:val="Revision"/>
    <w:hidden/>
    <w:semiHidden/>
    <w:rsid w:val="005346DB"/>
    <w:rPr>
      <w:rFonts w:ascii="Calibri Light" w:hAnsi="Calibri Light"/>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77461">
      <w:bodyDiv w:val="1"/>
      <w:marLeft w:val="0"/>
      <w:marRight w:val="0"/>
      <w:marTop w:val="0"/>
      <w:marBottom w:val="0"/>
      <w:divBdr>
        <w:top w:val="none" w:sz="0" w:space="0" w:color="auto"/>
        <w:left w:val="none" w:sz="0" w:space="0" w:color="auto"/>
        <w:bottom w:val="none" w:sz="0" w:space="0" w:color="auto"/>
        <w:right w:val="none" w:sz="0" w:space="0" w:color="auto"/>
      </w:divBdr>
      <w:divsChild>
        <w:div w:id="2139109093">
          <w:marLeft w:val="274"/>
          <w:marRight w:val="0"/>
          <w:marTop w:val="0"/>
          <w:marBottom w:val="0"/>
          <w:divBdr>
            <w:top w:val="none" w:sz="0" w:space="0" w:color="auto"/>
            <w:left w:val="none" w:sz="0" w:space="0" w:color="auto"/>
            <w:bottom w:val="none" w:sz="0" w:space="0" w:color="auto"/>
            <w:right w:val="none" w:sz="0" w:space="0" w:color="auto"/>
          </w:divBdr>
        </w:div>
        <w:div w:id="1175345873">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5ED9-78B6-4DC8-8F8B-C5D0B398552D}">
  <ds:schemaRefs>
    <ds:schemaRef ds:uri="http://www.w3.org/2001/XMLSchema"/>
  </ds:schemaRefs>
</ds:datastoreItem>
</file>

<file path=customXml/itemProps2.xml><?xml version="1.0" encoding="utf-8"?>
<ds:datastoreItem xmlns:ds="http://schemas.openxmlformats.org/officeDocument/2006/customXml" ds:itemID="{84702D58-6678-4C86-9EC2-D4D8353D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2324</Words>
  <Characters>13252</Characters>
  <Application>Microsoft Office Word</Application>
  <DocSecurity>8</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Dannielle Foster (DPC)</dc:creator>
  <cp:keywords/>
  <cp:lastModifiedBy>Dannielle Foster (DPC)</cp:lastModifiedBy>
  <cp:revision>3</cp:revision>
  <cp:lastPrinted>2020-03-05T04:10:00Z</cp:lastPrinted>
  <dcterms:created xsi:type="dcterms:W3CDTF">2020-05-21T00:29:00Z</dcterms:created>
  <dcterms:modified xsi:type="dcterms:W3CDTF">2020-05-21T00:30:00Z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dannielle.foster@dpc.vic.gov.au</vt:lpwstr>
  </property>
  <property fmtid="{D5CDD505-2E9C-101B-9397-08002B2CF9AE}" pid="5" name="MSIP_Label_7158ebbd-6c5e-441f-bfc9-4eb8c11e3978_SetDate">
    <vt:lpwstr>2019-09-24T02:32:43.9359304Z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y fmtid="{D5CDD505-2E9C-101B-9397-08002B2CF9AE}" pid="10" name="ZOTERO_PREF_1">
    <vt:lpwstr>&lt;data data-version="3" zotero-version="5.0.74"&gt;&lt;session id="ZITXMCsr"/&gt;&lt;style id="http://www.zotero.org/styles/chicago-note-bibliography" locale="en-US" hasBibliography="1" bibliographyStyleHasBeenSet="0"/&gt;&lt;prefs&gt;&lt;pref name="fieldType" value="Field"/&gt;&lt;pre</vt:lpwstr>
  </property>
  <property fmtid="{D5CDD505-2E9C-101B-9397-08002B2CF9AE}" pid="11" name="ZOTERO_PREF_2">
    <vt:lpwstr>f name="automaticJournalAbbreviations" value="true"/&gt;&lt;pref name="noteType" value="1"/&gt;&lt;/prefs&gt;&lt;/data&gt;</vt:lpwstr>
  </property>
</Properties>
</file>