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2417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33F76A3C" w14:textId="77777777" w:rsidR="00345CE9" w:rsidRDefault="00345CE9" w:rsidP="00C37731">
      <w:pPr>
        <w:pStyle w:val="Spacerparatopoffirstpage"/>
        <w:rPr>
          <w:noProof w:val="0"/>
        </w:rPr>
      </w:pPr>
    </w:p>
    <w:p w14:paraId="35B35E82" w14:textId="77777777" w:rsidR="00345CE9" w:rsidRDefault="00345CE9" w:rsidP="00C37731">
      <w:pPr>
        <w:pStyle w:val="Spacerparatopoffirstpage"/>
        <w:rPr>
          <w:noProof w:val="0"/>
        </w:rPr>
      </w:pPr>
    </w:p>
    <w:p w14:paraId="3D3D6B7B" w14:textId="77777777" w:rsidR="00345CE9" w:rsidRDefault="00345CE9" w:rsidP="00C37731">
      <w:pPr>
        <w:pStyle w:val="Spacerparatopoffirstpage"/>
        <w:rPr>
          <w:noProof w:val="0"/>
        </w:rPr>
      </w:pPr>
    </w:p>
    <w:p w14:paraId="785127BF" w14:textId="77777777" w:rsidR="00306E5F" w:rsidRPr="00CF4A60" w:rsidRDefault="0075285D" w:rsidP="00C37731">
      <w:pPr>
        <w:pStyle w:val="Spacerparatopoffirstpage"/>
        <w:rPr>
          <w:noProof w:val="0"/>
        </w:rPr>
      </w:pPr>
      <w:r w:rsidRPr="00CF4A60">
        <w:rPr>
          <w:lang w:val="en-US"/>
        </w:rPr>
        <w:drawing>
          <wp:anchor distT="0" distB="0" distL="114300" distR="114300" simplePos="0" relativeHeight="251652608" behindDoc="1" locked="1" layoutInCell="0" allowOverlap="1" wp14:anchorId="6F924356" wp14:editId="592E2251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CF4A60" w14:paraId="1D87C0D6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5C6EB0F6" w14:textId="77777777" w:rsidR="004946F4" w:rsidRPr="009836E4" w:rsidRDefault="00134D29" w:rsidP="009B2EFE">
            <w:pPr>
              <w:pStyle w:val="DPCmainheading"/>
              <w:rPr>
                <w:sz w:val="48"/>
              </w:rPr>
            </w:pPr>
            <w:r>
              <w:rPr>
                <w:sz w:val="44"/>
              </w:rPr>
              <w:t>Data Exchange Standard</w:t>
            </w:r>
          </w:p>
        </w:tc>
      </w:tr>
    </w:tbl>
    <w:p w14:paraId="7BFD81B1" w14:textId="77777777" w:rsidR="00E604DA" w:rsidRPr="00CF4A60" w:rsidRDefault="00E604DA" w:rsidP="00E604DA">
      <w:pPr>
        <w:pStyle w:val="DPCbody"/>
      </w:pPr>
    </w:p>
    <w:p w14:paraId="47656D18" w14:textId="77777777" w:rsidR="005E1B3C" w:rsidRPr="00CF4A60" w:rsidRDefault="005E1B3C" w:rsidP="009836E4">
      <w:pPr>
        <w:pStyle w:val="DPCbody"/>
      </w:pPr>
    </w:p>
    <w:p w14:paraId="19170D0F" w14:textId="77777777" w:rsidR="009836E4" w:rsidRDefault="009836E4" w:rsidP="00345CE9">
      <w:pPr>
        <w:pStyle w:val="DPCbody"/>
      </w:pPr>
    </w:p>
    <w:p w14:paraId="245CBC09" w14:textId="77777777" w:rsidR="00345CE9" w:rsidRDefault="00345CE9" w:rsidP="00345CE9">
      <w:pPr>
        <w:pStyle w:val="DPCbody"/>
      </w:pPr>
    </w:p>
    <w:p w14:paraId="14A678F8" w14:textId="77777777" w:rsidR="00345CE9" w:rsidRDefault="00345CE9" w:rsidP="00345CE9">
      <w:pPr>
        <w:pStyle w:val="DPCbody"/>
      </w:pPr>
    </w:p>
    <w:p w14:paraId="517B7173" w14:textId="77777777" w:rsidR="00893AF6" w:rsidRPr="00CF4A60" w:rsidRDefault="0046522F" w:rsidP="005E4097">
      <w:pPr>
        <w:pStyle w:val="Heading1"/>
      </w:pPr>
      <w:r w:rsidRPr="00CF4A60">
        <w:t>Standard</w:t>
      </w:r>
    </w:p>
    <w:p w14:paraId="07BC1AD4" w14:textId="77777777" w:rsidR="002366BF" w:rsidRPr="00CF4A60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  <w:r w:rsidRPr="00CF4A60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62CD" wp14:editId="1CC64976">
                <wp:simplePos x="0" y="0"/>
                <wp:positionH relativeFrom="column">
                  <wp:posOffset>33535</wp:posOffset>
                </wp:positionH>
                <wp:positionV relativeFrom="paragraph">
                  <wp:posOffset>38658</wp:posOffset>
                </wp:positionV>
                <wp:extent cx="6119447" cy="562708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7" cy="562708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C733" w14:textId="4DA5EDB8" w:rsidR="00FC0F9A" w:rsidRPr="00055BC0" w:rsidRDefault="00FC0F9A" w:rsidP="002366BF">
                            <w:pPr>
                              <w:pStyle w:val="DPCquote"/>
                              <w:rPr>
                                <w:color w:val="auto"/>
                                <w:sz w:val="24"/>
                              </w:rPr>
                            </w:pPr>
                            <w:r w:rsidRPr="00624AF1">
                              <w:rPr>
                                <w:color w:val="auto"/>
                                <w:sz w:val="24"/>
                              </w:rPr>
                              <w:t xml:space="preserve">Departments must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exchange and share data</w:t>
                            </w:r>
                            <w:r w:rsidRPr="00624AF1">
                              <w:rPr>
                                <w:color w:val="auto"/>
                                <w:sz w:val="24"/>
                              </w:rPr>
                              <w:t xml:space="preserve"> in accordance with the requirements set out in this standard.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762C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65pt;margin-top:3.05pt;width:481.8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" fillcolor="#e7f1fa" stroked="f" strokeweight=".5pt">
                <v:textbox inset="2mm,2mm,2mm,2mm">
                  <w:txbxContent>
                    <w:p w14:paraId="18C6C733" w14:textId="4DA5EDB8" w:rsidR="00FC0F9A" w:rsidRPr="00055BC0" w:rsidRDefault="00FC0F9A" w:rsidP="002366BF">
                      <w:pPr>
                        <w:pStyle w:val="DPCquote"/>
                        <w:rPr>
                          <w:color w:val="auto"/>
                          <w:sz w:val="24"/>
                        </w:rPr>
                      </w:pPr>
                      <w:r w:rsidRPr="00624AF1">
                        <w:rPr>
                          <w:color w:val="auto"/>
                          <w:sz w:val="24"/>
                        </w:rPr>
                        <w:t xml:space="preserve">Departments must </w:t>
                      </w:r>
                      <w:r>
                        <w:rPr>
                          <w:color w:val="auto"/>
                          <w:sz w:val="24"/>
                        </w:rPr>
                        <w:t>exchange and share data</w:t>
                      </w:r>
                      <w:r w:rsidRPr="00624AF1">
                        <w:rPr>
                          <w:color w:val="auto"/>
                          <w:sz w:val="24"/>
                        </w:rPr>
                        <w:t xml:space="preserve"> in accordance with the requirements set out in this standard.</w:t>
                      </w:r>
                    </w:p>
                  </w:txbxContent>
                </v:textbox>
              </v:shape>
            </w:pict>
          </mc:Fallback>
        </mc:AlternateContent>
      </w:r>
    </w:p>
    <w:p w14:paraId="565DE685" w14:textId="77777777" w:rsidR="002366BF" w:rsidRPr="00CF4A60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</w:p>
    <w:p w14:paraId="6B615C4C" w14:textId="77777777" w:rsidR="00D63B42" w:rsidRPr="00CF4A60" w:rsidRDefault="00D63B42" w:rsidP="00A455A0">
      <w:pPr>
        <w:pStyle w:val="DPCbody"/>
      </w:pPr>
      <w:r w:rsidRPr="00CF4A60">
        <w:t xml:space="preserve"> </w:t>
      </w:r>
    </w:p>
    <w:p w14:paraId="111EC39A" w14:textId="77777777" w:rsidR="00AF6CCD" w:rsidRPr="00CF4A60" w:rsidRDefault="00AF6CCD" w:rsidP="00A455A0">
      <w:pPr>
        <w:pStyle w:val="DPCbody"/>
      </w:pPr>
    </w:p>
    <w:p w14:paraId="6442A550" w14:textId="77777777" w:rsidR="00E604DA" w:rsidRPr="00CF4A60" w:rsidRDefault="00E604DA" w:rsidP="00A455A0">
      <w:pPr>
        <w:pStyle w:val="DPCbody"/>
      </w:pPr>
    </w:p>
    <w:p w14:paraId="6BCCDB02" w14:textId="77777777" w:rsidR="00E5229A" w:rsidRPr="00CF4A60" w:rsidRDefault="00E5229A" w:rsidP="00A455A0">
      <w:pPr>
        <w:pStyle w:val="DPCbody"/>
      </w:pPr>
    </w:p>
    <w:p w14:paraId="2CFAB99D" w14:textId="77777777" w:rsidR="00E5229A" w:rsidRPr="00CF4A60" w:rsidRDefault="00E5229A" w:rsidP="00A455A0">
      <w:pPr>
        <w:pStyle w:val="DPCbody"/>
      </w:pPr>
    </w:p>
    <w:p w14:paraId="29AF8671" w14:textId="77777777" w:rsidR="00E604DA" w:rsidRPr="00CF4A60" w:rsidRDefault="00E604DA" w:rsidP="00A455A0">
      <w:pPr>
        <w:pStyle w:val="DPCbody"/>
      </w:pPr>
    </w:p>
    <w:p w14:paraId="4DC55EB0" w14:textId="77777777" w:rsidR="00E604DA" w:rsidRPr="00CF4A60" w:rsidRDefault="00E604DA" w:rsidP="00A455A0">
      <w:pPr>
        <w:pStyle w:val="DPCbody"/>
      </w:pPr>
    </w:p>
    <w:p w14:paraId="27CE6446" w14:textId="77777777" w:rsidR="0046522F" w:rsidRPr="00CF4A60" w:rsidRDefault="0046522F" w:rsidP="0046522F">
      <w:pPr>
        <w:pStyle w:val="Heading1"/>
      </w:pPr>
      <w:r w:rsidRPr="00CF4A60">
        <w:t>Document Control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593"/>
        <w:gridCol w:w="3402"/>
        <w:gridCol w:w="1418"/>
        <w:gridCol w:w="3510"/>
      </w:tblGrid>
      <w:tr w:rsidR="00134D29" w:rsidRPr="003C43CF" w14:paraId="5DFA729F" w14:textId="77777777" w:rsidTr="00BE18D0">
        <w:tc>
          <w:tcPr>
            <w:tcW w:w="1593" w:type="dxa"/>
            <w:vAlign w:val="center"/>
          </w:tcPr>
          <w:p w14:paraId="33E99F35" w14:textId="77777777" w:rsidR="00134D29" w:rsidRPr="003C43CF" w:rsidRDefault="00134D29" w:rsidP="00134D29">
            <w:pPr>
              <w:pStyle w:val="DPCtablecolhead"/>
              <w:spacing w:before="120" w:after="120"/>
            </w:pPr>
            <w:r w:rsidRPr="003C43CF">
              <w:t>Applies to</w:t>
            </w:r>
          </w:p>
        </w:tc>
        <w:tc>
          <w:tcPr>
            <w:tcW w:w="3402" w:type="dxa"/>
            <w:vAlign w:val="center"/>
          </w:tcPr>
          <w:p w14:paraId="248D7C90" w14:textId="77777777" w:rsidR="00134D29" w:rsidRPr="003C43CF" w:rsidRDefault="00134D29" w:rsidP="00134D29">
            <w:pPr>
              <w:pStyle w:val="DPCtabletext"/>
              <w:spacing w:before="120" w:after="120"/>
            </w:pPr>
            <w:r w:rsidRPr="003C43CF">
              <w:t>All departments and Victoria Police</w:t>
            </w:r>
          </w:p>
        </w:tc>
        <w:tc>
          <w:tcPr>
            <w:tcW w:w="1418" w:type="dxa"/>
            <w:vAlign w:val="center"/>
          </w:tcPr>
          <w:p w14:paraId="62F05EA7" w14:textId="77777777" w:rsidR="00134D29" w:rsidRPr="003C43CF" w:rsidRDefault="00134D29" w:rsidP="00134D29">
            <w:pPr>
              <w:pStyle w:val="DPCtablecolhead"/>
              <w:spacing w:before="120" w:after="120"/>
            </w:pPr>
            <w:r w:rsidRPr="003C43CF">
              <w:t>Authority</w:t>
            </w:r>
          </w:p>
        </w:tc>
        <w:tc>
          <w:tcPr>
            <w:tcW w:w="3510" w:type="dxa"/>
            <w:vAlign w:val="center"/>
          </w:tcPr>
          <w:p w14:paraId="3A6C0B4E" w14:textId="77777777" w:rsidR="00134D29" w:rsidRPr="003C43CF" w:rsidRDefault="00134D29" w:rsidP="00134D29">
            <w:pPr>
              <w:pStyle w:val="DPCtabletext"/>
              <w:spacing w:before="120" w:after="120"/>
            </w:pPr>
            <w:r w:rsidRPr="003C43CF">
              <w:t>CIO Leadership Group</w:t>
            </w:r>
          </w:p>
        </w:tc>
      </w:tr>
      <w:tr w:rsidR="00134D29" w:rsidRPr="003C43CF" w14:paraId="646354D3" w14:textId="77777777" w:rsidTr="00BE18D0">
        <w:tc>
          <w:tcPr>
            <w:tcW w:w="1593" w:type="dxa"/>
            <w:vAlign w:val="center"/>
          </w:tcPr>
          <w:p w14:paraId="6C0C1BF2" w14:textId="77777777" w:rsidR="00134D29" w:rsidRPr="003C43CF" w:rsidRDefault="00134D29" w:rsidP="00134D29">
            <w:pPr>
              <w:pStyle w:val="DPCtablecolhead"/>
              <w:spacing w:before="120" w:after="120"/>
            </w:pPr>
            <w:r w:rsidRPr="003C43CF">
              <w:t>Period</w:t>
            </w:r>
          </w:p>
        </w:tc>
        <w:tc>
          <w:tcPr>
            <w:tcW w:w="3402" w:type="dxa"/>
            <w:vAlign w:val="center"/>
          </w:tcPr>
          <w:p w14:paraId="2798F91E" w14:textId="30C90EFF" w:rsidR="00134D29" w:rsidRPr="003C43CF" w:rsidRDefault="00261C29" w:rsidP="00134D29">
            <w:pPr>
              <w:pStyle w:val="DPCtabletext"/>
              <w:spacing w:before="120" w:after="120"/>
            </w:pPr>
            <w:r>
              <w:t>2019-2021</w:t>
            </w:r>
          </w:p>
        </w:tc>
        <w:tc>
          <w:tcPr>
            <w:tcW w:w="1418" w:type="dxa"/>
            <w:vAlign w:val="center"/>
          </w:tcPr>
          <w:p w14:paraId="3299C473" w14:textId="77777777" w:rsidR="00134D29" w:rsidRPr="003C43CF" w:rsidRDefault="00134D29" w:rsidP="00134D29">
            <w:pPr>
              <w:pStyle w:val="DPCtablecolhead"/>
              <w:spacing w:before="120" w:after="120"/>
            </w:pPr>
            <w:r w:rsidRPr="003C43CF">
              <w:t>Advised by</w:t>
            </w:r>
          </w:p>
        </w:tc>
        <w:tc>
          <w:tcPr>
            <w:tcW w:w="3510" w:type="dxa"/>
            <w:vAlign w:val="center"/>
          </w:tcPr>
          <w:p w14:paraId="50122D5E" w14:textId="35F53C12" w:rsidR="00134D29" w:rsidRPr="003C43CF" w:rsidRDefault="00BE18D0" w:rsidP="00134D29">
            <w:pPr>
              <w:pStyle w:val="DPCtabletext"/>
              <w:spacing w:before="120" w:after="120"/>
            </w:pPr>
            <w:r>
              <w:t>Digital Strategy and Transformation</w:t>
            </w:r>
            <w:r w:rsidR="00134D29" w:rsidRPr="003C43CF">
              <w:t xml:space="preserve">, </w:t>
            </w:r>
            <w:r w:rsidR="00134D29" w:rsidRPr="003C43CF">
              <w:br/>
              <w:t>Department of Premier and Cabinet</w:t>
            </w:r>
          </w:p>
        </w:tc>
      </w:tr>
      <w:tr w:rsidR="0046522F" w:rsidRPr="003C43CF" w14:paraId="3EF39E72" w14:textId="77777777" w:rsidTr="00BE18D0">
        <w:tc>
          <w:tcPr>
            <w:tcW w:w="1593" w:type="dxa"/>
            <w:vAlign w:val="center"/>
          </w:tcPr>
          <w:p w14:paraId="51BA0F26" w14:textId="77777777" w:rsidR="0046522F" w:rsidRPr="003C43CF" w:rsidRDefault="0046522F" w:rsidP="0046522F">
            <w:pPr>
              <w:pStyle w:val="DPCtablecolhead"/>
              <w:spacing w:before="120" w:after="120"/>
            </w:pPr>
            <w:r w:rsidRPr="003C43CF">
              <w:t>Issue Date</w:t>
            </w:r>
          </w:p>
        </w:tc>
        <w:tc>
          <w:tcPr>
            <w:tcW w:w="3402" w:type="dxa"/>
            <w:vAlign w:val="center"/>
          </w:tcPr>
          <w:p w14:paraId="69E3FF3E" w14:textId="47E48F2C" w:rsidR="0046522F" w:rsidRPr="003C43CF" w:rsidRDefault="008059C9" w:rsidP="00E500E2">
            <w:pPr>
              <w:pStyle w:val="DPCtabletext"/>
              <w:spacing w:before="120" w:after="120"/>
            </w:pPr>
            <w:r>
              <w:t>September</w:t>
            </w:r>
            <w:r w:rsidR="007F4830">
              <w:t xml:space="preserve"> 2019</w:t>
            </w:r>
          </w:p>
        </w:tc>
        <w:tc>
          <w:tcPr>
            <w:tcW w:w="1418" w:type="dxa"/>
            <w:vAlign w:val="center"/>
          </w:tcPr>
          <w:p w14:paraId="6AC3D094" w14:textId="77777777" w:rsidR="0046522F" w:rsidRPr="003C43CF" w:rsidRDefault="0046522F" w:rsidP="0046522F">
            <w:pPr>
              <w:pStyle w:val="DPCtablecolhead"/>
              <w:spacing w:before="120" w:after="120"/>
            </w:pPr>
            <w:r w:rsidRPr="003C43CF">
              <w:t>Document ID</w:t>
            </w:r>
          </w:p>
        </w:tc>
        <w:tc>
          <w:tcPr>
            <w:tcW w:w="3510" w:type="dxa"/>
            <w:vAlign w:val="center"/>
          </w:tcPr>
          <w:p w14:paraId="75259C8C" w14:textId="2387613A" w:rsidR="0046522F" w:rsidRPr="003C43CF" w:rsidRDefault="00124605" w:rsidP="009836E4">
            <w:pPr>
              <w:pStyle w:val="DPCtabletext"/>
              <w:spacing w:before="120" w:after="120"/>
            </w:pPr>
            <w:r w:rsidRPr="003C43CF">
              <w:t>IM-</w:t>
            </w:r>
            <w:r w:rsidRPr="00261C29">
              <w:t>STD</w:t>
            </w:r>
            <w:r w:rsidR="00261C29" w:rsidRPr="00261C29">
              <w:t>-10</w:t>
            </w:r>
          </w:p>
        </w:tc>
      </w:tr>
      <w:tr w:rsidR="0046522F" w:rsidRPr="003C43CF" w14:paraId="2A8D5094" w14:textId="77777777" w:rsidTr="00BE18D0">
        <w:tc>
          <w:tcPr>
            <w:tcW w:w="1593" w:type="dxa"/>
            <w:vAlign w:val="center"/>
          </w:tcPr>
          <w:p w14:paraId="2312515C" w14:textId="77777777" w:rsidR="0046522F" w:rsidRPr="003C43CF" w:rsidRDefault="0046522F" w:rsidP="0046522F">
            <w:pPr>
              <w:pStyle w:val="DPCtablecolhead"/>
              <w:spacing w:before="120" w:after="120"/>
            </w:pPr>
            <w:r w:rsidRPr="003C43CF">
              <w:t>Review Date</w:t>
            </w:r>
          </w:p>
        </w:tc>
        <w:tc>
          <w:tcPr>
            <w:tcW w:w="3402" w:type="dxa"/>
            <w:vAlign w:val="center"/>
          </w:tcPr>
          <w:p w14:paraId="10C7F703" w14:textId="04655DB9" w:rsidR="0046522F" w:rsidRPr="003C43CF" w:rsidRDefault="008059C9" w:rsidP="0046522F">
            <w:pPr>
              <w:pStyle w:val="DPCtabletext"/>
              <w:spacing w:before="120" w:after="120"/>
            </w:pPr>
            <w:r>
              <w:t xml:space="preserve">September </w:t>
            </w:r>
            <w:r w:rsidR="007F4830">
              <w:t>2021</w:t>
            </w:r>
          </w:p>
        </w:tc>
        <w:tc>
          <w:tcPr>
            <w:tcW w:w="1418" w:type="dxa"/>
            <w:vAlign w:val="center"/>
          </w:tcPr>
          <w:p w14:paraId="625BF798" w14:textId="48B488E8" w:rsidR="0046522F" w:rsidRPr="003C43CF" w:rsidRDefault="0046522F" w:rsidP="0046522F">
            <w:pPr>
              <w:pStyle w:val="DPCtablecolhead"/>
              <w:spacing w:before="120" w:after="120"/>
            </w:pPr>
            <w:r w:rsidRPr="003C43CF">
              <w:t>Version</w:t>
            </w:r>
          </w:p>
        </w:tc>
        <w:tc>
          <w:tcPr>
            <w:tcW w:w="3510" w:type="dxa"/>
            <w:vAlign w:val="center"/>
          </w:tcPr>
          <w:p w14:paraId="7D366353" w14:textId="4AA86376" w:rsidR="0046522F" w:rsidRPr="003C43CF" w:rsidRDefault="00261C29" w:rsidP="000705CF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0A590720" w14:textId="77777777" w:rsidR="00E5229A" w:rsidRPr="003C43CF" w:rsidRDefault="00E5229A" w:rsidP="00E5229A">
      <w:pPr>
        <w:spacing w:line="200" w:lineRule="exact"/>
        <w:ind w:left="101"/>
        <w:rPr>
          <w:rFonts w:ascii="Calibri" w:eastAsia="Calibri" w:hAnsi="Calibri" w:cs="Calibri"/>
        </w:rPr>
      </w:pPr>
    </w:p>
    <w:p w14:paraId="1473036F" w14:textId="77777777" w:rsidR="00E5229A" w:rsidRPr="003C43CF" w:rsidRDefault="00E5229A" w:rsidP="00E5229A">
      <w:pPr>
        <w:spacing w:line="200" w:lineRule="exact"/>
        <w:rPr>
          <w:rFonts w:ascii="Arial" w:eastAsia="Cambria" w:hAnsi="Arial"/>
          <w:sz w:val="16"/>
          <w:szCs w:val="24"/>
        </w:rPr>
      </w:pPr>
      <w:r w:rsidRPr="003C43CF">
        <w:rPr>
          <w:rFonts w:ascii="Arial" w:eastAsia="Cambria" w:hAnsi="Arial"/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DFCF86C" wp14:editId="6CD34F2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3CF">
        <w:rPr>
          <w:rFonts w:ascii="Calibri" w:eastAsia="Calibri" w:hAnsi="Calibri" w:cs="Calibri"/>
        </w:rPr>
        <w:br w:type="textWrapping" w:clear="all"/>
      </w:r>
      <w:r w:rsidRPr="003C43CF">
        <w:rPr>
          <w:spacing w:val="-1"/>
          <w:sz w:val="16"/>
        </w:rPr>
        <w:t>Except</w:t>
      </w:r>
      <w:r w:rsidRPr="003C43CF">
        <w:rPr>
          <w:spacing w:val="-6"/>
          <w:sz w:val="16"/>
        </w:rPr>
        <w:t xml:space="preserve"> </w:t>
      </w:r>
      <w:r w:rsidRPr="003C43CF">
        <w:rPr>
          <w:spacing w:val="-1"/>
          <w:sz w:val="16"/>
        </w:rPr>
        <w:t>for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any</w:t>
      </w:r>
      <w:r w:rsidRPr="003C43CF">
        <w:rPr>
          <w:spacing w:val="-5"/>
          <w:sz w:val="16"/>
        </w:rPr>
        <w:t xml:space="preserve"> </w:t>
      </w:r>
      <w:r w:rsidRPr="003C43CF">
        <w:rPr>
          <w:spacing w:val="-1"/>
          <w:sz w:val="16"/>
        </w:rPr>
        <w:t>logos,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emblems,</w:t>
      </w:r>
      <w:r w:rsidRPr="003C43CF">
        <w:rPr>
          <w:spacing w:val="-6"/>
          <w:sz w:val="16"/>
        </w:rPr>
        <w:t xml:space="preserve"> </w:t>
      </w:r>
      <w:r w:rsidRPr="003C43CF">
        <w:rPr>
          <w:spacing w:val="-1"/>
          <w:sz w:val="16"/>
        </w:rPr>
        <w:t>trademarks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and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contents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attributed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to</w:t>
      </w:r>
      <w:r w:rsidRPr="003C43CF">
        <w:rPr>
          <w:spacing w:val="-5"/>
          <w:sz w:val="16"/>
        </w:rPr>
        <w:t xml:space="preserve"> </w:t>
      </w:r>
      <w:r w:rsidRPr="003C43CF">
        <w:rPr>
          <w:sz w:val="16"/>
        </w:rPr>
        <w:t>other</w:t>
      </w:r>
      <w:r w:rsidRPr="003C43CF">
        <w:rPr>
          <w:spacing w:val="-6"/>
          <w:sz w:val="16"/>
        </w:rPr>
        <w:t xml:space="preserve"> </w:t>
      </w:r>
      <w:r w:rsidRPr="003C43CF">
        <w:rPr>
          <w:spacing w:val="-1"/>
          <w:sz w:val="16"/>
        </w:rPr>
        <w:t>parties,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the statements of direction,</w:t>
      </w:r>
      <w:r w:rsidRPr="003C43CF">
        <w:rPr>
          <w:spacing w:val="-6"/>
          <w:sz w:val="16"/>
        </w:rPr>
        <w:t xml:space="preserve"> </w:t>
      </w:r>
      <w:r w:rsidRPr="003C43CF">
        <w:rPr>
          <w:spacing w:val="-1"/>
          <w:sz w:val="16"/>
        </w:rPr>
        <w:t>policies and</w:t>
      </w:r>
      <w:r w:rsidRPr="003C43CF">
        <w:rPr>
          <w:spacing w:val="-3"/>
          <w:sz w:val="16"/>
        </w:rPr>
        <w:t xml:space="preserve"> </w:t>
      </w:r>
      <w:r w:rsidRPr="003C43CF">
        <w:rPr>
          <w:spacing w:val="-1"/>
          <w:sz w:val="16"/>
        </w:rPr>
        <w:t>standards</w:t>
      </w:r>
      <w:r w:rsidRPr="003C43CF">
        <w:rPr>
          <w:spacing w:val="-7"/>
          <w:sz w:val="16"/>
        </w:rPr>
        <w:t xml:space="preserve"> </w:t>
      </w:r>
      <w:r w:rsidRPr="003C43CF">
        <w:rPr>
          <w:spacing w:val="1"/>
          <w:sz w:val="16"/>
        </w:rPr>
        <w:t>of</w:t>
      </w:r>
      <w:r w:rsidRPr="003C43CF">
        <w:rPr>
          <w:spacing w:val="-7"/>
          <w:sz w:val="16"/>
        </w:rPr>
        <w:t xml:space="preserve"> </w:t>
      </w:r>
      <w:r w:rsidRPr="003C43CF">
        <w:rPr>
          <w:sz w:val="16"/>
        </w:rPr>
        <w:t>the</w:t>
      </w:r>
      <w:r w:rsidRPr="003C43CF">
        <w:rPr>
          <w:spacing w:val="-7"/>
          <w:sz w:val="16"/>
        </w:rPr>
        <w:t xml:space="preserve"> </w:t>
      </w:r>
      <w:r w:rsidRPr="003C43CF">
        <w:rPr>
          <w:spacing w:val="-1"/>
          <w:sz w:val="16"/>
        </w:rPr>
        <w:t>Victorian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Government</w:t>
      </w:r>
      <w:r w:rsidRPr="003C43CF">
        <w:rPr>
          <w:spacing w:val="-6"/>
          <w:sz w:val="16"/>
        </w:rPr>
        <w:t xml:space="preserve">’s Victorian Secretaries Board or </w:t>
      </w:r>
      <w:r w:rsidRPr="003C43CF">
        <w:rPr>
          <w:spacing w:val="-1"/>
          <w:sz w:val="16"/>
        </w:rPr>
        <w:t>CIO Leadership Group</w:t>
      </w:r>
      <w:r w:rsidRPr="003C43CF">
        <w:rPr>
          <w:spacing w:val="-6"/>
          <w:sz w:val="16"/>
        </w:rPr>
        <w:t xml:space="preserve"> </w:t>
      </w:r>
      <w:r w:rsidRPr="003C43CF">
        <w:rPr>
          <w:spacing w:val="1"/>
          <w:sz w:val="16"/>
        </w:rPr>
        <w:t>are</w:t>
      </w:r>
      <w:r w:rsidRPr="003C43CF">
        <w:rPr>
          <w:spacing w:val="-7"/>
          <w:sz w:val="16"/>
        </w:rPr>
        <w:t xml:space="preserve"> </w:t>
      </w:r>
      <w:r w:rsidRPr="003C43CF">
        <w:rPr>
          <w:sz w:val="16"/>
        </w:rPr>
        <w:t>licensed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under</w:t>
      </w:r>
      <w:r w:rsidRPr="003C43CF">
        <w:rPr>
          <w:spacing w:val="-6"/>
          <w:sz w:val="16"/>
        </w:rPr>
        <w:t xml:space="preserve"> </w:t>
      </w:r>
      <w:r w:rsidRPr="003C43CF">
        <w:rPr>
          <w:sz w:val="16"/>
        </w:rPr>
        <w:t>the</w:t>
      </w:r>
      <w:r w:rsidRPr="003C43CF">
        <w:rPr>
          <w:spacing w:val="-7"/>
          <w:sz w:val="16"/>
        </w:rPr>
        <w:t xml:space="preserve"> </w:t>
      </w:r>
      <w:r w:rsidRPr="003C43CF">
        <w:rPr>
          <w:spacing w:val="-1"/>
          <w:sz w:val="16"/>
        </w:rPr>
        <w:t xml:space="preserve">Creative Commons Attribution 4.0 </w:t>
      </w:r>
      <w:r w:rsidRPr="003C43CF">
        <w:rPr>
          <w:sz w:val="16"/>
        </w:rPr>
        <w:t>International licence. To view</w:t>
      </w:r>
      <w:r w:rsidRPr="003C43CF">
        <w:rPr>
          <w:spacing w:val="-9"/>
          <w:sz w:val="16"/>
        </w:rPr>
        <w:t xml:space="preserve"> </w:t>
      </w:r>
      <w:r w:rsidRPr="003C43CF">
        <w:rPr>
          <w:sz w:val="16"/>
        </w:rPr>
        <w:t>a</w:t>
      </w:r>
      <w:r w:rsidRPr="003C43CF">
        <w:rPr>
          <w:spacing w:val="-8"/>
          <w:sz w:val="16"/>
        </w:rPr>
        <w:t xml:space="preserve"> </w:t>
      </w:r>
      <w:r w:rsidRPr="003C43CF">
        <w:rPr>
          <w:sz w:val="16"/>
        </w:rPr>
        <w:t>copy</w:t>
      </w:r>
      <w:r w:rsidRPr="003C43CF">
        <w:rPr>
          <w:spacing w:val="-7"/>
          <w:sz w:val="16"/>
        </w:rPr>
        <w:t xml:space="preserve"> </w:t>
      </w:r>
      <w:r w:rsidRPr="003C43CF">
        <w:rPr>
          <w:sz w:val="16"/>
        </w:rPr>
        <w:t>of</w:t>
      </w:r>
      <w:r w:rsidRPr="003C43CF">
        <w:rPr>
          <w:spacing w:val="-9"/>
          <w:sz w:val="16"/>
        </w:rPr>
        <w:t xml:space="preserve"> </w:t>
      </w:r>
      <w:r w:rsidRPr="003C43CF">
        <w:rPr>
          <w:sz w:val="16"/>
        </w:rPr>
        <w:t>this</w:t>
      </w:r>
      <w:r w:rsidRPr="003C43CF">
        <w:rPr>
          <w:spacing w:val="-9"/>
          <w:sz w:val="16"/>
        </w:rPr>
        <w:t xml:space="preserve"> </w:t>
      </w:r>
      <w:r w:rsidRPr="003C43CF">
        <w:rPr>
          <w:sz w:val="16"/>
        </w:rPr>
        <w:t>licence</w:t>
      </w:r>
      <w:r w:rsidRPr="003C43CF">
        <w:rPr>
          <w:spacing w:val="-1"/>
          <w:sz w:val="16"/>
        </w:rPr>
        <w:t>,</w:t>
      </w:r>
      <w:r w:rsidRPr="003C43CF">
        <w:rPr>
          <w:spacing w:val="-8"/>
          <w:sz w:val="16"/>
        </w:rPr>
        <w:t xml:space="preserve"> </w:t>
      </w:r>
      <w:r w:rsidRPr="003C43CF">
        <w:rPr>
          <w:sz w:val="16"/>
        </w:rPr>
        <w:t>visit</w:t>
      </w:r>
      <w:r w:rsidRPr="003C43CF">
        <w:rPr>
          <w:spacing w:val="-5"/>
          <w:sz w:val="16"/>
        </w:rPr>
        <w:t xml:space="preserve"> </w:t>
      </w:r>
      <w:hyperlink r:id="rId17" w:history="1">
        <w:r w:rsidRPr="003C43CF">
          <w:rPr>
            <w:rStyle w:val="Hyperlink"/>
            <w:rFonts w:eastAsia="MS Gothic"/>
            <w:sz w:val="16"/>
          </w:rPr>
          <w:t>https://creativecommons.org/licenses/by/4.0/</w:t>
        </w:r>
      </w:hyperlink>
      <w:r w:rsidRPr="003C43CF">
        <w:rPr>
          <w:sz w:val="16"/>
        </w:rPr>
        <w:t xml:space="preserve"> </w:t>
      </w:r>
    </w:p>
    <w:p w14:paraId="1B5784A1" w14:textId="77777777" w:rsidR="00E5229A" w:rsidRPr="003C43CF" w:rsidRDefault="00E5229A" w:rsidP="0046522F">
      <w:pPr>
        <w:pStyle w:val="DPCbody"/>
      </w:pPr>
    </w:p>
    <w:p w14:paraId="0787DD06" w14:textId="77777777" w:rsidR="00302EBD" w:rsidRPr="003C43CF" w:rsidRDefault="00302EBD">
      <w:pPr>
        <w:rPr>
          <w:rFonts w:asciiTheme="majorHAnsi" w:eastAsia="MS Gothic" w:hAnsiTheme="majorHAnsi" w:cs="Arial"/>
          <w:bCs/>
          <w:color w:val="0072CE"/>
          <w:kern w:val="32"/>
          <w:sz w:val="44"/>
          <w:szCs w:val="52"/>
        </w:rPr>
      </w:pPr>
      <w:r w:rsidRPr="003C43CF">
        <w:br w:type="page"/>
      </w:r>
    </w:p>
    <w:p w14:paraId="0236DC11" w14:textId="77777777" w:rsidR="00134D29" w:rsidRPr="003C43CF" w:rsidRDefault="00134D29" w:rsidP="00134D29">
      <w:pPr>
        <w:pStyle w:val="Heading1"/>
      </w:pPr>
      <w:r w:rsidRPr="003C43CF">
        <w:lastRenderedPageBreak/>
        <w:t>Requirements</w:t>
      </w:r>
      <w:r w:rsidRPr="003C43CF">
        <w:tab/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8543"/>
      </w:tblGrid>
      <w:tr w:rsidR="006B490C" w:rsidRPr="003C43CF" w14:paraId="4201CB4F" w14:textId="77777777" w:rsidTr="00D45CD5">
        <w:tc>
          <w:tcPr>
            <w:tcW w:w="1270" w:type="dxa"/>
          </w:tcPr>
          <w:p w14:paraId="297D61AE" w14:textId="77777777" w:rsidR="006B490C" w:rsidRPr="003C43CF" w:rsidRDefault="006B490C" w:rsidP="0039167B">
            <w:pPr>
              <w:pStyle w:val="DPCtabletext"/>
            </w:pPr>
            <w:r w:rsidRPr="003C43CF">
              <w:rPr>
                <w:noProof/>
                <w:lang w:val="en-US"/>
              </w:rPr>
              <w:drawing>
                <wp:inline distT="0" distB="0" distL="0" distR="0" wp14:anchorId="57B11953" wp14:editId="40256DF1">
                  <wp:extent cx="556260" cy="43878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</w:tcPr>
          <w:p w14:paraId="6B143E6A" w14:textId="4EDE88E2" w:rsidR="003F6A03" w:rsidRPr="003C43CF" w:rsidRDefault="006B490C" w:rsidP="0039167B">
            <w:pPr>
              <w:pStyle w:val="DPCtabletext"/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 xml:space="preserve">In this standard, ‘exchange’ is synonymous with sharing and refers to the </w:t>
            </w:r>
            <w:r w:rsidR="00674760" w:rsidRPr="003C43CF">
              <w:rPr>
                <w:sz w:val="22"/>
                <w:szCs w:val="22"/>
              </w:rPr>
              <w:t xml:space="preserve">one or two-way </w:t>
            </w:r>
            <w:r w:rsidRPr="003C43CF">
              <w:rPr>
                <w:sz w:val="22"/>
                <w:szCs w:val="22"/>
              </w:rPr>
              <w:t xml:space="preserve">transfer of </w:t>
            </w:r>
            <w:r w:rsidR="00546F0C">
              <w:rPr>
                <w:sz w:val="22"/>
                <w:szCs w:val="22"/>
              </w:rPr>
              <w:t xml:space="preserve">structured </w:t>
            </w:r>
            <w:r w:rsidRPr="003C43CF">
              <w:rPr>
                <w:sz w:val="22"/>
                <w:szCs w:val="22"/>
              </w:rPr>
              <w:t>data in a secure, authorised and predefined way, whether</w:t>
            </w:r>
            <w:r w:rsidR="00EF5F00" w:rsidRPr="003C43CF">
              <w:rPr>
                <w:sz w:val="22"/>
                <w:szCs w:val="22"/>
              </w:rPr>
              <w:t>:</w:t>
            </w:r>
            <w:r w:rsidRPr="003C43CF">
              <w:rPr>
                <w:sz w:val="22"/>
                <w:szCs w:val="22"/>
              </w:rPr>
              <w:t xml:space="preserve"> </w:t>
            </w:r>
          </w:p>
          <w:p w14:paraId="02647957" w14:textId="558E4777" w:rsidR="003F6A03" w:rsidRPr="003C43CF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 xml:space="preserve">automated </w:t>
            </w:r>
          </w:p>
          <w:p w14:paraId="3182AC30" w14:textId="6D4E7E1A" w:rsidR="003F6A03" w:rsidRPr="003C43CF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>real</w:t>
            </w:r>
            <w:r w:rsidR="00B55B4E" w:rsidRPr="003C43CF">
              <w:rPr>
                <w:sz w:val="22"/>
                <w:szCs w:val="22"/>
              </w:rPr>
              <w:t>-</w:t>
            </w:r>
            <w:r w:rsidRPr="003C43CF">
              <w:rPr>
                <w:sz w:val="22"/>
                <w:szCs w:val="22"/>
              </w:rPr>
              <w:t>time or near real</w:t>
            </w:r>
            <w:r w:rsidR="00B55B4E" w:rsidRPr="003C43CF">
              <w:rPr>
                <w:sz w:val="22"/>
                <w:szCs w:val="22"/>
              </w:rPr>
              <w:t>-</w:t>
            </w:r>
            <w:r w:rsidRPr="003C43CF">
              <w:rPr>
                <w:sz w:val="22"/>
                <w:szCs w:val="22"/>
              </w:rPr>
              <w:t>time</w:t>
            </w:r>
          </w:p>
          <w:p w14:paraId="179CD6EC" w14:textId="7748A5E0" w:rsidR="003F6A03" w:rsidRPr="003C43CF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>system to system</w:t>
            </w:r>
          </w:p>
          <w:p w14:paraId="1AF6EA84" w14:textId="39107B16" w:rsidR="003F6A03" w:rsidRPr="003C43CF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>via email</w:t>
            </w:r>
          </w:p>
          <w:p w14:paraId="596C0159" w14:textId="111FD9E2" w:rsidR="003F6A03" w:rsidRPr="003C43CF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 xml:space="preserve">via secure file transfer </w:t>
            </w:r>
          </w:p>
          <w:p w14:paraId="7C05DCCC" w14:textId="77777777" w:rsidR="000B6EBB" w:rsidRDefault="006B490C" w:rsidP="002372B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C43CF">
              <w:rPr>
                <w:sz w:val="22"/>
                <w:szCs w:val="22"/>
              </w:rPr>
              <w:t>bulk uploads</w:t>
            </w:r>
            <w:r w:rsidR="00A765AE" w:rsidRPr="003C43CF">
              <w:rPr>
                <w:sz w:val="22"/>
                <w:szCs w:val="22"/>
              </w:rPr>
              <w:t>, ongoing</w:t>
            </w:r>
            <w:r w:rsidRPr="003C43CF">
              <w:rPr>
                <w:sz w:val="22"/>
                <w:szCs w:val="22"/>
              </w:rPr>
              <w:t xml:space="preserve"> or once-off</w:t>
            </w:r>
          </w:p>
          <w:p w14:paraId="4A192734" w14:textId="43AC33AC" w:rsidR="006B490C" w:rsidRPr="003C43CF" w:rsidRDefault="000B6EBB" w:rsidP="00B879AD">
            <w:pPr>
              <w:pStyle w:val="DPCtabletex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form of exchange not listed above e</w:t>
            </w:r>
            <w:r w:rsidR="00CE28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g</w:t>
            </w:r>
            <w:r w:rsidR="00CE28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USB</w:t>
            </w:r>
            <w:r w:rsidR="003F6A03" w:rsidRPr="003C43CF">
              <w:rPr>
                <w:sz w:val="22"/>
                <w:szCs w:val="22"/>
              </w:rPr>
              <w:t>.</w:t>
            </w:r>
          </w:p>
        </w:tc>
      </w:tr>
      <w:tr w:rsidR="00D61996" w:rsidRPr="003C43CF" w14:paraId="2F427AD7" w14:textId="77777777" w:rsidTr="00D45CD5">
        <w:tc>
          <w:tcPr>
            <w:tcW w:w="1270" w:type="dxa"/>
          </w:tcPr>
          <w:p w14:paraId="0623C78D" w14:textId="66BA763E" w:rsidR="00D61996" w:rsidRPr="003C43CF" w:rsidRDefault="00D61996" w:rsidP="0039167B">
            <w:pPr>
              <w:pStyle w:val="DPCtabletext"/>
              <w:rPr>
                <w:noProof/>
                <w:lang w:val="en-US"/>
              </w:rPr>
            </w:pPr>
            <w:r w:rsidRPr="003C43CF">
              <w:rPr>
                <w:noProof/>
                <w:lang w:val="en-US"/>
              </w:rPr>
              <w:drawing>
                <wp:inline distT="0" distB="0" distL="0" distR="0" wp14:anchorId="1A570C41" wp14:editId="187DEA64">
                  <wp:extent cx="556260" cy="4387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</w:tcPr>
          <w:p w14:paraId="25AB149C" w14:textId="6FA854DF" w:rsidR="00D61996" w:rsidRPr="003C43CF" w:rsidRDefault="00D61996" w:rsidP="0039167B">
            <w:pPr>
              <w:pStyle w:val="DPCtabletext"/>
              <w:rPr>
                <w:sz w:val="22"/>
                <w:szCs w:val="22"/>
              </w:rPr>
            </w:pPr>
            <w:r w:rsidRPr="00D61996">
              <w:rPr>
                <w:sz w:val="22"/>
                <w:szCs w:val="22"/>
              </w:rPr>
              <w:t>'Structured data' refers to data that can be organised and stored in fixed fields such as in a relational database record or spreadsheet. 'Unstructured data' does not conform neatly into a fixed field format. Examples include data streams, social media data, documents, emails, videos, audio files, and images.</w:t>
            </w:r>
          </w:p>
        </w:tc>
      </w:tr>
    </w:tbl>
    <w:p w14:paraId="6D327036" w14:textId="77777777" w:rsidR="00327B15" w:rsidRPr="003C43CF" w:rsidRDefault="00327B15" w:rsidP="00134D29">
      <w:pPr>
        <w:pStyle w:val="DPCbody"/>
        <w:tabs>
          <w:tab w:val="left" w:pos="8610"/>
        </w:tabs>
      </w:pPr>
    </w:p>
    <w:p w14:paraId="0FDFA330" w14:textId="1FD30D78" w:rsidR="00EE0376" w:rsidRPr="003C43CF" w:rsidRDefault="00EE0376" w:rsidP="00EE0376">
      <w:pPr>
        <w:pStyle w:val="DPCbody"/>
        <w:tabs>
          <w:tab w:val="left" w:pos="8610"/>
        </w:tabs>
      </w:pPr>
      <w:r w:rsidRPr="003C43CF">
        <w:t xml:space="preserve">When exchanging data, departments must at </w:t>
      </w:r>
      <w:r w:rsidR="00BE1364" w:rsidRPr="003C43CF">
        <w:t xml:space="preserve">a </w:t>
      </w:r>
      <w:r w:rsidRPr="003C43CF">
        <w:t>minimum:</w:t>
      </w:r>
    </w:p>
    <w:p w14:paraId="118414CC" w14:textId="4EAFA9A6" w:rsidR="00EE0376" w:rsidRPr="00426D1E" w:rsidRDefault="00EE0376" w:rsidP="00EE0376">
      <w:pPr>
        <w:pStyle w:val="DPCbody"/>
        <w:tabs>
          <w:tab w:val="left" w:pos="8610"/>
        </w:tabs>
        <w:rPr>
          <w:b/>
          <w:u w:val="single"/>
        </w:rPr>
      </w:pPr>
      <w:r w:rsidRPr="00426D1E">
        <w:rPr>
          <w:b/>
          <w:u w:val="single"/>
        </w:rPr>
        <w:t>Requestor</w:t>
      </w:r>
      <w:r w:rsidR="0097697B" w:rsidRPr="00426D1E">
        <w:rPr>
          <w:b/>
          <w:u w:val="single"/>
        </w:rPr>
        <w:t xml:space="preserve"> (requesting department)</w:t>
      </w:r>
    </w:p>
    <w:p w14:paraId="5C8AC75E" w14:textId="77777777" w:rsidR="00BE1364" w:rsidRPr="003C43CF" w:rsidRDefault="00BE1364" w:rsidP="00EE0376">
      <w:pPr>
        <w:pStyle w:val="DPCnumberdigit"/>
      </w:pPr>
      <w:r w:rsidRPr="003C43CF">
        <w:t>Include in a request for data:</w:t>
      </w:r>
      <w:r w:rsidR="00EE0376" w:rsidRPr="003C43CF">
        <w:t xml:space="preserve"> </w:t>
      </w:r>
    </w:p>
    <w:p w14:paraId="6EC13681" w14:textId="05E4250B" w:rsidR="00BE1364" w:rsidRPr="00CC044A" w:rsidRDefault="00E16CD0" w:rsidP="00E16CD0">
      <w:pPr>
        <w:pStyle w:val="DPCnumberdigitindent"/>
      </w:pPr>
      <w:r w:rsidRPr="00CC044A">
        <w:t>T</w:t>
      </w:r>
      <w:r w:rsidR="00EE0376" w:rsidRPr="00CC044A">
        <w:t>he purpose and background context for the data request</w:t>
      </w:r>
    </w:p>
    <w:p w14:paraId="17B4776D" w14:textId="1C6DBB0A" w:rsidR="00BE1364" w:rsidRPr="003C43CF" w:rsidRDefault="00E16CD0" w:rsidP="00BE1364">
      <w:pPr>
        <w:pStyle w:val="DPCnumberdigitindent"/>
      </w:pPr>
      <w:r w:rsidRPr="005052C9">
        <w:t>A</w:t>
      </w:r>
      <w:r w:rsidR="00EE0376" w:rsidRPr="005052C9">
        <w:t xml:space="preserve"> clear de</w:t>
      </w:r>
      <w:r w:rsidR="00BE1364" w:rsidRPr="003C43CF">
        <w:t>scription of the data required</w:t>
      </w:r>
    </w:p>
    <w:p w14:paraId="163428E5" w14:textId="38AD3045" w:rsidR="00BE1364" w:rsidRPr="003C43CF" w:rsidRDefault="00E16CD0" w:rsidP="00BE1364">
      <w:pPr>
        <w:pStyle w:val="DPCnumberdigitindent"/>
      </w:pPr>
      <w:r w:rsidRPr="003C43CF">
        <w:t>H</w:t>
      </w:r>
      <w:r w:rsidR="00EE0376" w:rsidRPr="003C43CF">
        <w:t>ow the data will be used</w:t>
      </w:r>
    </w:p>
    <w:p w14:paraId="5ED30517" w14:textId="6721A566" w:rsidR="00BE1364" w:rsidRPr="003C43CF" w:rsidRDefault="00E16CD0" w:rsidP="00BE1364">
      <w:pPr>
        <w:pStyle w:val="DPCnumberdigitindent"/>
      </w:pPr>
      <w:r w:rsidRPr="003C43CF">
        <w:t>W</w:t>
      </w:r>
      <w:r w:rsidR="00EE0376" w:rsidRPr="003C43CF">
        <w:t>hether the data will be shared or distributed and to whom</w:t>
      </w:r>
    </w:p>
    <w:p w14:paraId="131E9DF8" w14:textId="5F492C73" w:rsidR="00EE0376" w:rsidRPr="003C43CF" w:rsidRDefault="00E16CD0" w:rsidP="00BE1364">
      <w:pPr>
        <w:pStyle w:val="DPCnumberdigitindent"/>
      </w:pPr>
      <w:r w:rsidRPr="003C43CF">
        <w:t>W</w:t>
      </w:r>
      <w:r w:rsidR="00EE0376" w:rsidRPr="003C43CF">
        <w:t xml:space="preserve">hether the request is once-off or on-going and under what conditions the data will be exchanged and managed. </w:t>
      </w:r>
    </w:p>
    <w:p w14:paraId="189EEDFD" w14:textId="2B25A580" w:rsidR="00EE0376" w:rsidRPr="003C43CF" w:rsidRDefault="0023467B" w:rsidP="00EE0376">
      <w:pPr>
        <w:pStyle w:val="DPCnumberdigit"/>
      </w:pPr>
      <w:r w:rsidRPr="003C43CF">
        <w:t>R</w:t>
      </w:r>
      <w:r w:rsidR="00EE0376" w:rsidRPr="003C43CF">
        <w:t xml:space="preserve">equest data which contains </w:t>
      </w:r>
      <w:r w:rsidR="004203FC">
        <w:t>‘sensitive</w:t>
      </w:r>
      <w:r w:rsidR="004203FC">
        <w:rPr>
          <w:rStyle w:val="FootnoteReference"/>
        </w:rPr>
        <w:footnoteReference w:id="1"/>
      </w:r>
      <w:r w:rsidR="004203FC">
        <w:t xml:space="preserve">’ data </w:t>
      </w:r>
      <w:r w:rsidRPr="003C43CF">
        <w:t xml:space="preserve">only where allowed under </w:t>
      </w:r>
      <w:r w:rsidR="006A1315">
        <w:t>the rele</w:t>
      </w:r>
      <w:r w:rsidR="00B879AD">
        <w:t>vant authorities listed in r</w:t>
      </w:r>
      <w:r w:rsidR="006A1315">
        <w:t>equirement 3.</w:t>
      </w:r>
    </w:p>
    <w:p w14:paraId="795B72A1" w14:textId="1850CA25" w:rsidR="008654F8" w:rsidRPr="00426D1E" w:rsidRDefault="008654F8" w:rsidP="00ED75FA">
      <w:pPr>
        <w:pStyle w:val="DPCbody"/>
        <w:rPr>
          <w:b/>
          <w:u w:val="single"/>
        </w:rPr>
      </w:pPr>
      <w:r w:rsidRPr="00426D1E">
        <w:rPr>
          <w:b/>
          <w:u w:val="single"/>
        </w:rPr>
        <w:t>Provider</w:t>
      </w:r>
      <w:r w:rsidR="0097697B" w:rsidRPr="00426D1E">
        <w:rPr>
          <w:b/>
          <w:u w:val="single"/>
        </w:rPr>
        <w:t xml:space="preserve"> (providing department)</w:t>
      </w:r>
    </w:p>
    <w:p w14:paraId="38EE7F68" w14:textId="38B71859" w:rsidR="003E24DD" w:rsidRDefault="00BF4B11" w:rsidP="00BF4B11">
      <w:pPr>
        <w:pStyle w:val="DPCnumberdigit"/>
      </w:pPr>
      <w:r w:rsidRPr="00BF4B11">
        <w:t>Evaluate all data requests</w:t>
      </w:r>
      <w:r w:rsidR="003E24DD">
        <w:t xml:space="preserve"> to assess whether </w:t>
      </w:r>
      <w:r w:rsidR="00EF5F00">
        <w:t xml:space="preserve">the department has </w:t>
      </w:r>
      <w:r w:rsidR="003E24DD">
        <w:t>the right (</w:t>
      </w:r>
      <w:r w:rsidR="00D45CD5">
        <w:t xml:space="preserve">or </w:t>
      </w:r>
      <w:r w:rsidR="00C654DD">
        <w:t xml:space="preserve">authority) </w:t>
      </w:r>
      <w:r w:rsidR="0091726F">
        <w:t xml:space="preserve">to exchange the data requested </w:t>
      </w:r>
      <w:r w:rsidR="003E24DD">
        <w:t>including</w:t>
      </w:r>
      <w:r w:rsidR="00636963">
        <w:t>:</w:t>
      </w:r>
    </w:p>
    <w:p w14:paraId="56633225" w14:textId="77777777" w:rsidR="00546F0C" w:rsidRDefault="00546F0C" w:rsidP="00546F0C">
      <w:pPr>
        <w:pStyle w:val="DPCnumberdigitindent"/>
        <w:numPr>
          <w:ilvl w:val="1"/>
          <w:numId w:val="15"/>
        </w:numPr>
      </w:pPr>
      <w:r>
        <w:t xml:space="preserve">Legislative authority or obligation to share under legislation (Acts) relevant to the department or portfolio. </w:t>
      </w:r>
    </w:p>
    <w:p w14:paraId="1073C5C5" w14:textId="4F7D8A79" w:rsidR="003E24DD" w:rsidRDefault="00C654DD" w:rsidP="000B6EBB">
      <w:pPr>
        <w:pStyle w:val="DPCnumberdigitindent"/>
        <w:numPr>
          <w:ilvl w:val="1"/>
          <w:numId w:val="15"/>
        </w:numPr>
      </w:pPr>
      <w:r>
        <w:t>L</w:t>
      </w:r>
      <w:r w:rsidR="00BF4B11" w:rsidRPr="00BF4B11">
        <w:t>egislative authority to share</w:t>
      </w:r>
      <w:r w:rsidR="00D45CD5">
        <w:t xml:space="preserve"> under the </w:t>
      </w:r>
      <w:hyperlink r:id="rId19" w:history="1">
        <w:r w:rsidR="007C586A">
          <w:rPr>
            <w:rStyle w:val="Hyperlink"/>
            <w:i/>
          </w:rPr>
          <w:t xml:space="preserve">Privacy and Data Protection Act 2014 </w:t>
        </w:r>
      </w:hyperlink>
      <w:r w:rsidR="000B6EBB" w:rsidRPr="004F3E1A">
        <w:rPr>
          <w:i/>
        </w:rPr>
        <w:t>,</w:t>
      </w:r>
      <w:r w:rsidR="000B6EBB">
        <w:t xml:space="preserve"> </w:t>
      </w:r>
      <w:hyperlink r:id="rId20" w:history="1">
        <w:r w:rsidR="00FC0F9A" w:rsidRPr="00074D81">
          <w:rPr>
            <w:rStyle w:val="Hyperlink"/>
            <w:i/>
          </w:rPr>
          <w:t>Victorian Data Sharing Act 2017</w:t>
        </w:r>
      </w:hyperlink>
      <w:r w:rsidR="00FC0F9A">
        <w:t xml:space="preserve">, </w:t>
      </w:r>
      <w:hyperlink r:id="rId21" w:history="1">
        <w:r w:rsidR="00FC0F9A" w:rsidRPr="00074D81">
          <w:rPr>
            <w:rStyle w:val="Hyperlink"/>
            <w:i/>
          </w:rPr>
          <w:t>Public Records Act 1973</w:t>
        </w:r>
      </w:hyperlink>
      <w:r w:rsidR="00FC0F9A">
        <w:t xml:space="preserve"> and</w:t>
      </w:r>
      <w:r w:rsidR="00FC0F9A" w:rsidRPr="00D45CD5">
        <w:t xml:space="preserve"> </w:t>
      </w:r>
      <w:hyperlink r:id="rId22" w:history="1">
        <w:r w:rsidR="00FC0F9A" w:rsidRPr="00074D81">
          <w:rPr>
            <w:rStyle w:val="Hyperlink"/>
            <w:i/>
          </w:rPr>
          <w:t>Freedom of Information Act 1982</w:t>
        </w:r>
      </w:hyperlink>
      <w:r w:rsidR="00FC0F9A">
        <w:rPr>
          <w:vertAlign w:val="superscript"/>
        </w:rPr>
        <w:t xml:space="preserve"> </w:t>
      </w:r>
      <w:r w:rsidR="00D45CD5">
        <w:rPr>
          <w:vertAlign w:val="superscript"/>
        </w:rPr>
        <w:t xml:space="preserve"> </w:t>
      </w:r>
    </w:p>
    <w:p w14:paraId="5D2C8642" w14:textId="37FDE12E" w:rsidR="00D45CD5" w:rsidRDefault="00D45CD5" w:rsidP="002372BD">
      <w:pPr>
        <w:pStyle w:val="DPCnumberdigitindent"/>
        <w:numPr>
          <w:ilvl w:val="1"/>
          <w:numId w:val="15"/>
        </w:numPr>
      </w:pPr>
      <w:r>
        <w:lastRenderedPageBreak/>
        <w:t>O</w:t>
      </w:r>
      <w:r w:rsidRPr="00BF4B11">
        <w:t>ther</w:t>
      </w:r>
      <w:r w:rsidR="00FA1FBC">
        <w:t xml:space="preserve"> </w:t>
      </w:r>
      <w:r w:rsidRPr="00BF4B11">
        <w:t>regulat</w:t>
      </w:r>
      <w:r>
        <w:t xml:space="preserve">ion and </w:t>
      </w:r>
      <w:r w:rsidRPr="00BF4B11">
        <w:t>polic</w:t>
      </w:r>
      <w:r>
        <w:t>ies specifically relevant to the department or portfolio</w:t>
      </w:r>
      <w:r w:rsidR="009078F6">
        <w:t>.</w:t>
      </w:r>
    </w:p>
    <w:p w14:paraId="2C07E13A" w14:textId="77777777" w:rsidR="000D33DC" w:rsidRDefault="00D45CD5" w:rsidP="002372BD">
      <w:pPr>
        <w:pStyle w:val="DPCnumberdigitindent"/>
        <w:numPr>
          <w:ilvl w:val="1"/>
          <w:numId w:val="15"/>
        </w:numPr>
      </w:pPr>
      <w:r>
        <w:t>If the Provider is not the owner of the data, whether there is</w:t>
      </w:r>
      <w:r w:rsidR="000D33DC">
        <w:t>:</w:t>
      </w:r>
    </w:p>
    <w:p w14:paraId="6EBC541D" w14:textId="6E67B299" w:rsidR="000D33DC" w:rsidRDefault="00D45CD5" w:rsidP="000D33DC">
      <w:pPr>
        <w:pStyle w:val="DPCbulletafternumbers2"/>
      </w:pPr>
      <w:r w:rsidRPr="000D33DC">
        <w:t xml:space="preserve">a commercial agreement </w:t>
      </w:r>
    </w:p>
    <w:p w14:paraId="270422E6" w14:textId="77777777" w:rsidR="000D33DC" w:rsidRDefault="00D45CD5" w:rsidP="000D33DC">
      <w:pPr>
        <w:pStyle w:val="DPCbulletafternumbers2"/>
      </w:pPr>
      <w:r w:rsidRPr="000D33DC">
        <w:t xml:space="preserve">personal individual consent or </w:t>
      </w:r>
    </w:p>
    <w:p w14:paraId="0E9CB403" w14:textId="1B3B8A86" w:rsidR="000D33DC" w:rsidRDefault="00D45CD5" w:rsidP="000D33DC">
      <w:pPr>
        <w:pStyle w:val="DPCbulletafternumbers2"/>
      </w:pPr>
      <w:r w:rsidRPr="000D33DC">
        <w:t xml:space="preserve">data asset owner’s consent </w:t>
      </w:r>
      <w:r w:rsidR="007537F5">
        <w:t>(</w:t>
      </w:r>
      <w:r w:rsidR="007D3E73">
        <w:t xml:space="preserve">if the data is owned by </w:t>
      </w:r>
      <w:r w:rsidR="007537F5">
        <w:t>another department or agency)</w:t>
      </w:r>
    </w:p>
    <w:p w14:paraId="06418A92" w14:textId="68E0020C" w:rsidR="00CC044A" w:rsidRPr="000D33DC" w:rsidRDefault="000D33DC">
      <w:pPr>
        <w:pStyle w:val="DPCbulletafternumbers2"/>
        <w:numPr>
          <w:ilvl w:val="0"/>
          <w:numId w:val="0"/>
        </w:numPr>
        <w:ind w:left="794"/>
      </w:pPr>
      <w:r>
        <w:t xml:space="preserve">that </w:t>
      </w:r>
      <w:r w:rsidR="000248B0">
        <w:t>permits</w:t>
      </w:r>
      <w:r w:rsidR="00D45CD5" w:rsidRPr="000D33DC">
        <w:t xml:space="preserve"> the exchange</w:t>
      </w:r>
      <w:r w:rsidR="004A14C9">
        <w:t xml:space="preserve"> of</w:t>
      </w:r>
      <w:r w:rsidR="00D45CD5" w:rsidRPr="000D33DC">
        <w:t xml:space="preserve"> data</w:t>
      </w:r>
      <w:r w:rsidR="000B6EBB">
        <w:t xml:space="preserve"> (noting that permission to exchange may only be for certain limited purposes)</w:t>
      </w:r>
      <w:r>
        <w:t>.</w:t>
      </w:r>
      <w:r w:rsidR="00BF4B11" w:rsidRPr="000D33DC">
        <w:t xml:space="preserve"> </w:t>
      </w:r>
    </w:p>
    <w:p w14:paraId="014EFF37" w14:textId="77777777" w:rsidR="00EE0376" w:rsidRDefault="00EE0376" w:rsidP="00EE0376">
      <w:pPr>
        <w:pStyle w:val="DPCnumberdigit"/>
      </w:pPr>
      <w:r w:rsidRPr="00BF4B11">
        <w:t>Evaluate all data requests</w:t>
      </w:r>
      <w:r>
        <w:t xml:space="preserve"> to assess whether the department is ready to exchange the data requested including:</w:t>
      </w:r>
    </w:p>
    <w:p w14:paraId="4EA18612" w14:textId="6D0B0DCE" w:rsidR="00EE0376" w:rsidRDefault="00EE0376" w:rsidP="00EE0376">
      <w:pPr>
        <w:pStyle w:val="DPCnumberdigitindent"/>
        <w:numPr>
          <w:ilvl w:val="1"/>
          <w:numId w:val="16"/>
        </w:numPr>
      </w:pPr>
      <w:r>
        <w:t xml:space="preserve">Carrying out a risk assessment to determine risk to the department, </w:t>
      </w:r>
      <w:r w:rsidR="0021770E">
        <w:t xml:space="preserve">the </w:t>
      </w:r>
      <w:r>
        <w:t>Victorian Government (government) and the Victorian Public</w:t>
      </w:r>
      <w:r w:rsidR="0023467B">
        <w:t xml:space="preserve"> (see the </w:t>
      </w:r>
      <w:hyperlink r:id="rId23" w:history="1">
        <w:r w:rsidR="0023467B" w:rsidRPr="003C43CF">
          <w:rPr>
            <w:rStyle w:val="Hyperlink"/>
          </w:rPr>
          <w:t>Victorian Government’s Risk Management Framework</w:t>
        </w:r>
      </w:hyperlink>
      <w:r w:rsidR="0023467B">
        <w:t>)</w:t>
      </w:r>
    </w:p>
    <w:p w14:paraId="25A13702" w14:textId="549727B1" w:rsidR="00EE0376" w:rsidRPr="003C43CF" w:rsidRDefault="00EE0376" w:rsidP="00EE0376">
      <w:pPr>
        <w:pStyle w:val="DPCnumberdigitindent"/>
        <w:numPr>
          <w:ilvl w:val="1"/>
          <w:numId w:val="16"/>
        </w:numPr>
      </w:pPr>
      <w:r w:rsidRPr="003C43CF">
        <w:t xml:space="preserve">Ensuring that where </w:t>
      </w:r>
      <w:r w:rsidR="008A2229">
        <w:t xml:space="preserve">‘sensitive’ </w:t>
      </w:r>
      <w:r w:rsidRPr="003C43CF">
        <w:t xml:space="preserve">data </w:t>
      </w:r>
      <w:r w:rsidR="008A2229">
        <w:t xml:space="preserve">is </w:t>
      </w:r>
      <w:r w:rsidRPr="003C43CF">
        <w:t>involved, that a privacy impact assessment is conducted to ensure reasonable steps have been taken to protect the data from misuse or loss and unauthorised access, modification or disclosure</w:t>
      </w:r>
      <w:r w:rsidR="003C43CF" w:rsidRPr="003C43CF">
        <w:t xml:space="preserve"> (see </w:t>
      </w:r>
      <w:r w:rsidR="008101C5" w:rsidRPr="008101C5">
        <w:t xml:space="preserve">the Office of the Victorian Information Commissioner’s </w:t>
      </w:r>
      <w:r w:rsidR="008101C5">
        <w:t>(</w:t>
      </w:r>
      <w:r w:rsidR="003C43CF" w:rsidRPr="003C43CF">
        <w:t>OVIC</w:t>
      </w:r>
      <w:r w:rsidR="008101C5">
        <w:t>)</w:t>
      </w:r>
      <w:r w:rsidR="003C43CF" w:rsidRPr="003C43CF">
        <w:t xml:space="preserve"> guidance on </w:t>
      </w:r>
      <w:hyperlink r:id="rId24" w:history="1">
        <w:r w:rsidR="00F65731" w:rsidRPr="00F65731">
          <w:rPr>
            <w:rStyle w:val="Hyperlink"/>
          </w:rPr>
          <w:t>Information Sharing</w:t>
        </w:r>
      </w:hyperlink>
      <w:r w:rsidR="00F65731">
        <w:t xml:space="preserve"> and </w:t>
      </w:r>
      <w:hyperlink r:id="rId25" w:history="1">
        <w:r w:rsidR="000139AE">
          <w:rPr>
            <w:rStyle w:val="Hyperlink"/>
          </w:rPr>
          <w:t>Privacy Impact Assessments</w:t>
        </w:r>
      </w:hyperlink>
      <w:r w:rsidR="000139AE">
        <w:t>)</w:t>
      </w:r>
    </w:p>
    <w:p w14:paraId="34C81E32" w14:textId="45DA9FD2" w:rsidR="00EE0376" w:rsidRPr="003C43CF" w:rsidRDefault="00EE0376" w:rsidP="003475FA">
      <w:pPr>
        <w:pStyle w:val="DPCnumberdigitindent"/>
        <w:numPr>
          <w:ilvl w:val="1"/>
          <w:numId w:val="16"/>
        </w:numPr>
      </w:pPr>
      <w:r w:rsidRPr="003C43CF">
        <w:t>Ensuing data is de-identif</w:t>
      </w:r>
      <w:r w:rsidR="00625D41" w:rsidRPr="003C43CF">
        <w:t>i</w:t>
      </w:r>
      <w:r w:rsidR="00BE1364" w:rsidRPr="003C43CF">
        <w:t>ed</w:t>
      </w:r>
      <w:r w:rsidRPr="003C43CF">
        <w:t xml:space="preserve"> wherever </w:t>
      </w:r>
      <w:r w:rsidR="00B879AD">
        <w:t xml:space="preserve">possible, </w:t>
      </w:r>
      <w:r w:rsidR="003475FA" w:rsidRPr="003475FA">
        <w:t>unless identified data is essential to enable the data to be fit-for-purpose</w:t>
      </w:r>
      <w:r w:rsidR="003C43CF" w:rsidRPr="003C43CF">
        <w:t xml:space="preserve"> (see OVIC’s guidance on</w:t>
      </w:r>
      <w:r w:rsidR="000139AE">
        <w:t xml:space="preserve"> de-identification</w:t>
      </w:r>
      <w:r w:rsidR="003C43CF" w:rsidRPr="003C43CF">
        <w:t xml:space="preserve"> </w:t>
      </w:r>
      <w:hyperlink r:id="rId26" w:history="1">
        <w:r w:rsidR="000139AE">
          <w:rPr>
            <w:rStyle w:val="Hyperlink"/>
          </w:rPr>
          <w:t>Protecting unit-record level personal information</w:t>
        </w:r>
      </w:hyperlink>
      <w:r w:rsidR="003C43CF" w:rsidRPr="003C43CF">
        <w:t>)</w:t>
      </w:r>
      <w:r w:rsidRPr="003C43CF">
        <w:t>.</w:t>
      </w:r>
    </w:p>
    <w:p w14:paraId="0D91932C" w14:textId="6F32120E" w:rsidR="000B6EBB" w:rsidRDefault="00EE0376" w:rsidP="00EA5C37">
      <w:pPr>
        <w:pStyle w:val="DPCnumberdigitindent"/>
        <w:numPr>
          <w:ilvl w:val="1"/>
          <w:numId w:val="16"/>
        </w:numPr>
      </w:pPr>
      <w:r>
        <w:t>Assessing whether the Provider and the Requestor have the appropriate processes, technology and infrastructure in place, and sufficient capabilities and capacity to undertake the exchange</w:t>
      </w:r>
    </w:p>
    <w:p w14:paraId="044A790D" w14:textId="66E990E8" w:rsidR="000D33DC" w:rsidRPr="00327B15" w:rsidRDefault="000B6EBB" w:rsidP="000B6EBB">
      <w:pPr>
        <w:pStyle w:val="DPCnumberdigitindent"/>
        <w:numPr>
          <w:ilvl w:val="1"/>
          <w:numId w:val="16"/>
        </w:numPr>
      </w:pPr>
      <w:r>
        <w:t>Whether the data is of sufficient quality to be fit-for-purpose, and if not, to provide appropriate disclaimers as to its use</w:t>
      </w:r>
      <w:r w:rsidR="00EE0376">
        <w:t>.</w:t>
      </w:r>
      <w:r w:rsidR="003E24DD" w:rsidRPr="00BF4B11">
        <w:t xml:space="preserve"> </w:t>
      </w:r>
    </w:p>
    <w:p w14:paraId="0473A8F8" w14:textId="77777777" w:rsidR="00CE3495" w:rsidRDefault="00CE3495" w:rsidP="00CE3495">
      <w:pPr>
        <w:pStyle w:val="DPCnumberdigit"/>
      </w:pPr>
      <w:r w:rsidRPr="002D5A09">
        <w:t xml:space="preserve">Disclose ‘sensitive’ information only to the extent required to meet the objectives of the request, and only in accordance with the provisions of the </w:t>
      </w:r>
      <w:r>
        <w:t>authorities listed in requirement 3.</w:t>
      </w:r>
      <w:r w:rsidRPr="002D5A09" w:rsidDel="002D5A09">
        <w:t xml:space="preserve"> </w:t>
      </w:r>
    </w:p>
    <w:p w14:paraId="6038F34F" w14:textId="04F01BEE" w:rsidR="00065C6E" w:rsidRDefault="00BF4B11" w:rsidP="00EA5C37">
      <w:pPr>
        <w:pStyle w:val="DPCnumberdigit"/>
      </w:pPr>
      <w:r w:rsidRPr="003C43CF">
        <w:t>Ensure that all data exchanges are accompanied by a data exchange arrangement</w:t>
      </w:r>
      <w:r w:rsidR="00EA5C37" w:rsidRPr="003C43CF">
        <w:t xml:space="preserve"> -</w:t>
      </w:r>
      <w:r w:rsidR="00026109" w:rsidRPr="003C43CF">
        <w:t xml:space="preserve"> </w:t>
      </w:r>
      <w:r w:rsidR="005E32E5" w:rsidRPr="003C43CF">
        <w:t xml:space="preserve">legally binding, non-legally binding or </w:t>
      </w:r>
      <w:r w:rsidR="003C43CF">
        <w:t>C</w:t>
      </w:r>
      <w:r w:rsidR="005E32E5" w:rsidRPr="003C43CF">
        <w:t>reative</w:t>
      </w:r>
      <w:r w:rsidR="003C43CF">
        <w:t xml:space="preserve"> C</w:t>
      </w:r>
      <w:r w:rsidR="005E32E5" w:rsidRPr="003C43CF">
        <w:t>ommons licence</w:t>
      </w:r>
      <w:r w:rsidR="000139AE">
        <w:t xml:space="preserve"> (see </w:t>
      </w:r>
      <w:hyperlink r:id="rId27" w:history="1">
        <w:r w:rsidR="000139AE" w:rsidRPr="000139AE">
          <w:rPr>
            <w:rStyle w:val="Hyperlink"/>
          </w:rPr>
          <w:t>Creative Commons Australia</w:t>
        </w:r>
      </w:hyperlink>
      <w:r w:rsidR="000139AE">
        <w:t>)</w:t>
      </w:r>
      <w:r w:rsidR="00EA5C37" w:rsidRPr="003C43CF">
        <w:t>. T</w:t>
      </w:r>
      <w:r w:rsidR="00026109" w:rsidRPr="003C43CF">
        <w:t>he type</w:t>
      </w:r>
      <w:r w:rsidR="000248B0" w:rsidRPr="003C43CF">
        <w:t xml:space="preserve"> of</w:t>
      </w:r>
      <w:r w:rsidR="00026109" w:rsidRPr="003C43CF">
        <w:t xml:space="preserve"> arrangement </w:t>
      </w:r>
      <w:r w:rsidR="00EA5C37" w:rsidRPr="003C43CF">
        <w:t xml:space="preserve">used </w:t>
      </w:r>
      <w:r w:rsidR="00026109" w:rsidRPr="003C43CF">
        <w:t xml:space="preserve">should be based on who the </w:t>
      </w:r>
      <w:r w:rsidR="00C00C40" w:rsidRPr="003C43CF">
        <w:t>department is exchanging data with</w:t>
      </w:r>
      <w:r w:rsidR="005E32E5" w:rsidRPr="003C43CF">
        <w:t xml:space="preserve">, the level of data protection </w:t>
      </w:r>
      <w:r w:rsidR="000139AE" w:rsidRPr="003C43CF">
        <w:t>required,</w:t>
      </w:r>
      <w:r w:rsidR="00C00C40" w:rsidRPr="003C43CF">
        <w:t xml:space="preserve"> and the </w:t>
      </w:r>
      <w:r w:rsidR="00896309" w:rsidRPr="003C43CF">
        <w:t>level</w:t>
      </w:r>
      <w:r w:rsidR="000248B0" w:rsidRPr="003C43CF">
        <w:t xml:space="preserve"> of</w:t>
      </w:r>
      <w:r w:rsidR="00896309" w:rsidRPr="003C43CF">
        <w:t xml:space="preserve"> risk associated with the data</w:t>
      </w:r>
      <w:r w:rsidR="00EA5C37" w:rsidRPr="003C43CF">
        <w:t xml:space="preserve"> and the data exchange</w:t>
      </w:r>
      <w:r w:rsidR="00896309" w:rsidRPr="003C43CF">
        <w:t xml:space="preserve">, </w:t>
      </w:r>
      <w:r w:rsidR="00EA5C37" w:rsidRPr="003C43CF">
        <w:t xml:space="preserve">see </w:t>
      </w:r>
      <w:r w:rsidR="00CC044A">
        <w:fldChar w:fldCharType="begin"/>
      </w:r>
      <w:r w:rsidR="00CC044A">
        <w:instrText xml:space="preserve"> REF _Ref7438087 \h </w:instrText>
      </w:r>
      <w:r w:rsidR="00CC044A">
        <w:fldChar w:fldCharType="separate"/>
      </w:r>
      <w:r w:rsidR="0035469F">
        <w:t xml:space="preserve">Table </w:t>
      </w:r>
      <w:r w:rsidR="0035469F">
        <w:rPr>
          <w:noProof/>
        </w:rPr>
        <w:t>1</w:t>
      </w:r>
      <w:r w:rsidR="00CC044A">
        <w:fldChar w:fldCharType="end"/>
      </w:r>
      <w:r w:rsidR="005E32E5" w:rsidRPr="003C43CF">
        <w:t xml:space="preserve"> in Supporting Information.</w:t>
      </w:r>
    </w:p>
    <w:p w14:paraId="18A8F6B0" w14:textId="4CD92E37" w:rsidR="00065C6E" w:rsidRPr="00065C6E" w:rsidRDefault="00065C6E" w:rsidP="00065C6E">
      <w:pPr>
        <w:pStyle w:val="DPCnumberdigit"/>
      </w:pPr>
      <w:r w:rsidRPr="00065C6E">
        <w:t xml:space="preserve">Ensure all legally binding and non-legally binding data exchange arrangements include the minimum requirements outlined in </w:t>
      </w:r>
      <w:r>
        <w:fldChar w:fldCharType="begin"/>
      </w:r>
      <w:r>
        <w:instrText xml:space="preserve"> REF _Ref5869253 \h </w:instrText>
      </w:r>
      <w:r>
        <w:fldChar w:fldCharType="separate"/>
      </w:r>
      <w:r w:rsidR="0035469F">
        <w:t xml:space="preserve">Table </w:t>
      </w:r>
      <w:r w:rsidR="0035469F">
        <w:rPr>
          <w:noProof/>
        </w:rPr>
        <w:t>2</w:t>
      </w:r>
      <w:r>
        <w:fldChar w:fldCharType="end"/>
      </w:r>
      <w:r>
        <w:t xml:space="preserve"> </w:t>
      </w:r>
      <w:r w:rsidRPr="00065C6E">
        <w:t>in the Supporting Information.</w:t>
      </w:r>
    </w:p>
    <w:p w14:paraId="42D890B1" w14:textId="7994D6D5" w:rsidR="007D3E73" w:rsidRPr="00CC044A" w:rsidRDefault="007D3E73" w:rsidP="00065C6E">
      <w:pPr>
        <w:pStyle w:val="DPCnumberdigit"/>
      </w:pPr>
      <w:r w:rsidRPr="00CC044A">
        <w:lastRenderedPageBreak/>
        <w:t xml:space="preserve">Exchange data to the maximum extent possible under a </w:t>
      </w:r>
      <w:r w:rsidR="003C43CF" w:rsidRPr="000139AE">
        <w:t>C</w:t>
      </w:r>
      <w:r w:rsidRPr="000139AE">
        <w:t xml:space="preserve">reative </w:t>
      </w:r>
      <w:r w:rsidR="003C43CF" w:rsidRPr="000139AE">
        <w:t>C</w:t>
      </w:r>
      <w:r w:rsidRPr="000139AE">
        <w:t>ommons</w:t>
      </w:r>
      <w:r w:rsidRPr="00CC044A">
        <w:t xml:space="preserve"> licence</w:t>
      </w:r>
      <w:r w:rsidR="003C43CF" w:rsidRPr="00CC044A">
        <w:t xml:space="preserve"> and release via </w:t>
      </w:r>
      <w:hyperlink r:id="rId28" w:history="1">
        <w:r w:rsidR="003C43CF" w:rsidRPr="000139AE">
          <w:rPr>
            <w:rStyle w:val="Hyperlink"/>
          </w:rPr>
          <w:t>data.vic.gov.au</w:t>
        </w:r>
      </w:hyperlink>
      <w:r w:rsidR="003C43CF" w:rsidRPr="00CC044A">
        <w:t xml:space="preserve"> as open data</w:t>
      </w:r>
      <w:r w:rsidRPr="00CC044A">
        <w:t xml:space="preserve"> unless restricted for reasons of privacy, public safety, security and law enforcement, public health, and compliance with the law</w:t>
      </w:r>
      <w:r w:rsidR="00CC044A">
        <w:rPr>
          <w:rStyle w:val="FootnoteReference"/>
        </w:rPr>
        <w:footnoteReference w:id="2"/>
      </w:r>
      <w:r w:rsidRPr="00CC044A">
        <w:t>.</w:t>
      </w:r>
    </w:p>
    <w:p w14:paraId="229C2C33" w14:textId="7EDE9C1F" w:rsidR="0067066C" w:rsidRDefault="0067066C" w:rsidP="00896309">
      <w:pPr>
        <w:pStyle w:val="DPCbody"/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42"/>
      </w:tblGrid>
      <w:tr w:rsidR="0067066C" w:rsidRPr="006B490C" w14:paraId="510B46AC" w14:textId="77777777" w:rsidTr="00A47BB2">
        <w:tc>
          <w:tcPr>
            <w:tcW w:w="1276" w:type="dxa"/>
          </w:tcPr>
          <w:p w14:paraId="6CCAF1EF" w14:textId="77777777" w:rsidR="0067066C" w:rsidRPr="006B490C" w:rsidRDefault="0067066C" w:rsidP="00A47BB2">
            <w:pPr>
              <w:pStyle w:val="DPCtabletext"/>
            </w:pPr>
            <w:r w:rsidRPr="006B490C">
              <w:rPr>
                <w:noProof/>
                <w:lang w:val="en-US"/>
              </w:rPr>
              <w:drawing>
                <wp:inline distT="0" distB="0" distL="0" distR="0" wp14:anchorId="38A31A63" wp14:editId="64382300">
                  <wp:extent cx="556260" cy="438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3" w:type="dxa"/>
          </w:tcPr>
          <w:p w14:paraId="1CE324E6" w14:textId="345F6CB3" w:rsidR="0067066C" w:rsidRPr="0039167B" w:rsidRDefault="0067066C" w:rsidP="00B4596C">
            <w:pPr>
              <w:pStyle w:val="DPC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 advice should be sought to ensure</w:t>
            </w:r>
            <w:r w:rsidR="00B4596C">
              <w:rPr>
                <w:sz w:val="22"/>
                <w:szCs w:val="22"/>
              </w:rPr>
              <w:t xml:space="preserve"> that </w:t>
            </w:r>
            <w:r w:rsidR="00B4596C" w:rsidRPr="00B4596C">
              <w:rPr>
                <w:sz w:val="22"/>
                <w:szCs w:val="22"/>
              </w:rPr>
              <w:t>data</w:t>
            </w:r>
            <w:r w:rsidR="00B4596C">
              <w:rPr>
                <w:sz w:val="22"/>
                <w:szCs w:val="22"/>
              </w:rPr>
              <w:t xml:space="preserve"> is exchanged </w:t>
            </w:r>
            <w:r w:rsidR="00B4596C" w:rsidRPr="00B4596C">
              <w:rPr>
                <w:sz w:val="22"/>
                <w:szCs w:val="22"/>
              </w:rPr>
              <w:t>in a way that complies with the</w:t>
            </w:r>
            <w:r w:rsidR="00EA5C37">
              <w:rPr>
                <w:sz w:val="22"/>
                <w:szCs w:val="22"/>
              </w:rPr>
              <w:t xml:space="preserve"> department’s</w:t>
            </w:r>
            <w:r w:rsidR="008654F8">
              <w:rPr>
                <w:sz w:val="22"/>
                <w:szCs w:val="22"/>
              </w:rPr>
              <w:t xml:space="preserve"> applicable </w:t>
            </w:r>
            <w:r w:rsidR="00B4596C" w:rsidRPr="00B4596C">
              <w:rPr>
                <w:sz w:val="22"/>
                <w:szCs w:val="22"/>
              </w:rPr>
              <w:t>statutory authority and administrative obligations</w:t>
            </w:r>
            <w:r w:rsidR="00EA5C37">
              <w:rPr>
                <w:sz w:val="22"/>
                <w:szCs w:val="22"/>
              </w:rPr>
              <w:t>.</w:t>
            </w:r>
          </w:p>
        </w:tc>
      </w:tr>
    </w:tbl>
    <w:p w14:paraId="05056E87" w14:textId="75CE43C0" w:rsidR="00CC044A" w:rsidRDefault="00CC044A">
      <w:pPr>
        <w:rPr>
          <w:rFonts w:asciiTheme="minorHAnsi" w:eastAsia="Times" w:hAnsiTheme="minorHAnsi" w:cs="Arial"/>
          <w:color w:val="000000" w:themeColor="text1"/>
          <w:sz w:val="22"/>
          <w:szCs w:val="22"/>
          <w:u w:val="single"/>
        </w:rPr>
      </w:pPr>
    </w:p>
    <w:p w14:paraId="795E3DF7" w14:textId="6B6E6429" w:rsidR="00ED75FA" w:rsidRPr="00426D1E" w:rsidRDefault="008760B0" w:rsidP="00ED75FA">
      <w:pPr>
        <w:pStyle w:val="DPCbody"/>
        <w:rPr>
          <w:b/>
          <w:u w:val="single"/>
        </w:rPr>
      </w:pPr>
      <w:r w:rsidRPr="00426D1E">
        <w:rPr>
          <w:b/>
          <w:u w:val="single"/>
        </w:rPr>
        <w:t>General</w:t>
      </w:r>
    </w:p>
    <w:p w14:paraId="65A056F7" w14:textId="77777777" w:rsidR="00FA5861" w:rsidRPr="009143BF" w:rsidRDefault="00FA5861" w:rsidP="00FA5861">
      <w:pPr>
        <w:pStyle w:val="DPCnumberdigit"/>
      </w:pPr>
      <w:r w:rsidRPr="009143BF">
        <w:t xml:space="preserve">Record all requests and data sharing arrangements into a register of data exchange initiatives for government probity and transparency and in accordance with the </w:t>
      </w:r>
      <w:hyperlink r:id="rId29" w:history="1">
        <w:r w:rsidRPr="009143BF">
          <w:rPr>
            <w:rStyle w:val="Hyperlink"/>
          </w:rPr>
          <w:t>Victorian Protective Data Security Framework and Standards</w:t>
        </w:r>
      </w:hyperlink>
      <w:r w:rsidRPr="009143BF">
        <w:t>.</w:t>
      </w:r>
    </w:p>
    <w:p w14:paraId="391D6CF6" w14:textId="6CC07E94" w:rsidR="00CE5C05" w:rsidRPr="00CC044A" w:rsidRDefault="00CE5C05" w:rsidP="00CE5C05">
      <w:pPr>
        <w:pStyle w:val="DPCnumberdigit"/>
      </w:pPr>
      <w:r w:rsidRPr="00CC044A">
        <w:t xml:space="preserve">Ensure </w:t>
      </w:r>
      <w:r w:rsidR="00EA5C37" w:rsidRPr="00CC044A">
        <w:t xml:space="preserve">data exchange arrangements </w:t>
      </w:r>
      <w:r w:rsidRPr="00CC044A">
        <w:t>compl</w:t>
      </w:r>
      <w:r w:rsidR="00A775B3">
        <w:t>y</w:t>
      </w:r>
      <w:r w:rsidRPr="00CC044A">
        <w:t xml:space="preserve"> with the requirements for managing public sector data under the </w:t>
      </w:r>
      <w:r w:rsidR="00FC0F9A" w:rsidRPr="004F3E1A">
        <w:t>Victorian Protective Data Security Framework and Standard</w:t>
      </w:r>
      <w:r w:rsidR="00EC67C4" w:rsidRPr="004F3E1A">
        <w:t>s</w:t>
      </w:r>
      <w:r w:rsidRPr="004F3E1A">
        <w:t>.</w:t>
      </w:r>
    </w:p>
    <w:p w14:paraId="47F238A4" w14:textId="438DFBEE" w:rsidR="00C54597" w:rsidRDefault="004F3E1A" w:rsidP="004F3E1A">
      <w:pPr>
        <w:pStyle w:val="DPCnumberdigit"/>
      </w:pPr>
      <w:r w:rsidRPr="004F3E1A">
        <w:t>Incorporate data exchange policy and associated processes</w:t>
      </w:r>
      <w:r w:rsidR="00CE283A">
        <w:t xml:space="preserve"> into department-wide data or information management</w:t>
      </w:r>
      <w:r w:rsidRPr="004F3E1A">
        <w:t xml:space="preserve"> strategy, policies and processes.</w:t>
      </w:r>
      <w:r>
        <w:t xml:space="preserve"> </w:t>
      </w:r>
      <w:r w:rsidR="00ED75FA" w:rsidRPr="00636C31">
        <w:t xml:space="preserve">Key considerations include data governance and authority, roles and responsibilities, data definitions, data security classifications, risk assessment, data </w:t>
      </w:r>
      <w:r w:rsidR="00EA5C37">
        <w:t xml:space="preserve">exchange </w:t>
      </w:r>
      <w:r w:rsidR="00ED75FA" w:rsidRPr="00636C31">
        <w:t xml:space="preserve">arrangement tools, data transmission methods and issue management. </w:t>
      </w:r>
    </w:p>
    <w:p w14:paraId="0E884508" w14:textId="52CD3F5A" w:rsidR="00ED75FA" w:rsidRDefault="00ED75FA" w:rsidP="00EA5C37">
      <w:pPr>
        <w:pStyle w:val="DPCnumberdigit"/>
      </w:pPr>
      <w:r>
        <w:t xml:space="preserve">Ensure </w:t>
      </w:r>
      <w:r w:rsidRPr="00BF4B11">
        <w:t xml:space="preserve">all data exchanges </w:t>
      </w:r>
      <w:r>
        <w:t xml:space="preserve">are authorised by an </w:t>
      </w:r>
      <w:r w:rsidRPr="00BF4B11">
        <w:t xml:space="preserve">officer of the organisation at a level commensurate to the risk associated with the data and in accordance with the </w:t>
      </w:r>
      <w:r>
        <w:t>government’s</w:t>
      </w:r>
      <w:r w:rsidRPr="00BF4B11">
        <w:t xml:space="preserve"> </w:t>
      </w:r>
      <w:hyperlink r:id="rId30" w:history="1">
        <w:r w:rsidR="008059C9" w:rsidRPr="008059C9">
          <w:rPr>
            <w:rStyle w:val="Hyperlink"/>
          </w:rPr>
          <w:t>Policies and standards for government IT</w:t>
        </w:r>
      </w:hyperlink>
      <w:r>
        <w:t>.</w:t>
      </w:r>
    </w:p>
    <w:p w14:paraId="3973120D" w14:textId="74B3C6CA" w:rsidR="00ED75FA" w:rsidRDefault="00ED75FA" w:rsidP="008760B0">
      <w:pPr>
        <w:pStyle w:val="DPCnumberdigit"/>
      </w:pPr>
      <w:r w:rsidRPr="00BF4B11">
        <w:t xml:space="preserve">Appoint an owner </w:t>
      </w:r>
      <w:r w:rsidR="00CE283A">
        <w:t xml:space="preserve">and custodian </w:t>
      </w:r>
      <w:r w:rsidRPr="00BF4B11">
        <w:t xml:space="preserve">in each of the </w:t>
      </w:r>
      <w:r w:rsidR="008760B0">
        <w:t>R</w:t>
      </w:r>
      <w:r w:rsidRPr="00BF4B11">
        <w:t xml:space="preserve">equestor and </w:t>
      </w:r>
      <w:r w:rsidR="008760B0">
        <w:t>P</w:t>
      </w:r>
      <w:r w:rsidRPr="00BF4B11">
        <w:t xml:space="preserve">rovider </w:t>
      </w:r>
      <w:r>
        <w:t>organisations</w:t>
      </w:r>
      <w:r w:rsidRPr="00BF4B11">
        <w:t xml:space="preserve"> who will be </w:t>
      </w:r>
      <w:r w:rsidR="00CE283A">
        <w:t xml:space="preserve">accountable and </w:t>
      </w:r>
      <w:r>
        <w:t xml:space="preserve">responsible </w:t>
      </w:r>
      <w:r w:rsidR="00C719B4">
        <w:t>f</w:t>
      </w:r>
      <w:r>
        <w:t xml:space="preserve">or </w:t>
      </w:r>
      <w:r w:rsidRPr="00BF4B11">
        <w:t>the data exchange.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8721"/>
      </w:tblGrid>
      <w:tr w:rsidR="006B490C" w:rsidRPr="006B490C" w14:paraId="1A228CA9" w14:textId="77777777" w:rsidTr="00B4596C">
        <w:tc>
          <w:tcPr>
            <w:tcW w:w="1089" w:type="dxa"/>
          </w:tcPr>
          <w:p w14:paraId="14F8AAF0" w14:textId="77777777" w:rsidR="006B490C" w:rsidRPr="006B490C" w:rsidRDefault="006B490C" w:rsidP="0039167B">
            <w:pPr>
              <w:pStyle w:val="DPCtabletext"/>
            </w:pPr>
            <w:r w:rsidRPr="006B490C">
              <w:rPr>
                <w:noProof/>
                <w:lang w:val="en-US"/>
              </w:rPr>
              <w:drawing>
                <wp:inline distT="0" distB="0" distL="0" distR="0" wp14:anchorId="76F77E2E" wp14:editId="0008C589">
                  <wp:extent cx="556260" cy="43878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4" w:type="dxa"/>
          </w:tcPr>
          <w:p w14:paraId="22C27C2D" w14:textId="41B7C246" w:rsidR="006B490C" w:rsidRPr="0039167B" w:rsidRDefault="006B490C" w:rsidP="009C69EB">
            <w:pPr>
              <w:pStyle w:val="DPCtabletext"/>
              <w:rPr>
                <w:sz w:val="22"/>
                <w:szCs w:val="22"/>
              </w:rPr>
            </w:pPr>
            <w:r w:rsidRPr="0039167B">
              <w:rPr>
                <w:sz w:val="22"/>
                <w:szCs w:val="22"/>
              </w:rPr>
              <w:t xml:space="preserve">See the Data Exchange Guideline and associated </w:t>
            </w:r>
            <w:r w:rsidRPr="00C22452">
              <w:rPr>
                <w:sz w:val="22"/>
                <w:szCs w:val="22"/>
              </w:rPr>
              <w:t xml:space="preserve">tools </w:t>
            </w:r>
            <w:r w:rsidRPr="0039167B">
              <w:rPr>
                <w:sz w:val="22"/>
                <w:szCs w:val="22"/>
              </w:rPr>
              <w:t xml:space="preserve">for help in implementing this standard.  </w:t>
            </w:r>
          </w:p>
        </w:tc>
      </w:tr>
    </w:tbl>
    <w:p w14:paraId="3A7AFFB8" w14:textId="77777777" w:rsidR="00134D29" w:rsidRPr="003819DA" w:rsidRDefault="00134D29" w:rsidP="00134D29">
      <w:pPr>
        <w:pStyle w:val="Heading1"/>
      </w:pPr>
      <w:r w:rsidRPr="003819DA">
        <w:t>Overview</w:t>
      </w:r>
    </w:p>
    <w:p w14:paraId="16F13649" w14:textId="6980DB4E" w:rsidR="000C7A79" w:rsidRDefault="000C7A79" w:rsidP="000C7A79">
      <w:pPr>
        <w:pStyle w:val="DPCbody"/>
      </w:pPr>
      <w:r w:rsidRPr="00624AF1">
        <w:t xml:space="preserve">Departments </w:t>
      </w:r>
      <w:r>
        <w:t>exchange (or want to exchange) data for various purposes and uses. However, factors and variations in legislati</w:t>
      </w:r>
      <w:r w:rsidR="0003463C">
        <w:t>ve,</w:t>
      </w:r>
      <w:r>
        <w:t xml:space="preserve"> regulatory</w:t>
      </w:r>
      <w:r w:rsidR="0003463C">
        <w:t>,</w:t>
      </w:r>
      <w:r>
        <w:t xml:space="preserve"> policy </w:t>
      </w:r>
      <w:r w:rsidR="0003463C">
        <w:t xml:space="preserve">and contractual </w:t>
      </w:r>
      <w:r>
        <w:t xml:space="preserve">requirements, data types and formats, security classifications, processes and protocols, arrangement mechanisms, capabilities, capacities and appetites for risk impact the ability of one organisation to exchange data with another. </w:t>
      </w:r>
    </w:p>
    <w:p w14:paraId="6D5F7630" w14:textId="68370D68" w:rsidR="000C7A79" w:rsidRDefault="00C863D0" w:rsidP="000C7A79">
      <w:pPr>
        <w:pStyle w:val="DPCbody"/>
        <w:rPr>
          <w:bCs/>
        </w:rPr>
      </w:pPr>
      <w:r>
        <w:t xml:space="preserve">Given </w:t>
      </w:r>
      <w:r w:rsidR="00623722">
        <w:t xml:space="preserve">the </w:t>
      </w:r>
      <w:r>
        <w:t>variability</w:t>
      </w:r>
      <w:r w:rsidR="00623722">
        <w:t xml:space="preserve"> in methods used</w:t>
      </w:r>
      <w:r>
        <w:t>, t</w:t>
      </w:r>
      <w:r w:rsidR="000C7A79">
        <w:t xml:space="preserve">he </w:t>
      </w:r>
      <w:r w:rsidR="000C7A79" w:rsidRPr="008059C9">
        <w:t>Data Exchange Framework</w:t>
      </w:r>
      <w:r w:rsidR="000C7A79">
        <w:t xml:space="preserve"> (framework) provides a common</w:t>
      </w:r>
      <w:r w:rsidR="000C7A79" w:rsidRPr="00624AF1">
        <w:t xml:space="preserve"> </w:t>
      </w:r>
      <w:r w:rsidR="00623722">
        <w:t>approach</w:t>
      </w:r>
      <w:r w:rsidR="000C7A79" w:rsidRPr="00624AF1">
        <w:t xml:space="preserve"> to </w:t>
      </w:r>
      <w:r w:rsidR="000C7A79">
        <w:rPr>
          <w:bCs/>
        </w:rPr>
        <w:t xml:space="preserve">exchanging or sharing </w:t>
      </w:r>
      <w:r w:rsidR="000C7A79" w:rsidRPr="00624AF1">
        <w:t xml:space="preserve">data </w:t>
      </w:r>
      <w:r w:rsidR="000C7A79">
        <w:t>internally and externally to government</w:t>
      </w:r>
      <w:r w:rsidR="00623722">
        <w:t>. T</w:t>
      </w:r>
      <w:r w:rsidR="000C7A79">
        <w:t xml:space="preserve">his </w:t>
      </w:r>
      <w:r w:rsidR="000C7A79" w:rsidRPr="00624AF1">
        <w:t xml:space="preserve">Data </w:t>
      </w:r>
      <w:r w:rsidR="000C7A79">
        <w:rPr>
          <w:bCs/>
        </w:rPr>
        <w:lastRenderedPageBreak/>
        <w:t xml:space="preserve">Exchange </w:t>
      </w:r>
      <w:r w:rsidR="000C7A79" w:rsidRPr="00624AF1">
        <w:t xml:space="preserve">Standard (standard) </w:t>
      </w:r>
      <w:r w:rsidR="000475CD">
        <w:t xml:space="preserve">supports the framework by </w:t>
      </w:r>
      <w:r>
        <w:t>set</w:t>
      </w:r>
      <w:r w:rsidR="000475CD">
        <w:t>ting</w:t>
      </w:r>
      <w:r>
        <w:t xml:space="preserve"> out the minimum requirements to enable data to be exchanged</w:t>
      </w:r>
      <w:r w:rsidR="000C7A79">
        <w:t>.</w:t>
      </w:r>
    </w:p>
    <w:p w14:paraId="02267887" w14:textId="777B56EB" w:rsidR="00AD4FB9" w:rsidRDefault="00D45CD5" w:rsidP="00131935">
      <w:pPr>
        <w:pStyle w:val="DPCbody"/>
        <w:rPr>
          <w:rFonts w:asciiTheme="majorHAnsi" w:eastAsia="MS Gothic" w:hAnsiTheme="majorHAnsi"/>
          <w:bCs/>
          <w:color w:val="0072CE"/>
          <w:kern w:val="32"/>
          <w:sz w:val="44"/>
          <w:szCs w:val="52"/>
        </w:rPr>
      </w:pPr>
      <w:r>
        <w:t>T</w:t>
      </w:r>
      <w:r w:rsidRPr="0039167B">
        <w:t>his standard refers</w:t>
      </w:r>
      <w:r>
        <w:t xml:space="preserve"> specifically</w:t>
      </w:r>
      <w:r w:rsidRPr="0039167B">
        <w:t xml:space="preserve"> to structured data</w:t>
      </w:r>
      <w:r>
        <w:t>,</w:t>
      </w:r>
      <w:r w:rsidRPr="0039167B">
        <w:t xml:space="preserve"> </w:t>
      </w:r>
      <w:r>
        <w:t>u</w:t>
      </w:r>
      <w:r w:rsidRPr="0039167B">
        <w:t>nstructured data are not covered by this standard.</w:t>
      </w:r>
    </w:p>
    <w:p w14:paraId="6F9FEA12" w14:textId="052F4994" w:rsidR="00134D29" w:rsidRPr="003819DA" w:rsidRDefault="00134D29" w:rsidP="00624AF1">
      <w:pPr>
        <w:pStyle w:val="Heading1"/>
      </w:pPr>
      <w:r w:rsidRPr="003819DA">
        <w:t>Rationale</w:t>
      </w:r>
      <w:r w:rsidRPr="003819DA">
        <w:tab/>
      </w:r>
    </w:p>
    <w:p w14:paraId="465053C5" w14:textId="125B6F8B" w:rsidR="00896309" w:rsidRDefault="00D44608" w:rsidP="0039167B">
      <w:pPr>
        <w:pStyle w:val="DPCbody"/>
      </w:pPr>
      <w:r w:rsidRPr="00D44608">
        <w:t xml:space="preserve">The </w:t>
      </w:r>
      <w:r w:rsidR="00604567">
        <w:t>government</w:t>
      </w:r>
      <w:r w:rsidRPr="00D44608">
        <w:t xml:space="preserve"> aims to enable </w:t>
      </w:r>
      <w:r w:rsidR="00604567">
        <w:t xml:space="preserve">data </w:t>
      </w:r>
      <w:r w:rsidRPr="00D44608">
        <w:t xml:space="preserve">sharing and integration to support </w:t>
      </w:r>
      <w:r w:rsidR="00604567">
        <w:t xml:space="preserve">evidence based </w:t>
      </w:r>
      <w:r w:rsidRPr="00D44608">
        <w:t xml:space="preserve">decision-making, </w:t>
      </w:r>
      <w:r w:rsidR="00604567">
        <w:t xml:space="preserve">increase the value of its invest in data </w:t>
      </w:r>
      <w:r w:rsidRPr="00D44608">
        <w:t>and better services in a safe and secure environment.</w:t>
      </w:r>
      <w:r w:rsidR="00636963">
        <w:t xml:space="preserve"> </w:t>
      </w:r>
      <w:r w:rsidR="00C37713">
        <w:t>This objective is captured t</w:t>
      </w:r>
      <w:r w:rsidR="00896309">
        <w:t xml:space="preserve">hrough </w:t>
      </w:r>
      <w:r w:rsidR="00C37713">
        <w:t xml:space="preserve">the principles underlying the government’s Information Management and DataVic Access Policies which state: </w:t>
      </w:r>
    </w:p>
    <w:p w14:paraId="6C8DED84" w14:textId="604AC7AC" w:rsidR="00C37713" w:rsidRPr="00C37713" w:rsidRDefault="00C37713" w:rsidP="00604567">
      <w:pPr>
        <w:pStyle w:val="DPCbody"/>
        <w:numPr>
          <w:ilvl w:val="0"/>
          <w:numId w:val="20"/>
        </w:numPr>
      </w:pPr>
      <w:r>
        <w:t>Principle 4 (</w:t>
      </w:r>
      <w:r w:rsidR="00FC0F9A" w:rsidRPr="004F3E1A">
        <w:t>Information Management Policy</w:t>
      </w:r>
      <w:r>
        <w:t xml:space="preserve">): </w:t>
      </w:r>
      <w:r w:rsidRPr="00C37713">
        <w:t>Information is shared and released to the maximum extent possible</w:t>
      </w:r>
    </w:p>
    <w:p w14:paraId="69713D93" w14:textId="2BF36477" w:rsidR="00C37713" w:rsidRDefault="00C37713" w:rsidP="003C43CF">
      <w:pPr>
        <w:pStyle w:val="DPCbody"/>
        <w:numPr>
          <w:ilvl w:val="0"/>
          <w:numId w:val="20"/>
        </w:numPr>
      </w:pPr>
      <w:r>
        <w:t>Principle 1 (</w:t>
      </w:r>
      <w:r w:rsidR="00FC0F9A" w:rsidRPr="004F3E1A">
        <w:t>DataVic Access Policy</w:t>
      </w:r>
      <w:r>
        <w:t>):</w:t>
      </w:r>
      <w:r w:rsidR="00604567">
        <w:t xml:space="preserve"> </w:t>
      </w:r>
      <w:r w:rsidRPr="00C37713">
        <w:t>Government data will be made available unless access is restricted for reasons of privacy, public safety, security and law enforcement, public health, and compliance with the law.</w:t>
      </w:r>
    </w:p>
    <w:p w14:paraId="7EC437FE" w14:textId="7D6FE6BB" w:rsidR="00D44608" w:rsidRDefault="00636963" w:rsidP="0039167B">
      <w:pPr>
        <w:pStyle w:val="DPCbody"/>
      </w:pPr>
      <w:r>
        <w:t xml:space="preserve">The Data Exchange Framework </w:t>
      </w:r>
      <w:r w:rsidR="00CB7683">
        <w:t xml:space="preserve">has been </w:t>
      </w:r>
      <w:r>
        <w:t>developed</w:t>
      </w:r>
      <w:r w:rsidR="00C37713">
        <w:t xml:space="preserve"> with these tenets in mind and aims</w:t>
      </w:r>
      <w:r>
        <w:t xml:space="preserve"> to:</w:t>
      </w:r>
    </w:p>
    <w:p w14:paraId="507D30AF" w14:textId="17786FB4" w:rsidR="00636963" w:rsidRDefault="00636963" w:rsidP="00896309">
      <w:pPr>
        <w:pStyle w:val="DPCbody"/>
        <w:numPr>
          <w:ilvl w:val="0"/>
          <w:numId w:val="20"/>
        </w:numPr>
      </w:pPr>
      <w:r>
        <w:t>Enable, encourage and authorise data exchange to increase the value of the investment in government data and ease the sharing and / or integration of data</w:t>
      </w:r>
    </w:p>
    <w:p w14:paraId="6DC17733" w14:textId="3A18F0C7" w:rsidR="00636963" w:rsidRDefault="00636963" w:rsidP="00896309">
      <w:pPr>
        <w:pStyle w:val="DPCbody"/>
        <w:numPr>
          <w:ilvl w:val="0"/>
          <w:numId w:val="20"/>
        </w:numPr>
      </w:pPr>
      <w:r>
        <w:t>Reduce the cost and resource intensity of data</w:t>
      </w:r>
      <w:r w:rsidR="00CB7683">
        <w:t xml:space="preserve"> exchange</w:t>
      </w:r>
    </w:p>
    <w:p w14:paraId="3206C043" w14:textId="6EEB89F6" w:rsidR="00636963" w:rsidRPr="00CB7683" w:rsidRDefault="00192508" w:rsidP="00CB7683">
      <w:pPr>
        <w:pStyle w:val="DPCbody"/>
        <w:numPr>
          <w:ilvl w:val="0"/>
          <w:numId w:val="20"/>
        </w:numPr>
      </w:pPr>
      <w:r>
        <w:t xml:space="preserve">Maintain </w:t>
      </w:r>
      <w:r w:rsidR="00636963">
        <w:t>data integrity</w:t>
      </w:r>
      <w:r w:rsidR="00CB7683">
        <w:t xml:space="preserve"> </w:t>
      </w:r>
      <w:r w:rsidR="00CB7683" w:rsidRPr="00CB7683">
        <w:t>by considering the quality, value and authenticity of the data being exchanged</w:t>
      </w:r>
    </w:p>
    <w:p w14:paraId="480A90FF" w14:textId="74999FFB" w:rsidR="00636963" w:rsidRDefault="00636963" w:rsidP="00896309">
      <w:pPr>
        <w:pStyle w:val="DPCbody"/>
        <w:numPr>
          <w:ilvl w:val="0"/>
          <w:numId w:val="20"/>
        </w:numPr>
      </w:pPr>
      <w:r>
        <w:t>Balance the need for safety and transparency in data exchange with the need for better informed decisions, evidence-based policy development, performance reporting and operational efficiency</w:t>
      </w:r>
    </w:p>
    <w:p w14:paraId="4CFDBD3F" w14:textId="3C8BF1CE" w:rsidR="00636963" w:rsidRDefault="00636963" w:rsidP="00896309">
      <w:pPr>
        <w:pStyle w:val="DPCbody"/>
        <w:numPr>
          <w:ilvl w:val="0"/>
          <w:numId w:val="20"/>
        </w:numPr>
      </w:pPr>
      <w:r>
        <w:t>Ensure data exchanges are fit-for-purpose (i.e. meet business needs) and able to be supported.</w:t>
      </w:r>
    </w:p>
    <w:p w14:paraId="083142F6" w14:textId="2AEE45BB" w:rsidR="000475CD" w:rsidRPr="000C7A79" w:rsidRDefault="000C7A79" w:rsidP="000C7A79">
      <w:pPr>
        <w:pStyle w:val="DPCbody"/>
      </w:pPr>
      <w:r>
        <w:t xml:space="preserve">The framework </w:t>
      </w:r>
      <w:r w:rsidRPr="000C7A79">
        <w:t>standardise</w:t>
      </w:r>
      <w:r>
        <w:t>s</w:t>
      </w:r>
      <w:r w:rsidRPr="000C7A79">
        <w:t xml:space="preserve"> the data exchange approach, regardless of data type, classification, exchange method, platform, or intended use.</w:t>
      </w:r>
    </w:p>
    <w:p w14:paraId="6EB07B73" w14:textId="77777777" w:rsidR="00134D29" w:rsidRPr="003819DA" w:rsidRDefault="00134D29" w:rsidP="0039167B">
      <w:pPr>
        <w:pStyle w:val="Heading1"/>
      </w:pPr>
      <w:r w:rsidRPr="003819DA">
        <w:t>Derivation, scope and glossary</w:t>
      </w:r>
    </w:p>
    <w:p w14:paraId="037CD3D5" w14:textId="77777777" w:rsidR="00134D29" w:rsidRPr="003819DA" w:rsidRDefault="00134D29" w:rsidP="00134D29">
      <w:pPr>
        <w:pStyle w:val="Heading2"/>
      </w:pPr>
      <w:r w:rsidRPr="003819DA">
        <w:t>Derivation</w:t>
      </w:r>
    </w:p>
    <w:p w14:paraId="66D738F7" w14:textId="5CBBBC25" w:rsidR="00E95D27" w:rsidRDefault="00E95D27" w:rsidP="004F3E1A">
      <w:pPr>
        <w:pStyle w:val="DPCbody"/>
        <w:rPr>
          <w:bCs/>
          <w:iCs/>
        </w:rPr>
      </w:pPr>
      <w:r w:rsidRPr="00E95D27">
        <w:t xml:space="preserve">This standard is derived from the </w:t>
      </w:r>
      <w:r w:rsidR="008141CE">
        <w:t>government’s</w:t>
      </w:r>
      <w:r w:rsidR="008141CE" w:rsidRPr="00E95D27">
        <w:t xml:space="preserve"> </w:t>
      </w:r>
      <w:r w:rsidR="00FC0F9A" w:rsidRPr="004F3E1A">
        <w:t>Data Exchange Framework</w:t>
      </w:r>
      <w:r w:rsidRPr="00E95D27">
        <w:t xml:space="preserve"> and is guided by the </w:t>
      </w:r>
      <w:hyperlink r:id="rId31" w:history="1">
        <w:r w:rsidRPr="008059C9">
          <w:rPr>
            <w:rStyle w:val="Hyperlink"/>
          </w:rPr>
          <w:t>Information Technology Strategy Victorian Government 2016–2020</w:t>
        </w:r>
      </w:hyperlink>
      <w:r w:rsidRPr="003F6A03">
        <w:t xml:space="preserve"> </w:t>
      </w:r>
      <w:r w:rsidRPr="00E95D27">
        <w:t xml:space="preserve">(IT strategy). </w:t>
      </w:r>
    </w:p>
    <w:p w14:paraId="69B14A79" w14:textId="77777777" w:rsidR="00134D29" w:rsidRPr="003819DA" w:rsidRDefault="00134D29" w:rsidP="00134D29">
      <w:pPr>
        <w:pStyle w:val="Heading2"/>
      </w:pPr>
      <w:r w:rsidRPr="003819DA">
        <w:lastRenderedPageBreak/>
        <w:t>Scope</w:t>
      </w:r>
    </w:p>
    <w:p w14:paraId="0C57FA77" w14:textId="77777777" w:rsidR="00426D1E" w:rsidRPr="00CB28B7" w:rsidRDefault="00426D1E" w:rsidP="00426D1E">
      <w:pPr>
        <w:pStyle w:val="DPCbody"/>
      </w:pPr>
      <w:r w:rsidRPr="00F1191B">
        <w:t>All departments and Victoria Police, referred to collectively as ‘departments’, are formally in-scope</w:t>
      </w:r>
      <w:r>
        <w:t xml:space="preserve">.  </w:t>
      </w:r>
      <w:r w:rsidRPr="00CB28B7">
        <w:t xml:space="preserve">While not required, the standard may be adopted by agencies and partner organisations, if desired. </w:t>
      </w:r>
    </w:p>
    <w:p w14:paraId="69B763F1" w14:textId="77777777" w:rsidR="00134D29" w:rsidRPr="003819DA" w:rsidRDefault="00134D29" w:rsidP="00134D29">
      <w:pPr>
        <w:pStyle w:val="Heading2"/>
      </w:pPr>
      <w:r w:rsidRPr="003819DA">
        <w:t>Glossary</w:t>
      </w:r>
    </w:p>
    <w:p w14:paraId="3B81F7E8" w14:textId="5AB194E9" w:rsidR="00550716" w:rsidRDefault="00550716" w:rsidP="00550716">
      <w:pPr>
        <w:pStyle w:val="DPCbody"/>
      </w:pPr>
      <w:r>
        <w:t>Unless otherwise stated, t</w:t>
      </w:r>
      <w:r w:rsidRPr="00550716">
        <w:t xml:space="preserve">he glossary of terms and abbreviations used in this document are defined in the </w:t>
      </w:r>
      <w:r w:rsidRPr="008059C9">
        <w:t>Information Management Glossary</w:t>
      </w:r>
      <w:r w:rsidRPr="00550716">
        <w:t>.</w:t>
      </w:r>
    </w:p>
    <w:p w14:paraId="04105394" w14:textId="53D7FA31" w:rsidR="00134D29" w:rsidRPr="003819DA" w:rsidRDefault="00134D29" w:rsidP="00917D13">
      <w:pPr>
        <w:pStyle w:val="Heading1"/>
      </w:pPr>
      <w:r w:rsidRPr="003819DA">
        <w:t>Related documents, tools and references</w:t>
      </w:r>
    </w:p>
    <w:p w14:paraId="4825A997" w14:textId="77777777" w:rsidR="0003463C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32" w:history="1">
        <w:r w:rsidR="0003463C" w:rsidRPr="00D65709">
          <w:rPr>
            <w:rStyle w:val="Hyperlink"/>
            <w:color w:val="auto"/>
          </w:rPr>
          <w:t>Creative Commons Australia</w:t>
        </w:r>
      </w:hyperlink>
    </w:p>
    <w:p w14:paraId="676600EF" w14:textId="50D2313B" w:rsidR="00413FE1" w:rsidRPr="00D65709" w:rsidRDefault="00413FE1" w:rsidP="0011306B">
      <w:pPr>
        <w:pStyle w:val="DPCbullethyperlink"/>
        <w:rPr>
          <w:rStyle w:val="Hyperlink"/>
          <w:color w:val="auto"/>
        </w:rPr>
      </w:pPr>
      <w:r w:rsidRPr="008059C9">
        <w:t>Data Exchange Framework</w:t>
      </w:r>
    </w:p>
    <w:p w14:paraId="3A62A48E" w14:textId="6B36A122" w:rsidR="0011306B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33" w:history="1">
        <w:r w:rsidR="0011306B" w:rsidRPr="00D65709">
          <w:rPr>
            <w:rStyle w:val="Hyperlink"/>
            <w:color w:val="auto"/>
          </w:rPr>
          <w:t>DataVic Access Policy</w:t>
        </w:r>
      </w:hyperlink>
      <w:r w:rsidR="0011306B" w:rsidRPr="00D65709">
        <w:rPr>
          <w:rStyle w:val="Hyperlink"/>
          <w:color w:val="auto"/>
        </w:rPr>
        <w:t xml:space="preserve"> </w:t>
      </w:r>
    </w:p>
    <w:p w14:paraId="137F122A" w14:textId="29D08C57" w:rsidR="0011306B" w:rsidRPr="00131935" w:rsidRDefault="00BE18D0" w:rsidP="0011306B">
      <w:pPr>
        <w:pStyle w:val="DPCbullethyperlink"/>
        <w:rPr>
          <w:rStyle w:val="Hyperlink"/>
          <w:i/>
          <w:color w:val="auto"/>
        </w:rPr>
      </w:pPr>
      <w:hyperlink r:id="rId34" w:history="1">
        <w:r w:rsidR="0011306B" w:rsidRPr="00131935">
          <w:rPr>
            <w:i/>
          </w:rPr>
          <w:t>Freedom of Information Act 1982</w:t>
        </w:r>
      </w:hyperlink>
    </w:p>
    <w:p w14:paraId="189CC653" w14:textId="4C7A597A" w:rsidR="0011306B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35" w:history="1">
        <w:r w:rsidR="0011306B" w:rsidRPr="00D65709">
          <w:rPr>
            <w:rStyle w:val="Hyperlink"/>
            <w:color w:val="auto"/>
          </w:rPr>
          <w:t xml:space="preserve">Freedom of Information </w:t>
        </w:r>
        <w:r w:rsidR="0003463C" w:rsidRPr="00D65709">
          <w:rPr>
            <w:rStyle w:val="Hyperlink"/>
            <w:color w:val="auto"/>
          </w:rPr>
          <w:t>G</w:t>
        </w:r>
        <w:r w:rsidR="0011306B" w:rsidRPr="00D65709">
          <w:rPr>
            <w:rStyle w:val="Hyperlink"/>
            <w:color w:val="auto"/>
          </w:rPr>
          <w:t>uidelines</w:t>
        </w:r>
      </w:hyperlink>
    </w:p>
    <w:p w14:paraId="178CB0F0" w14:textId="66AB067F" w:rsidR="00F65731" w:rsidRPr="004F3E1A" w:rsidRDefault="00BE18D0" w:rsidP="00F65731">
      <w:pPr>
        <w:pStyle w:val="DPCbullethyperlink"/>
        <w:rPr>
          <w:rStyle w:val="Hyperlink"/>
        </w:rPr>
      </w:pPr>
      <w:hyperlink r:id="rId36" w:history="1">
        <w:r w:rsidR="00F65731" w:rsidRPr="004F3E1A">
          <w:rPr>
            <w:rStyle w:val="Hyperlink"/>
          </w:rPr>
          <w:t>Guidelines for Sharing Personal Information</w:t>
        </w:r>
      </w:hyperlink>
    </w:p>
    <w:p w14:paraId="502ED9C9" w14:textId="5F4E3440" w:rsidR="0003463C" w:rsidRPr="00D65709" w:rsidRDefault="0003463C" w:rsidP="00F65731">
      <w:pPr>
        <w:pStyle w:val="DPCbullethyperlink"/>
        <w:rPr>
          <w:rStyle w:val="Hyperlink"/>
          <w:color w:val="auto"/>
        </w:rPr>
      </w:pPr>
      <w:r w:rsidRPr="008059C9">
        <w:t>Information Management Framework</w:t>
      </w:r>
    </w:p>
    <w:p w14:paraId="3065C3AB" w14:textId="27D2F679" w:rsidR="0003463C" w:rsidRPr="00D65709" w:rsidRDefault="0003463C" w:rsidP="0003463C">
      <w:pPr>
        <w:pStyle w:val="DPCbullethyperlink"/>
        <w:rPr>
          <w:rStyle w:val="Hyperlink"/>
          <w:color w:val="auto"/>
        </w:rPr>
      </w:pPr>
      <w:r w:rsidRPr="008059C9">
        <w:t>Information Management Governance Standard</w:t>
      </w:r>
    </w:p>
    <w:p w14:paraId="7D4CCDB8" w14:textId="1901A60C" w:rsidR="0003463C" w:rsidRPr="00D65709" w:rsidRDefault="0003463C" w:rsidP="0003463C">
      <w:pPr>
        <w:pStyle w:val="DPCbullethyperlink"/>
        <w:rPr>
          <w:rStyle w:val="Hyperlink"/>
          <w:color w:val="auto"/>
        </w:rPr>
      </w:pPr>
      <w:r w:rsidRPr="008059C9">
        <w:t>Information Management Glossary</w:t>
      </w:r>
    </w:p>
    <w:p w14:paraId="24BFCF16" w14:textId="4D82B59E" w:rsidR="0003463C" w:rsidRPr="00D65709" w:rsidRDefault="0003463C" w:rsidP="0003463C">
      <w:pPr>
        <w:pStyle w:val="DPCbullethyperlink"/>
        <w:rPr>
          <w:rStyle w:val="Hyperlink"/>
          <w:color w:val="auto"/>
        </w:rPr>
      </w:pPr>
      <w:r w:rsidRPr="008059C9">
        <w:t>Information Management Policy</w:t>
      </w:r>
    </w:p>
    <w:p w14:paraId="01631582" w14:textId="484D2D5A" w:rsidR="00C22452" w:rsidRPr="00D65709" w:rsidRDefault="00550716" w:rsidP="0011306B">
      <w:pPr>
        <w:pStyle w:val="DPCbullethyperlink"/>
        <w:rPr>
          <w:rStyle w:val="Hyperlink"/>
          <w:color w:val="auto"/>
        </w:rPr>
      </w:pPr>
      <w:r w:rsidRPr="008059C9">
        <w:t>Information Technology Strategy Victorian Government 2016-2020</w:t>
      </w:r>
      <w:r w:rsidR="00C22452" w:rsidRPr="00D65709">
        <w:rPr>
          <w:rStyle w:val="Hyperlink"/>
          <w:color w:val="auto"/>
        </w:rPr>
        <w:t xml:space="preserve"> </w:t>
      </w:r>
    </w:p>
    <w:p w14:paraId="1AAB2E84" w14:textId="342439AC" w:rsidR="0003463C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37" w:history="1">
        <w:r w:rsidR="0003463C" w:rsidRPr="00D65709">
          <w:rPr>
            <w:rStyle w:val="Hyperlink"/>
            <w:color w:val="auto"/>
            <w:lang w:val="en-US"/>
          </w:rPr>
          <w:t>Intellectual Property Guidelines for the Victorian Public Sector</w:t>
        </w:r>
      </w:hyperlink>
    </w:p>
    <w:p w14:paraId="555A614C" w14:textId="3EC209C0" w:rsidR="000B6EBB" w:rsidRPr="00131935" w:rsidRDefault="00BE18D0" w:rsidP="000B6EBB">
      <w:pPr>
        <w:pStyle w:val="DPCbullethyperlink"/>
        <w:rPr>
          <w:i/>
        </w:rPr>
      </w:pPr>
      <w:hyperlink r:id="rId38" w:history="1">
        <w:r w:rsidR="000B6EBB" w:rsidRPr="00131935">
          <w:rPr>
            <w:rStyle w:val="Hyperlink"/>
            <w:i/>
          </w:rPr>
          <w:t>Privacy Act 1988 (Cth)</w:t>
        </w:r>
      </w:hyperlink>
    </w:p>
    <w:p w14:paraId="36854901" w14:textId="5CD7941F" w:rsidR="008E2AC2" w:rsidRPr="00131935" w:rsidRDefault="00BE18D0" w:rsidP="000B6EBB">
      <w:pPr>
        <w:pStyle w:val="DPCbullethyperlink"/>
        <w:rPr>
          <w:rStyle w:val="Hyperlink"/>
          <w:i/>
          <w:color w:val="auto"/>
        </w:rPr>
      </w:pPr>
      <w:hyperlink r:id="rId39" w:history="1">
        <w:r w:rsidR="008E2AC2" w:rsidRPr="00131935">
          <w:rPr>
            <w:rStyle w:val="Hyperlink"/>
            <w:i/>
            <w:color w:val="auto"/>
          </w:rPr>
          <w:t>Privacy and Data Protection Act 2014</w:t>
        </w:r>
      </w:hyperlink>
    </w:p>
    <w:p w14:paraId="53E323D6" w14:textId="11A98F37" w:rsidR="000F52A4" w:rsidRPr="00131935" w:rsidRDefault="00BE18D0" w:rsidP="0011306B">
      <w:pPr>
        <w:pStyle w:val="DPCbullethyperlink"/>
        <w:rPr>
          <w:rStyle w:val="Hyperlink"/>
          <w:i/>
          <w:color w:val="auto"/>
        </w:rPr>
      </w:pPr>
      <w:hyperlink r:id="rId40" w:history="1">
        <w:r w:rsidR="000F52A4" w:rsidRPr="00131935">
          <w:rPr>
            <w:rStyle w:val="Hyperlink"/>
            <w:i/>
            <w:color w:val="auto"/>
          </w:rPr>
          <w:t>Public Records Act 1973</w:t>
        </w:r>
      </w:hyperlink>
    </w:p>
    <w:p w14:paraId="31968A2A" w14:textId="77777777" w:rsidR="0011306B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41" w:history="1">
        <w:r w:rsidR="0011306B" w:rsidRPr="00D65709">
          <w:rPr>
            <w:rStyle w:val="Hyperlink"/>
            <w:color w:val="auto"/>
          </w:rPr>
          <w:t>Public Record Office of Victoria (PROV) Standards Framework and Policies</w:t>
        </w:r>
      </w:hyperlink>
    </w:p>
    <w:p w14:paraId="1B168122" w14:textId="7475ED68" w:rsidR="008E2AC2" w:rsidRPr="00131935" w:rsidRDefault="00BE18D0" w:rsidP="0011306B">
      <w:pPr>
        <w:pStyle w:val="DPCbullethyperlink"/>
        <w:rPr>
          <w:rStyle w:val="Hyperlink"/>
          <w:i/>
          <w:color w:val="auto"/>
        </w:rPr>
      </w:pPr>
      <w:hyperlink r:id="rId42" w:history="1">
        <w:r w:rsidR="008E2AC2" w:rsidRPr="00131935">
          <w:rPr>
            <w:rStyle w:val="Hyperlink"/>
            <w:i/>
            <w:color w:val="auto"/>
          </w:rPr>
          <w:t>Victorian Data Sharing Act 2017</w:t>
        </w:r>
      </w:hyperlink>
    </w:p>
    <w:p w14:paraId="5A28E643" w14:textId="75A22EC1" w:rsidR="00065C6E" w:rsidRPr="00065C6E" w:rsidRDefault="00BE18D0" w:rsidP="003C43CF">
      <w:pPr>
        <w:pStyle w:val="DPCbullethyperlink"/>
      </w:pPr>
      <w:hyperlink r:id="rId43" w:history="1">
        <w:r w:rsidR="003C43CF" w:rsidRPr="000139AE">
          <w:rPr>
            <w:rStyle w:val="Hyperlink"/>
            <w:color w:val="auto"/>
          </w:rPr>
          <w:t>Victorian Government Risk Management Framework</w:t>
        </w:r>
      </w:hyperlink>
    </w:p>
    <w:p w14:paraId="513CCD4E" w14:textId="77777777" w:rsidR="00550716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44" w:history="1">
        <w:r w:rsidR="00550716" w:rsidRPr="00D65709">
          <w:rPr>
            <w:rStyle w:val="Hyperlink"/>
            <w:color w:val="auto"/>
          </w:rPr>
          <w:t>Victorian Protective Data Security Framework</w:t>
        </w:r>
      </w:hyperlink>
      <w:r w:rsidR="00550716" w:rsidRPr="00D65709">
        <w:rPr>
          <w:rStyle w:val="Hyperlink"/>
          <w:color w:val="auto"/>
        </w:rPr>
        <w:t xml:space="preserve"> (VPDSF)</w:t>
      </w:r>
    </w:p>
    <w:p w14:paraId="249D0234" w14:textId="73E0F333" w:rsidR="00550716" w:rsidRPr="00D65709" w:rsidRDefault="00BE18D0" w:rsidP="0011306B">
      <w:pPr>
        <w:pStyle w:val="DPCbullethyperlink"/>
        <w:rPr>
          <w:rStyle w:val="Hyperlink"/>
          <w:color w:val="auto"/>
        </w:rPr>
      </w:pPr>
      <w:hyperlink r:id="rId45" w:history="1">
        <w:r w:rsidR="00550716" w:rsidRPr="00D65709">
          <w:rPr>
            <w:rStyle w:val="Hyperlink"/>
            <w:color w:val="auto"/>
          </w:rPr>
          <w:t>Victorian Protective Data Security Standards</w:t>
        </w:r>
      </w:hyperlink>
      <w:r w:rsidR="00550716" w:rsidRPr="00D65709">
        <w:rPr>
          <w:rStyle w:val="Hyperlink"/>
          <w:color w:val="auto"/>
        </w:rPr>
        <w:t xml:space="preserve"> (VPDSS)</w:t>
      </w:r>
      <w:r w:rsidR="00524918">
        <w:rPr>
          <w:rStyle w:val="Hyperlink"/>
          <w:color w:val="auto"/>
        </w:rPr>
        <w:t>.</w:t>
      </w:r>
    </w:p>
    <w:p w14:paraId="2F05AA1E" w14:textId="40A4AA2A" w:rsidR="00134D29" w:rsidRPr="003819DA" w:rsidRDefault="00134D29" w:rsidP="00134D29">
      <w:pPr>
        <w:pStyle w:val="Heading1"/>
      </w:pPr>
      <w:r w:rsidRPr="003819DA">
        <w:t>Further information</w:t>
      </w:r>
    </w:p>
    <w:p w14:paraId="16350E1B" w14:textId="77777777" w:rsidR="00BE18D0" w:rsidRDefault="00BE18D0" w:rsidP="00BE18D0">
      <w:pPr>
        <w:pStyle w:val="DPCbody"/>
      </w:pPr>
      <w:r>
        <w:t>For further information regarding this standard, please contact Digital Strategy and Transformation, Departm</w:t>
      </w:r>
      <w:bookmarkStart w:id="3" w:name="_GoBack"/>
      <w:bookmarkEnd w:id="3"/>
      <w:r>
        <w:t xml:space="preserve">ent of Premier and Cabinet, at: </w:t>
      </w:r>
      <w:hyperlink r:id="rId46" w:history="1">
        <w:r w:rsidRPr="00E026D5">
          <w:rPr>
            <w:rStyle w:val="Hyperlink"/>
          </w:rPr>
          <w:t>digital.transformation@dpc.vic.gov.au</w:t>
        </w:r>
      </w:hyperlink>
      <w:r>
        <w:t>.</w:t>
      </w:r>
    </w:p>
    <w:p w14:paraId="2C430B4D" w14:textId="3B27E253" w:rsidR="002A3AC1" w:rsidRDefault="002A3AC1">
      <w:pPr>
        <w:pStyle w:val="Heading1"/>
      </w:pPr>
      <w:r>
        <w:lastRenderedPageBreak/>
        <w:t>Supporting</w:t>
      </w:r>
      <w:r w:rsidRPr="003819DA">
        <w:t xml:space="preserve"> information</w:t>
      </w:r>
    </w:p>
    <w:p w14:paraId="066A47CE" w14:textId="3A2FC31C" w:rsidR="007D3E73" w:rsidRDefault="007D3E73" w:rsidP="007D3E73">
      <w:pPr>
        <w:pStyle w:val="Heading2"/>
      </w:pPr>
      <w:r>
        <w:t>Data exchange arrangement</w:t>
      </w:r>
    </w:p>
    <w:p w14:paraId="19184F40" w14:textId="78AD4075" w:rsidR="007D3E73" w:rsidRDefault="007D3E73" w:rsidP="007D3E73">
      <w:pPr>
        <w:pStyle w:val="DPCbody"/>
      </w:pPr>
      <w:r>
        <w:t>All data exchanges must be accompanied with a documented data arrangement. The type of arrangement (legally binding</w:t>
      </w:r>
      <w:r w:rsidR="005E32E5">
        <w:t>,</w:t>
      </w:r>
      <w:r>
        <w:t xml:space="preserve"> non-legally binding</w:t>
      </w:r>
      <w:r w:rsidR="005E32E5">
        <w:t xml:space="preserve"> or </w:t>
      </w:r>
      <w:r w:rsidR="003C43CF">
        <w:t>C</w:t>
      </w:r>
      <w:r>
        <w:t xml:space="preserve">reative </w:t>
      </w:r>
      <w:r w:rsidR="003C43CF">
        <w:t>C</w:t>
      </w:r>
      <w:r>
        <w:t xml:space="preserve">ommons licence) and format of the arrangement (formal </w:t>
      </w:r>
      <w:r w:rsidR="005E32E5">
        <w:t>or</w:t>
      </w:r>
      <w:r>
        <w:t xml:space="preserve"> informal) will depend on who the data is being shared with i.e. internal or external to the department, associated risk and level of data protection required. </w:t>
      </w:r>
    </w:p>
    <w:p w14:paraId="0061DF36" w14:textId="6EBC0392" w:rsidR="007D3E73" w:rsidRDefault="007D3E73" w:rsidP="007D3E73">
      <w:pPr>
        <w:pStyle w:val="DPCfigurecaption"/>
      </w:pPr>
      <w:bookmarkStart w:id="4" w:name="_Ref7438087"/>
      <w:bookmarkStart w:id="5" w:name="_Ref7426004"/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 w:rsidR="0035469F">
        <w:rPr>
          <w:noProof/>
        </w:rPr>
        <w:t>1</w:t>
      </w:r>
      <w:r>
        <w:rPr>
          <w:noProof/>
        </w:rPr>
        <w:fldChar w:fldCharType="end"/>
      </w:r>
      <w:bookmarkEnd w:id="4"/>
      <w:r>
        <w:t>: Criteria determining the use of arrangement types</w:t>
      </w:r>
      <w:bookmarkEnd w:id="5"/>
    </w:p>
    <w:tbl>
      <w:tblPr>
        <w:tblStyle w:val="TableGrid"/>
        <w:tblW w:w="10090" w:type="dxa"/>
        <w:tblInd w:w="0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07"/>
        <w:gridCol w:w="1243"/>
        <w:gridCol w:w="1135"/>
        <w:gridCol w:w="1700"/>
        <w:gridCol w:w="9"/>
        <w:gridCol w:w="1765"/>
        <w:gridCol w:w="1202"/>
        <w:gridCol w:w="9"/>
        <w:gridCol w:w="60"/>
      </w:tblGrid>
      <w:tr w:rsidR="00FD1465" w:rsidRPr="00FD1465" w14:paraId="3F86D0DC" w14:textId="77777777" w:rsidTr="00CE68F0">
        <w:trPr>
          <w:trHeight w:val="245"/>
          <w:tblHeader/>
        </w:trPr>
        <w:tc>
          <w:tcPr>
            <w:tcW w:w="1560" w:type="dxa"/>
            <w:vMerge w:val="restart"/>
            <w:noWrap/>
            <w:hideMark/>
          </w:tcPr>
          <w:p w14:paraId="295D510E" w14:textId="77777777" w:rsidR="00FD1465" w:rsidRPr="000B6EBB" w:rsidRDefault="00FD1465" w:rsidP="00FD1465">
            <w:pPr>
              <w:pStyle w:val="DPCtabletext"/>
              <w:rPr>
                <w:b/>
                <w:sz w:val="10"/>
                <w:lang w:eastAsia="en-AU"/>
              </w:rPr>
            </w:pPr>
          </w:p>
          <w:p w14:paraId="6C9F0169" w14:textId="6DC4938C" w:rsidR="00FD1465" w:rsidRPr="000B6EBB" w:rsidRDefault="00FD1465" w:rsidP="000B6EBB">
            <w:pPr>
              <w:pStyle w:val="DPCtabletext"/>
              <w:rPr>
                <w:b/>
                <w:lang w:eastAsia="en-AU"/>
              </w:rPr>
            </w:pPr>
            <w:r w:rsidRPr="000B6EBB">
              <w:rPr>
                <w:b/>
                <w:lang w:eastAsia="en-AU"/>
              </w:rPr>
              <w:t xml:space="preserve">Requestor </w:t>
            </w:r>
            <w:r w:rsidRPr="000B6EBB">
              <w:rPr>
                <w:rFonts w:ascii="Wingdings" w:hAnsi="Wingdings"/>
                <w:b/>
                <w:lang w:eastAsia="en-AU"/>
              </w:rPr>
              <w:t></w:t>
            </w:r>
          </w:p>
        </w:tc>
        <w:tc>
          <w:tcPr>
            <w:tcW w:w="1407" w:type="dxa"/>
            <w:vMerge w:val="restart"/>
            <w:noWrap/>
            <w:vAlign w:val="center"/>
            <w:hideMark/>
          </w:tcPr>
          <w:p w14:paraId="2B05FDC6" w14:textId="77777777" w:rsidR="00FD1465" w:rsidRPr="000B6EBB" w:rsidRDefault="00FD1465" w:rsidP="000B6EBB">
            <w:pPr>
              <w:pStyle w:val="DPCtabletext"/>
              <w:rPr>
                <w:b/>
                <w:lang w:eastAsia="en-AU"/>
              </w:rPr>
            </w:pPr>
            <w:r w:rsidRPr="000B6EBB">
              <w:rPr>
                <w:b/>
                <w:lang w:eastAsia="en-AU"/>
              </w:rPr>
              <w:t>Internal</w:t>
            </w:r>
          </w:p>
        </w:tc>
        <w:tc>
          <w:tcPr>
            <w:tcW w:w="7123" w:type="dxa"/>
            <w:gridSpan w:val="8"/>
            <w:noWrap/>
            <w:hideMark/>
          </w:tcPr>
          <w:p w14:paraId="1FE56CAC" w14:textId="77777777" w:rsidR="00FD1465" w:rsidRPr="000B6EBB" w:rsidRDefault="00FD1465" w:rsidP="000B6EBB">
            <w:pPr>
              <w:pStyle w:val="DPCtabletext"/>
              <w:jc w:val="center"/>
              <w:rPr>
                <w:b/>
                <w:lang w:eastAsia="en-AU"/>
              </w:rPr>
            </w:pPr>
            <w:r w:rsidRPr="000B6EBB">
              <w:rPr>
                <w:b/>
                <w:lang w:eastAsia="en-AU"/>
              </w:rPr>
              <w:t>External</w:t>
            </w:r>
          </w:p>
        </w:tc>
      </w:tr>
      <w:tr w:rsidR="00FD1465" w:rsidRPr="00FD1465" w14:paraId="454EE54F" w14:textId="77777777" w:rsidTr="00CE68F0">
        <w:trPr>
          <w:gridAfter w:val="1"/>
          <w:wAfter w:w="60" w:type="dxa"/>
          <w:trHeight w:val="245"/>
          <w:tblHeader/>
        </w:trPr>
        <w:tc>
          <w:tcPr>
            <w:tcW w:w="1560" w:type="dxa"/>
            <w:vMerge/>
            <w:hideMark/>
          </w:tcPr>
          <w:p w14:paraId="3207619D" w14:textId="77777777" w:rsidR="00FD1465" w:rsidRPr="000B6EBB" w:rsidRDefault="00FD1465" w:rsidP="000B6EBB">
            <w:pPr>
              <w:pStyle w:val="DPCtabletext"/>
              <w:rPr>
                <w:lang w:eastAsia="en-AU"/>
              </w:rPr>
            </w:pPr>
          </w:p>
        </w:tc>
        <w:tc>
          <w:tcPr>
            <w:tcW w:w="1407" w:type="dxa"/>
            <w:vMerge/>
            <w:hideMark/>
          </w:tcPr>
          <w:p w14:paraId="603887C5" w14:textId="77777777" w:rsidR="00FD1465" w:rsidRPr="000B6EBB" w:rsidRDefault="00FD1465" w:rsidP="000B6EBB">
            <w:pPr>
              <w:pStyle w:val="DPCtabletext"/>
              <w:rPr>
                <w:lang w:eastAsia="en-AU"/>
              </w:rPr>
            </w:pPr>
          </w:p>
        </w:tc>
        <w:tc>
          <w:tcPr>
            <w:tcW w:w="4087" w:type="dxa"/>
            <w:gridSpan w:val="4"/>
            <w:noWrap/>
            <w:hideMark/>
          </w:tcPr>
          <w:p w14:paraId="73BD7232" w14:textId="77777777" w:rsidR="00FD1465" w:rsidRPr="000B6EBB" w:rsidRDefault="00FD1465" w:rsidP="000B6EBB">
            <w:pPr>
              <w:pStyle w:val="DPCtabletext"/>
              <w:jc w:val="center"/>
              <w:rPr>
                <w:b/>
                <w:lang w:eastAsia="en-AU"/>
              </w:rPr>
            </w:pPr>
            <w:r w:rsidRPr="000B6EBB">
              <w:rPr>
                <w:b/>
                <w:lang w:eastAsia="en-AU"/>
              </w:rPr>
              <w:t>Victorian Government</w:t>
            </w:r>
          </w:p>
        </w:tc>
        <w:tc>
          <w:tcPr>
            <w:tcW w:w="2976" w:type="dxa"/>
            <w:gridSpan w:val="3"/>
            <w:noWrap/>
            <w:hideMark/>
          </w:tcPr>
          <w:p w14:paraId="45D2DC01" w14:textId="106F1DAB" w:rsidR="00FD1465" w:rsidRPr="000B6EBB" w:rsidRDefault="00FD1465" w:rsidP="000B6EBB">
            <w:pPr>
              <w:pStyle w:val="DPCtabletext"/>
              <w:jc w:val="center"/>
              <w:rPr>
                <w:b/>
                <w:lang w:eastAsia="en-AU"/>
              </w:rPr>
            </w:pPr>
            <w:r w:rsidRPr="000B6EBB">
              <w:rPr>
                <w:b/>
                <w:lang w:eastAsia="en-AU"/>
              </w:rPr>
              <w:t>Non</w:t>
            </w:r>
            <w:r w:rsidR="00E3408D">
              <w:rPr>
                <w:b/>
                <w:lang w:eastAsia="en-AU"/>
              </w:rPr>
              <w:t>-</w:t>
            </w:r>
            <w:r w:rsidRPr="000B6EBB">
              <w:rPr>
                <w:b/>
                <w:lang w:eastAsia="en-AU"/>
              </w:rPr>
              <w:t>Victorian Government</w:t>
            </w:r>
          </w:p>
        </w:tc>
      </w:tr>
      <w:tr w:rsidR="00FD1465" w:rsidRPr="00FD1465" w14:paraId="25C12FA5" w14:textId="77777777" w:rsidTr="00CE68F0">
        <w:trPr>
          <w:gridAfter w:val="1"/>
          <w:wAfter w:w="60" w:type="dxa"/>
          <w:trHeight w:val="1422"/>
          <w:tblHeader/>
        </w:trPr>
        <w:tc>
          <w:tcPr>
            <w:tcW w:w="1560" w:type="dxa"/>
            <w:vMerge/>
            <w:hideMark/>
          </w:tcPr>
          <w:p w14:paraId="7EBFE475" w14:textId="77777777" w:rsidR="00FD1465" w:rsidRPr="000B6EBB" w:rsidRDefault="00FD1465" w:rsidP="000B6EBB">
            <w:pPr>
              <w:pStyle w:val="DPCtabletext"/>
              <w:rPr>
                <w:lang w:eastAsia="en-AU"/>
              </w:rPr>
            </w:pPr>
          </w:p>
        </w:tc>
        <w:tc>
          <w:tcPr>
            <w:tcW w:w="1407" w:type="dxa"/>
            <w:hideMark/>
          </w:tcPr>
          <w:p w14:paraId="22AC57C3" w14:textId="2CDAB3D8" w:rsidR="00FD1465" w:rsidRPr="000B6EBB" w:rsidRDefault="00FD1465" w:rsidP="008C6DDA">
            <w:pPr>
              <w:pStyle w:val="DPCtabletext"/>
              <w:rPr>
                <w:b/>
                <w:sz w:val="16"/>
                <w:lang w:eastAsia="en-AU"/>
              </w:rPr>
            </w:pPr>
            <w:r w:rsidRPr="000B6EBB">
              <w:rPr>
                <w:b/>
                <w:sz w:val="16"/>
                <w:lang w:eastAsia="en-AU"/>
              </w:rPr>
              <w:t xml:space="preserve">Refers to requestors that are internal to the provider </w:t>
            </w:r>
            <w:r w:rsidR="008C6DDA">
              <w:rPr>
                <w:b/>
                <w:sz w:val="16"/>
                <w:lang w:eastAsia="en-AU"/>
              </w:rPr>
              <w:t>organisation (3)</w:t>
            </w:r>
          </w:p>
        </w:tc>
        <w:tc>
          <w:tcPr>
            <w:tcW w:w="4087" w:type="dxa"/>
            <w:gridSpan w:val="4"/>
            <w:hideMark/>
          </w:tcPr>
          <w:p w14:paraId="48AFA609" w14:textId="5D188B57" w:rsidR="00FD1465" w:rsidRPr="000B6EBB" w:rsidRDefault="00FD1465" w:rsidP="000B6EBB">
            <w:pPr>
              <w:pStyle w:val="DPCtabletext"/>
              <w:rPr>
                <w:b/>
                <w:sz w:val="16"/>
                <w:lang w:eastAsia="en-AU"/>
              </w:rPr>
            </w:pPr>
            <w:r w:rsidRPr="000B6EBB">
              <w:rPr>
                <w:b/>
                <w:sz w:val="16"/>
                <w:lang w:eastAsia="en-AU"/>
              </w:rPr>
              <w:t>Refers to Victorian Government departments and agencies. Note, while statutory bodies are part of the government, they are legal entities in their own right. A legally binding agreement should be entered into with a statutory body when warranted by the associated level of risk</w:t>
            </w:r>
          </w:p>
        </w:tc>
        <w:tc>
          <w:tcPr>
            <w:tcW w:w="2976" w:type="dxa"/>
            <w:gridSpan w:val="3"/>
            <w:hideMark/>
          </w:tcPr>
          <w:p w14:paraId="15818B14" w14:textId="11A674E1" w:rsidR="00FD1465" w:rsidRPr="000B6EBB" w:rsidRDefault="00FD1465" w:rsidP="00CB7683">
            <w:pPr>
              <w:pStyle w:val="DPCtabletext"/>
              <w:rPr>
                <w:b/>
                <w:sz w:val="16"/>
                <w:lang w:eastAsia="en-AU"/>
              </w:rPr>
            </w:pPr>
            <w:r w:rsidRPr="000B6EBB">
              <w:rPr>
                <w:b/>
                <w:sz w:val="16"/>
                <w:lang w:eastAsia="en-AU"/>
              </w:rPr>
              <w:t xml:space="preserve">Refers to all other entities including government funded entities outside of government, local government, federal government, governments in other jurisdictions and </w:t>
            </w:r>
            <w:r w:rsidR="00CB7683">
              <w:rPr>
                <w:b/>
                <w:sz w:val="16"/>
                <w:lang w:eastAsia="en-AU"/>
              </w:rPr>
              <w:t xml:space="preserve">any </w:t>
            </w:r>
            <w:r w:rsidRPr="000B6EBB">
              <w:rPr>
                <w:b/>
                <w:sz w:val="16"/>
                <w:lang w:eastAsia="en-AU"/>
              </w:rPr>
              <w:t>non-government entities</w:t>
            </w:r>
          </w:p>
        </w:tc>
      </w:tr>
      <w:tr w:rsidR="00CE276E" w:rsidRPr="00FD1465" w14:paraId="2F0CD184" w14:textId="77777777" w:rsidTr="000B6EBB">
        <w:trPr>
          <w:gridAfter w:val="2"/>
          <w:wAfter w:w="69" w:type="dxa"/>
          <w:trHeight w:val="245"/>
        </w:trPr>
        <w:tc>
          <w:tcPr>
            <w:tcW w:w="1560" w:type="dxa"/>
            <w:noWrap/>
            <w:hideMark/>
          </w:tcPr>
          <w:p w14:paraId="7F4D9B50" w14:textId="77777777" w:rsidR="005A2808" w:rsidRPr="00CE68F0" w:rsidRDefault="005A2808" w:rsidP="000B6EBB">
            <w:pPr>
              <w:pStyle w:val="DPCtabletext"/>
              <w:rPr>
                <w:b/>
                <w:sz w:val="18"/>
                <w:szCs w:val="18"/>
                <w:lang w:eastAsia="en-AU"/>
              </w:rPr>
            </w:pPr>
            <w:r w:rsidRPr="00CE68F0">
              <w:rPr>
                <w:b/>
                <w:sz w:val="18"/>
                <w:szCs w:val="18"/>
                <w:lang w:eastAsia="en-AU"/>
              </w:rPr>
              <w:t>Data risk</w:t>
            </w:r>
          </w:p>
        </w:tc>
        <w:tc>
          <w:tcPr>
            <w:tcW w:w="1407" w:type="dxa"/>
            <w:noWrap/>
            <w:hideMark/>
          </w:tcPr>
          <w:p w14:paraId="5F4C4C1D" w14:textId="158DA79B" w:rsidR="005A2808" w:rsidRPr="00CE68F0" w:rsidRDefault="005A2808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All levels (1)</w:t>
            </w:r>
          </w:p>
        </w:tc>
        <w:tc>
          <w:tcPr>
            <w:tcW w:w="2378" w:type="dxa"/>
            <w:gridSpan w:val="2"/>
            <w:noWrap/>
            <w:hideMark/>
          </w:tcPr>
          <w:p w14:paraId="2AD7060C" w14:textId="3B4D4859" w:rsidR="005A2808" w:rsidRPr="00CE68F0" w:rsidRDefault="005A2808" w:rsidP="000B6EBB">
            <w:pPr>
              <w:pStyle w:val="DPCtabletext"/>
              <w:jc w:val="center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Not sensitive (1)</w:t>
            </w:r>
          </w:p>
        </w:tc>
        <w:tc>
          <w:tcPr>
            <w:tcW w:w="1700" w:type="dxa"/>
          </w:tcPr>
          <w:p w14:paraId="5B3CAE5A" w14:textId="6AE7EAF4" w:rsidR="005A2808" w:rsidRPr="00CE68F0" w:rsidRDefault="005A2808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Sensitive</w:t>
            </w:r>
          </w:p>
        </w:tc>
        <w:tc>
          <w:tcPr>
            <w:tcW w:w="1774" w:type="dxa"/>
            <w:gridSpan w:val="2"/>
            <w:noWrap/>
            <w:hideMark/>
          </w:tcPr>
          <w:p w14:paraId="41F9A26A" w14:textId="2F7D43D3" w:rsidR="005A2808" w:rsidRPr="00CE68F0" w:rsidRDefault="005A2808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Not sensitive (1)</w:t>
            </w:r>
          </w:p>
        </w:tc>
        <w:tc>
          <w:tcPr>
            <w:tcW w:w="1202" w:type="dxa"/>
            <w:noWrap/>
            <w:hideMark/>
          </w:tcPr>
          <w:p w14:paraId="20D88FAE" w14:textId="77777777" w:rsidR="005A2808" w:rsidRPr="00CE68F0" w:rsidRDefault="005A2808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Sensitive</w:t>
            </w:r>
          </w:p>
        </w:tc>
      </w:tr>
      <w:tr w:rsidR="00CE276E" w:rsidRPr="00FD1465" w14:paraId="19283931" w14:textId="77777777" w:rsidTr="000B6EBB">
        <w:trPr>
          <w:gridAfter w:val="2"/>
          <w:wAfter w:w="69" w:type="dxa"/>
          <w:trHeight w:val="245"/>
        </w:trPr>
        <w:tc>
          <w:tcPr>
            <w:tcW w:w="1560" w:type="dxa"/>
            <w:noWrap/>
            <w:vAlign w:val="center"/>
            <w:hideMark/>
          </w:tcPr>
          <w:p w14:paraId="19CE7D7D" w14:textId="77777777" w:rsidR="00CE276E" w:rsidRPr="00CE68F0" w:rsidRDefault="00CE276E" w:rsidP="000B6EBB">
            <w:pPr>
              <w:pStyle w:val="DPCtabletext"/>
              <w:rPr>
                <w:b/>
                <w:sz w:val="18"/>
                <w:szCs w:val="18"/>
                <w:lang w:eastAsia="en-AU"/>
              </w:rPr>
            </w:pPr>
            <w:r w:rsidRPr="00CE68F0">
              <w:rPr>
                <w:b/>
                <w:sz w:val="18"/>
                <w:szCs w:val="18"/>
                <w:lang w:eastAsia="en-AU"/>
              </w:rPr>
              <w:t>Arrangement type</w:t>
            </w:r>
          </w:p>
        </w:tc>
        <w:tc>
          <w:tcPr>
            <w:tcW w:w="1407" w:type="dxa"/>
            <w:noWrap/>
            <w:vAlign w:val="center"/>
            <w:hideMark/>
          </w:tcPr>
          <w:p w14:paraId="21B0D14B" w14:textId="222D1030" w:rsidR="00CE276E" w:rsidRPr="00CE68F0" w:rsidRDefault="00CE276E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Non-legally binding</w:t>
            </w:r>
          </w:p>
        </w:tc>
        <w:tc>
          <w:tcPr>
            <w:tcW w:w="1243" w:type="dxa"/>
            <w:noWrap/>
            <w:vAlign w:val="center"/>
            <w:hideMark/>
          </w:tcPr>
          <w:p w14:paraId="1C5C3463" w14:textId="77777777" w:rsidR="00CE276E" w:rsidRPr="00CE68F0" w:rsidRDefault="00CE276E">
            <w:pPr>
              <w:pStyle w:val="DPCtabletext"/>
              <w:jc w:val="center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 xml:space="preserve">Non-legally </w:t>
            </w:r>
            <w:r w:rsidRPr="00CE68F0">
              <w:rPr>
                <w:sz w:val="18"/>
                <w:szCs w:val="18"/>
                <w:lang w:eastAsia="en-AU"/>
              </w:rPr>
              <w:br/>
              <w:t>binding</w:t>
            </w:r>
          </w:p>
        </w:tc>
        <w:tc>
          <w:tcPr>
            <w:tcW w:w="1135" w:type="dxa"/>
            <w:vAlign w:val="center"/>
          </w:tcPr>
          <w:p w14:paraId="185285F2" w14:textId="6E763E45" w:rsidR="00CE276E" w:rsidRPr="00CE68F0" w:rsidRDefault="00CE276E">
            <w:pPr>
              <w:pStyle w:val="DPCtabletext"/>
              <w:jc w:val="center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Legally binding</w:t>
            </w:r>
          </w:p>
        </w:tc>
        <w:tc>
          <w:tcPr>
            <w:tcW w:w="1700" w:type="dxa"/>
            <w:vAlign w:val="center"/>
          </w:tcPr>
          <w:p w14:paraId="1759FC85" w14:textId="49FD5A19" w:rsidR="00CE276E" w:rsidRPr="00CE68F0" w:rsidRDefault="00CE276E" w:rsidP="000B6EBB">
            <w:pPr>
              <w:pStyle w:val="DPCtabletext"/>
              <w:jc w:val="center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Non-legally binding</w:t>
            </w:r>
          </w:p>
        </w:tc>
        <w:tc>
          <w:tcPr>
            <w:tcW w:w="2976" w:type="dxa"/>
            <w:gridSpan w:val="3"/>
            <w:noWrap/>
            <w:vAlign w:val="center"/>
            <w:hideMark/>
          </w:tcPr>
          <w:p w14:paraId="72393EB9" w14:textId="710CE946" w:rsidR="00CE276E" w:rsidRPr="00CE68F0" w:rsidRDefault="00CE276E" w:rsidP="000B6EBB">
            <w:pPr>
              <w:pStyle w:val="DPCtabletext"/>
              <w:jc w:val="center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 xml:space="preserve">Legally </w:t>
            </w:r>
            <w:r w:rsidRPr="00CE68F0">
              <w:rPr>
                <w:sz w:val="18"/>
                <w:szCs w:val="18"/>
                <w:lang w:eastAsia="en-AU"/>
              </w:rPr>
              <w:br/>
              <w:t>binding</w:t>
            </w:r>
          </w:p>
        </w:tc>
      </w:tr>
      <w:tr w:rsidR="00CE276E" w:rsidRPr="00FD1465" w14:paraId="0539B78E" w14:textId="77777777" w:rsidTr="000B6EBB">
        <w:trPr>
          <w:gridAfter w:val="2"/>
          <w:wAfter w:w="69" w:type="dxa"/>
          <w:trHeight w:val="245"/>
        </w:trPr>
        <w:tc>
          <w:tcPr>
            <w:tcW w:w="1560" w:type="dxa"/>
            <w:noWrap/>
            <w:hideMark/>
          </w:tcPr>
          <w:p w14:paraId="3726DB8D" w14:textId="77777777" w:rsidR="003B653D" w:rsidRPr="00CE68F0" w:rsidRDefault="003B653D" w:rsidP="000B6EBB">
            <w:pPr>
              <w:pStyle w:val="DPCtabletext"/>
              <w:rPr>
                <w:b/>
                <w:sz w:val="18"/>
                <w:szCs w:val="18"/>
                <w:lang w:eastAsia="en-AU"/>
              </w:rPr>
            </w:pPr>
            <w:r w:rsidRPr="00CE68F0">
              <w:rPr>
                <w:b/>
                <w:sz w:val="18"/>
                <w:szCs w:val="18"/>
                <w:lang w:eastAsia="en-AU"/>
              </w:rPr>
              <w:t>Format</w:t>
            </w:r>
          </w:p>
        </w:tc>
        <w:tc>
          <w:tcPr>
            <w:tcW w:w="1407" w:type="dxa"/>
            <w:noWrap/>
            <w:hideMark/>
          </w:tcPr>
          <w:p w14:paraId="68C18663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Informal</w:t>
            </w:r>
          </w:p>
        </w:tc>
        <w:tc>
          <w:tcPr>
            <w:tcW w:w="1243" w:type="dxa"/>
            <w:noWrap/>
            <w:hideMark/>
          </w:tcPr>
          <w:p w14:paraId="62B558F2" w14:textId="77777777" w:rsidR="003B653D" w:rsidRPr="00CE68F0" w:rsidRDefault="003B653D" w:rsidP="00FD1465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Informal</w:t>
            </w:r>
          </w:p>
        </w:tc>
        <w:tc>
          <w:tcPr>
            <w:tcW w:w="1135" w:type="dxa"/>
          </w:tcPr>
          <w:p w14:paraId="634D7FD2" w14:textId="5A87872A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Formal</w:t>
            </w:r>
          </w:p>
        </w:tc>
        <w:tc>
          <w:tcPr>
            <w:tcW w:w="1700" w:type="dxa"/>
            <w:noWrap/>
            <w:hideMark/>
          </w:tcPr>
          <w:p w14:paraId="2F2D7ECC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Formal</w:t>
            </w:r>
          </w:p>
        </w:tc>
        <w:tc>
          <w:tcPr>
            <w:tcW w:w="1774" w:type="dxa"/>
            <w:gridSpan w:val="2"/>
            <w:noWrap/>
            <w:hideMark/>
          </w:tcPr>
          <w:p w14:paraId="7F6613F9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Formal</w:t>
            </w:r>
          </w:p>
        </w:tc>
        <w:tc>
          <w:tcPr>
            <w:tcW w:w="1202" w:type="dxa"/>
            <w:noWrap/>
            <w:hideMark/>
          </w:tcPr>
          <w:p w14:paraId="0A193CAF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Formal</w:t>
            </w:r>
          </w:p>
        </w:tc>
      </w:tr>
      <w:tr w:rsidR="00CE276E" w:rsidRPr="00FD1465" w14:paraId="56139BC0" w14:textId="77777777" w:rsidTr="000B6EBB">
        <w:trPr>
          <w:gridAfter w:val="2"/>
          <w:wAfter w:w="69" w:type="dxa"/>
          <w:trHeight w:val="735"/>
        </w:trPr>
        <w:tc>
          <w:tcPr>
            <w:tcW w:w="1560" w:type="dxa"/>
            <w:hideMark/>
          </w:tcPr>
          <w:p w14:paraId="12437BFC" w14:textId="19F9B735" w:rsidR="003B653D" w:rsidRPr="00CE68F0" w:rsidRDefault="003B653D" w:rsidP="000B6EBB">
            <w:pPr>
              <w:pStyle w:val="DPCtabletext"/>
              <w:rPr>
                <w:b/>
                <w:sz w:val="18"/>
                <w:szCs w:val="18"/>
                <w:lang w:eastAsia="en-AU"/>
              </w:rPr>
            </w:pPr>
            <w:r w:rsidRPr="00CE68F0">
              <w:rPr>
                <w:b/>
                <w:sz w:val="18"/>
                <w:szCs w:val="18"/>
                <w:lang w:eastAsia="en-AU"/>
              </w:rPr>
              <w:t>Example</w:t>
            </w:r>
            <w:r w:rsidR="00D61996">
              <w:rPr>
                <w:b/>
                <w:sz w:val="18"/>
                <w:szCs w:val="18"/>
                <w:lang w:eastAsia="en-AU"/>
              </w:rPr>
              <w:t xml:space="preserve"> arrangement</w:t>
            </w:r>
          </w:p>
        </w:tc>
        <w:tc>
          <w:tcPr>
            <w:tcW w:w="1407" w:type="dxa"/>
            <w:hideMark/>
          </w:tcPr>
          <w:p w14:paraId="41F82B45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Email</w:t>
            </w:r>
          </w:p>
        </w:tc>
        <w:tc>
          <w:tcPr>
            <w:tcW w:w="1243" w:type="dxa"/>
            <w:hideMark/>
          </w:tcPr>
          <w:p w14:paraId="6577ECEA" w14:textId="5F443B9D" w:rsidR="003B653D" w:rsidRPr="00CE68F0" w:rsidRDefault="003B653D" w:rsidP="00FD1465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Email</w:t>
            </w:r>
          </w:p>
        </w:tc>
        <w:tc>
          <w:tcPr>
            <w:tcW w:w="1135" w:type="dxa"/>
          </w:tcPr>
          <w:p w14:paraId="68A0BCCC" w14:textId="29F2C1E5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Licence such as creative commons (2)</w:t>
            </w:r>
          </w:p>
        </w:tc>
        <w:tc>
          <w:tcPr>
            <w:tcW w:w="1700" w:type="dxa"/>
            <w:hideMark/>
          </w:tcPr>
          <w:p w14:paraId="7977C9EE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Memorandum or letter of understanding (or other formal non-legally binding mechanism)</w:t>
            </w:r>
          </w:p>
        </w:tc>
        <w:tc>
          <w:tcPr>
            <w:tcW w:w="1774" w:type="dxa"/>
            <w:gridSpan w:val="2"/>
            <w:hideMark/>
          </w:tcPr>
          <w:p w14:paraId="038A97EA" w14:textId="3533C886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Licence such as creative commons (2)</w:t>
            </w:r>
          </w:p>
        </w:tc>
        <w:tc>
          <w:tcPr>
            <w:tcW w:w="1202" w:type="dxa"/>
            <w:hideMark/>
          </w:tcPr>
          <w:p w14:paraId="76F2A793" w14:textId="77777777" w:rsidR="003B653D" w:rsidRPr="00CE68F0" w:rsidRDefault="003B653D" w:rsidP="000B6EBB">
            <w:pPr>
              <w:pStyle w:val="DPCtabletext"/>
              <w:rPr>
                <w:sz w:val="18"/>
                <w:szCs w:val="18"/>
                <w:lang w:eastAsia="en-AU"/>
              </w:rPr>
            </w:pPr>
            <w:r w:rsidRPr="00CE68F0">
              <w:rPr>
                <w:sz w:val="18"/>
                <w:szCs w:val="18"/>
                <w:lang w:eastAsia="en-AU"/>
              </w:rPr>
              <w:t>Legal Agreement</w:t>
            </w:r>
          </w:p>
        </w:tc>
      </w:tr>
    </w:tbl>
    <w:p w14:paraId="70DC5FEE" w14:textId="77777777" w:rsidR="005A2808" w:rsidRDefault="005A2808" w:rsidP="000B6EBB">
      <w:pPr>
        <w:pStyle w:val="DPCbody"/>
      </w:pPr>
    </w:p>
    <w:p w14:paraId="25635725" w14:textId="70015741" w:rsidR="00FD1465" w:rsidRDefault="00FD1465" w:rsidP="00FD1465">
      <w:pPr>
        <w:pStyle w:val="DPCtablefigurefootnote"/>
        <w:numPr>
          <w:ilvl w:val="0"/>
          <w:numId w:val="27"/>
        </w:numPr>
      </w:pPr>
      <w:r>
        <w:t xml:space="preserve">If data is not ‘sensitive’, </w:t>
      </w:r>
      <w:r w:rsidR="003B653D">
        <w:t>the Provider should consider releasing it as open data, a</w:t>
      </w:r>
      <w:r w:rsidR="003B653D">
        <w:rPr>
          <w:lang w:val="en-US"/>
        </w:rPr>
        <w:t xml:space="preserve">s per Principle 4 of the </w:t>
      </w:r>
      <w:r w:rsidR="004F3E1A" w:rsidRPr="004F3E1A">
        <w:rPr>
          <w:lang w:val="en-US"/>
        </w:rPr>
        <w:t>Information Management Policy</w:t>
      </w:r>
      <w:r w:rsidR="003B653D">
        <w:rPr>
          <w:lang w:val="en-US"/>
        </w:rPr>
        <w:t xml:space="preserve"> and Principle 1 of the </w:t>
      </w:r>
      <w:r w:rsidR="004F3E1A" w:rsidRPr="004F3E1A">
        <w:rPr>
          <w:lang w:val="en-US"/>
        </w:rPr>
        <w:t>DataVic Access Policy Guidelines For The Victorian Public Sector</w:t>
      </w:r>
      <w:r w:rsidR="003B653D" w:rsidRPr="009143BF">
        <w:t xml:space="preserve">. Refer to </w:t>
      </w:r>
      <w:r w:rsidR="003B653D">
        <w:t>the DataVic</w:t>
      </w:r>
      <w:r w:rsidR="003B653D" w:rsidRPr="009143BF">
        <w:t xml:space="preserve"> </w:t>
      </w:r>
      <w:r w:rsidR="003B653D">
        <w:t>Access Policy G</w:t>
      </w:r>
      <w:r w:rsidR="003B653D" w:rsidRPr="009143BF">
        <w:t>uideline for information on what data should</w:t>
      </w:r>
      <w:r w:rsidR="003B653D">
        <w:t xml:space="preserve"> and should not</w:t>
      </w:r>
      <w:r w:rsidR="003B653D" w:rsidRPr="009143BF">
        <w:t xml:space="preserve"> be made available.</w:t>
      </w:r>
    </w:p>
    <w:p w14:paraId="033545A5" w14:textId="73D42B88" w:rsidR="003B653D" w:rsidRDefault="003B653D" w:rsidP="00FD1465">
      <w:pPr>
        <w:pStyle w:val="DPCtablefigurefootnote"/>
        <w:numPr>
          <w:ilvl w:val="0"/>
          <w:numId w:val="27"/>
        </w:numPr>
      </w:pPr>
      <w:r>
        <w:t xml:space="preserve">Refer to </w:t>
      </w:r>
      <w:r w:rsidR="004F3E1A" w:rsidRPr="004F3E1A">
        <w:t xml:space="preserve">Creative Commons </w:t>
      </w:r>
      <w:r w:rsidR="004F3E1A" w:rsidRPr="004F3E1A">
        <w:rPr>
          <w:rStyle w:val="FootnoteTextChar"/>
        </w:rPr>
        <w:t>Australia</w:t>
      </w:r>
      <w:r w:rsidRPr="004F3E1A">
        <w:rPr>
          <w:rStyle w:val="FootnoteTextChar"/>
        </w:rPr>
        <w:t xml:space="preserve"> (who</w:t>
      </w:r>
      <w:r>
        <w:rPr>
          <w:rStyle w:val="Hyperlink"/>
        </w:rPr>
        <w:t xml:space="preserve"> </w:t>
      </w:r>
      <w:r>
        <w:t xml:space="preserve">provide copyright licences to facilitate sharing and reuse of creative content) and DTF’s </w:t>
      </w:r>
      <w:hyperlink r:id="rId47" w:history="1">
        <w:r w:rsidRPr="003B012F">
          <w:rPr>
            <w:rStyle w:val="Hyperlink"/>
            <w:lang w:val="en-US"/>
          </w:rPr>
          <w:t>Intellectual Property Guidelines for the Victorian Public Sector</w:t>
        </w:r>
      </w:hyperlink>
      <w:r w:rsidRPr="000B6EBB">
        <w:t xml:space="preserve"> for further guidance</w:t>
      </w:r>
      <w:r>
        <w:t>.</w:t>
      </w:r>
    </w:p>
    <w:p w14:paraId="2D96EC28" w14:textId="5D95223B" w:rsidR="008C6DDA" w:rsidRDefault="000136F3" w:rsidP="000136F3">
      <w:pPr>
        <w:pStyle w:val="DPCtablefigurefootnote"/>
        <w:numPr>
          <w:ilvl w:val="0"/>
          <w:numId w:val="27"/>
        </w:numPr>
      </w:pPr>
      <w:r>
        <w:t xml:space="preserve">For example, a requestor </w:t>
      </w:r>
      <w:r w:rsidR="008C6DDA">
        <w:t xml:space="preserve">internal </w:t>
      </w:r>
      <w:r>
        <w:t xml:space="preserve">to the organisation Department of Health and Human Services (DHHS) is a person within </w:t>
      </w:r>
      <w:r w:rsidR="008C6DDA">
        <w:t xml:space="preserve">a </w:t>
      </w:r>
      <w:r w:rsidR="00553934">
        <w:t xml:space="preserve">branch, </w:t>
      </w:r>
      <w:r w:rsidR="008C6DDA">
        <w:t xml:space="preserve">division or business unit of </w:t>
      </w:r>
      <w:r>
        <w:t xml:space="preserve">DHHS. Other ‘bodies’ (agencies, statutory bodies, etc.) related to DHHS, such as </w:t>
      </w:r>
      <w:r w:rsidRPr="000136F3">
        <w:t>Family Safety Victoria</w:t>
      </w:r>
      <w:r>
        <w:t xml:space="preserve"> (FSV) and the </w:t>
      </w:r>
      <w:r w:rsidRPr="000136F3">
        <w:t>Victorian Agency for Health Information</w:t>
      </w:r>
      <w:r>
        <w:t xml:space="preserve"> (VAHI) are considered external to the organisation of DHHS.</w:t>
      </w:r>
    </w:p>
    <w:p w14:paraId="62C83BC8" w14:textId="77777777" w:rsidR="00FD1465" w:rsidRDefault="00FD1465" w:rsidP="000B6EBB">
      <w:pPr>
        <w:pStyle w:val="DPCtablefigurefootnote"/>
      </w:pPr>
    </w:p>
    <w:p w14:paraId="541AC404" w14:textId="77777777" w:rsidR="00A058A6" w:rsidRDefault="00A058A6" w:rsidP="00A058A6">
      <w:pPr>
        <w:pStyle w:val="DPCbody"/>
      </w:pPr>
      <w:r>
        <w:t>Further guidance is provided on the recommended type and format of arrangement to suit certain circumstances in the Data Exchange Guideline.</w:t>
      </w:r>
    </w:p>
    <w:p w14:paraId="4A1551AB" w14:textId="076E16ED" w:rsidR="005B0958" w:rsidRDefault="00F1308B" w:rsidP="007A578D">
      <w:pPr>
        <w:pStyle w:val="DPCbody"/>
      </w:pPr>
      <w:r>
        <w:fldChar w:fldCharType="begin"/>
      </w:r>
      <w:r>
        <w:instrText xml:space="preserve"> REF _Ref5869253 \h </w:instrText>
      </w:r>
      <w:r>
        <w:fldChar w:fldCharType="separate"/>
      </w:r>
      <w:r w:rsidR="0035469F">
        <w:t xml:space="preserve">Table </w:t>
      </w:r>
      <w:r w:rsidR="0035469F">
        <w:rPr>
          <w:noProof/>
        </w:rPr>
        <w:t>2</w:t>
      </w:r>
      <w:r>
        <w:fldChar w:fldCharType="end"/>
      </w:r>
      <w:r>
        <w:t xml:space="preserve"> </w:t>
      </w:r>
      <w:r w:rsidR="00532666">
        <w:t>b</w:t>
      </w:r>
      <w:r>
        <w:t>e</w:t>
      </w:r>
      <w:r w:rsidR="00532666">
        <w:t>low</w:t>
      </w:r>
      <w:r w:rsidR="005856BA">
        <w:t xml:space="preserve"> </w:t>
      </w:r>
      <w:r w:rsidR="008F65BC">
        <w:t xml:space="preserve">describes the minimum </w:t>
      </w:r>
      <w:r w:rsidR="00D353DF">
        <w:t>requirements</w:t>
      </w:r>
      <w:r w:rsidR="008F65BC">
        <w:t xml:space="preserve"> for creating the </w:t>
      </w:r>
      <w:r w:rsidR="005A2808">
        <w:t xml:space="preserve">different types of </w:t>
      </w:r>
      <w:r w:rsidR="008F65BC">
        <w:t>data sharing arrangements</w:t>
      </w:r>
      <w:r w:rsidR="005A2808">
        <w:t xml:space="preserve"> (excluding licences such as creative commons</w:t>
      </w:r>
      <w:r w:rsidR="00EC1964">
        <w:t>,</w:t>
      </w:r>
      <w:r w:rsidR="005A2808">
        <w:t xml:space="preserve"> which will have their own terms and conditions)</w:t>
      </w:r>
      <w:r w:rsidR="004A4820">
        <w:t>.</w:t>
      </w:r>
      <w:r w:rsidR="00A53E7A">
        <w:t xml:space="preserve"> These requirements are additional to standard terms and conditions found in a legal arrangement such as definitions, interpretations,</w:t>
      </w:r>
      <w:r w:rsidR="00947329">
        <w:t xml:space="preserve"> </w:t>
      </w:r>
      <w:r w:rsidR="00EE1795" w:rsidRPr="00EE1795">
        <w:t>compliance with laws</w:t>
      </w:r>
      <w:r w:rsidR="00EE1795">
        <w:t xml:space="preserve">, </w:t>
      </w:r>
      <w:r w:rsidR="00947329">
        <w:t>dispute resolution, variations</w:t>
      </w:r>
      <w:r w:rsidR="00802A4C">
        <w:t xml:space="preserve">, breach provisions </w:t>
      </w:r>
      <w:r w:rsidR="00947329">
        <w:t>and termination.</w:t>
      </w:r>
      <w:r w:rsidR="005A2808">
        <w:t xml:space="preserve"> </w:t>
      </w:r>
    </w:p>
    <w:p w14:paraId="01C5846D" w14:textId="51C274D3" w:rsidR="00B27097" w:rsidRDefault="00B27097" w:rsidP="00B27097">
      <w:pPr>
        <w:pStyle w:val="DPCbody"/>
      </w:pPr>
      <w:r>
        <w:t>In the case of a formal arrangement (excluding licen</w:t>
      </w:r>
      <w:r w:rsidR="001C597F">
        <w:t>s</w:t>
      </w:r>
      <w:r>
        <w:t>e</w:t>
      </w:r>
      <w:r w:rsidR="00CE3495">
        <w:t>s</w:t>
      </w:r>
      <w:r>
        <w:t xml:space="preserve">), if more than one dataset is to be exchanged with the same Requestor, it is recommended that </w:t>
      </w:r>
      <w:r w:rsidR="00D16406">
        <w:t xml:space="preserve">general requirements that apply to any data </w:t>
      </w:r>
      <w:r w:rsidR="00D16406">
        <w:lastRenderedPageBreak/>
        <w:t xml:space="preserve">exchange be captured in the terms of the arrangement and </w:t>
      </w:r>
      <w:r w:rsidR="00CE3495">
        <w:t xml:space="preserve">any </w:t>
      </w:r>
      <w:r w:rsidR="00A058A6">
        <w:t xml:space="preserve">specific </w:t>
      </w:r>
      <w:r w:rsidR="00D16406">
        <w:t xml:space="preserve">requirements </w:t>
      </w:r>
      <w:r w:rsidR="00A058A6">
        <w:t>around dataset</w:t>
      </w:r>
      <w:r w:rsidR="00D16406">
        <w:t>s</w:t>
      </w:r>
      <w:r w:rsidR="00A058A6">
        <w:t xml:space="preserve"> be captured in </w:t>
      </w:r>
      <w:r w:rsidR="00D16406">
        <w:t xml:space="preserve">the </w:t>
      </w:r>
      <w:r w:rsidR="00A058A6">
        <w:t>schedule</w:t>
      </w:r>
      <w:r w:rsidR="00D16406">
        <w:t xml:space="preserve">s (i.e. each dataset </w:t>
      </w:r>
      <w:r w:rsidR="00CE3495">
        <w:t>should have</w:t>
      </w:r>
      <w:r w:rsidR="00D16406">
        <w:t xml:space="preserve"> its own schedule)</w:t>
      </w:r>
      <w:r w:rsidR="00A058A6">
        <w:t>.</w:t>
      </w:r>
    </w:p>
    <w:p w14:paraId="4D640173" w14:textId="77777777" w:rsidR="001764AC" w:rsidRDefault="001764AC" w:rsidP="00FB6B7F">
      <w:pPr>
        <w:pStyle w:val="DPCbody"/>
      </w:pPr>
    </w:p>
    <w:p w14:paraId="6A46CD3C" w14:textId="0750E61C" w:rsidR="006F5CB1" w:rsidRDefault="00D353DF" w:rsidP="00D55788">
      <w:pPr>
        <w:pStyle w:val="DPCtablecaption"/>
      </w:pPr>
      <w:bookmarkStart w:id="6" w:name="_Ref5869253"/>
      <w:bookmarkStart w:id="7" w:name="_Ref6217944"/>
      <w:bookmarkStart w:id="8" w:name="_Ref7431001"/>
      <w:r>
        <w:t xml:space="preserve">Table </w:t>
      </w:r>
      <w:r w:rsidR="00A47BB2">
        <w:rPr>
          <w:noProof/>
        </w:rPr>
        <w:fldChar w:fldCharType="begin"/>
      </w:r>
      <w:r w:rsidR="00A47BB2">
        <w:rPr>
          <w:noProof/>
        </w:rPr>
        <w:instrText xml:space="preserve"> SEQ Table \* ARABIC </w:instrText>
      </w:r>
      <w:r w:rsidR="00A47BB2">
        <w:rPr>
          <w:noProof/>
        </w:rPr>
        <w:fldChar w:fldCharType="separate"/>
      </w:r>
      <w:r w:rsidR="0035469F">
        <w:rPr>
          <w:noProof/>
        </w:rPr>
        <w:t>2</w:t>
      </w:r>
      <w:r w:rsidR="00A47BB2">
        <w:rPr>
          <w:noProof/>
        </w:rPr>
        <w:fldChar w:fldCharType="end"/>
      </w:r>
      <w:bookmarkEnd w:id="6"/>
      <w:r>
        <w:t>:</w:t>
      </w:r>
      <w:bookmarkEnd w:id="7"/>
      <w:r>
        <w:t xml:space="preserve"> </w:t>
      </w:r>
      <w:r w:rsidR="00DB53CB" w:rsidRPr="00DB53CB">
        <w:t>Minimum requirements for a data exchange arrangement</w:t>
      </w:r>
      <w:bookmarkEnd w:id="8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93"/>
        <w:gridCol w:w="3517"/>
        <w:gridCol w:w="1784"/>
        <w:gridCol w:w="1512"/>
        <w:gridCol w:w="1512"/>
      </w:tblGrid>
      <w:tr w:rsidR="00D55788" w:rsidRPr="00D55788" w14:paraId="33BE5991" w14:textId="77777777" w:rsidTr="000B6EBB">
        <w:trPr>
          <w:trHeight w:val="260"/>
          <w:tblHeader/>
        </w:trPr>
        <w:tc>
          <w:tcPr>
            <w:tcW w:w="1593" w:type="dxa"/>
            <w:vMerge w:val="restart"/>
            <w:hideMark/>
          </w:tcPr>
          <w:p w14:paraId="248B737C" w14:textId="0C83433F" w:rsidR="00AF2EB2" w:rsidRPr="00D55788" w:rsidRDefault="00D353DF" w:rsidP="00D55788">
            <w:pPr>
              <w:pStyle w:val="DPCtablecolhead"/>
              <w:rPr>
                <w:lang w:val="en-US"/>
              </w:rPr>
            </w:pPr>
            <w:r w:rsidRPr="00D55788">
              <w:rPr>
                <w:lang w:val="en-US"/>
              </w:rPr>
              <w:t>Requirement</w:t>
            </w:r>
          </w:p>
        </w:tc>
        <w:tc>
          <w:tcPr>
            <w:tcW w:w="3517" w:type="dxa"/>
            <w:vMerge w:val="restart"/>
            <w:hideMark/>
          </w:tcPr>
          <w:p w14:paraId="14DA23C2" w14:textId="77777777" w:rsidR="00AF2EB2" w:rsidRPr="00D55788" w:rsidRDefault="00AF2EB2" w:rsidP="00D55788">
            <w:pPr>
              <w:pStyle w:val="DPCtablecolhead"/>
              <w:rPr>
                <w:lang w:val="en-US"/>
              </w:rPr>
            </w:pPr>
            <w:r w:rsidRPr="00D55788">
              <w:rPr>
                <w:lang w:val="en-US"/>
              </w:rPr>
              <w:t>Description</w:t>
            </w:r>
          </w:p>
        </w:tc>
        <w:tc>
          <w:tcPr>
            <w:tcW w:w="4808" w:type="dxa"/>
            <w:gridSpan w:val="3"/>
            <w:noWrap/>
            <w:hideMark/>
          </w:tcPr>
          <w:p w14:paraId="0F9A7670" w14:textId="77777777" w:rsidR="00AF2EB2" w:rsidRPr="00D55788" w:rsidRDefault="00AF2EB2" w:rsidP="001764AC">
            <w:pPr>
              <w:pStyle w:val="DPCtablecolhead"/>
              <w:jc w:val="center"/>
              <w:rPr>
                <w:lang w:val="en-US"/>
              </w:rPr>
            </w:pPr>
            <w:r w:rsidRPr="00D55788">
              <w:rPr>
                <w:lang w:val="en-US"/>
              </w:rPr>
              <w:t>Arrangement type (Applicability)</w:t>
            </w:r>
          </w:p>
        </w:tc>
      </w:tr>
      <w:tr w:rsidR="005A2808" w:rsidRPr="00D55788" w14:paraId="151A6FF9" w14:textId="77777777" w:rsidTr="004A14C9">
        <w:trPr>
          <w:trHeight w:val="510"/>
          <w:tblHeader/>
        </w:trPr>
        <w:tc>
          <w:tcPr>
            <w:tcW w:w="1593" w:type="dxa"/>
            <w:vMerge/>
          </w:tcPr>
          <w:p w14:paraId="4D866CB0" w14:textId="77777777" w:rsidR="005A2808" w:rsidRPr="00D55788" w:rsidRDefault="005A2808" w:rsidP="00D55788">
            <w:pPr>
              <w:pStyle w:val="DPCtablecolhead"/>
              <w:rPr>
                <w:lang w:val="en-US"/>
              </w:rPr>
            </w:pPr>
          </w:p>
        </w:tc>
        <w:tc>
          <w:tcPr>
            <w:tcW w:w="3517" w:type="dxa"/>
            <w:vMerge/>
          </w:tcPr>
          <w:p w14:paraId="39048C7B" w14:textId="77777777" w:rsidR="005A2808" w:rsidRPr="00D55788" w:rsidRDefault="005A2808" w:rsidP="00D55788">
            <w:pPr>
              <w:pStyle w:val="DPCtablecolhead"/>
              <w:rPr>
                <w:lang w:val="en-US"/>
              </w:rPr>
            </w:pPr>
          </w:p>
        </w:tc>
        <w:tc>
          <w:tcPr>
            <w:tcW w:w="3296" w:type="dxa"/>
            <w:gridSpan w:val="2"/>
            <w:tcBorders>
              <w:right w:val="single" w:sz="4" w:space="0" w:color="auto"/>
            </w:tcBorders>
          </w:tcPr>
          <w:p w14:paraId="2D1945FE" w14:textId="2159AA73" w:rsidR="005A2808" w:rsidRPr="00D5578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Non-legally </w:t>
            </w:r>
            <w:r w:rsidR="00E3408D">
              <w:rPr>
                <w:lang w:val="en-US"/>
              </w:rPr>
              <w:br/>
            </w:r>
            <w:r>
              <w:rPr>
                <w:lang w:val="en-US"/>
              </w:rPr>
              <w:t>binding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14:paraId="3D9EEDED" w14:textId="36A18387" w:rsidR="005A2808" w:rsidRPr="00D55788" w:rsidRDefault="005A2808">
            <w:pPr>
              <w:pStyle w:val="DPCtablecolhead"/>
              <w:jc w:val="center"/>
              <w:rPr>
                <w:lang w:val="en-US"/>
              </w:rPr>
            </w:pPr>
            <w:r w:rsidRPr="00D55788">
              <w:rPr>
                <w:lang w:val="en-US"/>
              </w:rPr>
              <w:t>Legally binding</w:t>
            </w:r>
          </w:p>
        </w:tc>
      </w:tr>
      <w:tr w:rsidR="00D55788" w:rsidRPr="00D55788" w14:paraId="3B53CEE2" w14:textId="77777777" w:rsidTr="000B6EBB">
        <w:trPr>
          <w:trHeight w:val="510"/>
          <w:tblHeader/>
        </w:trPr>
        <w:tc>
          <w:tcPr>
            <w:tcW w:w="1593" w:type="dxa"/>
            <w:vMerge/>
            <w:hideMark/>
          </w:tcPr>
          <w:p w14:paraId="59D7F51C" w14:textId="77777777" w:rsidR="00AF2EB2" w:rsidRPr="00D55788" w:rsidRDefault="00AF2EB2" w:rsidP="00D55788">
            <w:pPr>
              <w:pStyle w:val="DPCtablecolhead"/>
              <w:rPr>
                <w:lang w:val="en-US"/>
              </w:rPr>
            </w:pPr>
          </w:p>
        </w:tc>
        <w:tc>
          <w:tcPr>
            <w:tcW w:w="3517" w:type="dxa"/>
            <w:vMerge/>
            <w:hideMark/>
          </w:tcPr>
          <w:p w14:paraId="4CE32177" w14:textId="77777777" w:rsidR="00AF2EB2" w:rsidRPr="00D55788" w:rsidRDefault="00AF2EB2" w:rsidP="00D55788">
            <w:pPr>
              <w:pStyle w:val="DPCtablecolhead"/>
              <w:rPr>
                <w:lang w:val="en-US"/>
              </w:rPr>
            </w:pPr>
          </w:p>
        </w:tc>
        <w:tc>
          <w:tcPr>
            <w:tcW w:w="1784" w:type="dxa"/>
            <w:tcBorders>
              <w:right w:val="single" w:sz="4" w:space="0" w:color="auto"/>
            </w:tcBorders>
            <w:hideMark/>
          </w:tcPr>
          <w:p w14:paraId="491F3761" w14:textId="7400878B" w:rsidR="005A280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Informal</w:t>
            </w:r>
          </w:p>
          <w:p w14:paraId="4087BA75" w14:textId="2D13CE03" w:rsidR="005A2808" w:rsidRPr="00D5578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(e.g. email)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18EDE0" w14:textId="3AE48813" w:rsidR="005A280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Formal</w:t>
            </w:r>
          </w:p>
          <w:p w14:paraId="3208E762" w14:textId="40D48D7D" w:rsidR="005A2808" w:rsidRPr="00D5578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(e.g. MOU, LOU)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hideMark/>
          </w:tcPr>
          <w:p w14:paraId="2A75ACC3" w14:textId="6C4512CC" w:rsidR="005A280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Formal</w:t>
            </w:r>
          </w:p>
          <w:p w14:paraId="1AA15C04" w14:textId="5ACBF430" w:rsidR="005A2808" w:rsidRPr="00D55788" w:rsidRDefault="005A2808" w:rsidP="00D55788">
            <w:pPr>
              <w:pStyle w:val="DPCtablecolhead"/>
              <w:jc w:val="center"/>
              <w:rPr>
                <w:lang w:val="en-US"/>
              </w:rPr>
            </w:pPr>
            <w:r>
              <w:rPr>
                <w:lang w:val="en-US"/>
              </w:rPr>
              <w:t>(Legal Agreement)</w:t>
            </w:r>
          </w:p>
        </w:tc>
      </w:tr>
      <w:tr w:rsidR="00AF2EB2" w:rsidRPr="00CE68F0" w14:paraId="17A764BF" w14:textId="77777777" w:rsidTr="000B6EBB">
        <w:trPr>
          <w:trHeight w:val="510"/>
        </w:trPr>
        <w:tc>
          <w:tcPr>
            <w:tcW w:w="1593" w:type="dxa"/>
            <w:hideMark/>
          </w:tcPr>
          <w:p w14:paraId="19348E3E" w14:textId="63D83D2B" w:rsidR="00AF2EB2" w:rsidRPr="00CE68F0" w:rsidRDefault="008062BC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Purpose</w:t>
            </w:r>
          </w:p>
        </w:tc>
        <w:tc>
          <w:tcPr>
            <w:tcW w:w="3517" w:type="dxa"/>
            <w:hideMark/>
          </w:tcPr>
          <w:p w14:paraId="1041A7B5" w14:textId="40FFABB0" w:rsidR="00AF2EB2" w:rsidRPr="00CE68F0" w:rsidRDefault="0067066C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The purpose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 of the </w:t>
            </w:r>
            <w:r w:rsidR="008759BE" w:rsidRPr="00CE68F0">
              <w:rPr>
                <w:sz w:val="18"/>
                <w:szCs w:val="18"/>
                <w:lang w:val="en-US"/>
              </w:rPr>
              <w:t xml:space="preserve">initiative </w:t>
            </w:r>
            <w:r w:rsidR="00AF2EB2" w:rsidRPr="00CE68F0">
              <w:rPr>
                <w:sz w:val="18"/>
                <w:szCs w:val="18"/>
                <w:lang w:val="en-US"/>
              </w:rPr>
              <w:t>that underpins the data exchange</w:t>
            </w:r>
            <w:r w:rsidRPr="00CE68F0">
              <w:rPr>
                <w:sz w:val="18"/>
                <w:szCs w:val="18"/>
                <w:lang w:val="en-US"/>
              </w:rPr>
              <w:t xml:space="preserve">, including the associated 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outputs, benefits and outcomes </w:t>
            </w:r>
            <w:r w:rsidR="00D55788" w:rsidRPr="00CE68F0">
              <w:rPr>
                <w:sz w:val="18"/>
                <w:szCs w:val="18"/>
                <w:lang w:val="en-US"/>
              </w:rPr>
              <w:t xml:space="preserve">to </w:t>
            </w:r>
            <w:r w:rsidR="00AF2EB2" w:rsidRPr="00CE68F0">
              <w:rPr>
                <w:sz w:val="18"/>
                <w:szCs w:val="18"/>
                <w:lang w:val="en-US"/>
              </w:rPr>
              <w:t>be achieved</w:t>
            </w:r>
            <w:r w:rsidR="008759BE" w:rsidRPr="00CE68F0">
              <w:rPr>
                <w:sz w:val="18"/>
                <w:szCs w:val="18"/>
                <w:lang w:val="en-US"/>
              </w:rPr>
              <w:t xml:space="preserve"> and how the data will be used to achieve these benefits and outcomes.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41CB93A9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EC8A1E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427B84EE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6CC56F86" w14:textId="77777777" w:rsidTr="000B6EBB">
        <w:trPr>
          <w:trHeight w:val="510"/>
        </w:trPr>
        <w:tc>
          <w:tcPr>
            <w:tcW w:w="1593" w:type="dxa"/>
            <w:hideMark/>
          </w:tcPr>
          <w:p w14:paraId="0BD0B567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Background</w:t>
            </w:r>
          </w:p>
        </w:tc>
        <w:tc>
          <w:tcPr>
            <w:tcW w:w="3517" w:type="dxa"/>
            <w:hideMark/>
          </w:tcPr>
          <w:p w14:paraId="60CBE4DE" w14:textId="209117E0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Context around </w:t>
            </w:r>
            <w:r w:rsidR="00532666" w:rsidRPr="00CE68F0">
              <w:rPr>
                <w:sz w:val="18"/>
                <w:szCs w:val="18"/>
                <w:lang w:val="en-US"/>
              </w:rPr>
              <w:t xml:space="preserve">the </w:t>
            </w:r>
            <w:r w:rsidR="008759BE" w:rsidRPr="00CE68F0">
              <w:rPr>
                <w:sz w:val="18"/>
                <w:szCs w:val="18"/>
                <w:lang w:val="en-US"/>
              </w:rPr>
              <w:t>initiative</w:t>
            </w:r>
            <w:r w:rsidRPr="00CE68F0">
              <w:rPr>
                <w:sz w:val="18"/>
                <w:szCs w:val="18"/>
                <w:lang w:val="en-US"/>
              </w:rPr>
              <w:t xml:space="preserve"> and the basis for the data exchange including relevant statutory powers, government policies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, operational needs </w:t>
            </w:r>
            <w:r w:rsidRPr="00CE68F0">
              <w:rPr>
                <w:sz w:val="18"/>
                <w:szCs w:val="18"/>
                <w:lang w:val="en-US"/>
              </w:rPr>
              <w:t>and organisational strategic directives.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0917F830" w14:textId="04780B1C" w:rsidR="00AF2EB2" w:rsidRPr="00CE68F0" w:rsidRDefault="00F65731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98ED40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40D2A9B6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188AB834" w14:textId="77777777" w:rsidTr="000B6EBB">
        <w:trPr>
          <w:trHeight w:val="260"/>
        </w:trPr>
        <w:tc>
          <w:tcPr>
            <w:tcW w:w="1593" w:type="dxa"/>
            <w:hideMark/>
          </w:tcPr>
          <w:p w14:paraId="6D5461A9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Period of agreement</w:t>
            </w:r>
          </w:p>
        </w:tc>
        <w:tc>
          <w:tcPr>
            <w:tcW w:w="3517" w:type="dxa"/>
            <w:hideMark/>
          </w:tcPr>
          <w:p w14:paraId="59338582" w14:textId="72DE53D1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Commencement date of </w:t>
            </w:r>
            <w:r w:rsidR="00AB0A37" w:rsidRPr="00CE68F0">
              <w:rPr>
                <w:sz w:val="18"/>
                <w:szCs w:val="18"/>
                <w:lang w:val="en-US"/>
              </w:rPr>
              <w:t xml:space="preserve">the </w:t>
            </w:r>
            <w:r w:rsidRPr="00CE68F0">
              <w:rPr>
                <w:sz w:val="18"/>
                <w:szCs w:val="18"/>
                <w:lang w:val="en-US"/>
              </w:rPr>
              <w:t>agreement, how long the agreement will be in place and / or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 the</w:t>
            </w:r>
            <w:r w:rsidRPr="00CE68F0">
              <w:rPr>
                <w:sz w:val="18"/>
                <w:szCs w:val="18"/>
                <w:lang w:val="en-US"/>
              </w:rPr>
              <w:t xml:space="preserve"> end date.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2895A279" w14:textId="6F85BA1D" w:rsidR="00AF2EB2" w:rsidRPr="00CE68F0" w:rsidRDefault="00CE5C05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F86B20F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3D69A27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075875EC" w14:textId="77777777" w:rsidTr="000B6EBB">
        <w:trPr>
          <w:trHeight w:val="510"/>
        </w:trPr>
        <w:tc>
          <w:tcPr>
            <w:tcW w:w="1593" w:type="dxa"/>
            <w:hideMark/>
          </w:tcPr>
          <w:p w14:paraId="1CC957DE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Key contacts</w:t>
            </w:r>
          </w:p>
        </w:tc>
        <w:tc>
          <w:tcPr>
            <w:tcW w:w="3517" w:type="dxa"/>
            <w:hideMark/>
          </w:tcPr>
          <w:p w14:paraId="733CA33B" w14:textId="753125EE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Names, roles and contact details of the appointed representatives of 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each party to </w:t>
            </w:r>
            <w:r w:rsidRPr="00CE68F0">
              <w:rPr>
                <w:sz w:val="18"/>
                <w:szCs w:val="18"/>
                <w:lang w:val="en-US"/>
              </w:rPr>
              <w:t>the data exchange arrangement.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784F087D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059F92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71C756C3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18F5BFE5" w14:textId="77777777" w:rsidTr="000B6EBB">
        <w:trPr>
          <w:trHeight w:val="510"/>
        </w:trPr>
        <w:tc>
          <w:tcPr>
            <w:tcW w:w="1593" w:type="dxa"/>
            <w:hideMark/>
          </w:tcPr>
          <w:p w14:paraId="67B0949B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Obligations</w:t>
            </w:r>
          </w:p>
        </w:tc>
        <w:tc>
          <w:tcPr>
            <w:tcW w:w="3517" w:type="dxa"/>
            <w:hideMark/>
          </w:tcPr>
          <w:p w14:paraId="7C41EF26" w14:textId="12DC8BD1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The roles and responsibilities of each party, governance structures in relation to the arrangement and that all appropriate authorisations have been sought. This may include principles around data exchange.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088073C7" w14:textId="28DD0B62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Conditional </w:t>
            </w:r>
            <w:r w:rsidR="005A2808" w:rsidRPr="00CE68F0">
              <w:rPr>
                <w:sz w:val="18"/>
                <w:szCs w:val="18"/>
                <w:lang w:val="en-US"/>
              </w:rPr>
              <w:br/>
            </w:r>
            <w:r w:rsidRPr="00CE68F0">
              <w:rPr>
                <w:sz w:val="18"/>
                <w:szCs w:val="18"/>
                <w:lang w:val="en-US"/>
              </w:rPr>
              <w:t>(1)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E64D3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182D327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72C41F66" w14:textId="77777777" w:rsidTr="000B6EBB">
        <w:trPr>
          <w:trHeight w:val="260"/>
        </w:trPr>
        <w:tc>
          <w:tcPr>
            <w:tcW w:w="1593" w:type="dxa"/>
            <w:hideMark/>
          </w:tcPr>
          <w:p w14:paraId="26CF84AB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Data description</w:t>
            </w:r>
          </w:p>
        </w:tc>
        <w:tc>
          <w:tcPr>
            <w:tcW w:w="3517" w:type="dxa"/>
            <w:hideMark/>
          </w:tcPr>
          <w:p w14:paraId="02214ABF" w14:textId="42A20311" w:rsidR="009C69EB" w:rsidRPr="00CE68F0" w:rsidRDefault="00AF2EB2" w:rsidP="004869F7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Description of the data being exchanged, including data types</w:t>
            </w:r>
            <w:r w:rsidR="008759BE" w:rsidRPr="00CE68F0">
              <w:rPr>
                <w:sz w:val="18"/>
                <w:szCs w:val="18"/>
                <w:lang w:val="en-US"/>
              </w:rPr>
              <w:t xml:space="preserve">, </w:t>
            </w:r>
            <w:r w:rsidR="00AB0A37" w:rsidRPr="00CE68F0">
              <w:rPr>
                <w:sz w:val="18"/>
                <w:szCs w:val="18"/>
                <w:lang w:val="en-US"/>
              </w:rPr>
              <w:t>timeframes (e.g. data from 2010 – 2018, broken down by month)</w:t>
            </w:r>
            <w:r w:rsidR="008759BE" w:rsidRPr="00CE68F0">
              <w:rPr>
                <w:sz w:val="18"/>
                <w:szCs w:val="18"/>
                <w:lang w:val="en-US"/>
              </w:rPr>
              <w:t>, data-related standards used (e.g. metadata standards, GIS standards</w:t>
            </w:r>
            <w:r w:rsidR="00532666" w:rsidRPr="00CE68F0">
              <w:rPr>
                <w:sz w:val="18"/>
                <w:szCs w:val="18"/>
                <w:lang w:val="en-US"/>
              </w:rPr>
              <w:t>, industry standards</w:t>
            </w:r>
            <w:r w:rsidR="008759BE" w:rsidRPr="00CE68F0">
              <w:rPr>
                <w:sz w:val="18"/>
                <w:szCs w:val="18"/>
                <w:lang w:val="en-US"/>
              </w:rPr>
              <w:t>), data security classification, whether the data has been de-identified and the method used.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523D44D2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86186A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1A63691C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2DF1B49D" w14:textId="77777777" w:rsidTr="000B6EBB">
        <w:trPr>
          <w:trHeight w:val="510"/>
        </w:trPr>
        <w:tc>
          <w:tcPr>
            <w:tcW w:w="1593" w:type="dxa"/>
            <w:hideMark/>
          </w:tcPr>
          <w:p w14:paraId="68F59027" w14:textId="4C7F50B3" w:rsidR="00AF2EB2" w:rsidRPr="00CE68F0" w:rsidRDefault="00AF2EB2" w:rsidP="00590D6A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Terms of use </w:t>
            </w:r>
            <w:r w:rsidR="00590D6A" w:rsidRPr="00CE68F0">
              <w:rPr>
                <w:sz w:val="18"/>
                <w:szCs w:val="18"/>
                <w:lang w:val="en-US"/>
              </w:rPr>
              <w:t>and</w:t>
            </w:r>
            <w:r w:rsidRPr="00CE68F0">
              <w:rPr>
                <w:sz w:val="18"/>
                <w:szCs w:val="18"/>
                <w:lang w:val="en-US"/>
              </w:rPr>
              <w:t xml:space="preserve"> disclosure</w:t>
            </w:r>
          </w:p>
        </w:tc>
        <w:tc>
          <w:tcPr>
            <w:tcW w:w="3517" w:type="dxa"/>
            <w:hideMark/>
          </w:tcPr>
          <w:p w14:paraId="74743740" w14:textId="244F58B3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How the data will be used</w:t>
            </w:r>
            <w:r w:rsidR="00A47BB2" w:rsidRPr="00CE68F0">
              <w:rPr>
                <w:sz w:val="18"/>
                <w:szCs w:val="18"/>
                <w:lang w:val="en-US"/>
              </w:rPr>
              <w:t>,</w:t>
            </w:r>
            <w:r w:rsidRPr="00CE68F0">
              <w:rPr>
                <w:sz w:val="18"/>
                <w:szCs w:val="18"/>
                <w:lang w:val="en-US"/>
              </w:rPr>
              <w:t xml:space="preserve"> joined 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or </w:t>
            </w:r>
            <w:r w:rsidRPr="00CE68F0">
              <w:rPr>
                <w:sz w:val="18"/>
                <w:szCs w:val="18"/>
                <w:lang w:val="en-US"/>
              </w:rPr>
              <w:t>integrated, de-identified</w:t>
            </w:r>
            <w:r w:rsidR="00CC044A" w:rsidRPr="00CE68F0">
              <w:rPr>
                <w:sz w:val="18"/>
                <w:szCs w:val="18"/>
                <w:lang w:val="en-US"/>
              </w:rPr>
              <w:t xml:space="preserve"> for privacy</w:t>
            </w:r>
            <w:bookmarkStart w:id="9" w:name="_Ref7438641"/>
            <w:r w:rsidR="005052C9" w:rsidRPr="00CE68F0">
              <w:rPr>
                <w:rStyle w:val="FootnoteReference"/>
                <w:sz w:val="18"/>
                <w:szCs w:val="18"/>
                <w:lang w:val="en-US"/>
              </w:rPr>
              <w:footnoteReference w:id="3"/>
            </w:r>
            <w:bookmarkEnd w:id="9"/>
            <w:r w:rsidRPr="00CE68F0">
              <w:rPr>
                <w:sz w:val="18"/>
                <w:szCs w:val="18"/>
                <w:lang w:val="en-US"/>
              </w:rPr>
              <w:t>, reproduced, published internally</w:t>
            </w:r>
            <w:r w:rsidR="00A47BB2" w:rsidRPr="00CE68F0">
              <w:rPr>
                <w:sz w:val="18"/>
                <w:szCs w:val="18"/>
                <w:lang w:val="en-US"/>
              </w:rPr>
              <w:t>,</w:t>
            </w:r>
            <w:r w:rsidRPr="00CE68F0">
              <w:rPr>
                <w:sz w:val="18"/>
                <w:szCs w:val="18"/>
                <w:lang w:val="en-US"/>
              </w:rPr>
              <w:t xml:space="preserve"> externally or not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 at all</w:t>
            </w:r>
            <w:r w:rsidRPr="00CE68F0">
              <w:rPr>
                <w:sz w:val="18"/>
                <w:szCs w:val="18"/>
                <w:lang w:val="en-US"/>
              </w:rPr>
              <w:t xml:space="preserve">, </w:t>
            </w:r>
            <w:r w:rsidR="00AD4389" w:rsidRPr="00CE68F0">
              <w:rPr>
                <w:sz w:val="18"/>
                <w:szCs w:val="18"/>
                <w:lang w:val="en-US"/>
              </w:rPr>
              <w:t xml:space="preserve">or </w:t>
            </w:r>
            <w:r w:rsidR="00590D6A" w:rsidRPr="00CE68F0">
              <w:rPr>
                <w:sz w:val="18"/>
                <w:szCs w:val="18"/>
                <w:lang w:val="en-US"/>
              </w:rPr>
              <w:t>commercialis</w:t>
            </w:r>
            <w:r w:rsidR="00BE1364" w:rsidRPr="00CE68F0">
              <w:rPr>
                <w:sz w:val="18"/>
                <w:szCs w:val="18"/>
                <w:lang w:val="en-US"/>
              </w:rPr>
              <w:t>ed.</w:t>
            </w:r>
          </w:p>
          <w:p w14:paraId="2FA80B00" w14:textId="16DA6F74" w:rsidR="00E7209E" w:rsidRPr="00CE68F0" w:rsidRDefault="00E7209E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With whom may the Requestor share or distribute the data or outputs resulting from using the data and under what conditions this may occur.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5CBAC8E1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(1)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B93D54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51726DF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61B5BC64" w14:textId="77777777" w:rsidTr="000B6EBB">
        <w:trPr>
          <w:trHeight w:val="510"/>
        </w:trPr>
        <w:tc>
          <w:tcPr>
            <w:tcW w:w="1593" w:type="dxa"/>
            <w:hideMark/>
          </w:tcPr>
          <w:p w14:paraId="2CAAA5A1" w14:textId="50E5E2A5" w:rsidR="00AF2EB2" w:rsidRPr="00CE68F0" w:rsidRDefault="006F5CB1" w:rsidP="004E32FB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Intellectual Property (IP) and l</w:t>
            </w:r>
            <w:r w:rsidR="00AF2EB2" w:rsidRPr="00CE68F0">
              <w:rPr>
                <w:sz w:val="18"/>
                <w:szCs w:val="18"/>
                <w:lang w:val="en-US"/>
              </w:rPr>
              <w:t>icen</w:t>
            </w:r>
            <w:r w:rsidR="004E32FB" w:rsidRPr="00CE68F0">
              <w:rPr>
                <w:sz w:val="18"/>
                <w:szCs w:val="18"/>
                <w:lang w:val="en-US"/>
              </w:rPr>
              <w:t>s</w:t>
            </w:r>
            <w:r w:rsidR="00AF2EB2" w:rsidRPr="00CE68F0">
              <w:rPr>
                <w:sz w:val="18"/>
                <w:szCs w:val="18"/>
                <w:lang w:val="en-US"/>
              </w:rPr>
              <w:t>ing</w:t>
            </w:r>
          </w:p>
        </w:tc>
        <w:tc>
          <w:tcPr>
            <w:tcW w:w="3517" w:type="dxa"/>
            <w:hideMark/>
          </w:tcPr>
          <w:p w14:paraId="29A0ECFA" w14:textId="3117272C" w:rsidR="00AF2EB2" w:rsidRPr="00CE68F0" w:rsidRDefault="00AF2EB2" w:rsidP="00BE1364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Who has ownership of the data and IP rights</w:t>
            </w:r>
            <w:r w:rsidR="000E4F2C" w:rsidRPr="00CE68F0">
              <w:rPr>
                <w:sz w:val="18"/>
                <w:szCs w:val="18"/>
                <w:lang w:val="en-US"/>
              </w:rPr>
              <w:t>?</w:t>
            </w:r>
            <w:r w:rsidRPr="00CE68F0">
              <w:rPr>
                <w:sz w:val="18"/>
                <w:szCs w:val="18"/>
                <w:lang w:val="en-US"/>
              </w:rPr>
              <w:t xml:space="preserve"> </w:t>
            </w:r>
            <w:r w:rsidR="000E4F2C" w:rsidRPr="00CE68F0">
              <w:rPr>
                <w:sz w:val="18"/>
                <w:szCs w:val="18"/>
                <w:lang w:val="en-US"/>
              </w:rPr>
              <w:t>W</w:t>
            </w:r>
            <w:r w:rsidRPr="00CE68F0">
              <w:rPr>
                <w:sz w:val="18"/>
                <w:szCs w:val="18"/>
                <w:lang w:val="en-US"/>
              </w:rPr>
              <w:t>ho will own any new IP developed</w:t>
            </w:r>
            <w:r w:rsidR="000E4F2C" w:rsidRPr="00CE68F0">
              <w:rPr>
                <w:sz w:val="18"/>
                <w:szCs w:val="18"/>
                <w:lang w:val="en-US"/>
              </w:rPr>
              <w:t>?</w:t>
            </w:r>
            <w:r w:rsidRPr="00CE68F0">
              <w:rPr>
                <w:sz w:val="18"/>
                <w:szCs w:val="18"/>
                <w:lang w:val="en-US"/>
              </w:rPr>
              <w:t xml:space="preserve"> </w:t>
            </w:r>
            <w:r w:rsidR="000E4F2C" w:rsidRPr="00CE68F0">
              <w:rPr>
                <w:sz w:val="18"/>
                <w:szCs w:val="18"/>
                <w:lang w:val="en-US"/>
              </w:rPr>
              <w:t xml:space="preserve">Can the </w:t>
            </w:r>
            <w:r w:rsidR="00532666" w:rsidRPr="00CE68F0">
              <w:rPr>
                <w:sz w:val="18"/>
                <w:szCs w:val="18"/>
                <w:lang w:val="en-US"/>
              </w:rPr>
              <w:t xml:space="preserve">Requestor </w:t>
            </w:r>
            <w:r w:rsidRPr="00CE68F0">
              <w:rPr>
                <w:sz w:val="18"/>
                <w:szCs w:val="18"/>
                <w:lang w:val="en-US"/>
              </w:rPr>
              <w:t xml:space="preserve">use the data for commercial purposes or building a brand </w:t>
            </w:r>
            <w:r w:rsidR="00065C6E" w:rsidRPr="00CE68F0">
              <w:rPr>
                <w:sz w:val="18"/>
                <w:szCs w:val="18"/>
                <w:lang w:val="en-US"/>
              </w:rPr>
              <w:t>or</w:t>
            </w:r>
            <w:r w:rsidRPr="00CE68F0">
              <w:rPr>
                <w:sz w:val="18"/>
                <w:szCs w:val="18"/>
                <w:lang w:val="en-US"/>
              </w:rPr>
              <w:t xml:space="preserve"> reputation and under what conditions</w:t>
            </w:r>
            <w:r w:rsidR="000E4F2C" w:rsidRPr="00CE68F0">
              <w:rPr>
                <w:sz w:val="18"/>
                <w:szCs w:val="18"/>
                <w:lang w:val="en-US"/>
              </w:rPr>
              <w:t>?</w:t>
            </w:r>
            <w:r w:rsidRPr="00CE68F0">
              <w:rPr>
                <w:sz w:val="18"/>
                <w:szCs w:val="18"/>
                <w:lang w:val="en-US"/>
              </w:rPr>
              <w:t xml:space="preserve"> This may include </w:t>
            </w:r>
            <w:r w:rsidR="00A47BB2" w:rsidRPr="00CE68F0">
              <w:rPr>
                <w:sz w:val="18"/>
                <w:szCs w:val="18"/>
                <w:lang w:val="en-US"/>
              </w:rPr>
              <w:t xml:space="preserve">a Creative Commons licence and associated </w:t>
            </w:r>
            <w:r w:rsidRPr="00CE68F0">
              <w:rPr>
                <w:sz w:val="18"/>
                <w:szCs w:val="18"/>
                <w:lang w:val="en-US"/>
              </w:rPr>
              <w:t>attribution.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1DB0045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A36F6D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0CF658B4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2B03EF1F" w14:textId="77777777" w:rsidTr="000B6EBB">
        <w:trPr>
          <w:trHeight w:val="540"/>
        </w:trPr>
        <w:tc>
          <w:tcPr>
            <w:tcW w:w="1593" w:type="dxa"/>
            <w:hideMark/>
          </w:tcPr>
          <w:p w14:paraId="683A994E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Data quality statement</w:t>
            </w:r>
          </w:p>
        </w:tc>
        <w:tc>
          <w:tcPr>
            <w:tcW w:w="3517" w:type="dxa"/>
            <w:hideMark/>
          </w:tcPr>
          <w:p w14:paraId="2B183A86" w14:textId="2A4A5673" w:rsidR="00AF2EB2" w:rsidRPr="00CE68F0" w:rsidRDefault="00016436" w:rsidP="00AB0A37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Details of the quality of the data. 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A data quality statement will be provided in the first instance and </w:t>
            </w:r>
            <w:r w:rsidR="00AB0A37" w:rsidRPr="00CE68F0">
              <w:rPr>
                <w:sz w:val="18"/>
                <w:szCs w:val="18"/>
                <w:lang w:val="en-US"/>
              </w:rPr>
              <w:t xml:space="preserve">updated 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when there are changes to the any of the seven data quality dimensions, in accordance with the </w:t>
            </w:r>
            <w:hyperlink r:id="rId48" w:history="1">
              <w:r w:rsidR="00AF2EB2" w:rsidRPr="00CE68F0">
                <w:rPr>
                  <w:rStyle w:val="Hyperlink"/>
                  <w:sz w:val="18"/>
                  <w:szCs w:val="18"/>
                  <w:lang w:val="en-US"/>
                </w:rPr>
                <w:t>Data Quality Standard</w:t>
              </w:r>
            </w:hyperlink>
            <w:r w:rsidR="00532666" w:rsidRPr="00CE68F0">
              <w:rPr>
                <w:rStyle w:val="Hyperlink"/>
                <w:sz w:val="18"/>
                <w:szCs w:val="18"/>
                <w:lang w:val="en-US"/>
              </w:rPr>
              <w:t>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5B8A03D0" w14:textId="45E5BEEE" w:rsidR="00AF2EB2" w:rsidRPr="00CE68F0" w:rsidRDefault="00D65709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(1)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C13A4C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07E6597E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010DB28A" w14:textId="77777777" w:rsidTr="000B6EBB">
        <w:trPr>
          <w:trHeight w:val="510"/>
        </w:trPr>
        <w:tc>
          <w:tcPr>
            <w:tcW w:w="1593" w:type="dxa"/>
            <w:hideMark/>
          </w:tcPr>
          <w:p w14:paraId="50F94284" w14:textId="1C66CF08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Data exchange and management</w:t>
            </w:r>
          </w:p>
        </w:tc>
        <w:tc>
          <w:tcPr>
            <w:tcW w:w="3517" w:type="dxa"/>
            <w:hideMark/>
          </w:tcPr>
          <w:p w14:paraId="05799C05" w14:textId="2C089B72" w:rsidR="00AF2EB2" w:rsidRPr="00CE68F0" w:rsidRDefault="00521F24" w:rsidP="005052C9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How the data will be </w:t>
            </w:r>
            <w:r w:rsidR="00AF2EB2" w:rsidRPr="00CE68F0">
              <w:rPr>
                <w:sz w:val="18"/>
                <w:szCs w:val="18"/>
                <w:lang w:val="en-US"/>
              </w:rPr>
              <w:t>transmi</w:t>
            </w:r>
            <w:r w:rsidRPr="00CE68F0">
              <w:rPr>
                <w:sz w:val="18"/>
                <w:szCs w:val="18"/>
                <w:lang w:val="en-US"/>
              </w:rPr>
              <w:t>tted (methods and standards) b</w:t>
            </w:r>
            <w:r w:rsidR="00BE1364" w:rsidRPr="00CE68F0">
              <w:rPr>
                <w:sz w:val="18"/>
                <w:szCs w:val="18"/>
                <w:lang w:val="en-US"/>
              </w:rPr>
              <w:t xml:space="preserve">y the Provider to the Requestor, </w:t>
            </w:r>
            <w:r w:rsidRPr="00CE68F0">
              <w:rPr>
                <w:sz w:val="18"/>
                <w:szCs w:val="18"/>
                <w:lang w:val="en-US"/>
              </w:rPr>
              <w:t>how the data will b</w:t>
            </w:r>
            <w:r w:rsidR="00BE1364" w:rsidRPr="00CE68F0">
              <w:rPr>
                <w:sz w:val="18"/>
                <w:szCs w:val="18"/>
                <w:lang w:val="en-US"/>
              </w:rPr>
              <w:t>e</w:t>
            </w:r>
            <w:r w:rsidRPr="00CE68F0">
              <w:rPr>
                <w:sz w:val="18"/>
                <w:szCs w:val="18"/>
                <w:lang w:val="en-US"/>
              </w:rPr>
              <w:t xml:space="preserve"> </w:t>
            </w:r>
            <w:r w:rsidR="00AF2EB2" w:rsidRPr="00CE68F0">
              <w:rPr>
                <w:sz w:val="18"/>
                <w:szCs w:val="18"/>
                <w:lang w:val="en-US"/>
              </w:rPr>
              <w:t>manage</w:t>
            </w:r>
            <w:r w:rsidRPr="00CE68F0">
              <w:rPr>
                <w:sz w:val="18"/>
                <w:szCs w:val="18"/>
                <w:lang w:val="en-US"/>
              </w:rPr>
              <w:t>d by the Requestor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, including </w:t>
            </w:r>
            <w:r w:rsidRPr="00CE68F0">
              <w:rPr>
                <w:sz w:val="18"/>
                <w:szCs w:val="18"/>
                <w:lang w:val="en-US"/>
              </w:rPr>
              <w:t xml:space="preserve">data </w:t>
            </w:r>
            <w:r w:rsidR="00AF2EB2" w:rsidRPr="00CE68F0">
              <w:rPr>
                <w:sz w:val="18"/>
                <w:szCs w:val="18"/>
                <w:lang w:val="en-US"/>
              </w:rPr>
              <w:t xml:space="preserve">security </w:t>
            </w:r>
            <w:r w:rsidR="004771FF" w:rsidRPr="00CE68F0">
              <w:rPr>
                <w:sz w:val="18"/>
                <w:szCs w:val="18"/>
                <w:lang w:val="en-US"/>
              </w:rPr>
              <w:t xml:space="preserve">and </w:t>
            </w:r>
            <w:r w:rsidR="005052C9" w:rsidRPr="00CE68F0">
              <w:rPr>
                <w:sz w:val="18"/>
                <w:szCs w:val="18"/>
                <w:lang w:val="en-US"/>
              </w:rPr>
              <w:t>privacy</w:t>
            </w:r>
            <w:r w:rsidR="005052C9" w:rsidRPr="00CE68F0">
              <w:rPr>
                <w:sz w:val="18"/>
                <w:szCs w:val="18"/>
                <w:vertAlign w:val="superscript"/>
                <w:lang w:val="en-US"/>
              </w:rPr>
              <w:fldChar w:fldCharType="begin"/>
            </w:r>
            <w:r w:rsidR="005052C9" w:rsidRPr="00CE68F0">
              <w:rPr>
                <w:sz w:val="18"/>
                <w:szCs w:val="18"/>
                <w:vertAlign w:val="superscript"/>
                <w:lang w:val="en-US"/>
              </w:rPr>
              <w:instrText xml:space="preserve"> NOTEREF _Ref7438641 \h  \* MERGEFORMAT </w:instrText>
            </w:r>
            <w:r w:rsidR="005052C9" w:rsidRPr="00CE68F0">
              <w:rPr>
                <w:sz w:val="18"/>
                <w:szCs w:val="18"/>
                <w:vertAlign w:val="superscript"/>
                <w:lang w:val="en-US"/>
              </w:rPr>
            </w:r>
            <w:r w:rsidR="005052C9" w:rsidRPr="00CE68F0">
              <w:rPr>
                <w:sz w:val="18"/>
                <w:szCs w:val="18"/>
                <w:vertAlign w:val="superscript"/>
                <w:lang w:val="en-US"/>
              </w:rPr>
              <w:fldChar w:fldCharType="separate"/>
            </w:r>
            <w:r w:rsidR="0035469F">
              <w:rPr>
                <w:sz w:val="18"/>
                <w:szCs w:val="18"/>
                <w:vertAlign w:val="superscript"/>
                <w:lang w:val="en-US"/>
              </w:rPr>
              <w:t>5</w:t>
            </w:r>
            <w:r w:rsidR="005052C9" w:rsidRPr="00CE68F0">
              <w:rPr>
                <w:sz w:val="18"/>
                <w:szCs w:val="18"/>
                <w:vertAlign w:val="superscript"/>
                <w:lang w:val="en-US"/>
              </w:rPr>
              <w:fldChar w:fldCharType="end"/>
            </w:r>
            <w:r w:rsidR="005052C9" w:rsidRPr="00CE68F0">
              <w:rPr>
                <w:sz w:val="18"/>
                <w:szCs w:val="18"/>
                <w:lang w:val="en-US"/>
              </w:rPr>
              <w:t xml:space="preserve"> (including </w:t>
            </w:r>
            <w:r w:rsidR="004771FF" w:rsidRPr="00CE68F0">
              <w:rPr>
                <w:sz w:val="18"/>
                <w:szCs w:val="18"/>
                <w:lang w:val="en-US"/>
              </w:rPr>
              <w:t>de-identification</w:t>
            </w:r>
            <w:r w:rsidR="005052C9" w:rsidRPr="00CE68F0">
              <w:rPr>
                <w:sz w:val="18"/>
                <w:szCs w:val="18"/>
                <w:lang w:val="en-US"/>
              </w:rPr>
              <w:t>)</w:t>
            </w:r>
            <w:r w:rsidR="00AF2EB2" w:rsidRPr="00CE68F0">
              <w:rPr>
                <w:sz w:val="18"/>
                <w:szCs w:val="18"/>
                <w:lang w:val="en-US"/>
              </w:rPr>
              <w:t>.</w:t>
            </w:r>
            <w:r w:rsidR="00D44608" w:rsidRPr="00CE68F0">
              <w:rPr>
                <w:sz w:val="18"/>
                <w:szCs w:val="18"/>
                <w:lang w:val="en-US"/>
              </w:rPr>
              <w:t xml:space="preserve"> Guidance is provided by the </w:t>
            </w:r>
            <w:r w:rsidR="004F3E1A" w:rsidRPr="00CE68F0">
              <w:rPr>
                <w:sz w:val="18"/>
                <w:szCs w:val="18"/>
                <w:lang w:val="en-US"/>
              </w:rPr>
              <w:t>Victorian Protective Data Security Framework and Standard</w:t>
            </w:r>
            <w:r w:rsidR="00532666" w:rsidRPr="00CE68F0">
              <w:rPr>
                <w:rStyle w:val="Hyperlink"/>
                <w:sz w:val="18"/>
                <w:szCs w:val="18"/>
                <w:lang w:val="en-US"/>
              </w:rPr>
              <w:t>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25632C0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9CFBEE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6979CF2C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5AE80B5F" w14:textId="77777777" w:rsidTr="000B6EBB">
        <w:trPr>
          <w:trHeight w:val="510"/>
        </w:trPr>
        <w:tc>
          <w:tcPr>
            <w:tcW w:w="1593" w:type="dxa"/>
            <w:hideMark/>
          </w:tcPr>
          <w:p w14:paraId="05870CA9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Service levels</w:t>
            </w:r>
          </w:p>
        </w:tc>
        <w:tc>
          <w:tcPr>
            <w:tcW w:w="3517" w:type="dxa"/>
            <w:hideMark/>
          </w:tcPr>
          <w:p w14:paraId="28FD6F89" w14:textId="3785C368" w:rsidR="00E3408D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Service levels around the provision of data including service availability and reliability targets, </w:t>
            </w:r>
            <w:r w:rsidR="00F160D8" w:rsidRPr="00CE68F0">
              <w:rPr>
                <w:sz w:val="18"/>
                <w:szCs w:val="18"/>
                <w:lang w:val="en-US"/>
              </w:rPr>
              <w:t>maintaining data quality (including de-identification</w:t>
            </w:r>
            <w:r w:rsidR="000E4F2C" w:rsidRPr="00CE68F0">
              <w:rPr>
                <w:sz w:val="18"/>
                <w:szCs w:val="18"/>
                <w:lang w:val="en-US"/>
              </w:rPr>
              <w:t xml:space="preserve"> of data</w:t>
            </w:r>
            <w:r w:rsidR="00F160D8" w:rsidRPr="00CE68F0">
              <w:rPr>
                <w:sz w:val="18"/>
                <w:szCs w:val="18"/>
                <w:lang w:val="en-US"/>
              </w:rPr>
              <w:t xml:space="preserve">), </w:t>
            </w:r>
            <w:r w:rsidRPr="00CE68F0">
              <w:rPr>
                <w:sz w:val="18"/>
                <w:szCs w:val="18"/>
                <w:lang w:val="en-US"/>
              </w:rPr>
              <w:t>complaints handling process and response times and consequences of not meeting service level targets.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1DACAC54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BC6A2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4FDFE1D8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</w:tr>
      <w:tr w:rsidR="00AF2EB2" w:rsidRPr="00CE68F0" w14:paraId="5D0118FE" w14:textId="77777777" w:rsidTr="000B6EBB">
        <w:trPr>
          <w:trHeight w:val="510"/>
        </w:trPr>
        <w:tc>
          <w:tcPr>
            <w:tcW w:w="1593" w:type="dxa"/>
            <w:hideMark/>
          </w:tcPr>
          <w:p w14:paraId="13093340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Change management</w:t>
            </w:r>
          </w:p>
        </w:tc>
        <w:tc>
          <w:tcPr>
            <w:tcW w:w="3517" w:type="dxa"/>
            <w:hideMark/>
          </w:tcPr>
          <w:p w14:paraId="62FFDBC4" w14:textId="61959018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The process f</w:t>
            </w:r>
            <w:r w:rsidR="006F5CB1" w:rsidRPr="00CE68F0">
              <w:rPr>
                <w:sz w:val="18"/>
                <w:szCs w:val="18"/>
                <w:lang w:val="en-US"/>
              </w:rPr>
              <w:t xml:space="preserve">or managing changes to the data </w:t>
            </w:r>
            <w:r w:rsidR="003F75B4" w:rsidRPr="00CE68F0">
              <w:rPr>
                <w:sz w:val="18"/>
                <w:szCs w:val="18"/>
                <w:lang w:val="en-US"/>
              </w:rPr>
              <w:t xml:space="preserve">provided </w:t>
            </w:r>
            <w:r w:rsidR="006F5CB1" w:rsidRPr="00CE68F0">
              <w:rPr>
                <w:sz w:val="18"/>
                <w:szCs w:val="18"/>
                <w:lang w:val="en-US"/>
              </w:rPr>
              <w:t>-</w:t>
            </w:r>
            <w:r w:rsidRPr="00CE68F0">
              <w:rPr>
                <w:sz w:val="18"/>
                <w:szCs w:val="18"/>
                <w:lang w:val="en-US"/>
              </w:rPr>
              <w:t xml:space="preserve"> what, how, who and when this is communicated from the </w:t>
            </w:r>
            <w:r w:rsidR="003F75B4" w:rsidRPr="00CE68F0">
              <w:rPr>
                <w:sz w:val="18"/>
                <w:szCs w:val="18"/>
                <w:lang w:val="en-US"/>
              </w:rPr>
              <w:t>P</w:t>
            </w:r>
            <w:r w:rsidRPr="00CE68F0">
              <w:rPr>
                <w:sz w:val="18"/>
                <w:szCs w:val="18"/>
                <w:lang w:val="en-US"/>
              </w:rPr>
              <w:t xml:space="preserve">rovider to the </w:t>
            </w:r>
            <w:r w:rsidR="003F75B4" w:rsidRPr="00CE68F0">
              <w:rPr>
                <w:sz w:val="18"/>
                <w:szCs w:val="18"/>
                <w:lang w:val="en-US"/>
              </w:rPr>
              <w:t>R</w:t>
            </w:r>
            <w:r w:rsidRPr="00CE68F0">
              <w:rPr>
                <w:sz w:val="18"/>
                <w:szCs w:val="18"/>
                <w:lang w:val="en-US"/>
              </w:rPr>
              <w:t>equestor.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0C9ECCEA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27F743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6F459F6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</w:tr>
      <w:tr w:rsidR="00AF2EB2" w:rsidRPr="00CE68F0" w14:paraId="155AB7DC" w14:textId="77777777" w:rsidTr="000B6EBB">
        <w:trPr>
          <w:trHeight w:val="510"/>
        </w:trPr>
        <w:tc>
          <w:tcPr>
            <w:tcW w:w="1593" w:type="dxa"/>
            <w:hideMark/>
          </w:tcPr>
          <w:p w14:paraId="0E28BBBE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Data retention / disposal</w:t>
            </w:r>
          </w:p>
        </w:tc>
        <w:tc>
          <w:tcPr>
            <w:tcW w:w="3517" w:type="dxa"/>
            <w:hideMark/>
          </w:tcPr>
          <w:p w14:paraId="4BB717FA" w14:textId="40266B98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Relevant data retention periods and whether the data should be retur</w:t>
            </w:r>
            <w:r w:rsidR="006F5CB1" w:rsidRPr="00CE68F0">
              <w:rPr>
                <w:sz w:val="18"/>
                <w:szCs w:val="18"/>
                <w:lang w:val="en-US"/>
              </w:rPr>
              <w:t xml:space="preserve">ned to the </w:t>
            </w:r>
            <w:r w:rsidR="00AD4389" w:rsidRPr="00CE68F0">
              <w:rPr>
                <w:sz w:val="18"/>
                <w:szCs w:val="18"/>
                <w:lang w:val="en-US"/>
              </w:rPr>
              <w:t>P</w:t>
            </w:r>
            <w:r w:rsidR="006F5CB1" w:rsidRPr="00CE68F0">
              <w:rPr>
                <w:sz w:val="18"/>
                <w:szCs w:val="18"/>
                <w:lang w:val="en-US"/>
              </w:rPr>
              <w:t>rovider or disposed</w:t>
            </w:r>
            <w:r w:rsidRPr="00CE68F0">
              <w:rPr>
                <w:sz w:val="18"/>
                <w:szCs w:val="18"/>
                <w:lang w:val="en-US"/>
              </w:rPr>
              <w:t xml:space="preserve"> </w:t>
            </w:r>
            <w:r w:rsidR="00BE1364" w:rsidRPr="00CE68F0">
              <w:rPr>
                <w:sz w:val="18"/>
                <w:szCs w:val="18"/>
                <w:lang w:val="en-US"/>
              </w:rPr>
              <w:t xml:space="preserve">of </w:t>
            </w:r>
            <w:r w:rsidRPr="00CE68F0">
              <w:rPr>
                <w:sz w:val="18"/>
                <w:szCs w:val="18"/>
                <w:lang w:val="en-US"/>
              </w:rPr>
              <w:t>at the end of the retention period.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4A1FB540" w14:textId="53909A3E" w:rsidR="00AF2EB2" w:rsidRPr="00CE68F0" w:rsidRDefault="00D65709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793383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6DBA0B91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25ED830F" w14:textId="77777777" w:rsidTr="000B6EBB">
        <w:trPr>
          <w:trHeight w:val="260"/>
        </w:trPr>
        <w:tc>
          <w:tcPr>
            <w:tcW w:w="1593" w:type="dxa"/>
            <w:hideMark/>
          </w:tcPr>
          <w:p w14:paraId="28969EF1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Breach in data use or disclosure</w:t>
            </w:r>
          </w:p>
        </w:tc>
        <w:tc>
          <w:tcPr>
            <w:tcW w:w="3517" w:type="dxa"/>
            <w:hideMark/>
          </w:tcPr>
          <w:p w14:paraId="355C4663" w14:textId="301AB4C6" w:rsidR="00320BF0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Outline the process for managing unauthorised</w:t>
            </w:r>
            <w:r w:rsidR="00BE1364" w:rsidRPr="00CE68F0">
              <w:rPr>
                <w:sz w:val="18"/>
                <w:szCs w:val="18"/>
                <w:lang w:val="en-US"/>
              </w:rPr>
              <w:t xml:space="preserve"> use</w:t>
            </w:r>
            <w:r w:rsidRPr="00CE68F0">
              <w:rPr>
                <w:sz w:val="18"/>
                <w:szCs w:val="18"/>
                <w:lang w:val="en-US"/>
              </w:rPr>
              <w:t xml:space="preserve"> or disclosure of data and any sanctions for failure to comply.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30051EB4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(1)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77B7F5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3ED9004E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58F7C7F7" w14:textId="77777777" w:rsidTr="000B6EBB">
        <w:trPr>
          <w:trHeight w:val="260"/>
        </w:trPr>
        <w:tc>
          <w:tcPr>
            <w:tcW w:w="1593" w:type="dxa"/>
            <w:hideMark/>
          </w:tcPr>
          <w:p w14:paraId="23C99E4F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Fees or charges</w:t>
            </w:r>
          </w:p>
        </w:tc>
        <w:tc>
          <w:tcPr>
            <w:tcW w:w="3517" w:type="dxa"/>
            <w:hideMark/>
          </w:tcPr>
          <w:p w14:paraId="08CAF799" w14:textId="6C2A0231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Outline any fees or charges that apply for providing the data and payment terms and conditions</w:t>
            </w:r>
            <w:r w:rsidR="00FD6C5A" w:rsidRPr="00CE68F0">
              <w:rPr>
                <w:sz w:val="18"/>
                <w:szCs w:val="18"/>
                <w:lang w:val="en-US"/>
              </w:rPr>
              <w:t>. This will apply only in certain circumstances</w:t>
            </w:r>
            <w:r w:rsidR="00E22DB7" w:rsidRPr="00CE68F0">
              <w:rPr>
                <w:rStyle w:val="FootnoteReference"/>
                <w:sz w:val="18"/>
                <w:szCs w:val="18"/>
                <w:lang w:val="en-US"/>
              </w:rPr>
              <w:footnoteReference w:id="4"/>
            </w:r>
            <w:r w:rsidRPr="00CE68F0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6D89533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4A4C62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6561188D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086DEFE8" w14:textId="77777777" w:rsidTr="000B6EBB">
        <w:trPr>
          <w:trHeight w:val="260"/>
        </w:trPr>
        <w:tc>
          <w:tcPr>
            <w:tcW w:w="1593" w:type="dxa"/>
            <w:hideMark/>
          </w:tcPr>
          <w:p w14:paraId="34BF3A67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Compliance</w:t>
            </w:r>
          </w:p>
        </w:tc>
        <w:tc>
          <w:tcPr>
            <w:tcW w:w="3517" w:type="dxa"/>
            <w:hideMark/>
          </w:tcPr>
          <w:p w14:paraId="27305BEF" w14:textId="674282CB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 xml:space="preserve">The </w:t>
            </w:r>
            <w:r w:rsidR="00AD4389" w:rsidRPr="00CE68F0">
              <w:rPr>
                <w:sz w:val="18"/>
                <w:szCs w:val="18"/>
                <w:lang w:val="en-US"/>
              </w:rPr>
              <w:t>P</w:t>
            </w:r>
            <w:r w:rsidRPr="00CE68F0">
              <w:rPr>
                <w:sz w:val="18"/>
                <w:szCs w:val="18"/>
                <w:lang w:val="en-US"/>
              </w:rPr>
              <w:t>rovider's rights to monitor compliance with the exchange standards</w:t>
            </w:r>
            <w:r w:rsidR="00016436" w:rsidRPr="00CE68F0">
              <w:rPr>
                <w:sz w:val="18"/>
                <w:szCs w:val="18"/>
                <w:lang w:val="en-US"/>
              </w:rPr>
              <w:t xml:space="preserve"> and terms of the agreement.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0543A37D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E3A6B7" w14:textId="58A2904A" w:rsidR="00AF2EB2" w:rsidRPr="00CE68F0" w:rsidRDefault="00521F24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4E7F65B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Yes</w:t>
            </w:r>
          </w:p>
        </w:tc>
      </w:tr>
      <w:tr w:rsidR="00AF2EB2" w:rsidRPr="00CE68F0" w14:paraId="1AAF2072" w14:textId="77777777" w:rsidTr="000B6EBB">
        <w:trPr>
          <w:trHeight w:val="260"/>
        </w:trPr>
        <w:tc>
          <w:tcPr>
            <w:tcW w:w="1593" w:type="dxa"/>
            <w:hideMark/>
          </w:tcPr>
          <w:p w14:paraId="7C994343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Review of arrangement</w:t>
            </w:r>
          </w:p>
        </w:tc>
        <w:tc>
          <w:tcPr>
            <w:tcW w:w="3517" w:type="dxa"/>
            <w:hideMark/>
          </w:tcPr>
          <w:p w14:paraId="1EB65315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If the arrangement is a rolling arrangement, there should be a date to review its ongoing effectiveness.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539E1C4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AFACDA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358717F7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(2)</w:t>
            </w:r>
          </w:p>
        </w:tc>
      </w:tr>
      <w:tr w:rsidR="00AF2EB2" w:rsidRPr="00CE68F0" w14:paraId="125FB8EB" w14:textId="77777777" w:rsidTr="000B6EBB">
        <w:trPr>
          <w:trHeight w:val="510"/>
        </w:trPr>
        <w:tc>
          <w:tcPr>
            <w:tcW w:w="1593" w:type="dxa"/>
            <w:hideMark/>
          </w:tcPr>
          <w:p w14:paraId="4B7C745A" w14:textId="77777777" w:rsidR="00AF2EB2" w:rsidRPr="00CE68F0" w:rsidRDefault="00AF2EB2" w:rsidP="00AF2EB2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Schedules to the arrangement</w:t>
            </w:r>
          </w:p>
        </w:tc>
        <w:tc>
          <w:tcPr>
            <w:tcW w:w="3517" w:type="dxa"/>
            <w:hideMark/>
          </w:tcPr>
          <w:p w14:paraId="008890B8" w14:textId="30B40DB9" w:rsidR="00AF2EB2" w:rsidRPr="00CE68F0" w:rsidRDefault="00AF2EB2" w:rsidP="006F5CB1">
            <w:pPr>
              <w:pStyle w:val="DPCtabletext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A separate schedule should be provided for each dataset exchanged and should include the dataset name, description, data owner</w:t>
            </w:r>
            <w:r w:rsidR="006F5CB1" w:rsidRPr="00CE68F0">
              <w:rPr>
                <w:sz w:val="18"/>
                <w:szCs w:val="18"/>
                <w:lang w:val="en-US"/>
              </w:rPr>
              <w:t xml:space="preserve"> </w:t>
            </w:r>
            <w:r w:rsidR="00016436" w:rsidRPr="00CE68F0">
              <w:rPr>
                <w:sz w:val="18"/>
                <w:szCs w:val="18"/>
                <w:lang w:val="en-US"/>
              </w:rPr>
              <w:t xml:space="preserve">(or </w:t>
            </w:r>
            <w:r w:rsidRPr="00CE68F0">
              <w:rPr>
                <w:sz w:val="18"/>
                <w:szCs w:val="18"/>
                <w:lang w:val="en-US"/>
              </w:rPr>
              <w:t>custodian</w:t>
            </w:r>
            <w:r w:rsidR="00016436" w:rsidRPr="00CE68F0">
              <w:rPr>
                <w:sz w:val="18"/>
                <w:szCs w:val="18"/>
                <w:lang w:val="en-US"/>
              </w:rPr>
              <w:t>)</w:t>
            </w:r>
            <w:r w:rsidRPr="00CE68F0">
              <w:rPr>
                <w:sz w:val="18"/>
                <w:szCs w:val="18"/>
                <w:lang w:val="en-US"/>
              </w:rPr>
              <w:t>, data fields, data definitions, data quality statement</w:t>
            </w:r>
            <w:r w:rsidR="00016436" w:rsidRPr="00CE68F0">
              <w:rPr>
                <w:sz w:val="18"/>
                <w:szCs w:val="18"/>
                <w:lang w:val="en-US"/>
              </w:rPr>
              <w:t xml:space="preserve"> and</w:t>
            </w:r>
            <w:r w:rsidRPr="00CE68F0">
              <w:rPr>
                <w:sz w:val="18"/>
                <w:szCs w:val="18"/>
                <w:lang w:val="en-US"/>
              </w:rPr>
              <w:t xml:space="preserve"> data security classification.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noWrap/>
            <w:hideMark/>
          </w:tcPr>
          <w:p w14:paraId="1224852A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155715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(3)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noWrap/>
            <w:hideMark/>
          </w:tcPr>
          <w:p w14:paraId="33BA6FCC" w14:textId="77777777" w:rsidR="00AF2EB2" w:rsidRPr="00CE68F0" w:rsidRDefault="00AF2EB2" w:rsidP="00AF2EB2">
            <w:pPr>
              <w:pStyle w:val="DPCtabletext"/>
              <w:jc w:val="center"/>
              <w:rPr>
                <w:sz w:val="18"/>
                <w:szCs w:val="18"/>
                <w:lang w:val="en-US"/>
              </w:rPr>
            </w:pPr>
            <w:r w:rsidRPr="00CE68F0">
              <w:rPr>
                <w:sz w:val="18"/>
                <w:szCs w:val="18"/>
                <w:lang w:val="en-US"/>
              </w:rPr>
              <w:t>Conditional (3)</w:t>
            </w:r>
          </w:p>
        </w:tc>
      </w:tr>
    </w:tbl>
    <w:p w14:paraId="546FC918" w14:textId="77777777" w:rsidR="001827A4" w:rsidRDefault="001827A4" w:rsidP="00AF2EB2">
      <w:pPr>
        <w:pStyle w:val="DPCtablefigurefootnote"/>
      </w:pPr>
    </w:p>
    <w:p w14:paraId="686031AE" w14:textId="3CC1621A" w:rsidR="00AF2EB2" w:rsidRDefault="00AF2EB2" w:rsidP="00AF2EB2">
      <w:pPr>
        <w:pStyle w:val="DPCtablefigurefootnote"/>
      </w:pPr>
      <w:r>
        <w:t>Conditional (1) Applies if personal</w:t>
      </w:r>
      <w:r w:rsidR="00D65709">
        <w:t xml:space="preserve"> or sensitive information or</w:t>
      </w:r>
      <w:r w:rsidR="008A61CE">
        <w:t xml:space="preserve"> confidential data are</w:t>
      </w:r>
      <w:r>
        <w:t xml:space="preserve"> involved</w:t>
      </w:r>
    </w:p>
    <w:p w14:paraId="4D5ED5B3" w14:textId="47B3AA1E" w:rsidR="00AF2EB2" w:rsidRDefault="00AF2EB2" w:rsidP="00AF2EB2">
      <w:pPr>
        <w:pStyle w:val="DPCtablefigurefootnote"/>
      </w:pPr>
      <w:r>
        <w:t>Conditional (2) Applies if data provision is recurring</w:t>
      </w:r>
      <w:r w:rsidR="00016436">
        <w:t xml:space="preserve"> (</w:t>
      </w:r>
      <w:r w:rsidR="00144F0D">
        <w:t xml:space="preserve">i.e. </w:t>
      </w:r>
      <w:r>
        <w:t>not one-off</w:t>
      </w:r>
      <w:r w:rsidR="00016436">
        <w:t>)</w:t>
      </w:r>
    </w:p>
    <w:p w14:paraId="594AF919" w14:textId="698E310B" w:rsidR="007F4830" w:rsidRDefault="00AF2EB2" w:rsidP="00947329">
      <w:pPr>
        <w:pStyle w:val="DPCtablefigurefootnote"/>
      </w:pPr>
      <w:r>
        <w:t>Conditional (3) Applies if more than one dataset is exchanged</w:t>
      </w:r>
    </w:p>
    <w:p w14:paraId="0EFC5D8C" w14:textId="77777777" w:rsidR="007F4830" w:rsidRDefault="007F483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br w:type="page"/>
      </w:r>
    </w:p>
    <w:p w14:paraId="3CA4E642" w14:textId="23BB38B9" w:rsidR="007F4830" w:rsidRPr="00BB2A3D" w:rsidRDefault="007F4830" w:rsidP="007F4830">
      <w:pPr>
        <w:pStyle w:val="Heading1"/>
      </w:pPr>
      <w:bookmarkStart w:id="10" w:name="_Toc10799655"/>
      <w:r>
        <w:t>Document Control</w:t>
      </w:r>
      <w:bookmarkEnd w:id="10"/>
    </w:p>
    <w:p w14:paraId="1D22587B" w14:textId="77777777" w:rsidR="007F4830" w:rsidRPr="0046522F" w:rsidRDefault="007F4830" w:rsidP="007F4830">
      <w:pPr>
        <w:pStyle w:val="Heading2"/>
      </w:pPr>
      <w:bookmarkStart w:id="11" w:name="_Toc10799656"/>
      <w:r>
        <w:t>Approval</w:t>
      </w:r>
      <w:bookmarkEnd w:id="11"/>
    </w:p>
    <w:p w14:paraId="49A92CBE" w14:textId="2F9CC315" w:rsidR="007F4830" w:rsidRDefault="007F4830" w:rsidP="007F4830">
      <w:pPr>
        <w:pStyle w:val="DPCbody"/>
      </w:pPr>
      <w:r w:rsidRPr="006B3CCC">
        <w:t>Thi</w:t>
      </w:r>
      <w:r>
        <w:t>s document was approved by the CIO Leadership Group</w:t>
      </w:r>
      <w:r w:rsidRPr="006B3CCC">
        <w:t xml:space="preserve"> </w:t>
      </w:r>
      <w:r>
        <w:t xml:space="preserve">on </w:t>
      </w:r>
      <w:r w:rsidR="008059C9">
        <w:t>16/07/2019</w:t>
      </w:r>
      <w:r>
        <w:t xml:space="preserve"> </w:t>
      </w:r>
      <w:r w:rsidRPr="006B3CCC">
        <w:t xml:space="preserve">under authority of </w:t>
      </w:r>
      <w:r>
        <w:t xml:space="preserve">the Victorian Secretaries Board </w:t>
      </w:r>
      <w:r w:rsidRPr="006B3CCC">
        <w:t>and applies from the date of issue.</w:t>
      </w:r>
    </w:p>
    <w:p w14:paraId="7A26487E" w14:textId="77777777" w:rsidR="007F4830" w:rsidRPr="0046522F" w:rsidRDefault="007F4830" w:rsidP="007F4830">
      <w:pPr>
        <w:pStyle w:val="DPCbody"/>
      </w:pPr>
    </w:p>
    <w:p w14:paraId="29B7F0F4" w14:textId="77777777" w:rsidR="007F4830" w:rsidRPr="00BE1016" w:rsidRDefault="007F4830" w:rsidP="007F4830">
      <w:pPr>
        <w:pStyle w:val="Heading2"/>
      </w:pPr>
      <w:bookmarkStart w:id="12" w:name="_Toc10799657"/>
      <w:r w:rsidRPr="00BE1016">
        <w:t>Version history</w:t>
      </w:r>
      <w:bookmarkEnd w:id="1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0"/>
        <w:gridCol w:w="2057"/>
        <w:gridCol w:w="6484"/>
      </w:tblGrid>
      <w:tr w:rsidR="007F4830" w:rsidRPr="00BE1016" w14:paraId="454B5CC2" w14:textId="77777777" w:rsidTr="0072762D">
        <w:tc>
          <w:tcPr>
            <w:tcW w:w="1293" w:type="dxa"/>
            <w:vAlign w:val="center"/>
          </w:tcPr>
          <w:p w14:paraId="10A378C4" w14:textId="77777777" w:rsidR="007F4830" w:rsidRPr="00BE1016" w:rsidRDefault="007F4830" w:rsidP="0072762D">
            <w:pPr>
              <w:pStyle w:val="DPCtablecolhead"/>
              <w:spacing w:before="120" w:after="120"/>
            </w:pPr>
            <w:r w:rsidRPr="00BE1016">
              <w:t>Version</w:t>
            </w:r>
          </w:p>
        </w:tc>
        <w:tc>
          <w:tcPr>
            <w:tcW w:w="1928" w:type="dxa"/>
            <w:vAlign w:val="center"/>
          </w:tcPr>
          <w:p w14:paraId="6A5CAC8D" w14:textId="77777777" w:rsidR="007F4830" w:rsidRPr="00BE1016" w:rsidRDefault="007F4830" w:rsidP="0072762D">
            <w:pPr>
              <w:pStyle w:val="DPCtablecolhead"/>
              <w:spacing w:before="120" w:after="120"/>
            </w:pPr>
            <w:r w:rsidRPr="00BE1016">
              <w:t>Date</w:t>
            </w:r>
          </w:p>
        </w:tc>
        <w:tc>
          <w:tcPr>
            <w:tcW w:w="6077" w:type="dxa"/>
            <w:vAlign w:val="center"/>
          </w:tcPr>
          <w:p w14:paraId="005483A7" w14:textId="77777777" w:rsidR="007F4830" w:rsidRPr="00BE1016" w:rsidRDefault="007F4830" w:rsidP="0072762D">
            <w:pPr>
              <w:pStyle w:val="DPCtablecolhead"/>
              <w:spacing w:before="120" w:after="120"/>
            </w:pPr>
            <w:r w:rsidRPr="00BE1016">
              <w:t>Comments</w:t>
            </w:r>
          </w:p>
        </w:tc>
      </w:tr>
      <w:tr w:rsidR="007F4830" w:rsidRPr="008C748D" w14:paraId="67C9421B" w14:textId="77777777" w:rsidTr="0072762D">
        <w:tc>
          <w:tcPr>
            <w:tcW w:w="1293" w:type="dxa"/>
            <w:vAlign w:val="center"/>
          </w:tcPr>
          <w:p w14:paraId="77325611" w14:textId="77777777" w:rsidR="007F4830" w:rsidRPr="00BE1016" w:rsidRDefault="007F4830" w:rsidP="0072762D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1928" w:type="dxa"/>
            <w:vAlign w:val="center"/>
          </w:tcPr>
          <w:p w14:paraId="611CBF5D" w14:textId="77777777" w:rsidR="007F4830" w:rsidRPr="00BE1016" w:rsidRDefault="007F4830" w:rsidP="0072762D">
            <w:pPr>
              <w:pStyle w:val="DPCtabletext"/>
              <w:spacing w:before="120" w:after="120"/>
            </w:pPr>
            <w:r>
              <w:t>14/05/2019</w:t>
            </w:r>
          </w:p>
        </w:tc>
        <w:tc>
          <w:tcPr>
            <w:tcW w:w="6077" w:type="dxa"/>
            <w:vAlign w:val="center"/>
          </w:tcPr>
          <w:p w14:paraId="26E62FEC" w14:textId="77777777" w:rsidR="007F4830" w:rsidRDefault="007F4830" w:rsidP="0072762D">
            <w:pPr>
              <w:pStyle w:val="DPCtabletext"/>
              <w:spacing w:before="120" w:after="120"/>
            </w:pPr>
            <w:r w:rsidRPr="00EF6717">
              <w:t>Version for review by stakeholders</w:t>
            </w:r>
          </w:p>
        </w:tc>
      </w:tr>
      <w:tr w:rsidR="007F4830" w:rsidRPr="008C748D" w14:paraId="4F8C4503" w14:textId="77777777" w:rsidTr="0072762D">
        <w:tc>
          <w:tcPr>
            <w:tcW w:w="1293" w:type="dxa"/>
            <w:vAlign w:val="center"/>
          </w:tcPr>
          <w:p w14:paraId="2EF9E9B0" w14:textId="77777777" w:rsidR="007F4830" w:rsidRPr="00BE1016" w:rsidRDefault="007F4830" w:rsidP="0072762D">
            <w:pPr>
              <w:pStyle w:val="DPCtabletext"/>
              <w:spacing w:before="120" w:after="120"/>
            </w:pPr>
            <w:r>
              <w:t>0.2</w:t>
            </w:r>
          </w:p>
        </w:tc>
        <w:tc>
          <w:tcPr>
            <w:tcW w:w="1928" w:type="dxa"/>
            <w:vAlign w:val="center"/>
          </w:tcPr>
          <w:p w14:paraId="4486E3A6" w14:textId="77777777" w:rsidR="007F4830" w:rsidRPr="00BE1016" w:rsidRDefault="007F4830" w:rsidP="0072762D">
            <w:pPr>
              <w:pStyle w:val="DPCtabletext"/>
              <w:spacing w:before="120" w:after="120"/>
            </w:pPr>
            <w:r>
              <w:t>30/05/2019</w:t>
            </w:r>
          </w:p>
        </w:tc>
        <w:tc>
          <w:tcPr>
            <w:tcW w:w="6077" w:type="dxa"/>
            <w:vAlign w:val="center"/>
          </w:tcPr>
          <w:p w14:paraId="05D82190" w14:textId="77777777" w:rsidR="007F4830" w:rsidRPr="00BE1016" w:rsidRDefault="007F4830" w:rsidP="0072762D">
            <w:pPr>
              <w:pStyle w:val="DPCtabletext"/>
              <w:spacing w:before="120" w:after="120"/>
            </w:pPr>
            <w:r w:rsidRPr="00EF6717">
              <w:t>Incorporated f</w:t>
            </w:r>
            <w:r>
              <w:t>eedback</w:t>
            </w:r>
          </w:p>
        </w:tc>
      </w:tr>
      <w:tr w:rsidR="007F4830" w:rsidRPr="008C748D" w14:paraId="03A843B9" w14:textId="77777777" w:rsidTr="0072762D">
        <w:tc>
          <w:tcPr>
            <w:tcW w:w="1293" w:type="dxa"/>
            <w:vAlign w:val="center"/>
          </w:tcPr>
          <w:p w14:paraId="53406AAA" w14:textId="77777777" w:rsidR="007F4830" w:rsidRDefault="007F4830" w:rsidP="0072762D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1928" w:type="dxa"/>
            <w:vAlign w:val="center"/>
          </w:tcPr>
          <w:p w14:paraId="6948EF25" w14:textId="77777777" w:rsidR="007F4830" w:rsidRDefault="007F4830" w:rsidP="0072762D">
            <w:pPr>
              <w:pStyle w:val="DPCtabletext"/>
              <w:spacing w:before="120" w:after="120"/>
            </w:pPr>
            <w:r>
              <w:t>07/06/2017</w:t>
            </w:r>
          </w:p>
        </w:tc>
        <w:tc>
          <w:tcPr>
            <w:tcW w:w="6077" w:type="dxa"/>
            <w:vAlign w:val="center"/>
          </w:tcPr>
          <w:p w14:paraId="2E0B5428" w14:textId="77777777" w:rsidR="007F4830" w:rsidRPr="00EF6717" w:rsidRDefault="007F4830" w:rsidP="0072762D">
            <w:pPr>
              <w:pStyle w:val="DPCtabletext"/>
              <w:spacing w:before="120" w:after="120"/>
            </w:pPr>
            <w:r>
              <w:t>Final</w:t>
            </w:r>
          </w:p>
        </w:tc>
      </w:tr>
    </w:tbl>
    <w:p w14:paraId="693AC4BB" w14:textId="77777777" w:rsidR="007F4830" w:rsidRPr="008C748D" w:rsidRDefault="007F4830" w:rsidP="007F4830">
      <w:pPr>
        <w:ind w:left="720"/>
      </w:pPr>
    </w:p>
    <w:p w14:paraId="0E9A2070" w14:textId="77777777" w:rsidR="007F4830" w:rsidRPr="00796960" w:rsidRDefault="007F4830" w:rsidP="007F4830">
      <w:pPr>
        <w:pStyle w:val="DPCbody"/>
      </w:pPr>
    </w:p>
    <w:p w14:paraId="24ABC637" w14:textId="77777777" w:rsidR="007F4830" w:rsidRPr="008C748D" w:rsidRDefault="007F4830" w:rsidP="007F4830">
      <w:pPr>
        <w:ind w:left="720"/>
      </w:pPr>
    </w:p>
    <w:p w14:paraId="6CDFF542" w14:textId="77777777" w:rsidR="007F4830" w:rsidRPr="00796960" w:rsidRDefault="007F4830" w:rsidP="007F4830">
      <w:pPr>
        <w:pStyle w:val="DPCbody"/>
      </w:pPr>
    </w:p>
    <w:p w14:paraId="6528CEB0" w14:textId="77777777" w:rsidR="002A3AC1" w:rsidRPr="003819DA" w:rsidRDefault="002A3AC1" w:rsidP="00947329">
      <w:pPr>
        <w:pStyle w:val="DPCtablefigurefootnote"/>
      </w:pPr>
    </w:p>
    <w:sectPr w:rsidR="002A3AC1" w:rsidRPr="003819DA" w:rsidSect="0035469F">
      <w:headerReference w:type="default" r:id="rId49"/>
      <w:footerReference w:type="default" r:id="rId50"/>
      <w:type w:val="continuous"/>
      <w:pgSz w:w="11906" w:h="16838" w:code="9"/>
      <w:pgMar w:top="1701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534F" w14:textId="77777777" w:rsidR="006C6C18" w:rsidRDefault="006C6C18">
      <w:r>
        <w:separator/>
      </w:r>
    </w:p>
  </w:endnote>
  <w:endnote w:type="continuationSeparator" w:id="0">
    <w:p w14:paraId="08887CC0" w14:textId="77777777" w:rsidR="006C6C18" w:rsidRDefault="006C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D928" w14:textId="77777777" w:rsidR="00FC0F9A" w:rsidRDefault="00FC0F9A" w:rsidP="000F056A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Public</w:t>
    </w:r>
  </w:p>
  <w:bookmarkEnd w:id="0"/>
  <w:p w14:paraId="5306BA2F" w14:textId="77777777" w:rsidR="00FC0F9A" w:rsidRDefault="00F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8AC4" w14:textId="7448A755" w:rsidR="00FC0F9A" w:rsidRDefault="001C597F" w:rsidP="000F056A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485739" wp14:editId="14270FD6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d7ca4b508f3b62db2e934b7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AD1139" w14:textId="69B41CFF" w:rsidR="001C597F" w:rsidRPr="001C597F" w:rsidRDefault="001C597F" w:rsidP="001C597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C597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85739" id="_x0000_t202" coordsize="21600,21600" o:spt="202" path="m,l,21600r21600,l21600,xe">
              <v:stroke joinstyle="miter"/>
              <v:path gradientshapeok="t" o:connecttype="rect"/>
            </v:shapetype>
            <v:shape id="MSIPCMd7ca4b508f3b62db2e934b79" o:spid="_x0000_s1027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JJzE/YgAwAAOA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14:paraId="77AD1139" w14:textId="69B41CFF" w:rsidR="001C597F" w:rsidRPr="001C597F" w:rsidRDefault="001C597F" w:rsidP="001C597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C597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0F9A">
      <w:rPr>
        <w:rFonts w:ascii="Arial" w:hAnsi="Arial"/>
        <w:b/>
        <w:color w:val="3F3F3F"/>
      </w:rPr>
      <w:t>Public</w:t>
    </w:r>
  </w:p>
  <w:bookmarkEnd w:id="1"/>
  <w:p w14:paraId="3A076921" w14:textId="77777777" w:rsidR="00FC0F9A" w:rsidRDefault="00FC0F9A">
    <w:pPr>
      <w:pStyle w:val="Footer"/>
    </w:pPr>
    <w:r>
      <w:rPr>
        <w:noProof/>
        <w:lang w:val="en-US"/>
      </w:rPr>
      <w:drawing>
        <wp:anchor distT="0" distB="0" distL="114300" distR="114300" simplePos="0" relativeHeight="251656704" behindDoc="0" locked="1" layoutInCell="0" allowOverlap="1" wp14:anchorId="5AF8E00D" wp14:editId="18B82EBD">
          <wp:simplePos x="0" y="0"/>
          <wp:positionH relativeFrom="page">
            <wp:posOffset>0</wp:posOffset>
          </wp:positionH>
          <wp:positionV relativeFrom="page">
            <wp:posOffset>9938385</wp:posOffset>
          </wp:positionV>
          <wp:extent cx="7118985" cy="500380"/>
          <wp:effectExtent l="0" t="0" r="5715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16"/>
                  <a:stretch/>
                </pic:blipFill>
                <pic:spPr bwMode="auto">
                  <a:xfrm>
                    <a:off x="0" y="0"/>
                    <a:ext cx="7118985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CEAF4" w14:textId="7BFAEF7E" w:rsidR="00FC0F9A" w:rsidRDefault="001C597F" w:rsidP="000F056A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4C2A70A" wp14:editId="34CC3401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317f4327b2ed35fae9a7d664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4038A8" w14:textId="589FD0A8" w:rsidR="001C597F" w:rsidRPr="001C597F" w:rsidRDefault="001C597F" w:rsidP="001C597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C597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2A70A" id="_x0000_t202" coordsize="21600,21600" o:spt="202" path="m,l,21600r21600,l21600,xe">
              <v:stroke joinstyle="miter"/>
              <v:path gradientshapeok="t" o:connecttype="rect"/>
            </v:shapetype>
            <v:shape id="MSIPCM317f4327b2ed35fae9a7d664" o:spid="_x0000_s1028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AdQlNGHgMAAEE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564038A8" w14:textId="589FD0A8" w:rsidR="001C597F" w:rsidRPr="001C597F" w:rsidRDefault="001C597F" w:rsidP="001C597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C597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0F9A">
      <w:rPr>
        <w:rFonts w:ascii="Arial" w:hAnsi="Arial"/>
        <w:b/>
        <w:color w:val="3F3F3F"/>
      </w:rPr>
      <w:t>Public</w:t>
    </w:r>
  </w:p>
  <w:bookmarkEnd w:id="2"/>
  <w:p w14:paraId="318E80F0" w14:textId="77777777" w:rsidR="00FC0F9A" w:rsidRDefault="00FC0F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81057" w14:textId="4B049DF6" w:rsidR="00FC0F9A" w:rsidRDefault="001C597F" w:rsidP="00B00B8D">
    <w:pPr>
      <w:pStyle w:val="DPCfooter"/>
    </w:pPr>
    <w:bookmarkStart w:id="13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38AECDA" wp14:editId="4FAF444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9" name="MSIPCMedc94eab900aefe024f0865c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55C0B1" w14:textId="2BB85BA8" w:rsidR="001C597F" w:rsidRPr="001C597F" w:rsidRDefault="001C597F" w:rsidP="001C597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C597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AECDA" id="_x0000_t202" coordsize="21600,21600" o:spt="202" path="m,l,21600r21600,l21600,xe">
              <v:stroke joinstyle="miter"/>
              <v:path gradientshapeok="t" o:connecttype="rect"/>
            </v:shapetype>
            <v:shape id="MSIPCMedc94eab900aefe024f0865c" o:spid="_x0000_s1029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R8iNpx8DAAA/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0955C0B1" w14:textId="2BB85BA8" w:rsidR="001C597F" w:rsidRPr="001C597F" w:rsidRDefault="001C597F" w:rsidP="001C597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C597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3"/>
    <w:r w:rsidR="00FC0F9A">
      <w:t xml:space="preserve">Data Exchange Standard </w:t>
    </w:r>
    <w:r w:rsidR="00FC0F9A" w:rsidRPr="00A95E3B">
      <w:tab/>
    </w:r>
    <w:r w:rsidR="00FC0F9A" w:rsidRPr="00A95E3B">
      <w:fldChar w:fldCharType="begin"/>
    </w:r>
    <w:r w:rsidR="00FC0F9A" w:rsidRPr="00A95E3B">
      <w:instrText xml:space="preserve"> PAGE   \* MERGEFORMAT </w:instrText>
    </w:r>
    <w:r w:rsidR="00FC0F9A" w:rsidRPr="00A95E3B">
      <w:fldChar w:fldCharType="separate"/>
    </w:r>
    <w:r w:rsidR="00877904">
      <w:rPr>
        <w:noProof/>
      </w:rPr>
      <w:t>2</w:t>
    </w:r>
    <w:r w:rsidR="00FC0F9A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036EF" w14:textId="77777777" w:rsidR="006C6C18" w:rsidRDefault="006C6C18" w:rsidP="002862F1">
      <w:pPr>
        <w:spacing w:before="120"/>
      </w:pPr>
      <w:r>
        <w:separator/>
      </w:r>
    </w:p>
  </w:footnote>
  <w:footnote w:type="continuationSeparator" w:id="0">
    <w:p w14:paraId="6D7E8A30" w14:textId="77777777" w:rsidR="006C6C18" w:rsidRDefault="006C6C18">
      <w:r>
        <w:continuationSeparator/>
      </w:r>
    </w:p>
  </w:footnote>
  <w:footnote w:id="1">
    <w:p w14:paraId="32A6A3B1" w14:textId="7B847F68" w:rsidR="00FC0F9A" w:rsidRDefault="00FC0F9A">
      <w:pPr>
        <w:pStyle w:val="FootnoteText"/>
      </w:pPr>
      <w:r>
        <w:rPr>
          <w:rStyle w:val="FootnoteReference"/>
        </w:rPr>
        <w:footnoteRef/>
      </w:r>
      <w:r>
        <w:t xml:space="preserve"> ‘Sensitive’ data is data </w:t>
      </w:r>
      <w:r w:rsidRPr="008A2229">
        <w:t xml:space="preserve">with a Business Impact Level (BIL) of </w:t>
      </w:r>
      <w:r>
        <w:t>L</w:t>
      </w:r>
      <w:r w:rsidRPr="008A2229">
        <w:t>imited or higher</w:t>
      </w:r>
      <w:r>
        <w:t xml:space="preserve"> or data with a protective marking of Cabinet-in-Confidence (as per the </w:t>
      </w:r>
      <w:r w:rsidRPr="008A2229">
        <w:t xml:space="preserve">Office of the Victorian Information Commissioner’s (OVIC) guidance on </w:t>
      </w:r>
      <w:hyperlink r:id="rId1" w:history="1">
        <w:r w:rsidRPr="008A2229">
          <w:rPr>
            <w:rStyle w:val="Hyperlink"/>
          </w:rPr>
          <w:t>Business Impact Levels</w:t>
        </w:r>
      </w:hyperlink>
      <w:r>
        <w:t xml:space="preserve"> and </w:t>
      </w:r>
      <w:hyperlink r:id="rId2" w:history="1">
        <w:r w:rsidRPr="008A2229">
          <w:rPr>
            <w:rStyle w:val="Hyperlink"/>
          </w:rPr>
          <w:t>Protective Markings</w:t>
        </w:r>
      </w:hyperlink>
      <w:r w:rsidRPr="008A2229">
        <w:t>)</w:t>
      </w:r>
    </w:p>
  </w:footnote>
  <w:footnote w:id="2">
    <w:p w14:paraId="67EBB52B" w14:textId="5882E4E6" w:rsidR="00FC0F9A" w:rsidRDefault="00FC0F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As per Principle 4 of the </w:t>
      </w:r>
      <w:r w:rsidRPr="008059C9">
        <w:rPr>
          <w:lang w:val="en-US"/>
        </w:rPr>
        <w:t>Information Management Policy</w:t>
      </w:r>
      <w:r>
        <w:rPr>
          <w:lang w:val="en-US"/>
        </w:rPr>
        <w:t xml:space="preserve"> and Principle 1 of the </w:t>
      </w:r>
      <w:hyperlink r:id="rId3" w:history="1">
        <w:r w:rsidR="00261C29">
          <w:rPr>
            <w:rStyle w:val="Hyperlink"/>
            <w:lang w:val="en-US"/>
          </w:rPr>
          <w:t>DataVic</w:t>
        </w:r>
        <w:r>
          <w:rPr>
            <w:rStyle w:val="Hyperlink"/>
            <w:lang w:val="en-US"/>
          </w:rPr>
          <w:t xml:space="preserve"> Access Policy Guidelines For The Victorian Public Sector</w:t>
        </w:r>
      </w:hyperlink>
      <w:r>
        <w:t>. Refer to this guideline for information on what data should and should not be made available.</w:t>
      </w:r>
    </w:p>
  </w:footnote>
  <w:footnote w:id="3">
    <w:p w14:paraId="2F962F95" w14:textId="34336E39" w:rsidR="00FC0F9A" w:rsidRDefault="00FC0F9A">
      <w:pPr>
        <w:pStyle w:val="FootnoteText"/>
      </w:pPr>
      <w:r>
        <w:rPr>
          <w:rStyle w:val="FootnoteReference"/>
        </w:rPr>
        <w:footnoteRef/>
      </w:r>
      <w:r>
        <w:t xml:space="preserve"> Refer to the</w:t>
      </w:r>
      <w:r w:rsidRPr="004F3E1A">
        <w:t xml:space="preserve"> </w:t>
      </w:r>
      <w:hyperlink r:id="rId4" w:history="1">
        <w:r w:rsidRPr="004F3E1A">
          <w:rPr>
            <w:i/>
          </w:rPr>
          <w:t>Privacy and Data Protection Act 2014</w:t>
        </w:r>
      </w:hyperlink>
      <w:r w:rsidR="004F3E1A">
        <w:t>.</w:t>
      </w:r>
    </w:p>
  </w:footnote>
  <w:footnote w:id="4">
    <w:p w14:paraId="32108766" w14:textId="76C5F5D2" w:rsidR="00FC0F9A" w:rsidRPr="00261C29" w:rsidRDefault="00FC0F9A" w:rsidP="00FD6C5A">
      <w:pPr>
        <w:pStyle w:val="FootnoteText"/>
      </w:pPr>
      <w:r>
        <w:rPr>
          <w:rStyle w:val="FootnoteReference"/>
        </w:rPr>
        <w:footnoteRef/>
      </w:r>
      <w:r>
        <w:t xml:space="preserve"> Principle 8 of the </w:t>
      </w:r>
      <w:r w:rsidR="004F3E1A" w:rsidRPr="004F3E1A">
        <w:t>Intellectual Property Guidelines for the Victorian Public Sector</w:t>
      </w:r>
      <w:r>
        <w:t xml:space="preserve"> states that </w:t>
      </w:r>
      <w:r w:rsidRPr="00261C29">
        <w:t>an agency (all departments and public bodies) may commercialise, or apply the Cost Recovery Guidelines to intellectual property if:</w:t>
      </w:r>
    </w:p>
    <w:p w14:paraId="3F273550" w14:textId="040E0D27" w:rsidR="00FC0F9A" w:rsidRPr="00261C29" w:rsidRDefault="00FC0F9A" w:rsidP="00FD6C5A">
      <w:pPr>
        <w:pStyle w:val="FootnoteText"/>
      </w:pPr>
      <w:r w:rsidRPr="00261C29">
        <w:t>a) it has an explicit statutory function to do so; or</w:t>
      </w:r>
    </w:p>
    <w:p w14:paraId="5EF816DA" w14:textId="70877DBE" w:rsidR="00FC0F9A" w:rsidRPr="00261C29" w:rsidRDefault="00FC0F9A" w:rsidP="00FD6C5A">
      <w:pPr>
        <w:pStyle w:val="FootnoteText"/>
        <w:rPr>
          <w:lang w:val="en-US"/>
        </w:rPr>
      </w:pPr>
      <w:r w:rsidRPr="00261C29">
        <w:t>b) it has been explicitly authorised by the Treasurer to do so because of a clear net benefit to the Victorian community.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17BCA" w14:textId="77777777" w:rsidR="00BE18D0" w:rsidRDefault="00BE18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2684B" w14:textId="77777777" w:rsidR="00BE18D0" w:rsidRDefault="00BE18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73A87" w14:textId="77777777" w:rsidR="00BE18D0" w:rsidRDefault="00BE1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7499" w14:textId="77777777" w:rsidR="00FC0F9A" w:rsidRDefault="00FC0F9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1" layoutInCell="0" allowOverlap="1" wp14:anchorId="6CE5BE3B" wp14:editId="44BFD8C4">
          <wp:simplePos x="0" y="0"/>
          <wp:positionH relativeFrom="page">
            <wp:posOffset>-69850</wp:posOffset>
          </wp:positionH>
          <wp:positionV relativeFrom="page">
            <wp:posOffset>279400</wp:posOffset>
          </wp:positionV>
          <wp:extent cx="10737850" cy="508000"/>
          <wp:effectExtent l="0" t="0" r="6350" b="6350"/>
          <wp:wrapNone/>
          <wp:docPr id="10" name="Picture 10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28F"/>
    <w:multiLevelType w:val="multilevel"/>
    <w:tmpl w:val="22CA28E6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▪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</w:abstractNum>
  <w:abstractNum w:abstractNumId="1" w15:restartNumberingAfterBreak="0">
    <w:nsid w:val="039B0B6C"/>
    <w:multiLevelType w:val="hybridMultilevel"/>
    <w:tmpl w:val="BCFA4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7C4C6D"/>
    <w:multiLevelType w:val="multilevel"/>
    <w:tmpl w:val="8A74EEEE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bCs/>
        <w:color w:val="005293"/>
        <w:sz w:val="20"/>
        <w:szCs w:val="20"/>
      </w:rPr>
    </w:lvl>
    <w:lvl w:ilvl="1">
      <w:start w:val="1"/>
      <w:numFmt w:val="bullet"/>
      <w:lvlText w:val="+"/>
      <w:lvlJc w:val="left"/>
      <w:pPr>
        <w:tabs>
          <w:tab w:val="num" w:pos="1440"/>
        </w:tabs>
        <w:ind w:left="1440" w:hanging="363"/>
      </w:pPr>
      <w:rPr>
        <w:rFonts w:ascii="Georgia" w:hAnsi="Georgia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181"/>
      </w:pPr>
      <w:rPr>
        <w:rFonts w:ascii="Wingdings" w:hAnsi="Wingdings" w:hint="default"/>
        <w:sz w:val="20"/>
        <w:szCs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2"/>
      </w:pPr>
      <w:rPr>
        <w:rFonts w:ascii="Courier New" w:hAnsi="Courier New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90274"/>
    <w:multiLevelType w:val="multilevel"/>
    <w:tmpl w:val="AC0CB9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8FC402E"/>
    <w:multiLevelType w:val="multilevel"/>
    <w:tmpl w:val="9CBED4F4"/>
    <w:lvl w:ilvl="0">
      <w:start w:val="1"/>
      <w:numFmt w:val="decimal"/>
      <w:pStyle w:val="AARHeading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ARHeading2"/>
      <w:lvlText w:val="%1.%2"/>
      <w:lvlJc w:val="left"/>
      <w:pPr>
        <w:tabs>
          <w:tab w:val="num" w:pos="2411"/>
        </w:tabs>
        <w:ind w:left="2411" w:hanging="709"/>
      </w:pPr>
      <w:rPr>
        <w:b w:val="0"/>
      </w:rPr>
    </w:lvl>
    <w:lvl w:ilvl="2">
      <w:start w:val="1"/>
      <w:numFmt w:val="lowerLetter"/>
      <w:pStyle w:val="AARHeading3"/>
      <w:lvlText w:val="(%3)"/>
      <w:lvlJc w:val="left"/>
      <w:pPr>
        <w:tabs>
          <w:tab w:val="num" w:pos="1276"/>
        </w:tabs>
        <w:ind w:left="1276" w:hanging="709"/>
      </w:pPr>
      <w:rPr>
        <w:b w:val="0"/>
        <w:i w:val="0"/>
      </w:rPr>
    </w:lvl>
    <w:lvl w:ilvl="3">
      <w:start w:val="1"/>
      <w:numFmt w:val="lowerRoman"/>
      <w:pStyle w:val="AAR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AR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AR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(%9)"/>
      <w:lvlJc w:val="left"/>
      <w:pPr>
        <w:tabs>
          <w:tab w:val="num" w:pos="2126"/>
        </w:tabs>
        <w:ind w:left="2126" w:hanging="708"/>
      </w:pPr>
    </w:lvl>
  </w:abstractNum>
  <w:abstractNum w:abstractNumId="8" w15:restartNumberingAfterBreak="0">
    <w:nsid w:val="209474F3"/>
    <w:multiLevelType w:val="hybridMultilevel"/>
    <w:tmpl w:val="C99AA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174A2"/>
    <w:multiLevelType w:val="hybridMultilevel"/>
    <w:tmpl w:val="719E5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2E82"/>
    <w:multiLevelType w:val="hybridMultilevel"/>
    <w:tmpl w:val="4A3E9AA4"/>
    <w:lvl w:ilvl="0" w:tplc="423A3A0C">
      <w:start w:val="1"/>
      <w:numFmt w:val="decimal"/>
      <w:pStyle w:val="number111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80C01"/>
    <w:multiLevelType w:val="multilevel"/>
    <w:tmpl w:val="AC0CB9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23DAC"/>
    <w:multiLevelType w:val="multilevel"/>
    <w:tmpl w:val="3D38F070"/>
    <w:styleLink w:val="Bullets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9845BD7"/>
    <w:multiLevelType w:val="hybridMultilevel"/>
    <w:tmpl w:val="FCEA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F30FD1"/>
    <w:multiLevelType w:val="multilevel"/>
    <w:tmpl w:val="577C881E"/>
    <w:styleLink w:val="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749423DA"/>
    <w:multiLevelType w:val="multilevel"/>
    <w:tmpl w:val="90EC18F6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DPCnumberdigitinden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73C7FF0"/>
    <w:multiLevelType w:val="hybridMultilevel"/>
    <w:tmpl w:val="73C0EBA4"/>
    <w:lvl w:ilvl="0" w:tplc="02FCE346">
      <w:numFmt w:val="bullet"/>
      <w:lvlText w:val="•"/>
      <w:lvlJc w:val="left"/>
      <w:pPr>
        <w:ind w:left="1080" w:hanging="720"/>
      </w:pPr>
      <w:rPr>
        <w:rFonts w:ascii="Arial" w:eastAsia="MS Gothic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A765A"/>
    <w:multiLevelType w:val="hybridMultilevel"/>
    <w:tmpl w:val="6AE68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C5358"/>
    <w:multiLevelType w:val="hybridMultilevel"/>
    <w:tmpl w:val="4C5E16E4"/>
    <w:lvl w:ilvl="0" w:tplc="40DCB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3"/>
  </w:num>
  <w:num w:numId="10">
    <w:abstractNumId w:val="17"/>
  </w:num>
  <w:num w:numId="11">
    <w:abstractNumId w:val="1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  <w:num w:numId="16">
    <w:abstractNumId w:val="11"/>
  </w:num>
  <w:num w:numId="17">
    <w:abstractNumId w:val="0"/>
  </w:num>
  <w:num w:numId="18">
    <w:abstractNumId w:val="8"/>
  </w:num>
  <w:num w:numId="19">
    <w:abstractNumId w:val="20"/>
  </w:num>
  <w:num w:numId="20">
    <w:abstractNumId w:val="9"/>
  </w:num>
  <w:num w:numId="21">
    <w:abstractNumId w:val="19"/>
  </w:num>
  <w:num w:numId="22">
    <w:abstractNumId w:val="1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18"/>
  </w:num>
  <w:num w:numId="2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F6"/>
    <w:rsid w:val="00002E9F"/>
    <w:rsid w:val="000072B6"/>
    <w:rsid w:val="0001021B"/>
    <w:rsid w:val="00011D89"/>
    <w:rsid w:val="0001203D"/>
    <w:rsid w:val="000130EE"/>
    <w:rsid w:val="000136F3"/>
    <w:rsid w:val="000137AB"/>
    <w:rsid w:val="000139AE"/>
    <w:rsid w:val="00016436"/>
    <w:rsid w:val="00023E51"/>
    <w:rsid w:val="000248B0"/>
    <w:rsid w:val="00024D89"/>
    <w:rsid w:val="0002578B"/>
    <w:rsid w:val="00025E00"/>
    <w:rsid w:val="00026109"/>
    <w:rsid w:val="00027369"/>
    <w:rsid w:val="00033D81"/>
    <w:rsid w:val="0003463C"/>
    <w:rsid w:val="0003593E"/>
    <w:rsid w:val="00037A57"/>
    <w:rsid w:val="00037D82"/>
    <w:rsid w:val="000402DB"/>
    <w:rsid w:val="00041BF0"/>
    <w:rsid w:val="0004536B"/>
    <w:rsid w:val="0004630C"/>
    <w:rsid w:val="00046B68"/>
    <w:rsid w:val="000475CD"/>
    <w:rsid w:val="00050109"/>
    <w:rsid w:val="000526A1"/>
    <w:rsid w:val="000526D1"/>
    <w:rsid w:val="000527DD"/>
    <w:rsid w:val="00055BC0"/>
    <w:rsid w:val="000578B2"/>
    <w:rsid w:val="000606BA"/>
    <w:rsid w:val="00060959"/>
    <w:rsid w:val="00065C6E"/>
    <w:rsid w:val="000705CF"/>
    <w:rsid w:val="000710D4"/>
    <w:rsid w:val="00073ADB"/>
    <w:rsid w:val="00074219"/>
    <w:rsid w:val="00074ED5"/>
    <w:rsid w:val="000815CF"/>
    <w:rsid w:val="000820DE"/>
    <w:rsid w:val="0008254F"/>
    <w:rsid w:val="0008786C"/>
    <w:rsid w:val="00090135"/>
    <w:rsid w:val="00090171"/>
    <w:rsid w:val="0009080D"/>
    <w:rsid w:val="00092BB8"/>
    <w:rsid w:val="00096CD1"/>
    <w:rsid w:val="00097EBE"/>
    <w:rsid w:val="000A012C"/>
    <w:rsid w:val="000A0524"/>
    <w:rsid w:val="000A0EB9"/>
    <w:rsid w:val="000A186C"/>
    <w:rsid w:val="000A3BC2"/>
    <w:rsid w:val="000A5B85"/>
    <w:rsid w:val="000A5E10"/>
    <w:rsid w:val="000A6A40"/>
    <w:rsid w:val="000A7640"/>
    <w:rsid w:val="000B21ED"/>
    <w:rsid w:val="000B231B"/>
    <w:rsid w:val="000B3B7B"/>
    <w:rsid w:val="000B543D"/>
    <w:rsid w:val="000B5BF7"/>
    <w:rsid w:val="000B6BC8"/>
    <w:rsid w:val="000B6EBB"/>
    <w:rsid w:val="000C42EA"/>
    <w:rsid w:val="000C4546"/>
    <w:rsid w:val="000C4E3A"/>
    <w:rsid w:val="000C7A79"/>
    <w:rsid w:val="000D03C4"/>
    <w:rsid w:val="000D1242"/>
    <w:rsid w:val="000D2621"/>
    <w:rsid w:val="000D33DC"/>
    <w:rsid w:val="000D7DEE"/>
    <w:rsid w:val="000E1328"/>
    <w:rsid w:val="000E2326"/>
    <w:rsid w:val="000E3CC7"/>
    <w:rsid w:val="000E4F2C"/>
    <w:rsid w:val="000E6BD4"/>
    <w:rsid w:val="000E6F6A"/>
    <w:rsid w:val="000F056A"/>
    <w:rsid w:val="000F1A67"/>
    <w:rsid w:val="000F1F1E"/>
    <w:rsid w:val="000F2259"/>
    <w:rsid w:val="000F52A4"/>
    <w:rsid w:val="00100ACC"/>
    <w:rsid w:val="0010342F"/>
    <w:rsid w:val="0010392D"/>
    <w:rsid w:val="00103E86"/>
    <w:rsid w:val="00104FE3"/>
    <w:rsid w:val="0011306B"/>
    <w:rsid w:val="00120BD3"/>
    <w:rsid w:val="00122FEA"/>
    <w:rsid w:val="001232BD"/>
    <w:rsid w:val="00124605"/>
    <w:rsid w:val="00124ED5"/>
    <w:rsid w:val="00125BEC"/>
    <w:rsid w:val="00131935"/>
    <w:rsid w:val="00133098"/>
    <w:rsid w:val="00133B3A"/>
    <w:rsid w:val="001346AD"/>
    <w:rsid w:val="00134D29"/>
    <w:rsid w:val="001351B3"/>
    <w:rsid w:val="001353BF"/>
    <w:rsid w:val="00135CCF"/>
    <w:rsid w:val="001447B3"/>
    <w:rsid w:val="00144F0D"/>
    <w:rsid w:val="001452B9"/>
    <w:rsid w:val="001458E4"/>
    <w:rsid w:val="00145ED2"/>
    <w:rsid w:val="001566BA"/>
    <w:rsid w:val="00156ECC"/>
    <w:rsid w:val="00160623"/>
    <w:rsid w:val="00161939"/>
    <w:rsid w:val="00161AA0"/>
    <w:rsid w:val="00162093"/>
    <w:rsid w:val="00162627"/>
    <w:rsid w:val="00164CF0"/>
    <w:rsid w:val="00164D12"/>
    <w:rsid w:val="001743BE"/>
    <w:rsid w:val="00175392"/>
    <w:rsid w:val="001764AC"/>
    <w:rsid w:val="001771DD"/>
    <w:rsid w:val="00177995"/>
    <w:rsid w:val="00177A8C"/>
    <w:rsid w:val="00181A47"/>
    <w:rsid w:val="001827A4"/>
    <w:rsid w:val="001828F5"/>
    <w:rsid w:val="00182BAE"/>
    <w:rsid w:val="00186B33"/>
    <w:rsid w:val="00192508"/>
    <w:rsid w:val="00192F9D"/>
    <w:rsid w:val="00196EB8"/>
    <w:rsid w:val="001979FF"/>
    <w:rsid w:val="00197B17"/>
    <w:rsid w:val="001A2FD8"/>
    <w:rsid w:val="001A3ACE"/>
    <w:rsid w:val="001B01A0"/>
    <w:rsid w:val="001B07E8"/>
    <w:rsid w:val="001B188A"/>
    <w:rsid w:val="001B1F02"/>
    <w:rsid w:val="001B24EF"/>
    <w:rsid w:val="001B39E9"/>
    <w:rsid w:val="001B3C2D"/>
    <w:rsid w:val="001B5CC1"/>
    <w:rsid w:val="001B7281"/>
    <w:rsid w:val="001C1999"/>
    <w:rsid w:val="001C27D2"/>
    <w:rsid w:val="001C2A72"/>
    <w:rsid w:val="001C597F"/>
    <w:rsid w:val="001C732D"/>
    <w:rsid w:val="001D0B75"/>
    <w:rsid w:val="001D146C"/>
    <w:rsid w:val="001D21E8"/>
    <w:rsid w:val="001D3C09"/>
    <w:rsid w:val="001D44E8"/>
    <w:rsid w:val="001D4AC4"/>
    <w:rsid w:val="001D60EC"/>
    <w:rsid w:val="001E2FFF"/>
    <w:rsid w:val="001E44DF"/>
    <w:rsid w:val="001E46C0"/>
    <w:rsid w:val="001E5EDC"/>
    <w:rsid w:val="001E68A5"/>
    <w:rsid w:val="001F61D2"/>
    <w:rsid w:val="001F6E46"/>
    <w:rsid w:val="001F7C91"/>
    <w:rsid w:val="002017A7"/>
    <w:rsid w:val="00202850"/>
    <w:rsid w:val="00206463"/>
    <w:rsid w:val="0020671D"/>
    <w:rsid w:val="00206F2F"/>
    <w:rsid w:val="00207541"/>
    <w:rsid w:val="0020761D"/>
    <w:rsid w:val="0021053D"/>
    <w:rsid w:val="00210A92"/>
    <w:rsid w:val="00211869"/>
    <w:rsid w:val="00212CE3"/>
    <w:rsid w:val="00214D82"/>
    <w:rsid w:val="00216C03"/>
    <w:rsid w:val="0021770E"/>
    <w:rsid w:val="00220C04"/>
    <w:rsid w:val="0022511E"/>
    <w:rsid w:val="00225C25"/>
    <w:rsid w:val="002277DF"/>
    <w:rsid w:val="002333F5"/>
    <w:rsid w:val="0023467B"/>
    <w:rsid w:val="00234B71"/>
    <w:rsid w:val="00235D6F"/>
    <w:rsid w:val="002366BF"/>
    <w:rsid w:val="002372BD"/>
    <w:rsid w:val="00237C67"/>
    <w:rsid w:val="00245D6D"/>
    <w:rsid w:val="00246C5E"/>
    <w:rsid w:val="00251343"/>
    <w:rsid w:val="00253641"/>
    <w:rsid w:val="0025491A"/>
    <w:rsid w:val="00254F7A"/>
    <w:rsid w:val="00261C29"/>
    <w:rsid w:val="002620BC"/>
    <w:rsid w:val="002625EA"/>
    <w:rsid w:val="00263A90"/>
    <w:rsid w:val="0026408B"/>
    <w:rsid w:val="00267C3E"/>
    <w:rsid w:val="002709BB"/>
    <w:rsid w:val="0027189A"/>
    <w:rsid w:val="002746BC"/>
    <w:rsid w:val="00277F73"/>
    <w:rsid w:val="002802E3"/>
    <w:rsid w:val="00280A47"/>
    <w:rsid w:val="0028213D"/>
    <w:rsid w:val="002862F1"/>
    <w:rsid w:val="00287AC2"/>
    <w:rsid w:val="00290A59"/>
    <w:rsid w:val="00290F7E"/>
    <w:rsid w:val="00291373"/>
    <w:rsid w:val="00293E9D"/>
    <w:rsid w:val="00293EA5"/>
    <w:rsid w:val="0029597D"/>
    <w:rsid w:val="00295F99"/>
    <w:rsid w:val="002962C3"/>
    <w:rsid w:val="002A00DC"/>
    <w:rsid w:val="002A3018"/>
    <w:rsid w:val="002A3AC1"/>
    <w:rsid w:val="002A483C"/>
    <w:rsid w:val="002B1729"/>
    <w:rsid w:val="002B2C03"/>
    <w:rsid w:val="002B4DD4"/>
    <w:rsid w:val="002B5277"/>
    <w:rsid w:val="002B580A"/>
    <w:rsid w:val="002B77C1"/>
    <w:rsid w:val="002C1BB5"/>
    <w:rsid w:val="002C2728"/>
    <w:rsid w:val="002D5A09"/>
    <w:rsid w:val="002E01D0"/>
    <w:rsid w:val="002E161D"/>
    <w:rsid w:val="002E5EF2"/>
    <w:rsid w:val="002E6A54"/>
    <w:rsid w:val="002E6C95"/>
    <w:rsid w:val="002E7C36"/>
    <w:rsid w:val="002F2B17"/>
    <w:rsid w:val="002F32D0"/>
    <w:rsid w:val="002F444F"/>
    <w:rsid w:val="002F5F31"/>
    <w:rsid w:val="00302216"/>
    <w:rsid w:val="00302EBD"/>
    <w:rsid w:val="00303E53"/>
    <w:rsid w:val="00306E5F"/>
    <w:rsid w:val="00307E14"/>
    <w:rsid w:val="00312E77"/>
    <w:rsid w:val="00314054"/>
    <w:rsid w:val="0031510A"/>
    <w:rsid w:val="00316F27"/>
    <w:rsid w:val="00320BF0"/>
    <w:rsid w:val="00322BCF"/>
    <w:rsid w:val="00326A66"/>
    <w:rsid w:val="00327870"/>
    <w:rsid w:val="00327B15"/>
    <w:rsid w:val="0033259D"/>
    <w:rsid w:val="00336814"/>
    <w:rsid w:val="003406C6"/>
    <w:rsid w:val="00340AD5"/>
    <w:rsid w:val="003418CC"/>
    <w:rsid w:val="003452D9"/>
    <w:rsid w:val="003459BD"/>
    <w:rsid w:val="00345CE9"/>
    <w:rsid w:val="00346B4A"/>
    <w:rsid w:val="003475FA"/>
    <w:rsid w:val="00350D38"/>
    <w:rsid w:val="0035469F"/>
    <w:rsid w:val="003551F1"/>
    <w:rsid w:val="00356D2F"/>
    <w:rsid w:val="003579D6"/>
    <w:rsid w:val="0037031B"/>
    <w:rsid w:val="0037133B"/>
    <w:rsid w:val="003722F2"/>
    <w:rsid w:val="003744CF"/>
    <w:rsid w:val="00374717"/>
    <w:rsid w:val="003759C0"/>
    <w:rsid w:val="0037676C"/>
    <w:rsid w:val="00380309"/>
    <w:rsid w:val="00381450"/>
    <w:rsid w:val="003829E5"/>
    <w:rsid w:val="00382DEA"/>
    <w:rsid w:val="00391428"/>
    <w:rsid w:val="0039167B"/>
    <w:rsid w:val="0039185F"/>
    <w:rsid w:val="00393691"/>
    <w:rsid w:val="003950C3"/>
    <w:rsid w:val="003956CC"/>
    <w:rsid w:val="00395C9A"/>
    <w:rsid w:val="003A1E0B"/>
    <w:rsid w:val="003A5639"/>
    <w:rsid w:val="003A6B67"/>
    <w:rsid w:val="003A74F6"/>
    <w:rsid w:val="003B012F"/>
    <w:rsid w:val="003B06BA"/>
    <w:rsid w:val="003B13BB"/>
    <w:rsid w:val="003B15E6"/>
    <w:rsid w:val="003B4E11"/>
    <w:rsid w:val="003B653D"/>
    <w:rsid w:val="003B6ECA"/>
    <w:rsid w:val="003C2045"/>
    <w:rsid w:val="003C2E6A"/>
    <w:rsid w:val="003C3FCE"/>
    <w:rsid w:val="003C43A1"/>
    <w:rsid w:val="003C43CF"/>
    <w:rsid w:val="003C55F4"/>
    <w:rsid w:val="003C7A3F"/>
    <w:rsid w:val="003D3E8F"/>
    <w:rsid w:val="003D6475"/>
    <w:rsid w:val="003D7A7E"/>
    <w:rsid w:val="003E24DD"/>
    <w:rsid w:val="003E28AD"/>
    <w:rsid w:val="003E375C"/>
    <w:rsid w:val="003E42AA"/>
    <w:rsid w:val="003E6FA6"/>
    <w:rsid w:val="003E7015"/>
    <w:rsid w:val="003F0445"/>
    <w:rsid w:val="003F0CF0"/>
    <w:rsid w:val="003F1B43"/>
    <w:rsid w:val="003F3289"/>
    <w:rsid w:val="003F6A03"/>
    <w:rsid w:val="003F75B4"/>
    <w:rsid w:val="003F7A4D"/>
    <w:rsid w:val="00401FCF"/>
    <w:rsid w:val="00411509"/>
    <w:rsid w:val="00412DC1"/>
    <w:rsid w:val="00413FE1"/>
    <w:rsid w:val="004140E2"/>
    <w:rsid w:val="004148F9"/>
    <w:rsid w:val="004203FC"/>
    <w:rsid w:val="0042084E"/>
    <w:rsid w:val="0042130D"/>
    <w:rsid w:val="00424D65"/>
    <w:rsid w:val="00425DEF"/>
    <w:rsid w:val="00426D1E"/>
    <w:rsid w:val="00427192"/>
    <w:rsid w:val="00433DA0"/>
    <w:rsid w:val="00435D7D"/>
    <w:rsid w:val="00436F62"/>
    <w:rsid w:val="00437452"/>
    <w:rsid w:val="00442C6C"/>
    <w:rsid w:val="00443CBE"/>
    <w:rsid w:val="004441BC"/>
    <w:rsid w:val="004450DF"/>
    <w:rsid w:val="00446341"/>
    <w:rsid w:val="0044777B"/>
    <w:rsid w:val="00451575"/>
    <w:rsid w:val="0045230A"/>
    <w:rsid w:val="00454616"/>
    <w:rsid w:val="00454B16"/>
    <w:rsid w:val="00457099"/>
    <w:rsid w:val="00457337"/>
    <w:rsid w:val="0046021C"/>
    <w:rsid w:val="00461F02"/>
    <w:rsid w:val="0046522F"/>
    <w:rsid w:val="00465B0D"/>
    <w:rsid w:val="0046658A"/>
    <w:rsid w:val="0047156E"/>
    <w:rsid w:val="0047372D"/>
    <w:rsid w:val="004743DD"/>
    <w:rsid w:val="00474CEA"/>
    <w:rsid w:val="00476824"/>
    <w:rsid w:val="004771FF"/>
    <w:rsid w:val="0048208B"/>
    <w:rsid w:val="00483968"/>
    <w:rsid w:val="00484F86"/>
    <w:rsid w:val="004869F7"/>
    <w:rsid w:val="00487375"/>
    <w:rsid w:val="00490746"/>
    <w:rsid w:val="00490852"/>
    <w:rsid w:val="004909D3"/>
    <w:rsid w:val="004939AE"/>
    <w:rsid w:val="004946F4"/>
    <w:rsid w:val="0049487E"/>
    <w:rsid w:val="004A14C9"/>
    <w:rsid w:val="004A3E81"/>
    <w:rsid w:val="004A4284"/>
    <w:rsid w:val="004A4820"/>
    <w:rsid w:val="004A5C62"/>
    <w:rsid w:val="004A707D"/>
    <w:rsid w:val="004B2332"/>
    <w:rsid w:val="004B44A3"/>
    <w:rsid w:val="004C6EEE"/>
    <w:rsid w:val="004C702B"/>
    <w:rsid w:val="004D016B"/>
    <w:rsid w:val="004D1B22"/>
    <w:rsid w:val="004D36F2"/>
    <w:rsid w:val="004D4601"/>
    <w:rsid w:val="004D7AF1"/>
    <w:rsid w:val="004E32FB"/>
    <w:rsid w:val="004E4649"/>
    <w:rsid w:val="004E5C2B"/>
    <w:rsid w:val="004E62A5"/>
    <w:rsid w:val="004E647C"/>
    <w:rsid w:val="004E6D99"/>
    <w:rsid w:val="004E6E57"/>
    <w:rsid w:val="004F00DD"/>
    <w:rsid w:val="004F1800"/>
    <w:rsid w:val="004F1BF2"/>
    <w:rsid w:val="004F2133"/>
    <w:rsid w:val="004F3E1A"/>
    <w:rsid w:val="004F3EB7"/>
    <w:rsid w:val="004F55F1"/>
    <w:rsid w:val="004F6936"/>
    <w:rsid w:val="00500737"/>
    <w:rsid w:val="00500E7E"/>
    <w:rsid w:val="00501351"/>
    <w:rsid w:val="00503DC6"/>
    <w:rsid w:val="0050417C"/>
    <w:rsid w:val="005052C9"/>
    <w:rsid w:val="005061AB"/>
    <w:rsid w:val="00506F5D"/>
    <w:rsid w:val="00510D89"/>
    <w:rsid w:val="005120C2"/>
    <w:rsid w:val="005126D0"/>
    <w:rsid w:val="0051473A"/>
    <w:rsid w:val="00520AB8"/>
    <w:rsid w:val="00521F24"/>
    <w:rsid w:val="00524918"/>
    <w:rsid w:val="00526865"/>
    <w:rsid w:val="0052763A"/>
    <w:rsid w:val="00530218"/>
    <w:rsid w:val="00530545"/>
    <w:rsid w:val="00530E92"/>
    <w:rsid w:val="00532666"/>
    <w:rsid w:val="00533D91"/>
    <w:rsid w:val="0053452E"/>
    <w:rsid w:val="00536499"/>
    <w:rsid w:val="00540852"/>
    <w:rsid w:val="00540A93"/>
    <w:rsid w:val="00542BCF"/>
    <w:rsid w:val="00543903"/>
    <w:rsid w:val="00546E29"/>
    <w:rsid w:val="00546E7C"/>
    <w:rsid w:val="00546F0C"/>
    <w:rsid w:val="00547A95"/>
    <w:rsid w:val="00550716"/>
    <w:rsid w:val="005514C5"/>
    <w:rsid w:val="00553934"/>
    <w:rsid w:val="00554A3F"/>
    <w:rsid w:val="00555B7E"/>
    <w:rsid w:val="00557CD2"/>
    <w:rsid w:val="00560E8D"/>
    <w:rsid w:val="00561366"/>
    <w:rsid w:val="005627BC"/>
    <w:rsid w:val="00566956"/>
    <w:rsid w:val="00566A0F"/>
    <w:rsid w:val="00572031"/>
    <w:rsid w:val="00576E84"/>
    <w:rsid w:val="00581CF6"/>
    <w:rsid w:val="005826B6"/>
    <w:rsid w:val="005842DA"/>
    <w:rsid w:val="005856BA"/>
    <w:rsid w:val="00586124"/>
    <w:rsid w:val="0058757E"/>
    <w:rsid w:val="00590D6A"/>
    <w:rsid w:val="005915E3"/>
    <w:rsid w:val="00591A88"/>
    <w:rsid w:val="005932AF"/>
    <w:rsid w:val="00596A4B"/>
    <w:rsid w:val="00597507"/>
    <w:rsid w:val="005A2808"/>
    <w:rsid w:val="005A3AEC"/>
    <w:rsid w:val="005A582D"/>
    <w:rsid w:val="005A6AC9"/>
    <w:rsid w:val="005A7647"/>
    <w:rsid w:val="005B0958"/>
    <w:rsid w:val="005B21B6"/>
    <w:rsid w:val="005B6BE0"/>
    <w:rsid w:val="005B7A63"/>
    <w:rsid w:val="005C4164"/>
    <w:rsid w:val="005C42BA"/>
    <w:rsid w:val="005C49DA"/>
    <w:rsid w:val="005C50F3"/>
    <w:rsid w:val="005C5D91"/>
    <w:rsid w:val="005C7FC7"/>
    <w:rsid w:val="005D07B8"/>
    <w:rsid w:val="005D2C74"/>
    <w:rsid w:val="005D6597"/>
    <w:rsid w:val="005E11D0"/>
    <w:rsid w:val="005E14E7"/>
    <w:rsid w:val="005E1B3C"/>
    <w:rsid w:val="005E32E5"/>
    <w:rsid w:val="005E4097"/>
    <w:rsid w:val="005E447E"/>
    <w:rsid w:val="005E459D"/>
    <w:rsid w:val="005F0775"/>
    <w:rsid w:val="005F0CF5"/>
    <w:rsid w:val="005F204C"/>
    <w:rsid w:val="005F21EB"/>
    <w:rsid w:val="005F2FA7"/>
    <w:rsid w:val="005F60ED"/>
    <w:rsid w:val="0060129E"/>
    <w:rsid w:val="00604567"/>
    <w:rsid w:val="00605908"/>
    <w:rsid w:val="00607122"/>
    <w:rsid w:val="00607EBC"/>
    <w:rsid w:val="00610D7C"/>
    <w:rsid w:val="00613414"/>
    <w:rsid w:val="00623722"/>
    <w:rsid w:val="0062408D"/>
    <w:rsid w:val="00624812"/>
    <w:rsid w:val="00624AF1"/>
    <w:rsid w:val="00625D41"/>
    <w:rsid w:val="00627DA7"/>
    <w:rsid w:val="006309F0"/>
    <w:rsid w:val="006358B4"/>
    <w:rsid w:val="00636963"/>
    <w:rsid w:val="00636C31"/>
    <w:rsid w:val="006371A6"/>
    <w:rsid w:val="006419AA"/>
    <w:rsid w:val="00641B60"/>
    <w:rsid w:val="00643351"/>
    <w:rsid w:val="00644B1D"/>
    <w:rsid w:val="00644B7E"/>
    <w:rsid w:val="00646A68"/>
    <w:rsid w:val="00646FB5"/>
    <w:rsid w:val="0065092E"/>
    <w:rsid w:val="006557A7"/>
    <w:rsid w:val="00656290"/>
    <w:rsid w:val="00657303"/>
    <w:rsid w:val="006601D4"/>
    <w:rsid w:val="006618EF"/>
    <w:rsid w:val="006621D7"/>
    <w:rsid w:val="0066302A"/>
    <w:rsid w:val="00663E09"/>
    <w:rsid w:val="00670597"/>
    <w:rsid w:val="0067066C"/>
    <w:rsid w:val="00673388"/>
    <w:rsid w:val="00673A34"/>
    <w:rsid w:val="00674760"/>
    <w:rsid w:val="006768DF"/>
    <w:rsid w:val="006773C3"/>
    <w:rsid w:val="00677574"/>
    <w:rsid w:val="00683954"/>
    <w:rsid w:val="0068454C"/>
    <w:rsid w:val="00690721"/>
    <w:rsid w:val="00691B62"/>
    <w:rsid w:val="006A1315"/>
    <w:rsid w:val="006A18C2"/>
    <w:rsid w:val="006A2472"/>
    <w:rsid w:val="006A6EE5"/>
    <w:rsid w:val="006B077C"/>
    <w:rsid w:val="006B0A0E"/>
    <w:rsid w:val="006B1297"/>
    <w:rsid w:val="006B17B6"/>
    <w:rsid w:val="006B490C"/>
    <w:rsid w:val="006B6E55"/>
    <w:rsid w:val="006C665A"/>
    <w:rsid w:val="006C6C18"/>
    <w:rsid w:val="006C716F"/>
    <w:rsid w:val="006D2229"/>
    <w:rsid w:val="006D27E0"/>
    <w:rsid w:val="006D2A3F"/>
    <w:rsid w:val="006D6340"/>
    <w:rsid w:val="006D69AC"/>
    <w:rsid w:val="006E138B"/>
    <w:rsid w:val="006E2ECF"/>
    <w:rsid w:val="006F1FDC"/>
    <w:rsid w:val="006F36B5"/>
    <w:rsid w:val="006F5CB1"/>
    <w:rsid w:val="006F7341"/>
    <w:rsid w:val="007013EF"/>
    <w:rsid w:val="007023E0"/>
    <w:rsid w:val="007027D2"/>
    <w:rsid w:val="00702B10"/>
    <w:rsid w:val="00705BB1"/>
    <w:rsid w:val="0071047A"/>
    <w:rsid w:val="0071063A"/>
    <w:rsid w:val="007134F4"/>
    <w:rsid w:val="007149C6"/>
    <w:rsid w:val="007216AA"/>
    <w:rsid w:val="00721AB5"/>
    <w:rsid w:val="00721DEF"/>
    <w:rsid w:val="00722719"/>
    <w:rsid w:val="00724A43"/>
    <w:rsid w:val="00730754"/>
    <w:rsid w:val="007309E6"/>
    <w:rsid w:val="00733061"/>
    <w:rsid w:val="007346E4"/>
    <w:rsid w:val="00735D59"/>
    <w:rsid w:val="00740F22"/>
    <w:rsid w:val="00741613"/>
    <w:rsid w:val="00741F1A"/>
    <w:rsid w:val="00741FE7"/>
    <w:rsid w:val="00742469"/>
    <w:rsid w:val="007450F8"/>
    <w:rsid w:val="0074696E"/>
    <w:rsid w:val="00750135"/>
    <w:rsid w:val="0075285D"/>
    <w:rsid w:val="00753586"/>
    <w:rsid w:val="007537F5"/>
    <w:rsid w:val="00754992"/>
    <w:rsid w:val="00754E36"/>
    <w:rsid w:val="00763139"/>
    <w:rsid w:val="0076737C"/>
    <w:rsid w:val="00772D5E"/>
    <w:rsid w:val="00774C41"/>
    <w:rsid w:val="00775A6F"/>
    <w:rsid w:val="00776928"/>
    <w:rsid w:val="00780D76"/>
    <w:rsid w:val="00782F2C"/>
    <w:rsid w:val="00786F16"/>
    <w:rsid w:val="00796E20"/>
    <w:rsid w:val="00797C32"/>
    <w:rsid w:val="00797FA8"/>
    <w:rsid w:val="007A1D0A"/>
    <w:rsid w:val="007A578D"/>
    <w:rsid w:val="007A57F6"/>
    <w:rsid w:val="007A5DD9"/>
    <w:rsid w:val="007A7B5D"/>
    <w:rsid w:val="007B0914"/>
    <w:rsid w:val="007B1374"/>
    <w:rsid w:val="007B589F"/>
    <w:rsid w:val="007B6186"/>
    <w:rsid w:val="007B6D01"/>
    <w:rsid w:val="007C470E"/>
    <w:rsid w:val="007C586A"/>
    <w:rsid w:val="007C7301"/>
    <w:rsid w:val="007C7859"/>
    <w:rsid w:val="007D0A10"/>
    <w:rsid w:val="007D2BDE"/>
    <w:rsid w:val="007D2FB6"/>
    <w:rsid w:val="007D3146"/>
    <w:rsid w:val="007D3E73"/>
    <w:rsid w:val="007D3EA2"/>
    <w:rsid w:val="007D4D5A"/>
    <w:rsid w:val="007E00B1"/>
    <w:rsid w:val="007E0DE2"/>
    <w:rsid w:val="007E4048"/>
    <w:rsid w:val="007E41B2"/>
    <w:rsid w:val="007E5373"/>
    <w:rsid w:val="007F31B6"/>
    <w:rsid w:val="007F4830"/>
    <w:rsid w:val="007F546C"/>
    <w:rsid w:val="007F665E"/>
    <w:rsid w:val="00800412"/>
    <w:rsid w:val="00800753"/>
    <w:rsid w:val="00801EEF"/>
    <w:rsid w:val="00802A4C"/>
    <w:rsid w:val="0080587B"/>
    <w:rsid w:val="008059C9"/>
    <w:rsid w:val="008062BC"/>
    <w:rsid w:val="00806468"/>
    <w:rsid w:val="008101C5"/>
    <w:rsid w:val="00811562"/>
    <w:rsid w:val="00812C49"/>
    <w:rsid w:val="008141CE"/>
    <w:rsid w:val="00816735"/>
    <w:rsid w:val="00820141"/>
    <w:rsid w:val="00820E0C"/>
    <w:rsid w:val="008260DA"/>
    <w:rsid w:val="008308BE"/>
    <w:rsid w:val="00836FFD"/>
    <w:rsid w:val="00842DD1"/>
    <w:rsid w:val="008453ED"/>
    <w:rsid w:val="00846126"/>
    <w:rsid w:val="008516F2"/>
    <w:rsid w:val="00852EE6"/>
    <w:rsid w:val="00853CF6"/>
    <w:rsid w:val="00853EE4"/>
    <w:rsid w:val="00855535"/>
    <w:rsid w:val="0085756E"/>
    <w:rsid w:val="00860662"/>
    <w:rsid w:val="008633F0"/>
    <w:rsid w:val="008654F8"/>
    <w:rsid w:val="00865B41"/>
    <w:rsid w:val="00867D9D"/>
    <w:rsid w:val="0087054C"/>
    <w:rsid w:val="0087092E"/>
    <w:rsid w:val="00872E0A"/>
    <w:rsid w:val="00875285"/>
    <w:rsid w:val="008759BE"/>
    <w:rsid w:val="008760B0"/>
    <w:rsid w:val="008770B0"/>
    <w:rsid w:val="00877904"/>
    <w:rsid w:val="00883820"/>
    <w:rsid w:val="00884B62"/>
    <w:rsid w:val="0088529C"/>
    <w:rsid w:val="00892553"/>
    <w:rsid w:val="00892570"/>
    <w:rsid w:val="0089270A"/>
    <w:rsid w:val="00893AF6"/>
    <w:rsid w:val="00894BC4"/>
    <w:rsid w:val="00896309"/>
    <w:rsid w:val="008A07A8"/>
    <w:rsid w:val="008A082F"/>
    <w:rsid w:val="008A18B6"/>
    <w:rsid w:val="008A2229"/>
    <w:rsid w:val="008A2957"/>
    <w:rsid w:val="008A61CE"/>
    <w:rsid w:val="008A6B87"/>
    <w:rsid w:val="008A6BAC"/>
    <w:rsid w:val="008A79A3"/>
    <w:rsid w:val="008B0241"/>
    <w:rsid w:val="008B2EE4"/>
    <w:rsid w:val="008B45EF"/>
    <w:rsid w:val="008B4D3D"/>
    <w:rsid w:val="008B566A"/>
    <w:rsid w:val="008B57C7"/>
    <w:rsid w:val="008C2F92"/>
    <w:rsid w:val="008C5716"/>
    <w:rsid w:val="008C6DDA"/>
    <w:rsid w:val="008C748D"/>
    <w:rsid w:val="008D2B74"/>
    <w:rsid w:val="008D4236"/>
    <w:rsid w:val="008D462F"/>
    <w:rsid w:val="008E0765"/>
    <w:rsid w:val="008E2AC2"/>
    <w:rsid w:val="008E4376"/>
    <w:rsid w:val="008E5111"/>
    <w:rsid w:val="008E6E60"/>
    <w:rsid w:val="008F2960"/>
    <w:rsid w:val="008F4109"/>
    <w:rsid w:val="008F4C85"/>
    <w:rsid w:val="008F65BC"/>
    <w:rsid w:val="008F765E"/>
    <w:rsid w:val="00900719"/>
    <w:rsid w:val="00900AC0"/>
    <w:rsid w:val="0090496E"/>
    <w:rsid w:val="00906490"/>
    <w:rsid w:val="00907261"/>
    <w:rsid w:val="009078F6"/>
    <w:rsid w:val="00907F2E"/>
    <w:rsid w:val="009111B2"/>
    <w:rsid w:val="009143BF"/>
    <w:rsid w:val="00914584"/>
    <w:rsid w:val="009171B0"/>
    <w:rsid w:val="0091726F"/>
    <w:rsid w:val="00917D13"/>
    <w:rsid w:val="00922327"/>
    <w:rsid w:val="00924AE1"/>
    <w:rsid w:val="009269B1"/>
    <w:rsid w:val="00937BD9"/>
    <w:rsid w:val="009426AB"/>
    <w:rsid w:val="00946CEA"/>
    <w:rsid w:val="00947329"/>
    <w:rsid w:val="009500F3"/>
    <w:rsid w:val="00950E2C"/>
    <w:rsid w:val="00951D50"/>
    <w:rsid w:val="009525EB"/>
    <w:rsid w:val="0096029D"/>
    <w:rsid w:val="00961400"/>
    <w:rsid w:val="00963646"/>
    <w:rsid w:val="0097122E"/>
    <w:rsid w:val="00973EC3"/>
    <w:rsid w:val="009752D2"/>
    <w:rsid w:val="0097697B"/>
    <w:rsid w:val="0097753D"/>
    <w:rsid w:val="009778D6"/>
    <w:rsid w:val="009817CA"/>
    <w:rsid w:val="00982730"/>
    <w:rsid w:val="009836E4"/>
    <w:rsid w:val="009853E1"/>
    <w:rsid w:val="00986E6B"/>
    <w:rsid w:val="0099137C"/>
    <w:rsid w:val="00991769"/>
    <w:rsid w:val="00994386"/>
    <w:rsid w:val="00994CB2"/>
    <w:rsid w:val="00996541"/>
    <w:rsid w:val="009965BD"/>
    <w:rsid w:val="009A0064"/>
    <w:rsid w:val="009A1440"/>
    <w:rsid w:val="009A20C5"/>
    <w:rsid w:val="009A279E"/>
    <w:rsid w:val="009A3684"/>
    <w:rsid w:val="009A3A5A"/>
    <w:rsid w:val="009A4617"/>
    <w:rsid w:val="009B048B"/>
    <w:rsid w:val="009B0A6F"/>
    <w:rsid w:val="009B2EFE"/>
    <w:rsid w:val="009B4852"/>
    <w:rsid w:val="009B59E9"/>
    <w:rsid w:val="009B5B1E"/>
    <w:rsid w:val="009C09C5"/>
    <w:rsid w:val="009C2A2F"/>
    <w:rsid w:val="009C3EAC"/>
    <w:rsid w:val="009C69EB"/>
    <w:rsid w:val="009C7A7E"/>
    <w:rsid w:val="009D02E8"/>
    <w:rsid w:val="009D51D0"/>
    <w:rsid w:val="009D70A4"/>
    <w:rsid w:val="009D742A"/>
    <w:rsid w:val="009E08D1"/>
    <w:rsid w:val="009E1B95"/>
    <w:rsid w:val="009E496F"/>
    <w:rsid w:val="009E4B0D"/>
    <w:rsid w:val="009E6FE6"/>
    <w:rsid w:val="009E7F92"/>
    <w:rsid w:val="009F02A3"/>
    <w:rsid w:val="009F1DC4"/>
    <w:rsid w:val="009F2F27"/>
    <w:rsid w:val="009F5296"/>
    <w:rsid w:val="009F6BCB"/>
    <w:rsid w:val="009F738B"/>
    <w:rsid w:val="009F7B78"/>
    <w:rsid w:val="00A00073"/>
    <w:rsid w:val="00A0057A"/>
    <w:rsid w:val="00A01333"/>
    <w:rsid w:val="00A058A6"/>
    <w:rsid w:val="00A113E3"/>
    <w:rsid w:val="00A11421"/>
    <w:rsid w:val="00A1360F"/>
    <w:rsid w:val="00A157B1"/>
    <w:rsid w:val="00A163AA"/>
    <w:rsid w:val="00A21A04"/>
    <w:rsid w:val="00A22229"/>
    <w:rsid w:val="00A22E22"/>
    <w:rsid w:val="00A249DA"/>
    <w:rsid w:val="00A34A00"/>
    <w:rsid w:val="00A34DFE"/>
    <w:rsid w:val="00A356BC"/>
    <w:rsid w:val="00A40B36"/>
    <w:rsid w:val="00A414C9"/>
    <w:rsid w:val="00A44882"/>
    <w:rsid w:val="00A455A0"/>
    <w:rsid w:val="00A46AC1"/>
    <w:rsid w:val="00A47914"/>
    <w:rsid w:val="00A47BB2"/>
    <w:rsid w:val="00A53E7A"/>
    <w:rsid w:val="00A54715"/>
    <w:rsid w:val="00A561E8"/>
    <w:rsid w:val="00A6061C"/>
    <w:rsid w:val="00A62D44"/>
    <w:rsid w:val="00A632E4"/>
    <w:rsid w:val="00A65FEE"/>
    <w:rsid w:val="00A7161C"/>
    <w:rsid w:val="00A74988"/>
    <w:rsid w:val="00A765AE"/>
    <w:rsid w:val="00A76C3F"/>
    <w:rsid w:val="00A775B3"/>
    <w:rsid w:val="00A77AA3"/>
    <w:rsid w:val="00A8002A"/>
    <w:rsid w:val="00A80231"/>
    <w:rsid w:val="00A82F7E"/>
    <w:rsid w:val="00A86675"/>
    <w:rsid w:val="00A872E5"/>
    <w:rsid w:val="00A941F5"/>
    <w:rsid w:val="00A95E3B"/>
    <w:rsid w:val="00A96067"/>
    <w:rsid w:val="00A96E65"/>
    <w:rsid w:val="00A97C72"/>
    <w:rsid w:val="00AA227A"/>
    <w:rsid w:val="00AA63D4"/>
    <w:rsid w:val="00AA76E3"/>
    <w:rsid w:val="00AB06E8"/>
    <w:rsid w:val="00AB0A37"/>
    <w:rsid w:val="00AB1CD3"/>
    <w:rsid w:val="00AB352F"/>
    <w:rsid w:val="00AB5739"/>
    <w:rsid w:val="00AB7169"/>
    <w:rsid w:val="00AC274B"/>
    <w:rsid w:val="00AC2A37"/>
    <w:rsid w:val="00AC4F55"/>
    <w:rsid w:val="00AC6D36"/>
    <w:rsid w:val="00AC6E4D"/>
    <w:rsid w:val="00AD0CBA"/>
    <w:rsid w:val="00AD201E"/>
    <w:rsid w:val="00AD26E2"/>
    <w:rsid w:val="00AD2ED9"/>
    <w:rsid w:val="00AD4389"/>
    <w:rsid w:val="00AD4FB9"/>
    <w:rsid w:val="00AD525E"/>
    <w:rsid w:val="00AD5AA7"/>
    <w:rsid w:val="00AD6300"/>
    <w:rsid w:val="00AD6D6E"/>
    <w:rsid w:val="00AE126A"/>
    <w:rsid w:val="00AE3005"/>
    <w:rsid w:val="00AE3B0A"/>
    <w:rsid w:val="00AE3BAA"/>
    <w:rsid w:val="00AE51EF"/>
    <w:rsid w:val="00AE59A0"/>
    <w:rsid w:val="00AF0C57"/>
    <w:rsid w:val="00AF26F3"/>
    <w:rsid w:val="00AF2EB2"/>
    <w:rsid w:val="00AF4FDC"/>
    <w:rsid w:val="00AF6CCD"/>
    <w:rsid w:val="00AF7446"/>
    <w:rsid w:val="00B00672"/>
    <w:rsid w:val="00B00B8D"/>
    <w:rsid w:val="00B01B4D"/>
    <w:rsid w:val="00B01E7E"/>
    <w:rsid w:val="00B03112"/>
    <w:rsid w:val="00B04610"/>
    <w:rsid w:val="00B06571"/>
    <w:rsid w:val="00B068BA"/>
    <w:rsid w:val="00B13851"/>
    <w:rsid w:val="00B13B1C"/>
    <w:rsid w:val="00B14627"/>
    <w:rsid w:val="00B1672F"/>
    <w:rsid w:val="00B16934"/>
    <w:rsid w:val="00B212CD"/>
    <w:rsid w:val="00B21698"/>
    <w:rsid w:val="00B22291"/>
    <w:rsid w:val="00B2417B"/>
    <w:rsid w:val="00B24E6F"/>
    <w:rsid w:val="00B26CB5"/>
    <w:rsid w:val="00B27097"/>
    <w:rsid w:val="00B2709B"/>
    <w:rsid w:val="00B27256"/>
    <w:rsid w:val="00B2752E"/>
    <w:rsid w:val="00B307CC"/>
    <w:rsid w:val="00B30DA8"/>
    <w:rsid w:val="00B35798"/>
    <w:rsid w:val="00B401B1"/>
    <w:rsid w:val="00B420DD"/>
    <w:rsid w:val="00B44A60"/>
    <w:rsid w:val="00B45141"/>
    <w:rsid w:val="00B4596C"/>
    <w:rsid w:val="00B51242"/>
    <w:rsid w:val="00B5176A"/>
    <w:rsid w:val="00B5273A"/>
    <w:rsid w:val="00B54248"/>
    <w:rsid w:val="00B55B4E"/>
    <w:rsid w:val="00B573C5"/>
    <w:rsid w:val="00B62B50"/>
    <w:rsid w:val="00B635B7"/>
    <w:rsid w:val="00B65950"/>
    <w:rsid w:val="00B66C88"/>
    <w:rsid w:val="00B671BB"/>
    <w:rsid w:val="00B672C0"/>
    <w:rsid w:val="00B70BE5"/>
    <w:rsid w:val="00B71550"/>
    <w:rsid w:val="00B722EE"/>
    <w:rsid w:val="00B731E0"/>
    <w:rsid w:val="00B73A4D"/>
    <w:rsid w:val="00B75646"/>
    <w:rsid w:val="00B76943"/>
    <w:rsid w:val="00B822E9"/>
    <w:rsid w:val="00B841F0"/>
    <w:rsid w:val="00B860ED"/>
    <w:rsid w:val="00B879AD"/>
    <w:rsid w:val="00B87CB6"/>
    <w:rsid w:val="00B9028D"/>
    <w:rsid w:val="00B90729"/>
    <w:rsid w:val="00B907DA"/>
    <w:rsid w:val="00B92656"/>
    <w:rsid w:val="00B950BC"/>
    <w:rsid w:val="00B95325"/>
    <w:rsid w:val="00B9714C"/>
    <w:rsid w:val="00BA2012"/>
    <w:rsid w:val="00BA254A"/>
    <w:rsid w:val="00BA2615"/>
    <w:rsid w:val="00BA31B6"/>
    <w:rsid w:val="00BA5225"/>
    <w:rsid w:val="00BA616D"/>
    <w:rsid w:val="00BA718C"/>
    <w:rsid w:val="00BB3563"/>
    <w:rsid w:val="00BB59D7"/>
    <w:rsid w:val="00BB5CF9"/>
    <w:rsid w:val="00BB5CFE"/>
    <w:rsid w:val="00BB7A10"/>
    <w:rsid w:val="00BB7B1C"/>
    <w:rsid w:val="00BC366E"/>
    <w:rsid w:val="00BC721A"/>
    <w:rsid w:val="00BC7D4F"/>
    <w:rsid w:val="00BC7ED7"/>
    <w:rsid w:val="00BD2850"/>
    <w:rsid w:val="00BE1364"/>
    <w:rsid w:val="00BE18D0"/>
    <w:rsid w:val="00BE28D2"/>
    <w:rsid w:val="00BE7C09"/>
    <w:rsid w:val="00BF3C49"/>
    <w:rsid w:val="00BF4053"/>
    <w:rsid w:val="00BF4B11"/>
    <w:rsid w:val="00BF7F58"/>
    <w:rsid w:val="00C00C40"/>
    <w:rsid w:val="00C00C7D"/>
    <w:rsid w:val="00C01381"/>
    <w:rsid w:val="00C03735"/>
    <w:rsid w:val="00C0527D"/>
    <w:rsid w:val="00C05BDD"/>
    <w:rsid w:val="00C07521"/>
    <w:rsid w:val="00C079B8"/>
    <w:rsid w:val="00C07B16"/>
    <w:rsid w:val="00C10599"/>
    <w:rsid w:val="00C123EA"/>
    <w:rsid w:val="00C12A49"/>
    <w:rsid w:val="00C133EE"/>
    <w:rsid w:val="00C13991"/>
    <w:rsid w:val="00C160A6"/>
    <w:rsid w:val="00C177D8"/>
    <w:rsid w:val="00C2198B"/>
    <w:rsid w:val="00C2207B"/>
    <w:rsid w:val="00C22452"/>
    <w:rsid w:val="00C26281"/>
    <w:rsid w:val="00C2730D"/>
    <w:rsid w:val="00C27DE9"/>
    <w:rsid w:val="00C33388"/>
    <w:rsid w:val="00C35674"/>
    <w:rsid w:val="00C37713"/>
    <w:rsid w:val="00C37731"/>
    <w:rsid w:val="00C37AB9"/>
    <w:rsid w:val="00C4173A"/>
    <w:rsid w:val="00C418DE"/>
    <w:rsid w:val="00C44A6A"/>
    <w:rsid w:val="00C45B78"/>
    <w:rsid w:val="00C507FB"/>
    <w:rsid w:val="00C54597"/>
    <w:rsid w:val="00C55EE4"/>
    <w:rsid w:val="00C602FF"/>
    <w:rsid w:val="00C61174"/>
    <w:rsid w:val="00C6148F"/>
    <w:rsid w:val="00C61ACC"/>
    <w:rsid w:val="00C62214"/>
    <w:rsid w:val="00C62F7A"/>
    <w:rsid w:val="00C63B9C"/>
    <w:rsid w:val="00C654DD"/>
    <w:rsid w:val="00C6682F"/>
    <w:rsid w:val="00C676CE"/>
    <w:rsid w:val="00C67970"/>
    <w:rsid w:val="00C703B7"/>
    <w:rsid w:val="00C70634"/>
    <w:rsid w:val="00C719B4"/>
    <w:rsid w:val="00C7275E"/>
    <w:rsid w:val="00C74C5D"/>
    <w:rsid w:val="00C76E88"/>
    <w:rsid w:val="00C772EB"/>
    <w:rsid w:val="00C77DC5"/>
    <w:rsid w:val="00C85837"/>
    <w:rsid w:val="00C863C4"/>
    <w:rsid w:val="00C863D0"/>
    <w:rsid w:val="00C87F46"/>
    <w:rsid w:val="00C93C3E"/>
    <w:rsid w:val="00C952A3"/>
    <w:rsid w:val="00CA0F56"/>
    <w:rsid w:val="00CA12E3"/>
    <w:rsid w:val="00CA6611"/>
    <w:rsid w:val="00CB177C"/>
    <w:rsid w:val="00CB4E07"/>
    <w:rsid w:val="00CB564E"/>
    <w:rsid w:val="00CB5B6B"/>
    <w:rsid w:val="00CB66D3"/>
    <w:rsid w:val="00CB71F7"/>
    <w:rsid w:val="00CB7683"/>
    <w:rsid w:val="00CC0202"/>
    <w:rsid w:val="00CC044A"/>
    <w:rsid w:val="00CC2BFD"/>
    <w:rsid w:val="00CC770A"/>
    <w:rsid w:val="00CD0002"/>
    <w:rsid w:val="00CD0102"/>
    <w:rsid w:val="00CD26B2"/>
    <w:rsid w:val="00CD3476"/>
    <w:rsid w:val="00CD416C"/>
    <w:rsid w:val="00CD64DF"/>
    <w:rsid w:val="00CE276E"/>
    <w:rsid w:val="00CE283A"/>
    <w:rsid w:val="00CE2EF4"/>
    <w:rsid w:val="00CE3495"/>
    <w:rsid w:val="00CE4902"/>
    <w:rsid w:val="00CE5C05"/>
    <w:rsid w:val="00CE61C2"/>
    <w:rsid w:val="00CE68F0"/>
    <w:rsid w:val="00CE750D"/>
    <w:rsid w:val="00CF10EA"/>
    <w:rsid w:val="00CF1648"/>
    <w:rsid w:val="00CF2F50"/>
    <w:rsid w:val="00CF3C87"/>
    <w:rsid w:val="00CF4A60"/>
    <w:rsid w:val="00D02919"/>
    <w:rsid w:val="00D04C61"/>
    <w:rsid w:val="00D04D8E"/>
    <w:rsid w:val="00D052C4"/>
    <w:rsid w:val="00D05B8D"/>
    <w:rsid w:val="00D07EC0"/>
    <w:rsid w:val="00D07F00"/>
    <w:rsid w:val="00D102B5"/>
    <w:rsid w:val="00D10977"/>
    <w:rsid w:val="00D142A9"/>
    <w:rsid w:val="00D14461"/>
    <w:rsid w:val="00D14669"/>
    <w:rsid w:val="00D16406"/>
    <w:rsid w:val="00D1744E"/>
    <w:rsid w:val="00D208B9"/>
    <w:rsid w:val="00D21873"/>
    <w:rsid w:val="00D230AC"/>
    <w:rsid w:val="00D23E06"/>
    <w:rsid w:val="00D2419F"/>
    <w:rsid w:val="00D246AB"/>
    <w:rsid w:val="00D263A0"/>
    <w:rsid w:val="00D33E72"/>
    <w:rsid w:val="00D353DF"/>
    <w:rsid w:val="00D35BD6"/>
    <w:rsid w:val="00D361B5"/>
    <w:rsid w:val="00D36AE3"/>
    <w:rsid w:val="00D37F09"/>
    <w:rsid w:val="00D411A2"/>
    <w:rsid w:val="00D44608"/>
    <w:rsid w:val="00D45C0F"/>
    <w:rsid w:val="00D45CD5"/>
    <w:rsid w:val="00D50B9C"/>
    <w:rsid w:val="00D52D73"/>
    <w:rsid w:val="00D52E58"/>
    <w:rsid w:val="00D55788"/>
    <w:rsid w:val="00D56C68"/>
    <w:rsid w:val="00D61996"/>
    <w:rsid w:val="00D63B42"/>
    <w:rsid w:val="00D65709"/>
    <w:rsid w:val="00D66EA4"/>
    <w:rsid w:val="00D714CC"/>
    <w:rsid w:val="00D723A4"/>
    <w:rsid w:val="00D729CA"/>
    <w:rsid w:val="00D730D8"/>
    <w:rsid w:val="00D75EA7"/>
    <w:rsid w:val="00D80858"/>
    <w:rsid w:val="00D809EE"/>
    <w:rsid w:val="00D81F21"/>
    <w:rsid w:val="00D94ACD"/>
    <w:rsid w:val="00D95470"/>
    <w:rsid w:val="00D97CC0"/>
    <w:rsid w:val="00DA2619"/>
    <w:rsid w:val="00DA4239"/>
    <w:rsid w:val="00DB0B61"/>
    <w:rsid w:val="00DB314A"/>
    <w:rsid w:val="00DB38CA"/>
    <w:rsid w:val="00DB4D99"/>
    <w:rsid w:val="00DB53CB"/>
    <w:rsid w:val="00DB5F35"/>
    <w:rsid w:val="00DB6419"/>
    <w:rsid w:val="00DB64FE"/>
    <w:rsid w:val="00DC090B"/>
    <w:rsid w:val="00DC18CA"/>
    <w:rsid w:val="00DC2CF1"/>
    <w:rsid w:val="00DC4FCF"/>
    <w:rsid w:val="00DC50E0"/>
    <w:rsid w:val="00DC6386"/>
    <w:rsid w:val="00DD1130"/>
    <w:rsid w:val="00DD1951"/>
    <w:rsid w:val="00DD23B4"/>
    <w:rsid w:val="00DD24AB"/>
    <w:rsid w:val="00DD3E6F"/>
    <w:rsid w:val="00DD6628"/>
    <w:rsid w:val="00DE29E1"/>
    <w:rsid w:val="00DE3250"/>
    <w:rsid w:val="00DE6028"/>
    <w:rsid w:val="00DE7898"/>
    <w:rsid w:val="00DE78A3"/>
    <w:rsid w:val="00DF0FEB"/>
    <w:rsid w:val="00DF1A71"/>
    <w:rsid w:val="00DF68C7"/>
    <w:rsid w:val="00E01976"/>
    <w:rsid w:val="00E0238C"/>
    <w:rsid w:val="00E02CFC"/>
    <w:rsid w:val="00E03554"/>
    <w:rsid w:val="00E06486"/>
    <w:rsid w:val="00E11DCF"/>
    <w:rsid w:val="00E16CD0"/>
    <w:rsid w:val="00E16D2C"/>
    <w:rsid w:val="00E170DC"/>
    <w:rsid w:val="00E22BB1"/>
    <w:rsid w:val="00E22DB7"/>
    <w:rsid w:val="00E26818"/>
    <w:rsid w:val="00E276C4"/>
    <w:rsid w:val="00E27B16"/>
    <w:rsid w:val="00E27FFC"/>
    <w:rsid w:val="00E30B15"/>
    <w:rsid w:val="00E3198A"/>
    <w:rsid w:val="00E3408D"/>
    <w:rsid w:val="00E34D53"/>
    <w:rsid w:val="00E40181"/>
    <w:rsid w:val="00E44B65"/>
    <w:rsid w:val="00E46998"/>
    <w:rsid w:val="00E500E2"/>
    <w:rsid w:val="00E5090F"/>
    <w:rsid w:val="00E5229A"/>
    <w:rsid w:val="00E53AE7"/>
    <w:rsid w:val="00E55066"/>
    <w:rsid w:val="00E55734"/>
    <w:rsid w:val="00E55F85"/>
    <w:rsid w:val="00E604DA"/>
    <w:rsid w:val="00E61DDE"/>
    <w:rsid w:val="00E629A1"/>
    <w:rsid w:val="00E62D5B"/>
    <w:rsid w:val="00E63343"/>
    <w:rsid w:val="00E7209E"/>
    <w:rsid w:val="00E7574E"/>
    <w:rsid w:val="00E7578A"/>
    <w:rsid w:val="00E767FD"/>
    <w:rsid w:val="00E81165"/>
    <w:rsid w:val="00E82C55"/>
    <w:rsid w:val="00E83E55"/>
    <w:rsid w:val="00E851B1"/>
    <w:rsid w:val="00E87E47"/>
    <w:rsid w:val="00E92AC3"/>
    <w:rsid w:val="00E95C2E"/>
    <w:rsid w:val="00E95D27"/>
    <w:rsid w:val="00E96F1F"/>
    <w:rsid w:val="00E9752D"/>
    <w:rsid w:val="00EA12E0"/>
    <w:rsid w:val="00EA1A80"/>
    <w:rsid w:val="00EA2878"/>
    <w:rsid w:val="00EA3965"/>
    <w:rsid w:val="00EA5C37"/>
    <w:rsid w:val="00EB00E0"/>
    <w:rsid w:val="00EB5286"/>
    <w:rsid w:val="00EC059F"/>
    <w:rsid w:val="00EC0AF7"/>
    <w:rsid w:val="00EC1964"/>
    <w:rsid w:val="00EC1F24"/>
    <w:rsid w:val="00EC2C09"/>
    <w:rsid w:val="00EC30A1"/>
    <w:rsid w:val="00EC67C4"/>
    <w:rsid w:val="00EC7901"/>
    <w:rsid w:val="00ED5B9B"/>
    <w:rsid w:val="00ED6BAD"/>
    <w:rsid w:val="00ED7046"/>
    <w:rsid w:val="00ED7447"/>
    <w:rsid w:val="00ED75FA"/>
    <w:rsid w:val="00EE0376"/>
    <w:rsid w:val="00EE1488"/>
    <w:rsid w:val="00EE1795"/>
    <w:rsid w:val="00EE3166"/>
    <w:rsid w:val="00EE4B35"/>
    <w:rsid w:val="00EE4D5D"/>
    <w:rsid w:val="00EE59C7"/>
    <w:rsid w:val="00EE62E6"/>
    <w:rsid w:val="00EE7A6A"/>
    <w:rsid w:val="00EF0295"/>
    <w:rsid w:val="00EF109B"/>
    <w:rsid w:val="00EF362A"/>
    <w:rsid w:val="00EF36AF"/>
    <w:rsid w:val="00EF5F00"/>
    <w:rsid w:val="00EF673F"/>
    <w:rsid w:val="00F00F9C"/>
    <w:rsid w:val="00F02ABA"/>
    <w:rsid w:val="00F0437A"/>
    <w:rsid w:val="00F0465C"/>
    <w:rsid w:val="00F05081"/>
    <w:rsid w:val="00F07C5E"/>
    <w:rsid w:val="00F11037"/>
    <w:rsid w:val="00F1308B"/>
    <w:rsid w:val="00F14A1C"/>
    <w:rsid w:val="00F160D8"/>
    <w:rsid w:val="00F205AA"/>
    <w:rsid w:val="00F22EF4"/>
    <w:rsid w:val="00F24C8D"/>
    <w:rsid w:val="00F250A9"/>
    <w:rsid w:val="00F25ACC"/>
    <w:rsid w:val="00F30FF4"/>
    <w:rsid w:val="00F331AD"/>
    <w:rsid w:val="00F422E8"/>
    <w:rsid w:val="00F43A37"/>
    <w:rsid w:val="00F44D54"/>
    <w:rsid w:val="00F4641B"/>
    <w:rsid w:val="00F46EB8"/>
    <w:rsid w:val="00F47277"/>
    <w:rsid w:val="00F47826"/>
    <w:rsid w:val="00F50CD0"/>
    <w:rsid w:val="00F511E4"/>
    <w:rsid w:val="00F52D09"/>
    <w:rsid w:val="00F52E08"/>
    <w:rsid w:val="00F53D0B"/>
    <w:rsid w:val="00F55B21"/>
    <w:rsid w:val="00F56EF6"/>
    <w:rsid w:val="00F62947"/>
    <w:rsid w:val="00F64696"/>
    <w:rsid w:val="00F65731"/>
    <w:rsid w:val="00F65AA9"/>
    <w:rsid w:val="00F6768F"/>
    <w:rsid w:val="00F7177F"/>
    <w:rsid w:val="00F72C2C"/>
    <w:rsid w:val="00F73838"/>
    <w:rsid w:val="00F75524"/>
    <w:rsid w:val="00F76CAB"/>
    <w:rsid w:val="00F772C6"/>
    <w:rsid w:val="00F80256"/>
    <w:rsid w:val="00F85125"/>
    <w:rsid w:val="00F85195"/>
    <w:rsid w:val="00F913F7"/>
    <w:rsid w:val="00F938BA"/>
    <w:rsid w:val="00F94A4E"/>
    <w:rsid w:val="00F9697E"/>
    <w:rsid w:val="00F969A8"/>
    <w:rsid w:val="00FA1FBC"/>
    <w:rsid w:val="00FA2C46"/>
    <w:rsid w:val="00FA5861"/>
    <w:rsid w:val="00FA5DA6"/>
    <w:rsid w:val="00FA6A11"/>
    <w:rsid w:val="00FA724A"/>
    <w:rsid w:val="00FB4CDA"/>
    <w:rsid w:val="00FB6533"/>
    <w:rsid w:val="00FB6556"/>
    <w:rsid w:val="00FB6B7F"/>
    <w:rsid w:val="00FB7009"/>
    <w:rsid w:val="00FB79B9"/>
    <w:rsid w:val="00FC0492"/>
    <w:rsid w:val="00FC0C0B"/>
    <w:rsid w:val="00FC0F81"/>
    <w:rsid w:val="00FC0F9A"/>
    <w:rsid w:val="00FC2283"/>
    <w:rsid w:val="00FC395C"/>
    <w:rsid w:val="00FC44C0"/>
    <w:rsid w:val="00FC7C1C"/>
    <w:rsid w:val="00FC7C81"/>
    <w:rsid w:val="00FD1465"/>
    <w:rsid w:val="00FD1D64"/>
    <w:rsid w:val="00FD2FEB"/>
    <w:rsid w:val="00FD3766"/>
    <w:rsid w:val="00FD47C4"/>
    <w:rsid w:val="00FD4A1A"/>
    <w:rsid w:val="00FD639C"/>
    <w:rsid w:val="00FD6C5A"/>
    <w:rsid w:val="00FE19A5"/>
    <w:rsid w:val="00FE2DCF"/>
    <w:rsid w:val="00FF12A7"/>
    <w:rsid w:val="00FF2FCE"/>
    <w:rsid w:val="00FF4F7D"/>
    <w:rsid w:val="00FF505B"/>
    <w:rsid w:val="00FF5998"/>
    <w:rsid w:val="00FF5F52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36EDF2C"/>
  <w15:docId w15:val="{68AE06B1-1D53-4CEF-95F0-554EAA77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5A3AEC"/>
    <w:pPr>
      <w:keepNext/>
      <w:keepLines/>
      <w:spacing w:before="240" w:after="120"/>
      <w:outlineLvl w:val="3"/>
    </w:pPr>
    <w:rPr>
      <w:rFonts w:asciiTheme="majorHAnsi" w:eastAsia="MS Mincho" w:hAnsiTheme="majorHAnsi"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5A3AEC"/>
    <w:rPr>
      <w:rFonts w:asciiTheme="majorHAnsi" w:eastAsia="MS Mincho" w:hAnsiTheme="majorHAnsi"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9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1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6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2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526865"/>
    <w:pPr>
      <w:numPr>
        <w:ilvl w:val="1"/>
        <w:numId w:val="9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2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4"/>
    <w:qFormat/>
    <w:rsid w:val="00526865"/>
    <w:pPr>
      <w:numPr>
        <w:numId w:val="9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4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2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2"/>
      </w:numPr>
    </w:pPr>
  </w:style>
  <w:style w:type="paragraph" w:customStyle="1" w:styleId="DPCquotebullet">
    <w:name w:val="DPC quote bullet"/>
    <w:basedOn w:val="DPCquote"/>
    <w:rsid w:val="00526865"/>
    <w:pPr>
      <w:numPr>
        <w:numId w:val="5"/>
      </w:numPr>
    </w:pPr>
  </w:style>
  <w:style w:type="numbering" w:customStyle="1" w:styleId="ZZBullets">
    <w:name w:val="ZZ Bullets"/>
    <w:rsid w:val="00526865"/>
    <w:pPr>
      <w:numPr>
        <w:numId w:val="7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3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4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5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6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8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PCbulletindent">
    <w:name w:val="DPC bullet indent"/>
    <w:basedOn w:val="DPCbody"/>
    <w:rsid w:val="009836E4"/>
    <w:pPr>
      <w:spacing w:after="60"/>
      <w:ind w:left="680" w:hanging="283"/>
    </w:pPr>
  </w:style>
  <w:style w:type="paragraph" w:customStyle="1" w:styleId="DPCbullet1lastline">
    <w:name w:val="DPC bullet 1 last line"/>
    <w:basedOn w:val="DPCbullet1"/>
    <w:qFormat/>
    <w:rsid w:val="009836E4"/>
    <w:pPr>
      <w:numPr>
        <w:numId w:val="0"/>
      </w:numPr>
      <w:spacing w:after="160"/>
      <w:ind w:left="284" w:hanging="284"/>
    </w:pPr>
  </w:style>
  <w:style w:type="paragraph" w:customStyle="1" w:styleId="DPCbullet2lastline">
    <w:name w:val="DPC bullet 2 last line"/>
    <w:basedOn w:val="DPCbullet2"/>
    <w:uiPriority w:val="2"/>
    <w:rsid w:val="009836E4"/>
    <w:pPr>
      <w:spacing w:after="160"/>
      <w:ind w:left="567" w:hanging="283"/>
    </w:pPr>
  </w:style>
  <w:style w:type="numbering" w:customStyle="1" w:styleId="Bullets">
    <w:name w:val="Bullets"/>
    <w:rsid w:val="009836E4"/>
    <w:pPr>
      <w:numPr>
        <w:numId w:val="11"/>
      </w:numPr>
    </w:pPr>
  </w:style>
  <w:style w:type="numbering" w:customStyle="1" w:styleId="Numbers">
    <w:name w:val="Numbers"/>
    <w:rsid w:val="009836E4"/>
    <w:pPr>
      <w:numPr>
        <w:numId w:val="10"/>
      </w:numPr>
    </w:pPr>
  </w:style>
  <w:style w:type="paragraph" w:customStyle="1" w:styleId="DPCbulletindentlastline">
    <w:name w:val="DPC bullet indent last line"/>
    <w:basedOn w:val="DPCbody"/>
    <w:rsid w:val="009836E4"/>
    <w:pPr>
      <w:ind w:left="680" w:hanging="283"/>
    </w:pPr>
  </w:style>
  <w:style w:type="paragraph" w:styleId="BodyText">
    <w:name w:val="Body Text"/>
    <w:basedOn w:val="Normal"/>
    <w:link w:val="BodyTextChar"/>
    <w:uiPriority w:val="99"/>
    <w:unhideWhenUsed/>
    <w:rsid w:val="009836E4"/>
    <w:pPr>
      <w:spacing w:before="60" w:after="120" w:line="240" w:lineRule="exact"/>
    </w:pPr>
    <w:rPr>
      <w:rFonts w:ascii="Arial" w:eastAsia="Cambria" w:hAnsi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836E4"/>
    <w:rPr>
      <w:rFonts w:ascii="Arial" w:eastAsia="Cambria" w:hAnsi="Arial"/>
      <w:szCs w:val="24"/>
      <w:lang w:eastAsia="en-US"/>
    </w:rPr>
  </w:style>
  <w:style w:type="table" w:styleId="MediumShading1-Accent6">
    <w:name w:val="Medium Shading 1 Accent 6"/>
    <w:basedOn w:val="TableNormal"/>
    <w:uiPriority w:val="68"/>
    <w:rsid w:val="009836E4"/>
    <w:tblPr>
      <w:tblStyleRowBandSize w:val="1"/>
      <w:tblStyleColBandSize w:val="1"/>
      <w:tblBorders>
        <w:top w:val="single" w:sz="8" w:space="0" w:color="D64951" w:themeColor="accent6" w:themeTint="BF"/>
        <w:left w:val="single" w:sz="8" w:space="0" w:color="D64951" w:themeColor="accent6" w:themeTint="BF"/>
        <w:bottom w:val="single" w:sz="8" w:space="0" w:color="D64951" w:themeColor="accent6" w:themeTint="BF"/>
        <w:right w:val="single" w:sz="8" w:space="0" w:color="D64951" w:themeColor="accent6" w:themeTint="BF"/>
        <w:insideH w:val="single" w:sz="8" w:space="0" w:color="D649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  <w:shd w:val="clear" w:color="auto" w:fill="AF27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PCreporttitle">
    <w:name w:val="DPC report title"/>
    <w:uiPriority w:val="4"/>
    <w:rsid w:val="009836E4"/>
    <w:pPr>
      <w:keepLines/>
      <w:spacing w:after="240"/>
    </w:pPr>
    <w:rPr>
      <w:rFonts w:asciiTheme="majorHAnsi" w:hAnsiTheme="majorHAnsi"/>
      <w:bCs/>
      <w:color w:val="FFFFFF" w:themeColor="background1"/>
      <w:sz w:val="64"/>
      <w:szCs w:val="64"/>
      <w:lang w:eastAsia="en-US"/>
    </w:rPr>
  </w:style>
  <w:style w:type="paragraph" w:customStyle="1" w:styleId="number111">
    <w:name w:val="number111"/>
    <w:basedOn w:val="Normal"/>
    <w:qFormat/>
    <w:rsid w:val="009836E4"/>
    <w:pPr>
      <w:numPr>
        <w:numId w:val="12"/>
      </w:numPr>
      <w:spacing w:after="120"/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customStyle="1" w:styleId="Statementbox">
    <w:name w:val="Statement box"/>
    <w:basedOn w:val="Normal"/>
    <w:rsid w:val="009836E4"/>
    <w:pPr>
      <w:pBdr>
        <w:top w:val="single" w:sz="4" w:space="10" w:color="1A7081"/>
        <w:left w:val="single" w:sz="4" w:space="10" w:color="1A7081"/>
        <w:bottom w:val="single" w:sz="4" w:space="10" w:color="1A7081"/>
        <w:right w:val="single" w:sz="4" w:space="10" w:color="1A7081"/>
      </w:pBdr>
      <w:shd w:val="clear" w:color="auto" w:fill="E6E6E6"/>
      <w:spacing w:after="120" w:line="240" w:lineRule="atLeast"/>
      <w:ind w:left="567" w:right="567"/>
    </w:pPr>
    <w:rPr>
      <w:rFonts w:ascii="Calibri" w:hAnsi="Calibri"/>
    </w:rPr>
  </w:style>
  <w:style w:type="paragraph" w:styleId="ListParagraph">
    <w:name w:val="List Paragraph"/>
    <w:aliases w:val="Normal Sub bullets,List Paragraph - bullets,Use Case List Paragraph"/>
    <w:basedOn w:val="Normal"/>
    <w:uiPriority w:val="99"/>
    <w:qFormat/>
    <w:rsid w:val="009836E4"/>
    <w:pPr>
      <w:spacing w:before="60" w:after="120" w:line="240" w:lineRule="exact"/>
      <w:ind w:left="720"/>
      <w:contextualSpacing/>
    </w:pPr>
    <w:rPr>
      <w:rFonts w:ascii="Arial" w:eastAsia="Cambria" w:hAnsi="Arial"/>
      <w:szCs w:val="24"/>
    </w:rPr>
  </w:style>
  <w:style w:type="paragraph" w:customStyle="1" w:styleId="CharCharCharChar">
    <w:name w:val="Char Char Char Char"/>
    <w:basedOn w:val="Normal"/>
    <w:semiHidden/>
    <w:locked/>
    <w:rsid w:val="009836E4"/>
    <w:pPr>
      <w:spacing w:before="60" w:after="160" w:line="240" w:lineRule="exact"/>
    </w:pPr>
    <w:rPr>
      <w:rFonts w:ascii="Tahoma" w:hAnsi="Tahoma" w:cs="Tahoma"/>
    </w:rPr>
  </w:style>
  <w:style w:type="paragraph" w:customStyle="1" w:styleId="Bulleted">
    <w:name w:val="Bulleted"/>
    <w:basedOn w:val="Normal"/>
    <w:rsid w:val="009836E4"/>
    <w:pPr>
      <w:numPr>
        <w:numId w:val="13"/>
      </w:numPr>
      <w:spacing w:after="120" w:line="240" w:lineRule="atLeast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9836E4"/>
    <w:pPr>
      <w:spacing w:after="200"/>
    </w:pPr>
    <w:rPr>
      <w:rFonts w:ascii="Arial" w:eastAsia="Cambria" w:hAnsi="Arial"/>
      <w:b/>
      <w:bCs/>
      <w:color w:val="0072CE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36E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AARHeading1">
    <w:name w:val="AAR Heading 1"/>
    <w:basedOn w:val="Normal"/>
    <w:next w:val="AARHeading2"/>
    <w:rsid w:val="009836E4"/>
    <w:pPr>
      <w:keepNext/>
      <w:numPr>
        <w:numId w:val="14"/>
      </w:numPr>
      <w:pBdr>
        <w:bottom w:val="single" w:sz="4" w:space="3" w:color="auto"/>
      </w:pBdr>
      <w:spacing w:before="360" w:line="312" w:lineRule="auto"/>
      <w:outlineLvl w:val="0"/>
    </w:pPr>
    <w:rPr>
      <w:rFonts w:ascii="Arial" w:hAnsi="Arial"/>
      <w:b/>
      <w:sz w:val="24"/>
    </w:rPr>
  </w:style>
  <w:style w:type="paragraph" w:customStyle="1" w:styleId="AARHeading2">
    <w:name w:val="AAR Heading 2"/>
    <w:basedOn w:val="Normal"/>
    <w:next w:val="NormalIndent"/>
    <w:rsid w:val="009836E4"/>
    <w:pPr>
      <w:keepNext/>
      <w:numPr>
        <w:ilvl w:val="1"/>
        <w:numId w:val="14"/>
      </w:numPr>
      <w:spacing w:before="200" w:line="312" w:lineRule="auto"/>
      <w:outlineLvl w:val="1"/>
    </w:pPr>
    <w:rPr>
      <w:rFonts w:ascii="Arial" w:hAnsi="Arial"/>
      <w:b/>
    </w:rPr>
  </w:style>
  <w:style w:type="paragraph" w:customStyle="1" w:styleId="AARHeading3">
    <w:name w:val="AAR Heading 3"/>
    <w:basedOn w:val="Normal"/>
    <w:rsid w:val="009836E4"/>
    <w:pPr>
      <w:numPr>
        <w:ilvl w:val="2"/>
        <w:numId w:val="14"/>
      </w:numPr>
      <w:spacing w:before="100" w:line="312" w:lineRule="auto"/>
      <w:outlineLvl w:val="2"/>
    </w:pPr>
    <w:rPr>
      <w:rFonts w:ascii="Arial" w:hAnsi="Arial"/>
    </w:rPr>
  </w:style>
  <w:style w:type="paragraph" w:customStyle="1" w:styleId="AARHeading4">
    <w:name w:val="AAR Heading 4"/>
    <w:basedOn w:val="Normal"/>
    <w:rsid w:val="009836E4"/>
    <w:pPr>
      <w:numPr>
        <w:ilvl w:val="3"/>
        <w:numId w:val="14"/>
      </w:numPr>
      <w:spacing w:before="100" w:line="312" w:lineRule="auto"/>
      <w:outlineLvl w:val="3"/>
    </w:pPr>
    <w:rPr>
      <w:rFonts w:ascii="Arial" w:hAnsi="Arial"/>
    </w:rPr>
  </w:style>
  <w:style w:type="paragraph" w:customStyle="1" w:styleId="AARHeading5">
    <w:name w:val="AAR Heading 5"/>
    <w:basedOn w:val="Normal"/>
    <w:rsid w:val="009836E4"/>
    <w:pPr>
      <w:numPr>
        <w:ilvl w:val="4"/>
        <w:numId w:val="14"/>
      </w:numPr>
      <w:spacing w:before="100" w:line="312" w:lineRule="auto"/>
      <w:outlineLvl w:val="4"/>
    </w:pPr>
    <w:rPr>
      <w:rFonts w:ascii="Arial" w:hAnsi="Arial"/>
    </w:rPr>
  </w:style>
  <w:style w:type="paragraph" w:customStyle="1" w:styleId="AARHeading6">
    <w:name w:val="AAR Heading 6"/>
    <w:basedOn w:val="Normal"/>
    <w:rsid w:val="009836E4"/>
    <w:pPr>
      <w:numPr>
        <w:ilvl w:val="5"/>
        <w:numId w:val="14"/>
      </w:numPr>
      <w:spacing w:before="100" w:line="312" w:lineRule="auto"/>
      <w:outlineLvl w:val="5"/>
    </w:pPr>
    <w:rPr>
      <w:rFonts w:ascii="Arial" w:hAnsi="Arial"/>
    </w:rPr>
  </w:style>
  <w:style w:type="paragraph" w:styleId="NormalIndent">
    <w:name w:val="Normal Indent"/>
    <w:basedOn w:val="Normal"/>
    <w:uiPriority w:val="99"/>
    <w:semiHidden/>
    <w:unhideWhenUsed/>
    <w:rsid w:val="009836E4"/>
    <w:pPr>
      <w:spacing w:before="60" w:after="120" w:line="240" w:lineRule="exact"/>
      <w:ind w:left="720"/>
    </w:pPr>
    <w:rPr>
      <w:rFonts w:ascii="Arial" w:eastAsia="Cambria" w:hAnsi="Arial"/>
      <w:szCs w:val="24"/>
    </w:rPr>
  </w:style>
  <w:style w:type="table" w:styleId="LightShading-Accent6">
    <w:name w:val="Light Shading Accent 6"/>
    <w:basedOn w:val="TableNormal"/>
    <w:uiPriority w:val="65"/>
    <w:rsid w:val="009836E4"/>
    <w:rPr>
      <w:color w:val="821D23" w:themeColor="accent6" w:themeShade="BF"/>
    </w:rPr>
    <w:tblPr>
      <w:tblStyleRowBandSize w:val="1"/>
      <w:tblStyleColBandSize w:val="1"/>
      <w:tblBorders>
        <w:top w:val="single" w:sz="8" w:space="0" w:color="AF272F" w:themeColor="accent6"/>
        <w:bottom w:val="single" w:sz="8" w:space="0" w:color="AF27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6"/>
          <w:left w:val="nil"/>
          <w:bottom w:val="single" w:sz="8" w:space="0" w:color="AF27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6"/>
          <w:left w:val="nil"/>
          <w:bottom w:val="single" w:sz="8" w:space="0" w:color="AF27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6" w:themeFillTint="3F"/>
      </w:tcPr>
    </w:tblStylePr>
  </w:style>
  <w:style w:type="paragraph" w:customStyle="1" w:styleId="Normal1">
    <w:name w:val="Normal1"/>
    <w:rsid w:val="0060129E"/>
    <w:pPr>
      <w:suppressAutoHyphens/>
      <w:spacing w:after="200" w:line="276" w:lineRule="auto"/>
      <w:textAlignment w:val="baseline"/>
    </w:pPr>
    <w:rPr>
      <w:rFonts w:ascii="Calibri" w:eastAsia="SimSun" w:hAnsi="Calibri" w:cs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6A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6AC9"/>
    <w:rPr>
      <w:rFonts w:ascii="Courier New" w:hAnsi="Courier New" w:cs="Courier New"/>
    </w:rPr>
  </w:style>
  <w:style w:type="character" w:customStyle="1" w:styleId="colorh1">
    <w:name w:val="color_h1"/>
    <w:basedOn w:val="DefaultParagraphFont"/>
    <w:rsid w:val="00A163AA"/>
  </w:style>
  <w:style w:type="table" w:styleId="PlainTable2">
    <w:name w:val="Plain Table 2"/>
    <w:basedOn w:val="TableNormal"/>
    <w:uiPriority w:val="42"/>
    <w:rsid w:val="000A5B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54D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7BB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52A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1308B"/>
    <w:rPr>
      <w:rFonts w:ascii="Cambria" w:hAnsi="Cambria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39A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81A4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hyperlink" Target="https://ovic.vic.gov.au/resource/protecting-unit-record-level-personal-information/?highlight=de-identification" TargetMode="External"/><Relationship Id="rId39" Type="http://schemas.openxmlformats.org/officeDocument/2006/relationships/hyperlink" Target="http://www.legislation.vic.gov.au/Domino/Web_Notes/LDMS/PubStatbook.nsf/f932b66241ecf1b7ca256e92000e23be/05CC92B3F8CB6A6BCA257D4700209220/%24FILE/14-060aa%20authorised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8.austlii.edu.au/cgi-bin/viewdb/au/legis/vic/consol_act/pra1973153/" TargetMode="External"/><Relationship Id="rId34" Type="http://schemas.openxmlformats.org/officeDocument/2006/relationships/hyperlink" Target="http://www.legislation.vic.gov.au/Domino/Web_Notes/LDMS/LTObject_Store/LTObjSt9.nsf/DDE300B846EED9C7CA257616000A3571/3C66A7B1DDCB1CB5CA257D72001BCEFC/%24FILE/82-9859a087bookmarked.pdf" TargetMode="External"/><Relationship Id="rId42" Type="http://schemas.openxmlformats.org/officeDocument/2006/relationships/hyperlink" Target="http://www.legislation.vic.gov.au/Domino/Web_Notes/LDMS/PubStatbook.nsf/51dea49770555ea6ca256da4001b90cd/F1899FD24F3B7544CA2581ED00111B13/$FILE/17-060aa%20authorised.pdf" TargetMode="External"/><Relationship Id="rId47" Type="http://schemas.openxmlformats.org/officeDocument/2006/relationships/hyperlink" Target="https://www.dtf.vic.gov.au/funds-programs-and-policies/intellectual-property-policy" TargetMode="External"/><Relationship Id="rId50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reativecommons.org/licenses/by/4.0/" TargetMode="External"/><Relationship Id="rId25" Type="http://schemas.openxmlformats.org/officeDocument/2006/relationships/hyperlink" Target="https://ovic.vic.gov.au/privacy/for-agencies/privacy-impact-assessments/?highlight=privacy%20impact%20assessment" TargetMode="External"/><Relationship Id="rId33" Type="http://schemas.openxmlformats.org/officeDocument/2006/relationships/hyperlink" Target="https://www.data.vic.gov.au/policy-and-standards-0" TargetMode="External"/><Relationship Id="rId38" Type="http://schemas.openxmlformats.org/officeDocument/2006/relationships/hyperlink" Target="https://www.legislation.gov.au/Series/C2004A03712" TargetMode="External"/><Relationship Id="rId46" Type="http://schemas.openxmlformats.org/officeDocument/2006/relationships/hyperlink" Target="mailto:digital.transformation@dpc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legislation.vic.gov.au/Domino/Web_Notes/LDMS/LTObject_Store/LTObjSt3.nsf/DDE300B846EED9C7CA257616000A3571/BD40624FF1104271CA257761002AAA5C/$FILE/73-8418a035.pdf" TargetMode="External"/><Relationship Id="rId29" Type="http://schemas.openxmlformats.org/officeDocument/2006/relationships/hyperlink" Target="https://ovic.vic.gov.au/data-protection/what-is-data-protection/" TargetMode="External"/><Relationship Id="rId41" Type="http://schemas.openxmlformats.org/officeDocument/2006/relationships/hyperlink" Target="https://www.prov.vic.gov.au/recordkeeping-government/about-standards-framework-polic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ovic.vic.gov.au/wp-content/uploads/2018/07/Information_sharing_guidelines.pdf" TargetMode="External"/><Relationship Id="rId32" Type="http://schemas.openxmlformats.org/officeDocument/2006/relationships/hyperlink" Target="https://creativecommons.org.au/" TargetMode="External"/><Relationship Id="rId37" Type="http://schemas.openxmlformats.org/officeDocument/2006/relationships/hyperlink" Target="https://www.dtf.vic.gov.au/funds-programs-and-policies/intellectual-property-policy" TargetMode="External"/><Relationship Id="rId40" Type="http://schemas.openxmlformats.org/officeDocument/2006/relationships/hyperlink" Target="http://www.legislation.vic.gov.au/Domino/Web_Notes/LDMS/LTObject_Store/LTObjSt3.nsf/DDE300B846EED9C7CA257616000A3571/BD40624FF1104271CA257761002AAA5C/$FILE/73-8418a035.pdf" TargetMode="External"/><Relationship Id="rId45" Type="http://schemas.openxmlformats.org/officeDocument/2006/relationships/hyperlink" Target="https://ovic.vic.gov.au/data-protection/what-is-data-protection/standard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yperlink" Target="https://www.vmia.vic.gov.au/risk/victorian-government-risk-management-framework" TargetMode="External"/><Relationship Id="rId28" Type="http://schemas.openxmlformats.org/officeDocument/2006/relationships/hyperlink" Target="https://www.data.vic.gov.au/" TargetMode="External"/><Relationship Id="rId36" Type="http://schemas.openxmlformats.org/officeDocument/2006/relationships/hyperlink" Target="https://ovic.vic.gov.au/resource/guidelines-for-sharing-personal-information/" TargetMode="External"/><Relationship Id="rId49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://www.legislation.vic.gov.au/Domino/Web_Notes/LDMS/PubStatbook.nsf/f932b66241ecf1b7ca256e92000e23be/05CC92B3F8CB6A6BCA257D4700209220/%24FILE/14-060aa%20authorised.pdf" TargetMode="External"/><Relationship Id="rId31" Type="http://schemas.openxmlformats.org/officeDocument/2006/relationships/hyperlink" Target="https://www.vic.gov.au/information-technology-strategy" TargetMode="External"/><Relationship Id="rId44" Type="http://schemas.openxmlformats.org/officeDocument/2006/relationships/hyperlink" Target="https://ovic.vic.gov.au/data-protection/what-is-data-protection/framework-vpdsf/" TargetMode="External"/><Relationship Id="rId52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8.austlii.edu.au/cgi-bin/viewdb/au/legis/cth/consol_act/foia1982222/" TargetMode="External"/><Relationship Id="rId27" Type="http://schemas.openxmlformats.org/officeDocument/2006/relationships/hyperlink" Target="https://creativecommons.org.au/" TargetMode="External"/><Relationship Id="rId30" Type="http://schemas.openxmlformats.org/officeDocument/2006/relationships/hyperlink" Target="https://www.vic.gov.au/policies-standards-for-government-IT" TargetMode="External"/><Relationship Id="rId35" Type="http://schemas.openxmlformats.org/officeDocument/2006/relationships/hyperlink" Target="http://www.foi.vic.gov.au/home/for+government+agencies/foi+act+guidelines" TargetMode="External"/><Relationship Id="rId43" Type="http://schemas.openxmlformats.org/officeDocument/2006/relationships/hyperlink" Target="https://www.vmia.vic.gov.au/risk/victorian-government-risk-management-framework" TargetMode="External"/><Relationship Id="rId48" Type="http://schemas.openxmlformats.org/officeDocument/2006/relationships/hyperlink" Target="https://www.enterprisesolutions.vic.gov.au/information-management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a.vic.gov.au/policy-and-standards-0" TargetMode="External"/><Relationship Id="rId2" Type="http://schemas.openxmlformats.org/officeDocument/2006/relationships/hyperlink" Target="https://ovic.vic.gov.au/resource/selecting-a-protective-marking-flowchart-ready-reckoner-v2-0/" TargetMode="External"/><Relationship Id="rId1" Type="http://schemas.openxmlformats.org/officeDocument/2006/relationships/hyperlink" Target="https://ovic.vic.gov.au/resource/vpdsf-business-impact-level-table-v2-0/" TargetMode="External"/><Relationship Id="rId4" Type="http://schemas.openxmlformats.org/officeDocument/2006/relationships/hyperlink" Target="http://www.legislation.vic.gov.au/Domino/Web_Notes/LDMS/PubStatbook.nsf/f932b66241ecf1b7ca256e92000e23be/05CC92B3F8CB6A6BCA257D4700209220/%24FILE/14-060aa%20authorised.pdf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EABA-7F81-4859-8F81-2B6DB6714E2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4C620E8-35AE-48BF-B22A-ECCFD9F4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11</Pages>
  <Words>3287</Words>
  <Characters>18935</Characters>
  <Application>Microsoft Office Word</Application>
  <DocSecurity>0</DocSecurity>
  <Lines>757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21706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Steinfort</dc:creator>
  <cp:lastModifiedBy>Carly Lusk (DPC)</cp:lastModifiedBy>
  <cp:revision>24</cp:revision>
  <cp:lastPrinted>2019-05-28T04:26:00Z</cp:lastPrinted>
  <dcterms:created xsi:type="dcterms:W3CDTF">2019-05-16T23:12:00Z</dcterms:created>
  <dcterms:modified xsi:type="dcterms:W3CDTF">2020-07-17T03:36:00Z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5e052fe6-ec60-4ce0-852f-56a0eefb70b9</vt:lpwstr>
  </property>
  <property fmtid="{D5CDD505-2E9C-101B-9397-08002B2CF9AE}" pid="4" name="PSPFClassification">
    <vt:lpwstr>Public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2019-05-30T01:34:04.7771014Z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