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90" w:rsidRPr="00C34AB7" w:rsidRDefault="00992714" w:rsidP="00FE51D3">
      <w:pPr>
        <w:pStyle w:val="DPCbodynospace"/>
      </w:pPr>
      <w:r>
        <w:rPr>
          <w:noProof/>
          <w:lang w:eastAsia="en-AU"/>
        </w:rPr>
        <w:drawing>
          <wp:anchor distT="0" distB="0" distL="114300" distR="114300" simplePos="0" relativeHeight="251655168" behindDoc="1" locked="1" layoutInCell="0" allowOverlap="1" wp14:anchorId="6FD8C118" wp14:editId="697499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920" cy="10692000"/>
            <wp:effectExtent l="0" t="0" r="4445" b="0"/>
            <wp:wrapNone/>
            <wp:docPr id="2" name="Picture 2" descr="Victoria State Government - Department of Premier and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port Cover Background Nav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92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1817CD" w:rsidRPr="00C34AB7" w:rsidTr="002B0BB5">
        <w:trPr>
          <w:trHeight w:val="8366"/>
        </w:trPr>
        <w:tc>
          <w:tcPr>
            <w:tcW w:w="9923" w:type="dxa"/>
            <w:shd w:val="clear" w:color="auto" w:fill="auto"/>
            <w:vAlign w:val="center"/>
          </w:tcPr>
          <w:p w:rsidR="00C416E1" w:rsidRPr="004C4D4A" w:rsidRDefault="0011521B" w:rsidP="004C4D4A">
            <w:pPr>
              <w:pStyle w:val="DPCreporttitle"/>
            </w:pPr>
            <w:r>
              <w:t>Address</w:t>
            </w:r>
            <w:r w:rsidR="002A1860">
              <w:t xml:space="preserve"> Data </w:t>
            </w:r>
            <w:r>
              <w:t>G</w:t>
            </w:r>
            <w:r w:rsidR="00E82A7D">
              <w:t>uideline</w:t>
            </w:r>
          </w:p>
          <w:p w:rsidR="00444D82" w:rsidRPr="004C4D4A" w:rsidRDefault="00E82A7D" w:rsidP="004C4D4A">
            <w:pPr>
              <w:pStyle w:val="DPCreportsubtitle"/>
            </w:pPr>
            <w:r>
              <w:t>Information Management Framework</w:t>
            </w:r>
          </w:p>
        </w:tc>
      </w:tr>
    </w:tbl>
    <w:p w:rsidR="0069374A" w:rsidRPr="00C34AB7" w:rsidRDefault="0069374A" w:rsidP="00FE51D3">
      <w:pPr>
        <w:pStyle w:val="DPCbodynospace"/>
      </w:pPr>
    </w:p>
    <w:p w:rsidR="00320FDE" w:rsidRPr="00B359DD" w:rsidRDefault="00320FDE" w:rsidP="0088510E">
      <w:pPr>
        <w:pStyle w:val="TOC3"/>
        <w:rPr>
          <w:b/>
          <w:color w:val="FF0000"/>
          <w:sz w:val="40"/>
        </w:rPr>
        <w:sectPr w:rsidR="00320FDE" w:rsidRPr="00B359DD" w:rsidSect="00BB2E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6" w:h="16838"/>
          <w:pgMar w:top="1134" w:right="1418" w:bottom="1134" w:left="1418" w:header="454" w:footer="567" w:gutter="0"/>
          <w:pgNumType w:fmt="lowerRoman" w:start="1"/>
          <w:cols w:space="720"/>
          <w:docGrid w:linePitch="360"/>
        </w:sectPr>
      </w:pPr>
    </w:p>
    <w:p w:rsidR="00A4029E" w:rsidRPr="00A4029E" w:rsidRDefault="00A4029E" w:rsidP="00CA7F3D">
      <w:pPr>
        <w:pStyle w:val="Heading3"/>
        <w:rPr>
          <w:b w:val="0"/>
          <w:color w:val="009CA6"/>
          <w:sz w:val="52"/>
          <w:szCs w:val="52"/>
        </w:rPr>
      </w:pPr>
      <w:r w:rsidRPr="00A4029E">
        <w:rPr>
          <w:b w:val="0"/>
          <w:color w:val="009CA6"/>
          <w:sz w:val="52"/>
          <w:szCs w:val="52"/>
        </w:rPr>
        <w:lastRenderedPageBreak/>
        <w:t>Document control</w:t>
      </w:r>
    </w:p>
    <w:p w:rsidR="00CA7F3D" w:rsidRPr="002E18D2" w:rsidRDefault="00CA7F3D" w:rsidP="00CA7F3D">
      <w:pPr>
        <w:pStyle w:val="Heading3"/>
      </w:pPr>
      <w:r w:rsidRPr="002E18D2">
        <w:t>Approval</w:t>
      </w:r>
    </w:p>
    <w:p w:rsidR="00CA7F3D" w:rsidRPr="00E136E2" w:rsidRDefault="00CA7F3D" w:rsidP="00CA7F3D">
      <w:pPr>
        <w:pStyle w:val="DPCbody"/>
      </w:pPr>
      <w:r w:rsidRPr="00262668">
        <w:t xml:space="preserve">This document was approved by the </w:t>
      </w:r>
      <w:r>
        <w:t>Information Management</w:t>
      </w:r>
      <w:r w:rsidRPr="00262668">
        <w:t xml:space="preserve"> Group on</w:t>
      </w:r>
      <w:r>
        <w:t xml:space="preserve"> </w:t>
      </w:r>
      <w:r w:rsidR="00302AFF">
        <w:t>26</w:t>
      </w:r>
      <w:r w:rsidR="00322248">
        <w:t>/07/</w:t>
      </w:r>
      <w:r>
        <w:t>2017, and applies from the date of issue (see below).</w:t>
      </w:r>
    </w:p>
    <w:tbl>
      <w:tblPr>
        <w:tblStyle w:val="MediumShading1-Accent6"/>
        <w:tblpPr w:leftFromText="180" w:rightFromText="180" w:vertAnchor="text" w:horzAnchor="margin" w:tblpY="73"/>
        <w:tblW w:w="9747" w:type="dxa"/>
        <w:tblLook w:val="0480" w:firstRow="0" w:lastRow="0" w:firstColumn="1" w:lastColumn="0" w:noHBand="0" w:noVBand="1"/>
      </w:tblPr>
      <w:tblGrid>
        <w:gridCol w:w="1809"/>
        <w:gridCol w:w="2599"/>
        <w:gridCol w:w="1937"/>
        <w:gridCol w:w="3402"/>
      </w:tblGrid>
      <w:tr w:rsidR="00CA7F3D" w:rsidRPr="0096624C" w:rsidTr="005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A7F3D" w:rsidRPr="0096624C" w:rsidRDefault="00CA7F3D" w:rsidP="005E28E4">
            <w:pPr>
              <w:pStyle w:val="DPCtablecolhead"/>
              <w:rPr>
                <w:b/>
              </w:rPr>
            </w:pPr>
          </w:p>
          <w:p w:rsidR="00CA7F3D" w:rsidRPr="0096624C" w:rsidRDefault="00CA7F3D" w:rsidP="005E28E4">
            <w:pPr>
              <w:pStyle w:val="DPCtablecolhead"/>
              <w:rPr>
                <w:b/>
              </w:rPr>
            </w:pPr>
            <w:r w:rsidRPr="0096624C">
              <w:rPr>
                <w:b/>
              </w:rPr>
              <w:t>APPLIES TO</w:t>
            </w:r>
          </w:p>
          <w:p w:rsidR="00CA7F3D" w:rsidRPr="0096624C" w:rsidRDefault="00CA7F3D" w:rsidP="005E28E4">
            <w:pPr>
              <w:pStyle w:val="DPCtablecolhead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24C">
              <w:t xml:space="preserve">All Departments and </w:t>
            </w:r>
            <w:r w:rsidRPr="0096624C">
              <w:br/>
              <w:t>Victoria Police</w:t>
            </w:r>
          </w:p>
        </w:tc>
        <w:tc>
          <w:tcPr>
            <w:tcW w:w="1937" w:type="dxa"/>
            <w:vAlign w:val="center"/>
          </w:tcPr>
          <w:p w:rsidR="00CA7F3D" w:rsidRPr="0096624C" w:rsidRDefault="00CA7F3D" w:rsidP="005E28E4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24C">
              <w:t>AUTHORITY</w:t>
            </w:r>
          </w:p>
        </w:tc>
        <w:tc>
          <w:tcPr>
            <w:tcW w:w="3402" w:type="dxa"/>
            <w:vAlign w:val="center"/>
          </w:tcPr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 Management Group</w:t>
            </w:r>
          </w:p>
        </w:tc>
      </w:tr>
      <w:tr w:rsidR="00CA7F3D" w:rsidRPr="0096624C" w:rsidTr="005E2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A7F3D" w:rsidRPr="0096624C" w:rsidRDefault="00CA7F3D" w:rsidP="005E28E4">
            <w:pPr>
              <w:pStyle w:val="DPCtablecolhead"/>
              <w:rPr>
                <w:b/>
              </w:rPr>
            </w:pPr>
            <w:r w:rsidRPr="0096624C">
              <w:rPr>
                <w:b/>
              </w:rPr>
              <w:t>PERIOD</w:t>
            </w:r>
          </w:p>
        </w:tc>
        <w:tc>
          <w:tcPr>
            <w:tcW w:w="2599" w:type="dxa"/>
            <w:vAlign w:val="center"/>
          </w:tcPr>
          <w:p w:rsidR="00CA7F3D" w:rsidRPr="0096624C" w:rsidRDefault="00CA7F3D" w:rsidP="005E28E4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24C">
              <w:t>2017 – 2020</w:t>
            </w:r>
          </w:p>
        </w:tc>
        <w:tc>
          <w:tcPr>
            <w:tcW w:w="1937" w:type="dxa"/>
            <w:vAlign w:val="center"/>
          </w:tcPr>
          <w:p w:rsidR="00CA7F3D" w:rsidRPr="0096624C" w:rsidRDefault="00CA7F3D" w:rsidP="005E28E4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24C">
              <w:t>ADVISED BY</w:t>
            </w:r>
          </w:p>
        </w:tc>
        <w:tc>
          <w:tcPr>
            <w:tcW w:w="3402" w:type="dxa"/>
            <w:vAlign w:val="center"/>
          </w:tcPr>
          <w:p w:rsidR="00CA7F3D" w:rsidRPr="0096624C" w:rsidRDefault="000704FD" w:rsidP="005E28E4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Digital Strategy and Transformation</w:t>
            </w:r>
            <w:r w:rsidR="00CA7F3D" w:rsidRPr="0096624C">
              <w:br/>
              <w:t>Department of Premier and Cabinet</w:t>
            </w:r>
          </w:p>
        </w:tc>
      </w:tr>
      <w:tr w:rsidR="00CA7F3D" w:rsidRPr="0096624C" w:rsidTr="005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A7F3D" w:rsidRPr="0096624C" w:rsidRDefault="00CA7F3D" w:rsidP="005E28E4">
            <w:pPr>
              <w:pStyle w:val="DPCtablecolhead"/>
              <w:rPr>
                <w:b/>
              </w:rPr>
            </w:pPr>
            <w:r w:rsidRPr="0096624C">
              <w:rPr>
                <w:b/>
              </w:rPr>
              <w:t>ISSUE DATE</w:t>
            </w:r>
          </w:p>
        </w:tc>
        <w:tc>
          <w:tcPr>
            <w:tcW w:w="2599" w:type="dxa"/>
            <w:vAlign w:val="center"/>
          </w:tcPr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F3D" w:rsidRPr="0096624C" w:rsidRDefault="00201F1A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02/08/</w:t>
            </w:r>
            <w:r w:rsidR="00CA7F3D" w:rsidRPr="0096624C">
              <w:t>2017</w:t>
            </w:r>
          </w:p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7" w:type="dxa"/>
            <w:vAlign w:val="center"/>
          </w:tcPr>
          <w:p w:rsidR="00CA7F3D" w:rsidRPr="0096624C" w:rsidRDefault="00CA7F3D" w:rsidP="005E28E4">
            <w:pPr>
              <w:pStyle w:val="DPCtablecol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24C">
              <w:t>DOCUMENT ID</w:t>
            </w:r>
          </w:p>
        </w:tc>
        <w:tc>
          <w:tcPr>
            <w:tcW w:w="3402" w:type="dxa"/>
            <w:vAlign w:val="center"/>
          </w:tcPr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24C">
              <w:t>IM-GUIDE-07</w:t>
            </w:r>
          </w:p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F3D" w:rsidRPr="0096624C" w:rsidTr="005E2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A7F3D" w:rsidRPr="0096624C" w:rsidRDefault="00CA7F3D" w:rsidP="005E28E4">
            <w:pPr>
              <w:pStyle w:val="DPCtablecolhead"/>
              <w:rPr>
                <w:b/>
              </w:rPr>
            </w:pPr>
            <w:r w:rsidRPr="0096624C">
              <w:rPr>
                <w:b/>
              </w:rPr>
              <w:t>REVIEW DATE</w:t>
            </w:r>
          </w:p>
        </w:tc>
        <w:tc>
          <w:tcPr>
            <w:tcW w:w="2599" w:type="dxa"/>
            <w:vAlign w:val="center"/>
          </w:tcPr>
          <w:p w:rsidR="00CA7F3D" w:rsidRPr="0096624C" w:rsidRDefault="00201F1A" w:rsidP="00201F1A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02/08/</w:t>
            </w:r>
            <w:r w:rsidR="00CA7F3D" w:rsidRPr="0096624C">
              <w:t>2020</w:t>
            </w:r>
          </w:p>
        </w:tc>
        <w:tc>
          <w:tcPr>
            <w:tcW w:w="1937" w:type="dxa"/>
            <w:vAlign w:val="center"/>
          </w:tcPr>
          <w:p w:rsidR="00CA7F3D" w:rsidRPr="0096624C" w:rsidRDefault="00CA7F3D" w:rsidP="005E28E4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A7F3D" w:rsidRPr="0096624C" w:rsidRDefault="00CA7F3D" w:rsidP="005E28E4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24C">
              <w:t>VERSION</w:t>
            </w:r>
          </w:p>
          <w:p w:rsidR="00CA7F3D" w:rsidRPr="0096624C" w:rsidRDefault="00CA7F3D" w:rsidP="005E28E4">
            <w:pPr>
              <w:pStyle w:val="DPCtablecolhea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vAlign w:val="center"/>
          </w:tcPr>
          <w:p w:rsidR="00CA7F3D" w:rsidRPr="0096624C" w:rsidRDefault="00201F1A" w:rsidP="005E28E4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1.0</w:t>
            </w:r>
          </w:p>
        </w:tc>
      </w:tr>
    </w:tbl>
    <w:p w:rsidR="00CA7F3D" w:rsidRPr="008B706D" w:rsidRDefault="00CA7F3D" w:rsidP="00CA7F3D">
      <w:pPr>
        <w:pStyle w:val="Heading3"/>
      </w:pPr>
      <w:r w:rsidRPr="008B706D">
        <w:t>Version history</w:t>
      </w:r>
    </w:p>
    <w:tbl>
      <w:tblPr>
        <w:tblStyle w:val="MediumShading1-Accent6"/>
        <w:tblW w:w="5122" w:type="pct"/>
        <w:tblLook w:val="04A0" w:firstRow="1" w:lastRow="0" w:firstColumn="1" w:lastColumn="0" w:noHBand="0" w:noVBand="1"/>
      </w:tblPr>
      <w:tblGrid>
        <w:gridCol w:w="1520"/>
        <w:gridCol w:w="1349"/>
        <w:gridCol w:w="6877"/>
      </w:tblGrid>
      <w:tr w:rsidR="00CA7F3D" w:rsidRPr="0096624C" w:rsidTr="005E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:rsidR="00CA7F3D" w:rsidRPr="0096624C" w:rsidRDefault="00CA7F3D" w:rsidP="005E28E4">
            <w:pPr>
              <w:pStyle w:val="DPCtablecolhead"/>
              <w:rPr>
                <w:rFonts w:eastAsiaTheme="minorEastAsia"/>
                <w:b/>
                <w:color w:val="FFFFFF" w:themeColor="background1"/>
              </w:rPr>
            </w:pPr>
            <w:r w:rsidRPr="0096624C">
              <w:rPr>
                <w:rFonts w:eastAsiaTheme="minorEastAsia"/>
                <w:b/>
                <w:color w:val="FFFFFF" w:themeColor="background1"/>
              </w:rPr>
              <w:t>Version</w:t>
            </w:r>
          </w:p>
        </w:tc>
        <w:tc>
          <w:tcPr>
            <w:tcW w:w="692" w:type="pct"/>
          </w:tcPr>
          <w:p w:rsidR="00CA7F3D" w:rsidRPr="0096624C" w:rsidRDefault="00CA7F3D" w:rsidP="005E28E4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</w:rPr>
            </w:pPr>
            <w:r w:rsidRPr="0096624C">
              <w:rPr>
                <w:rFonts w:eastAsiaTheme="minorEastAsia"/>
                <w:b/>
                <w:color w:val="FFFFFF" w:themeColor="background1"/>
              </w:rPr>
              <w:t>Date</w:t>
            </w:r>
          </w:p>
        </w:tc>
        <w:tc>
          <w:tcPr>
            <w:tcW w:w="3528" w:type="pct"/>
          </w:tcPr>
          <w:p w:rsidR="00CA7F3D" w:rsidRPr="0096624C" w:rsidRDefault="00CA7F3D" w:rsidP="005E28E4">
            <w:pPr>
              <w:pStyle w:val="DPC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FFFFFF" w:themeColor="background1"/>
              </w:rPr>
            </w:pPr>
            <w:r w:rsidRPr="0096624C">
              <w:rPr>
                <w:rFonts w:eastAsiaTheme="minorEastAsia"/>
                <w:b/>
                <w:color w:val="FFFFFF" w:themeColor="background1"/>
              </w:rPr>
              <w:t>Comments</w:t>
            </w:r>
          </w:p>
        </w:tc>
      </w:tr>
      <w:tr w:rsidR="00CA7F3D" w:rsidRPr="0096624C" w:rsidTr="005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:rsidR="00CA7F3D" w:rsidRPr="00EE373C" w:rsidRDefault="00CA7F3D" w:rsidP="005E28E4">
            <w:pPr>
              <w:pStyle w:val="DPCtabletext"/>
              <w:rPr>
                <w:rFonts w:eastAsiaTheme="minorEastAsia"/>
              </w:rPr>
            </w:pPr>
            <w:r w:rsidRPr="00EE373C">
              <w:rPr>
                <w:rFonts w:eastAsiaTheme="minorEastAsia"/>
              </w:rPr>
              <w:t>0.1</w:t>
            </w:r>
          </w:p>
        </w:tc>
        <w:tc>
          <w:tcPr>
            <w:tcW w:w="692" w:type="pct"/>
          </w:tcPr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  <w:r w:rsidRPr="0096624C">
              <w:rPr>
                <w:rFonts w:eastAsiaTheme="minorEastAsia"/>
              </w:rPr>
              <w:t>/06/2017</w:t>
            </w:r>
          </w:p>
        </w:tc>
        <w:tc>
          <w:tcPr>
            <w:tcW w:w="3528" w:type="pct"/>
          </w:tcPr>
          <w:p w:rsidR="00CA7F3D" w:rsidRPr="0096624C" w:rsidRDefault="00CA7F3D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6624C">
              <w:rPr>
                <w:rFonts w:eastAsiaTheme="minorEastAsia"/>
              </w:rPr>
              <w:t>First draft</w:t>
            </w:r>
          </w:p>
        </w:tc>
      </w:tr>
      <w:tr w:rsidR="00CA7F3D" w:rsidRPr="0096624C" w:rsidTr="005E2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:rsidR="00CA7F3D" w:rsidRPr="00EE373C" w:rsidRDefault="00CA7F3D" w:rsidP="005E28E4">
            <w:pPr>
              <w:pStyle w:val="DPC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0.9</w:t>
            </w:r>
          </w:p>
        </w:tc>
        <w:tc>
          <w:tcPr>
            <w:tcW w:w="692" w:type="pct"/>
          </w:tcPr>
          <w:p w:rsidR="00CA7F3D" w:rsidRDefault="00CA7F3D" w:rsidP="005E28E4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18/07/2017</w:t>
            </w:r>
          </w:p>
        </w:tc>
        <w:tc>
          <w:tcPr>
            <w:tcW w:w="3528" w:type="pct"/>
          </w:tcPr>
          <w:p w:rsidR="00CA7F3D" w:rsidRPr="0096624C" w:rsidRDefault="00CA7F3D" w:rsidP="005E28E4">
            <w:pPr>
              <w:pStyle w:val="DP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Minor changes following feedback</w:t>
            </w:r>
          </w:p>
        </w:tc>
      </w:tr>
      <w:tr w:rsidR="00201F1A" w:rsidRPr="0096624C" w:rsidTr="005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:rsidR="00201F1A" w:rsidRDefault="00201F1A" w:rsidP="005E28E4">
            <w:pPr>
              <w:pStyle w:val="DPC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1.0</w:t>
            </w:r>
          </w:p>
        </w:tc>
        <w:tc>
          <w:tcPr>
            <w:tcW w:w="692" w:type="pct"/>
          </w:tcPr>
          <w:p w:rsidR="00201F1A" w:rsidRDefault="00302AFF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26/07/2017</w:t>
            </w:r>
          </w:p>
        </w:tc>
        <w:tc>
          <w:tcPr>
            <w:tcW w:w="3528" w:type="pct"/>
          </w:tcPr>
          <w:p w:rsidR="00201F1A" w:rsidRDefault="00201F1A" w:rsidP="005E28E4">
            <w:pPr>
              <w:pStyle w:val="DP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Approved by the Information Management Group</w:t>
            </w:r>
          </w:p>
        </w:tc>
      </w:tr>
    </w:tbl>
    <w:p w:rsidR="00CA7F3D" w:rsidRPr="00E82A7D" w:rsidRDefault="00CA7F3D" w:rsidP="00CA7F3D">
      <w:pPr>
        <w:pStyle w:val="DPCbody"/>
      </w:pPr>
    </w:p>
    <w:p w:rsidR="004C1E5B" w:rsidRPr="002C1DF6" w:rsidRDefault="004C1E5B" w:rsidP="004C1E5B">
      <w:pPr>
        <w:spacing w:line="200" w:lineRule="atLeast"/>
        <w:rPr>
          <w:sz w:val="16"/>
        </w:rPr>
      </w:pPr>
      <w:r w:rsidRPr="002C1DF6">
        <w:rPr>
          <w:rFonts w:ascii="Calibri" w:eastAsia="Calibri" w:hAnsi="Calibri" w:cs="Calibri"/>
          <w:noProof/>
          <w:szCs w:val="20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4E2653CA" wp14:editId="2F695030">
            <wp:simplePos x="786130" y="9097645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DF6">
        <w:rPr>
          <w:rFonts w:ascii="Calibri" w:eastAsia="Calibri" w:hAnsi="Calibri" w:cs="Calibri"/>
          <w:szCs w:val="20"/>
        </w:rPr>
        <w:br w:type="textWrapping" w:clear="all"/>
      </w:r>
      <w:r w:rsidRPr="00A143B8">
        <w:rPr>
          <w:spacing w:val="-1"/>
          <w:sz w:val="16"/>
        </w:rPr>
        <w:t>Except</w:t>
      </w:r>
      <w:r w:rsidRPr="00A143B8">
        <w:rPr>
          <w:spacing w:val="-6"/>
          <w:sz w:val="16"/>
        </w:rPr>
        <w:t xml:space="preserve"> </w:t>
      </w:r>
      <w:r w:rsidRPr="00A143B8">
        <w:rPr>
          <w:spacing w:val="-1"/>
          <w:sz w:val="16"/>
        </w:rPr>
        <w:t>for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any</w:t>
      </w:r>
      <w:r w:rsidRPr="00A143B8">
        <w:rPr>
          <w:spacing w:val="-5"/>
          <w:sz w:val="16"/>
        </w:rPr>
        <w:t xml:space="preserve"> </w:t>
      </w:r>
      <w:r w:rsidRPr="00A143B8">
        <w:rPr>
          <w:spacing w:val="-1"/>
          <w:sz w:val="16"/>
        </w:rPr>
        <w:t>logos,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emblems,</w:t>
      </w:r>
      <w:r w:rsidRPr="00A143B8">
        <w:rPr>
          <w:spacing w:val="-6"/>
          <w:sz w:val="16"/>
        </w:rPr>
        <w:t xml:space="preserve"> </w:t>
      </w:r>
      <w:r w:rsidRPr="00A143B8">
        <w:rPr>
          <w:spacing w:val="-1"/>
          <w:sz w:val="16"/>
        </w:rPr>
        <w:t>trademarks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and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contents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attributed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to</w:t>
      </w:r>
      <w:r w:rsidRPr="00A143B8">
        <w:rPr>
          <w:spacing w:val="-5"/>
          <w:sz w:val="16"/>
        </w:rPr>
        <w:t xml:space="preserve"> </w:t>
      </w:r>
      <w:r w:rsidRPr="00A143B8">
        <w:rPr>
          <w:sz w:val="16"/>
        </w:rPr>
        <w:t>other</w:t>
      </w:r>
      <w:r w:rsidRPr="00A143B8">
        <w:rPr>
          <w:spacing w:val="-6"/>
          <w:sz w:val="16"/>
        </w:rPr>
        <w:t xml:space="preserve"> </w:t>
      </w:r>
      <w:r w:rsidRPr="00A143B8">
        <w:rPr>
          <w:spacing w:val="-1"/>
          <w:sz w:val="16"/>
        </w:rPr>
        <w:t>parties,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the statement</w:t>
      </w:r>
      <w:r w:rsidR="00432665" w:rsidRPr="00A143B8">
        <w:rPr>
          <w:sz w:val="16"/>
        </w:rPr>
        <w:t>s of direction</w:t>
      </w:r>
      <w:r w:rsidRPr="00A143B8">
        <w:rPr>
          <w:sz w:val="16"/>
        </w:rPr>
        <w:t>,</w:t>
      </w:r>
      <w:r w:rsidRPr="00A143B8">
        <w:rPr>
          <w:spacing w:val="-6"/>
          <w:sz w:val="16"/>
        </w:rPr>
        <w:t xml:space="preserve"> </w:t>
      </w:r>
      <w:r w:rsidRPr="00A143B8">
        <w:rPr>
          <w:spacing w:val="-1"/>
          <w:sz w:val="16"/>
        </w:rPr>
        <w:t>policies and</w:t>
      </w:r>
      <w:r w:rsidRPr="00A143B8">
        <w:rPr>
          <w:spacing w:val="-3"/>
          <w:sz w:val="16"/>
        </w:rPr>
        <w:t xml:space="preserve"> </w:t>
      </w:r>
      <w:r w:rsidRPr="00A143B8">
        <w:rPr>
          <w:spacing w:val="-1"/>
          <w:sz w:val="16"/>
        </w:rPr>
        <w:t>standards</w:t>
      </w:r>
      <w:r w:rsidRPr="00A143B8">
        <w:rPr>
          <w:spacing w:val="-7"/>
          <w:sz w:val="16"/>
        </w:rPr>
        <w:t xml:space="preserve"> </w:t>
      </w:r>
      <w:r w:rsidRPr="00A143B8">
        <w:rPr>
          <w:spacing w:val="1"/>
          <w:sz w:val="16"/>
        </w:rPr>
        <w:t>of</w:t>
      </w:r>
      <w:r w:rsidRPr="00A143B8">
        <w:rPr>
          <w:spacing w:val="-7"/>
          <w:sz w:val="16"/>
        </w:rPr>
        <w:t xml:space="preserve"> </w:t>
      </w:r>
      <w:r w:rsidRPr="00A143B8">
        <w:rPr>
          <w:sz w:val="16"/>
        </w:rPr>
        <w:t>the</w:t>
      </w:r>
      <w:r w:rsidRPr="00A143B8">
        <w:rPr>
          <w:spacing w:val="-7"/>
          <w:sz w:val="16"/>
        </w:rPr>
        <w:t xml:space="preserve"> </w:t>
      </w:r>
      <w:r w:rsidRPr="00A143B8">
        <w:rPr>
          <w:spacing w:val="-1"/>
          <w:sz w:val="16"/>
        </w:rPr>
        <w:t>Victorian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Government</w:t>
      </w:r>
      <w:r w:rsidRPr="00A143B8">
        <w:rPr>
          <w:spacing w:val="-6"/>
          <w:sz w:val="16"/>
        </w:rPr>
        <w:t xml:space="preserve">’s Victorian Secretaries Board or </w:t>
      </w:r>
      <w:r w:rsidRPr="00A143B8">
        <w:rPr>
          <w:spacing w:val="-1"/>
          <w:sz w:val="16"/>
        </w:rPr>
        <w:t>CIO Leadership Group</w:t>
      </w:r>
      <w:r w:rsidRPr="00A143B8">
        <w:rPr>
          <w:spacing w:val="-6"/>
          <w:sz w:val="16"/>
        </w:rPr>
        <w:t xml:space="preserve"> </w:t>
      </w:r>
      <w:r w:rsidRPr="00A143B8">
        <w:rPr>
          <w:spacing w:val="1"/>
          <w:sz w:val="16"/>
        </w:rPr>
        <w:t>are</w:t>
      </w:r>
      <w:r w:rsidRPr="00A143B8">
        <w:rPr>
          <w:spacing w:val="-7"/>
          <w:sz w:val="16"/>
        </w:rPr>
        <w:t xml:space="preserve"> </w:t>
      </w:r>
      <w:r w:rsidRPr="00A143B8">
        <w:rPr>
          <w:sz w:val="16"/>
        </w:rPr>
        <w:t>licensed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under</w:t>
      </w:r>
      <w:r w:rsidRPr="00A143B8">
        <w:rPr>
          <w:spacing w:val="-6"/>
          <w:sz w:val="16"/>
        </w:rPr>
        <w:t xml:space="preserve"> </w:t>
      </w:r>
      <w:r w:rsidRPr="00A143B8">
        <w:rPr>
          <w:sz w:val="16"/>
        </w:rPr>
        <w:t>the</w:t>
      </w:r>
      <w:r w:rsidRPr="00A143B8">
        <w:rPr>
          <w:spacing w:val="-7"/>
          <w:sz w:val="16"/>
        </w:rPr>
        <w:t xml:space="preserve"> </w:t>
      </w:r>
      <w:r w:rsidRPr="00A143B8">
        <w:rPr>
          <w:spacing w:val="-1"/>
          <w:sz w:val="16"/>
        </w:rPr>
        <w:t xml:space="preserve">Creative Commons Attribution 4.0 </w:t>
      </w:r>
      <w:r w:rsidRPr="00A143B8">
        <w:rPr>
          <w:sz w:val="16"/>
        </w:rPr>
        <w:t>International licence. To view</w:t>
      </w:r>
      <w:r w:rsidRPr="00A143B8">
        <w:rPr>
          <w:spacing w:val="-9"/>
          <w:sz w:val="16"/>
        </w:rPr>
        <w:t xml:space="preserve"> </w:t>
      </w:r>
      <w:r w:rsidRPr="00A143B8">
        <w:rPr>
          <w:sz w:val="16"/>
        </w:rPr>
        <w:t>a</w:t>
      </w:r>
      <w:r w:rsidRPr="00A143B8">
        <w:rPr>
          <w:spacing w:val="-8"/>
          <w:sz w:val="16"/>
        </w:rPr>
        <w:t xml:space="preserve"> </w:t>
      </w:r>
      <w:r w:rsidRPr="00A143B8">
        <w:rPr>
          <w:sz w:val="16"/>
        </w:rPr>
        <w:t>copy</w:t>
      </w:r>
      <w:r w:rsidRPr="00A143B8">
        <w:rPr>
          <w:spacing w:val="-7"/>
          <w:sz w:val="16"/>
        </w:rPr>
        <w:t xml:space="preserve"> </w:t>
      </w:r>
      <w:r w:rsidRPr="00A143B8">
        <w:rPr>
          <w:sz w:val="16"/>
        </w:rPr>
        <w:t>of</w:t>
      </w:r>
      <w:r w:rsidRPr="00A143B8">
        <w:rPr>
          <w:spacing w:val="-9"/>
          <w:sz w:val="16"/>
        </w:rPr>
        <w:t xml:space="preserve"> </w:t>
      </w:r>
      <w:r w:rsidRPr="00A143B8">
        <w:rPr>
          <w:sz w:val="16"/>
        </w:rPr>
        <w:t>this</w:t>
      </w:r>
      <w:r w:rsidRPr="00A143B8">
        <w:rPr>
          <w:spacing w:val="-9"/>
          <w:sz w:val="16"/>
        </w:rPr>
        <w:t xml:space="preserve"> </w:t>
      </w:r>
      <w:r w:rsidRPr="00A143B8">
        <w:rPr>
          <w:sz w:val="16"/>
        </w:rPr>
        <w:t>licence</w:t>
      </w:r>
      <w:r w:rsidRPr="00A143B8">
        <w:rPr>
          <w:spacing w:val="-1"/>
          <w:sz w:val="16"/>
        </w:rPr>
        <w:t>,</w:t>
      </w:r>
      <w:r w:rsidRPr="00A143B8">
        <w:rPr>
          <w:spacing w:val="-8"/>
          <w:sz w:val="16"/>
        </w:rPr>
        <w:t xml:space="preserve"> </w:t>
      </w:r>
      <w:r w:rsidRPr="00A143B8">
        <w:rPr>
          <w:sz w:val="16"/>
        </w:rPr>
        <w:t>visit</w:t>
      </w:r>
      <w:r w:rsidRPr="00A143B8">
        <w:rPr>
          <w:spacing w:val="-5"/>
          <w:sz w:val="16"/>
        </w:rPr>
        <w:t xml:space="preserve"> </w:t>
      </w:r>
      <w:hyperlink r:id="rId17" w:history="1">
        <w:r w:rsidRPr="00A143B8">
          <w:rPr>
            <w:rStyle w:val="Hyperlink"/>
            <w:sz w:val="16"/>
          </w:rPr>
          <w:t>https://creativecommons.org/licenses/by/4.0/</w:t>
        </w:r>
      </w:hyperlink>
      <w:r w:rsidRPr="00A143B8">
        <w:rPr>
          <w:sz w:val="16"/>
        </w:rPr>
        <w:t>.</w:t>
      </w:r>
      <w:r w:rsidRPr="00114CCB">
        <w:rPr>
          <w:sz w:val="16"/>
        </w:rPr>
        <w:t xml:space="preserve"> </w:t>
      </w:r>
    </w:p>
    <w:p w:rsidR="00CA7F3D" w:rsidRDefault="00CA7F3D" w:rsidP="004C1E5B">
      <w:pPr>
        <w:spacing w:before="0" w:after="0" w:line="240" w:lineRule="auto"/>
      </w:pPr>
    </w:p>
    <w:p w:rsidR="00AC0C3B" w:rsidRPr="002C4D47" w:rsidRDefault="00AC0C3B" w:rsidP="00E82A7D">
      <w:pPr>
        <w:pStyle w:val="DPCTOCheadingreport"/>
      </w:pPr>
      <w:r w:rsidRPr="002C4D47">
        <w:lastRenderedPageBreak/>
        <w:t>Contents</w:t>
      </w:r>
    </w:p>
    <w:p w:rsidR="007F2D40" w:rsidRDefault="00E15DA9">
      <w:pPr>
        <w:pStyle w:val="TOC1"/>
        <w:rPr>
          <w:rFonts w:eastAsiaTheme="minorEastAsia" w:cstheme="minorBidi"/>
          <w:b w:val="0"/>
          <w:lang w:eastAsia="en-AU"/>
        </w:rPr>
      </w:pPr>
      <w:r w:rsidRPr="00C34AB7">
        <w:fldChar w:fldCharType="begin"/>
      </w:r>
      <w:r w:rsidRPr="00C34AB7">
        <w:instrText xml:space="preserve"> TOC \h \z \t "Heading 1,1,Heading 2,2" </w:instrText>
      </w:r>
      <w:r w:rsidRPr="00C34AB7">
        <w:fldChar w:fldCharType="separate"/>
      </w:r>
      <w:hyperlink w:anchor="_Toc489885436" w:history="1">
        <w:r w:rsidR="007F2D40" w:rsidRPr="00C80BBB">
          <w:rPr>
            <w:rStyle w:val="Hyperlink"/>
          </w:rPr>
          <w:t>Introduction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_Toc489885436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4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37" w:history="1">
        <w:r w:rsidR="007F2D40" w:rsidRPr="00C80BBB">
          <w:rPr>
            <w:rStyle w:val="Hyperlink"/>
          </w:rPr>
          <w:t>Overview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_Toc489885437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4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38" w:history="1">
        <w:r w:rsidR="007F2D40" w:rsidRPr="00C80BBB">
          <w:rPr>
            <w:rStyle w:val="Hyperlink"/>
          </w:rPr>
          <w:t>Rationale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_Toc489885438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4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39" w:history="1">
        <w:r w:rsidR="007F2D40" w:rsidRPr="00C80BBB">
          <w:rPr>
            <w:rStyle w:val="Hyperlink"/>
          </w:rPr>
          <w:t>Derivation, audience, glossary &amp; related documents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_Toc489885439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4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1"/>
        <w:rPr>
          <w:rFonts w:eastAsiaTheme="minorEastAsia" w:cstheme="minorBidi"/>
          <w:b w:val="0"/>
          <w:lang w:eastAsia="en-AU"/>
        </w:rPr>
      </w:pPr>
      <w:hyperlink w:anchor="_Toc489885440" w:history="1">
        <w:r w:rsidR="007F2D40" w:rsidRPr="00C80BBB">
          <w:rPr>
            <w:rStyle w:val="Hyperlink"/>
          </w:rPr>
          <w:t>Guidelines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_Toc489885440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6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41" w:history="1">
        <w:r w:rsidR="007F2D40" w:rsidRPr="00C80BBB">
          <w:rPr>
            <w:rStyle w:val="Hyperlink"/>
          </w:rPr>
          <w:t>When to apply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_Toc489885441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6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42" w:history="1">
        <w:r w:rsidR="007F2D40" w:rsidRPr="00C80BBB">
          <w:rPr>
            <w:rStyle w:val="Hyperlink"/>
          </w:rPr>
          <w:t>Types of address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_Toc489885442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7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43" w:history="1">
        <w:r w:rsidR="007F2D40" w:rsidRPr="00C80BBB">
          <w:rPr>
            <w:rStyle w:val="Hyperlink"/>
          </w:rPr>
          <w:t>Authoritative sources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_Toc489885443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7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44" w:history="1">
        <w:r w:rsidR="007F2D40" w:rsidRPr="00C80BBB">
          <w:rPr>
            <w:rStyle w:val="Hyperlink"/>
          </w:rPr>
          <w:t>Validation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_Toc489885444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9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2"/>
        <w:rPr>
          <w:rFonts w:eastAsiaTheme="minorEastAsia" w:cstheme="minorBidi"/>
          <w:lang w:eastAsia="en-AU"/>
        </w:rPr>
      </w:pPr>
      <w:hyperlink w:anchor="_Toc489885445" w:history="1">
        <w:r w:rsidR="007F2D40" w:rsidRPr="00C80BBB">
          <w:rPr>
            <w:rStyle w:val="Hyperlink"/>
          </w:rPr>
          <w:t>Interchange, storage, sharing and release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_Toc489885445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10</w:t>
        </w:r>
        <w:r w:rsidR="007F2D40">
          <w:rPr>
            <w:webHidden/>
          </w:rPr>
          <w:fldChar w:fldCharType="end"/>
        </w:r>
      </w:hyperlink>
    </w:p>
    <w:p w:rsidR="007F2D40" w:rsidRDefault="000704FD">
      <w:pPr>
        <w:pStyle w:val="TOC1"/>
        <w:rPr>
          <w:rFonts w:eastAsiaTheme="minorEastAsia" w:cstheme="minorBidi"/>
          <w:b w:val="0"/>
          <w:lang w:eastAsia="en-AU"/>
        </w:rPr>
      </w:pPr>
      <w:hyperlink w:anchor="_Toc489885446" w:history="1">
        <w:r w:rsidR="007F2D40" w:rsidRPr="00C80BBB">
          <w:rPr>
            <w:rStyle w:val="Hyperlink"/>
          </w:rPr>
          <w:t>Further information</w:t>
        </w:r>
        <w:r w:rsidR="007F2D40">
          <w:rPr>
            <w:webHidden/>
          </w:rPr>
          <w:tab/>
        </w:r>
        <w:r w:rsidR="007F2D40">
          <w:rPr>
            <w:webHidden/>
          </w:rPr>
          <w:fldChar w:fldCharType="begin"/>
        </w:r>
        <w:r w:rsidR="007F2D40">
          <w:rPr>
            <w:webHidden/>
          </w:rPr>
          <w:instrText xml:space="preserve"> PAGEREF _Toc489885446 \h </w:instrText>
        </w:r>
        <w:r w:rsidR="007F2D40">
          <w:rPr>
            <w:webHidden/>
          </w:rPr>
        </w:r>
        <w:r w:rsidR="007F2D40">
          <w:rPr>
            <w:webHidden/>
          </w:rPr>
          <w:fldChar w:fldCharType="separate"/>
        </w:r>
        <w:r w:rsidR="007F2D40">
          <w:rPr>
            <w:webHidden/>
          </w:rPr>
          <w:t>10</w:t>
        </w:r>
        <w:r w:rsidR="007F2D40">
          <w:rPr>
            <w:webHidden/>
          </w:rPr>
          <w:fldChar w:fldCharType="end"/>
        </w:r>
      </w:hyperlink>
    </w:p>
    <w:p w:rsidR="003E2E12" w:rsidRDefault="00E15DA9" w:rsidP="00352B6B">
      <w:pPr>
        <w:pStyle w:val="TOC2"/>
      </w:pPr>
      <w:r w:rsidRPr="00C34AB7">
        <w:fldChar w:fldCharType="end"/>
      </w:r>
    </w:p>
    <w:p w:rsidR="002536ED" w:rsidRDefault="002536ED">
      <w:pPr>
        <w:spacing w:before="0" w:after="0" w:line="240" w:lineRule="auto"/>
        <w:rPr>
          <w:rFonts w:asciiTheme="majorHAnsi" w:eastAsia="MS Gothic" w:hAnsiTheme="majorHAnsi" w:cs="Arial"/>
          <w:bCs/>
          <w:color w:val="009CA6" w:themeColor="accent5"/>
          <w:kern w:val="32"/>
          <w:sz w:val="52"/>
          <w:szCs w:val="52"/>
          <w:lang w:val="en-AU"/>
        </w:rPr>
      </w:pPr>
      <w:bookmarkStart w:id="3" w:name="_Toc482179969"/>
      <w:r>
        <w:br w:type="page"/>
      </w:r>
    </w:p>
    <w:p w:rsidR="00C74224" w:rsidRPr="00E40D42" w:rsidRDefault="00C74224" w:rsidP="00E82A7D">
      <w:pPr>
        <w:pStyle w:val="Heading1"/>
      </w:pPr>
      <w:bookmarkStart w:id="4" w:name="_Toc489885436"/>
      <w:r w:rsidRPr="00E40D42">
        <w:lastRenderedPageBreak/>
        <w:t>Introduction</w:t>
      </w:r>
      <w:bookmarkEnd w:id="4"/>
    </w:p>
    <w:p w:rsidR="00E82A7D" w:rsidRPr="00E40D42" w:rsidRDefault="00E82A7D" w:rsidP="00C203F7">
      <w:pPr>
        <w:pStyle w:val="Heading2"/>
        <w:rPr>
          <w:rFonts w:asciiTheme="minorHAnsi" w:eastAsia="Times" w:hAnsiTheme="minorHAnsi"/>
          <w:color w:val="000000" w:themeColor="text1"/>
          <w:sz w:val="22"/>
          <w:szCs w:val="22"/>
        </w:rPr>
      </w:pPr>
      <w:bookmarkStart w:id="5" w:name="_Toc489885437"/>
      <w:r w:rsidRPr="00E40D42">
        <w:t>Overview</w:t>
      </w:r>
      <w:bookmarkEnd w:id="3"/>
      <w:bookmarkEnd w:id="5"/>
      <w:r w:rsidRPr="00E40D42">
        <w:rPr>
          <w:rFonts w:asciiTheme="minorHAnsi" w:eastAsia="Times" w:hAnsiTheme="minorHAnsi"/>
          <w:color w:val="000000" w:themeColor="text1"/>
          <w:sz w:val="22"/>
          <w:szCs w:val="22"/>
        </w:rPr>
        <w:t xml:space="preserve"> </w:t>
      </w:r>
    </w:p>
    <w:p w:rsidR="002F57D2" w:rsidRPr="00E40D42" w:rsidRDefault="00E82A7D" w:rsidP="00E82A7D">
      <w:pPr>
        <w:pStyle w:val="DPCbody"/>
      </w:pPr>
      <w:r w:rsidRPr="00E40D42">
        <w:t xml:space="preserve">This document provides guidance to Victorian </w:t>
      </w:r>
      <w:r w:rsidR="00B35E83" w:rsidRPr="00E40D42">
        <w:t>G</w:t>
      </w:r>
      <w:r w:rsidRPr="00E40D42">
        <w:t>ov</w:t>
      </w:r>
      <w:r w:rsidR="00B35E83" w:rsidRPr="00E40D42">
        <w:t>ernment</w:t>
      </w:r>
      <w:r w:rsidR="00DA7BA8">
        <w:t xml:space="preserve"> (the government)</w:t>
      </w:r>
      <w:r w:rsidR="00B35E83" w:rsidRPr="00E40D42">
        <w:t xml:space="preserve"> departments </w:t>
      </w:r>
      <w:r w:rsidR="00CD7A7C" w:rsidRPr="00E40D42">
        <w:t xml:space="preserve">for </w:t>
      </w:r>
      <w:r w:rsidR="00B35E83" w:rsidRPr="00E40D42">
        <w:t xml:space="preserve">implementing the </w:t>
      </w:r>
      <w:hyperlink r:id="rId18" w:history="1">
        <w:r w:rsidR="00B35E83" w:rsidRPr="0096180A">
          <w:rPr>
            <w:rStyle w:val="Hyperlink"/>
            <w:i/>
          </w:rPr>
          <w:t>IM-STD-0</w:t>
        </w:r>
        <w:r w:rsidR="005A5250" w:rsidRPr="0096180A">
          <w:rPr>
            <w:rStyle w:val="Hyperlink"/>
            <w:i/>
          </w:rPr>
          <w:t>4</w:t>
        </w:r>
        <w:r w:rsidR="00B35E83" w:rsidRPr="0096180A">
          <w:rPr>
            <w:rStyle w:val="Hyperlink"/>
            <w:i/>
          </w:rPr>
          <w:t xml:space="preserve"> </w:t>
        </w:r>
        <w:r w:rsidR="005A5250" w:rsidRPr="0096180A">
          <w:rPr>
            <w:rStyle w:val="Hyperlink"/>
            <w:i/>
          </w:rPr>
          <w:t xml:space="preserve">Address </w:t>
        </w:r>
        <w:r w:rsidR="00FE0BC7" w:rsidRPr="0096180A">
          <w:rPr>
            <w:rStyle w:val="Hyperlink"/>
            <w:i/>
          </w:rPr>
          <w:t xml:space="preserve">Data </w:t>
        </w:r>
        <w:r w:rsidR="00B35E83" w:rsidRPr="0096180A">
          <w:rPr>
            <w:rStyle w:val="Hyperlink"/>
            <w:i/>
          </w:rPr>
          <w:t>Standard</w:t>
        </w:r>
      </w:hyperlink>
      <w:r w:rsidR="00B35E83" w:rsidRPr="00E40D42">
        <w:t xml:space="preserve"> </w:t>
      </w:r>
      <w:r w:rsidR="00F3780A" w:rsidRPr="00E40D42">
        <w:t xml:space="preserve">(the </w:t>
      </w:r>
      <w:r w:rsidR="006A01B3">
        <w:t>s</w:t>
      </w:r>
      <w:r w:rsidR="00F3780A" w:rsidRPr="006A01B3">
        <w:t>tandard</w:t>
      </w:r>
      <w:r w:rsidR="00F3780A" w:rsidRPr="00E40D42">
        <w:t>)</w:t>
      </w:r>
      <w:r w:rsidR="00FE0BC7" w:rsidRPr="00E40D42">
        <w:t>.</w:t>
      </w:r>
      <w:r w:rsidR="00246749" w:rsidRPr="00E40D42">
        <w:t xml:space="preserve"> </w:t>
      </w:r>
      <w:r w:rsidRPr="00E40D42">
        <w:t xml:space="preserve">This document is a guide </w:t>
      </w:r>
      <w:r w:rsidR="00A037A5">
        <w:t>only</w:t>
      </w:r>
      <w:r w:rsidRPr="00E40D42">
        <w:t>.</w:t>
      </w:r>
    </w:p>
    <w:p w:rsidR="00E82A7D" w:rsidRPr="00E40D42" w:rsidRDefault="00E82A7D" w:rsidP="00C203F7">
      <w:pPr>
        <w:pStyle w:val="Heading2"/>
      </w:pPr>
      <w:bookmarkStart w:id="6" w:name="_Toc471287383"/>
      <w:bookmarkStart w:id="7" w:name="_Toc482179971"/>
      <w:bookmarkStart w:id="8" w:name="_Toc489885438"/>
      <w:r w:rsidRPr="00E40D42">
        <w:t>Rationale</w:t>
      </w:r>
      <w:bookmarkEnd w:id="6"/>
      <w:bookmarkEnd w:id="7"/>
      <w:bookmarkEnd w:id="8"/>
    </w:p>
    <w:p w:rsidR="00EB5439" w:rsidRPr="00E40D42" w:rsidRDefault="00465510" w:rsidP="00EB5439">
      <w:pPr>
        <w:pStyle w:val="DPCbody"/>
      </w:pPr>
      <w:r>
        <w:t>Consistent and a</w:t>
      </w:r>
      <w:r w:rsidR="00EB5439" w:rsidRPr="00E40D42">
        <w:t xml:space="preserve">ccurate address data is critical to </w:t>
      </w:r>
      <w:r>
        <w:t xml:space="preserve">the </w:t>
      </w:r>
      <w:r w:rsidR="00EB5439" w:rsidRPr="00E40D42">
        <w:t xml:space="preserve">planning, delivery and management of government services, public infrastructure and assets including: </w:t>
      </w:r>
    </w:p>
    <w:p w:rsidR="00EB5439" w:rsidRPr="00E40D42" w:rsidRDefault="00EB5439" w:rsidP="00EB5439">
      <w:pPr>
        <w:pStyle w:val="DPCbody"/>
        <w:numPr>
          <w:ilvl w:val="0"/>
          <w:numId w:val="10"/>
        </w:numPr>
      </w:pPr>
      <w:r w:rsidRPr="00E40D42">
        <w:t>emergency dispatch and disaster response</w:t>
      </w:r>
    </w:p>
    <w:p w:rsidR="00EB5439" w:rsidRPr="00A143B8" w:rsidRDefault="00EB5439" w:rsidP="00EB5439">
      <w:pPr>
        <w:pStyle w:val="DPCbody"/>
        <w:numPr>
          <w:ilvl w:val="0"/>
          <w:numId w:val="10"/>
        </w:numPr>
      </w:pPr>
      <w:r w:rsidRPr="00A143B8">
        <w:t>healthcare and human services</w:t>
      </w:r>
    </w:p>
    <w:p w:rsidR="00A25F00" w:rsidRPr="00A143B8" w:rsidRDefault="00A25F00" w:rsidP="00EB5439">
      <w:pPr>
        <w:pStyle w:val="DPCbody"/>
        <w:numPr>
          <w:ilvl w:val="0"/>
          <w:numId w:val="10"/>
        </w:numPr>
      </w:pPr>
      <w:r w:rsidRPr="00A143B8">
        <w:t>education</w:t>
      </w:r>
    </w:p>
    <w:p w:rsidR="00EB5439" w:rsidRPr="00A143B8" w:rsidRDefault="00EB5439" w:rsidP="00EB5439">
      <w:pPr>
        <w:pStyle w:val="DPCbody"/>
        <w:numPr>
          <w:ilvl w:val="0"/>
          <w:numId w:val="10"/>
        </w:numPr>
      </w:pPr>
      <w:r w:rsidRPr="00A143B8">
        <w:t>law enforcement</w:t>
      </w:r>
    </w:p>
    <w:p w:rsidR="00EB5439" w:rsidRPr="00E40D42" w:rsidRDefault="00EB5439" w:rsidP="00EB5439">
      <w:pPr>
        <w:pStyle w:val="DPCbody"/>
        <w:numPr>
          <w:ilvl w:val="0"/>
          <w:numId w:val="10"/>
        </w:numPr>
      </w:pPr>
      <w:r w:rsidRPr="00E40D42">
        <w:t xml:space="preserve">electoral services </w:t>
      </w:r>
    </w:p>
    <w:p w:rsidR="00EB5439" w:rsidRPr="00E40D42" w:rsidRDefault="00EB5439" w:rsidP="00EB5439">
      <w:pPr>
        <w:pStyle w:val="DPCbody"/>
        <w:numPr>
          <w:ilvl w:val="0"/>
          <w:numId w:val="10"/>
        </w:numPr>
      </w:pPr>
      <w:r w:rsidRPr="00E40D42">
        <w:t>utility and communications services</w:t>
      </w:r>
    </w:p>
    <w:p w:rsidR="00EB5439" w:rsidRPr="00E40D42" w:rsidRDefault="00EB5439" w:rsidP="00EB5439">
      <w:pPr>
        <w:pStyle w:val="DPCbody"/>
        <w:numPr>
          <w:ilvl w:val="0"/>
          <w:numId w:val="10"/>
        </w:numPr>
      </w:pPr>
      <w:r w:rsidRPr="00E40D42">
        <w:t>natural resource management</w:t>
      </w:r>
    </w:p>
    <w:p w:rsidR="00EB5439" w:rsidRPr="00E40D42" w:rsidRDefault="00EB5439" w:rsidP="00EB5439">
      <w:pPr>
        <w:pStyle w:val="DPCbody"/>
        <w:numPr>
          <w:ilvl w:val="0"/>
          <w:numId w:val="10"/>
        </w:numPr>
      </w:pPr>
      <w:r w:rsidRPr="00E40D42">
        <w:t>transport asset management and infrastructure planning</w:t>
      </w:r>
    </w:p>
    <w:p w:rsidR="00EB5439" w:rsidRPr="00E40D42" w:rsidRDefault="00EB5439" w:rsidP="00EB5439">
      <w:pPr>
        <w:pStyle w:val="DPCbody"/>
        <w:numPr>
          <w:ilvl w:val="0"/>
          <w:numId w:val="10"/>
        </w:numPr>
      </w:pPr>
      <w:r w:rsidRPr="00E40D42">
        <w:t>land use planning and development.</w:t>
      </w:r>
    </w:p>
    <w:p w:rsidR="00EB5439" w:rsidRPr="00E40D42" w:rsidRDefault="00EB5439" w:rsidP="00EB5439">
      <w:pPr>
        <w:pStyle w:val="DPCbody"/>
      </w:pPr>
      <w:r w:rsidRPr="00E40D42">
        <w:t xml:space="preserve">To provide effective and joined-up services, government needs to share address data </w:t>
      </w:r>
      <w:r w:rsidR="00293F56">
        <w:t xml:space="preserve">that is accurate and </w:t>
      </w:r>
      <w:r w:rsidR="00465510">
        <w:t xml:space="preserve">in a </w:t>
      </w:r>
      <w:r w:rsidR="00293F56">
        <w:t xml:space="preserve">consistent </w:t>
      </w:r>
      <w:r w:rsidR="00465510">
        <w:t>format to enable seamless sharing</w:t>
      </w:r>
      <w:r w:rsidRPr="00E40D42">
        <w:t>. Conforming to a common interchange format simplifies the task of interfacing between systems, reducing costs and increasing re-usability.</w:t>
      </w:r>
    </w:p>
    <w:p w:rsidR="002F57D2" w:rsidRPr="00E40D42" w:rsidRDefault="00EB5439" w:rsidP="002F57D2">
      <w:pPr>
        <w:pStyle w:val="DPCbody"/>
      </w:pPr>
      <w:r w:rsidRPr="00E40D42">
        <w:t>When releasing public data containing address components, adherence with industry standards simplifies re-use and enables linking and aggregation with other data.</w:t>
      </w:r>
    </w:p>
    <w:p w:rsidR="00494F73" w:rsidRPr="00E40D42" w:rsidRDefault="00494F73" w:rsidP="00C203F7">
      <w:pPr>
        <w:pStyle w:val="Heading2"/>
      </w:pPr>
      <w:bookmarkStart w:id="9" w:name="_Toc482179983"/>
      <w:bookmarkStart w:id="10" w:name="_Toc489885439"/>
      <w:r w:rsidRPr="00E40D42">
        <w:t>Derivation</w:t>
      </w:r>
      <w:bookmarkEnd w:id="9"/>
      <w:r w:rsidRPr="00E40D42">
        <w:t xml:space="preserve">, </w:t>
      </w:r>
      <w:r w:rsidR="00B35E83" w:rsidRPr="00E40D42">
        <w:t>audience</w:t>
      </w:r>
      <w:r w:rsidR="00186942" w:rsidRPr="00E40D42">
        <w:t xml:space="preserve">, </w:t>
      </w:r>
      <w:r w:rsidRPr="00E40D42">
        <w:t>glossary</w:t>
      </w:r>
      <w:r w:rsidR="00186942" w:rsidRPr="00E40D42">
        <w:t xml:space="preserve"> </w:t>
      </w:r>
      <w:r w:rsidR="00C74224" w:rsidRPr="00E40D42">
        <w:t>&amp;</w:t>
      </w:r>
      <w:r w:rsidR="00186942" w:rsidRPr="00E40D42">
        <w:t xml:space="preserve"> </w:t>
      </w:r>
      <w:r w:rsidR="00C74224" w:rsidRPr="00E40D42">
        <w:t>related documents</w:t>
      </w:r>
      <w:bookmarkEnd w:id="10"/>
    </w:p>
    <w:p w:rsidR="00494F73" w:rsidRPr="00E40D42" w:rsidRDefault="00494F73" w:rsidP="002E18D2">
      <w:pPr>
        <w:pStyle w:val="Heading3"/>
      </w:pPr>
      <w:r w:rsidRPr="00E40D42">
        <w:t>Derivation</w:t>
      </w:r>
    </w:p>
    <w:p w:rsidR="00FB6346" w:rsidRPr="00E40D42" w:rsidRDefault="00494F73" w:rsidP="002C07DE">
      <w:pPr>
        <w:pStyle w:val="DPCbody"/>
        <w:rPr>
          <w:i/>
        </w:rPr>
      </w:pPr>
      <w:r w:rsidRPr="00E40D42">
        <w:t xml:space="preserve">This </w:t>
      </w:r>
      <w:r w:rsidR="00FB6346" w:rsidRPr="00E40D42">
        <w:t>guideline</w:t>
      </w:r>
      <w:r w:rsidRPr="00E40D42">
        <w:t xml:space="preserve"> is derived from</w:t>
      </w:r>
      <w:r w:rsidR="002C07DE" w:rsidRPr="00E40D42">
        <w:t xml:space="preserve"> the </w:t>
      </w:r>
      <w:hyperlink r:id="rId19" w:history="1">
        <w:r w:rsidR="00FB6346" w:rsidRPr="008D5B34">
          <w:rPr>
            <w:rStyle w:val="Hyperlink"/>
            <w:i/>
          </w:rPr>
          <w:t>Data Management Position Paper</w:t>
        </w:r>
      </w:hyperlink>
      <w:r w:rsidR="002C07DE" w:rsidRPr="00E40D42">
        <w:rPr>
          <w:i/>
        </w:rPr>
        <w:t>.</w:t>
      </w:r>
    </w:p>
    <w:p w:rsidR="00494F73" w:rsidRPr="00E40D42" w:rsidRDefault="00B35E83" w:rsidP="002E18D2">
      <w:pPr>
        <w:pStyle w:val="Heading3"/>
      </w:pPr>
      <w:r w:rsidRPr="00E40D42">
        <w:t>Audience</w:t>
      </w:r>
    </w:p>
    <w:p w:rsidR="00494F73" w:rsidRPr="00E40D42" w:rsidRDefault="00916EEB" w:rsidP="00494F73">
      <w:pPr>
        <w:pStyle w:val="DPCbody"/>
      </w:pPr>
      <w:r w:rsidRPr="00E40D42">
        <w:t>This</w:t>
      </w:r>
      <w:r w:rsidR="00494F73" w:rsidRPr="00E40D42">
        <w:t xml:space="preserve"> guideline has been developed for Victorian Government departments and Victoria Police</w:t>
      </w:r>
      <w:r w:rsidR="00C74224" w:rsidRPr="00E40D42">
        <w:t xml:space="preserve"> </w:t>
      </w:r>
      <w:r w:rsidR="00DD00C5">
        <w:t>which</w:t>
      </w:r>
      <w:r w:rsidR="00346D61">
        <w:t xml:space="preserve"> are in </w:t>
      </w:r>
      <w:r w:rsidR="00186942" w:rsidRPr="00E40D42">
        <w:t xml:space="preserve">scope for implementation of </w:t>
      </w:r>
      <w:r w:rsidR="00584257" w:rsidRPr="00E40D42">
        <w:t xml:space="preserve">the </w:t>
      </w:r>
      <w:r w:rsidR="00046D9E">
        <w:t>s</w:t>
      </w:r>
      <w:r w:rsidRPr="00E40D42">
        <w:t>tandard</w:t>
      </w:r>
      <w:r w:rsidR="00C74224" w:rsidRPr="00E40D42">
        <w:t xml:space="preserve">, however the content </w:t>
      </w:r>
      <w:r w:rsidR="00494F73" w:rsidRPr="00E40D42">
        <w:t xml:space="preserve">may be of relevance to other agencies. </w:t>
      </w:r>
    </w:p>
    <w:p w:rsidR="00DB26F9" w:rsidRPr="00E40D42" w:rsidRDefault="00DB26F9" w:rsidP="00DB26F9">
      <w:pPr>
        <w:pStyle w:val="DPCbody"/>
      </w:pPr>
      <w:r w:rsidRPr="00E40D42">
        <w:lastRenderedPageBreak/>
        <w:t>This guideline is specifically targeted at officers involved in governing and managing data assets, and managing data systems and associated business processes. This includes:</w:t>
      </w:r>
    </w:p>
    <w:p w:rsidR="00DB26F9" w:rsidRPr="00E40D42" w:rsidRDefault="00DB26F9" w:rsidP="00DB26F9">
      <w:pPr>
        <w:pStyle w:val="ListParagraph"/>
      </w:pPr>
      <w:r w:rsidRPr="00E40D42">
        <w:t>Chief Information Officers (CIO</w:t>
      </w:r>
      <w:r w:rsidR="00CC6175">
        <w:t>s</w:t>
      </w:r>
      <w:r w:rsidRPr="00E40D42">
        <w:t>)</w:t>
      </w:r>
    </w:p>
    <w:p w:rsidR="00DB26F9" w:rsidRPr="00E40D42" w:rsidRDefault="00DB26F9" w:rsidP="00DB26F9">
      <w:pPr>
        <w:pStyle w:val="ListParagraph"/>
      </w:pPr>
      <w:r w:rsidRPr="00E40D42">
        <w:t>senior line-of-business representatives with significant data assets under their management</w:t>
      </w:r>
    </w:p>
    <w:p w:rsidR="00DB26F9" w:rsidRPr="00E40D42" w:rsidRDefault="00DB26F9" w:rsidP="00DB26F9">
      <w:pPr>
        <w:pStyle w:val="ListParagraph"/>
      </w:pPr>
      <w:r w:rsidRPr="00E40D42">
        <w:t>data owners</w:t>
      </w:r>
    </w:p>
    <w:p w:rsidR="00DB26F9" w:rsidRPr="00E40D42" w:rsidRDefault="00DB26F9" w:rsidP="00DB26F9">
      <w:pPr>
        <w:pStyle w:val="ListParagraph"/>
      </w:pPr>
      <w:r w:rsidRPr="00E40D42">
        <w:t>data custodians</w:t>
      </w:r>
    </w:p>
    <w:p w:rsidR="00DB26F9" w:rsidRPr="00E40D42" w:rsidRDefault="00DB26F9" w:rsidP="00DB26F9">
      <w:pPr>
        <w:pStyle w:val="ListParagraph"/>
      </w:pPr>
      <w:bookmarkStart w:id="11" w:name="_GoBack"/>
      <w:r w:rsidRPr="00E40D42">
        <w:t>enterprise</w:t>
      </w:r>
      <w:bookmarkEnd w:id="11"/>
      <w:r w:rsidR="007C0048">
        <w:t>, solution</w:t>
      </w:r>
      <w:r w:rsidRPr="00E40D42">
        <w:t xml:space="preserve"> and data architects</w:t>
      </w:r>
    </w:p>
    <w:p w:rsidR="00DB26F9" w:rsidRPr="00E40D42" w:rsidRDefault="00DB26F9" w:rsidP="00DB26F9">
      <w:pPr>
        <w:pStyle w:val="ListParagraph"/>
      </w:pPr>
      <w:r w:rsidRPr="00E40D42">
        <w:t>data governance and data quality managers</w:t>
      </w:r>
    </w:p>
    <w:p w:rsidR="00DB26F9" w:rsidRPr="00E40D42" w:rsidRDefault="00DB26F9" w:rsidP="00DB26F9">
      <w:pPr>
        <w:pStyle w:val="ListParagraph"/>
      </w:pPr>
      <w:r w:rsidRPr="00E40D42">
        <w:t>data analysts</w:t>
      </w:r>
    </w:p>
    <w:p w:rsidR="00DB26F9" w:rsidRPr="00E40D42" w:rsidRDefault="00DB26F9" w:rsidP="00494F73">
      <w:pPr>
        <w:pStyle w:val="ListParagraph"/>
      </w:pPr>
      <w:r w:rsidRPr="00E40D42">
        <w:t>application, database and system administrators.</w:t>
      </w:r>
    </w:p>
    <w:p w:rsidR="00494F73" w:rsidRPr="008B706D" w:rsidRDefault="00494F73" w:rsidP="002E18D2">
      <w:pPr>
        <w:pStyle w:val="Heading3"/>
      </w:pPr>
      <w:bookmarkStart w:id="12" w:name="_Toc482179985"/>
      <w:r w:rsidRPr="008B706D">
        <w:t>Glossary</w:t>
      </w:r>
      <w:bookmarkEnd w:id="12"/>
    </w:p>
    <w:p w:rsidR="00494F73" w:rsidRDefault="00494F73" w:rsidP="00494F73">
      <w:pPr>
        <w:pStyle w:val="DPCbody"/>
        <w:rPr>
          <w:rStyle w:val="Hyperlink"/>
        </w:rPr>
      </w:pPr>
      <w:r w:rsidRPr="00DE1DA1">
        <w:t>The glossary of terms and abbreviations used in this document are defined in the</w:t>
      </w:r>
      <w:r w:rsidRPr="008B706D">
        <w:t xml:space="preserve"> </w:t>
      </w:r>
      <w:hyperlink r:id="rId20" w:history="1">
        <w:r w:rsidRPr="003819A7">
          <w:rPr>
            <w:rStyle w:val="Hyperlink"/>
            <w:i/>
          </w:rPr>
          <w:t>IM GUIDE 03 Information Management Glossary</w:t>
        </w:r>
      </w:hyperlink>
      <w:r w:rsidRPr="007569DB">
        <w:rPr>
          <w:rStyle w:val="Hyperlink"/>
        </w:rPr>
        <w:t>.</w:t>
      </w:r>
    </w:p>
    <w:p w:rsidR="00494F73" w:rsidRDefault="00494F73" w:rsidP="002E18D2">
      <w:pPr>
        <w:pStyle w:val="Heading3"/>
      </w:pPr>
      <w:r>
        <w:t>Related documents, tools and references</w:t>
      </w:r>
    </w:p>
    <w:p w:rsidR="00577E9E" w:rsidRPr="00B042D9" w:rsidRDefault="000704FD" w:rsidP="00CC1877">
      <w:pPr>
        <w:pStyle w:val="DPCbody"/>
        <w:numPr>
          <w:ilvl w:val="0"/>
          <w:numId w:val="4"/>
        </w:numPr>
        <w:rPr>
          <w:i/>
        </w:rPr>
      </w:pPr>
      <w:hyperlink r:id="rId21" w:history="1">
        <w:r w:rsidR="00AB71F6">
          <w:rPr>
            <w:rStyle w:val="Hyperlink"/>
            <w:i/>
          </w:rPr>
          <w:t>IM-</w:t>
        </w:r>
        <w:r w:rsidR="00577E9E" w:rsidRPr="00B042D9">
          <w:rPr>
            <w:rStyle w:val="Hyperlink"/>
            <w:i/>
          </w:rPr>
          <w:t>FMW</w:t>
        </w:r>
        <w:r w:rsidR="00AB71F6">
          <w:rPr>
            <w:rStyle w:val="Hyperlink"/>
            <w:i/>
          </w:rPr>
          <w:t>-</w:t>
        </w:r>
        <w:r w:rsidR="00577E9E" w:rsidRPr="00B042D9">
          <w:rPr>
            <w:rStyle w:val="Hyperlink"/>
            <w:i/>
          </w:rPr>
          <w:t>01 Information Management Framework</w:t>
        </w:r>
      </w:hyperlink>
    </w:p>
    <w:bookmarkStart w:id="13" w:name="_Toc482179972"/>
    <w:p w:rsidR="00584B52" w:rsidRDefault="006A01B3" w:rsidP="00E11975">
      <w:pPr>
        <w:pStyle w:val="DPCbody"/>
        <w:numPr>
          <w:ilvl w:val="0"/>
          <w:numId w:val="4"/>
        </w:numPr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HYPERLINK "http://www.enterprisesolutions.vic.gov.au/information-management/" </w:instrText>
      </w:r>
      <w:r>
        <w:rPr>
          <w:i/>
        </w:rPr>
        <w:fldChar w:fldCharType="separate"/>
      </w:r>
      <w:r w:rsidR="00AB71F6" w:rsidRPr="006A01B3">
        <w:rPr>
          <w:rStyle w:val="Hyperlink"/>
          <w:i/>
        </w:rPr>
        <w:t>IM-STD-</w:t>
      </w:r>
      <w:r w:rsidR="00E11975" w:rsidRPr="006A01B3">
        <w:rPr>
          <w:rStyle w:val="Hyperlink"/>
          <w:i/>
        </w:rPr>
        <w:t>04 Address D</w:t>
      </w:r>
      <w:r w:rsidR="00E55643" w:rsidRPr="006A01B3">
        <w:rPr>
          <w:rStyle w:val="Hyperlink"/>
          <w:i/>
        </w:rPr>
        <w:t>ata Standard</w:t>
      </w:r>
      <w:r>
        <w:rPr>
          <w:i/>
        </w:rPr>
        <w:fldChar w:fldCharType="end"/>
      </w:r>
    </w:p>
    <w:p w:rsidR="00E40D42" w:rsidRDefault="000704FD" w:rsidP="00E11975">
      <w:pPr>
        <w:pStyle w:val="DPCbody"/>
        <w:numPr>
          <w:ilvl w:val="0"/>
          <w:numId w:val="4"/>
        </w:numPr>
        <w:rPr>
          <w:i/>
        </w:rPr>
      </w:pPr>
      <w:hyperlink r:id="rId22" w:history="1">
        <w:r w:rsidR="00584B52" w:rsidRPr="00584B52">
          <w:rPr>
            <w:rStyle w:val="Hyperlink"/>
            <w:i/>
          </w:rPr>
          <w:t>GovShare AS4590 Technical Implementation Guidelines</w:t>
        </w:r>
      </w:hyperlink>
    </w:p>
    <w:p w:rsidR="00E11975" w:rsidRPr="00E11975" w:rsidRDefault="000704FD" w:rsidP="00E11975">
      <w:pPr>
        <w:pStyle w:val="DPCbody"/>
        <w:numPr>
          <w:ilvl w:val="0"/>
          <w:numId w:val="4"/>
        </w:numPr>
        <w:rPr>
          <w:i/>
        </w:rPr>
      </w:pPr>
      <w:hyperlink r:id="rId23" w:history="1">
        <w:r w:rsidR="00E40D42" w:rsidRPr="00E40D42">
          <w:rPr>
            <w:rStyle w:val="Hyperlink"/>
            <w:i/>
          </w:rPr>
          <w:t>DHHS Address reference data dictionary</w:t>
        </w:r>
      </w:hyperlink>
      <w:r w:rsidR="002F57D2">
        <w:rPr>
          <w:i/>
        </w:rPr>
        <w:br/>
      </w:r>
    </w:p>
    <w:p w:rsidR="00253938" w:rsidRDefault="00A76C56" w:rsidP="00662AD2">
      <w:pPr>
        <w:pStyle w:val="Heading1"/>
        <w:spacing w:after="240"/>
      </w:pPr>
      <w:r>
        <w:br w:type="page"/>
      </w:r>
      <w:bookmarkEnd w:id="13"/>
    </w:p>
    <w:p w:rsidR="00590462" w:rsidRDefault="00590462" w:rsidP="00590462">
      <w:pPr>
        <w:pStyle w:val="Heading1"/>
      </w:pPr>
      <w:bookmarkStart w:id="14" w:name="_Toc489885440"/>
      <w:bookmarkStart w:id="15" w:name="_Toc470101813"/>
      <w:bookmarkStart w:id="16" w:name="_Toc482179986"/>
      <w:r>
        <w:lastRenderedPageBreak/>
        <w:t>Guidelines</w:t>
      </w:r>
      <w:bookmarkEnd w:id="14"/>
    </w:p>
    <w:p w:rsidR="00CD19AD" w:rsidRPr="00CD19AD" w:rsidRDefault="006D6C07" w:rsidP="00662AD2">
      <w:pPr>
        <w:pStyle w:val="Heading2"/>
        <w:spacing w:before="240"/>
      </w:pPr>
      <w:bookmarkStart w:id="17" w:name="_Toc489885441"/>
      <w:r>
        <w:t>W</w:t>
      </w:r>
      <w:r w:rsidR="00A23123">
        <w:t>hen to apply</w:t>
      </w:r>
      <w:bookmarkEnd w:id="17"/>
    </w:p>
    <w:p w:rsidR="00CD19AD" w:rsidRDefault="00CD19AD" w:rsidP="002E18D2">
      <w:pPr>
        <w:pStyle w:val="Heading3"/>
      </w:pPr>
      <w:r>
        <w:t>New systems and datasets</w:t>
      </w:r>
    </w:p>
    <w:p w:rsidR="0083557E" w:rsidRDefault="0083557E" w:rsidP="0083557E">
      <w:pPr>
        <w:pStyle w:val="DPCbody"/>
      </w:pPr>
      <w:r>
        <w:t>The requirements of the standard should be fully met when implementing a new system (e.g. an application o</w:t>
      </w:r>
      <w:r w:rsidR="008246AF">
        <w:t xml:space="preserve">r electronic form) or dataset (e.g. </w:t>
      </w:r>
      <w:r>
        <w:t xml:space="preserve">a collection for reuse, sharing or release). </w:t>
      </w:r>
    </w:p>
    <w:p w:rsidR="000909AC" w:rsidRDefault="0083557E" w:rsidP="0083557E">
      <w:pPr>
        <w:pStyle w:val="DPCbody"/>
      </w:pPr>
      <w:r>
        <w:t xml:space="preserve">Where the new system is a commercial product, the requirement to comply with the standard should be stipulated during the </w:t>
      </w:r>
      <w:r w:rsidR="00883CE9">
        <w:t xml:space="preserve">procurement </w:t>
      </w:r>
      <w:r>
        <w:t xml:space="preserve">processes. </w:t>
      </w:r>
    </w:p>
    <w:p w:rsidR="00F90F3F" w:rsidRPr="006D25DA" w:rsidRDefault="00F90F3F" w:rsidP="0083557E">
      <w:pPr>
        <w:pStyle w:val="DPCbody"/>
      </w:pPr>
      <w:r>
        <w:t>If the product selected does not comply with</w:t>
      </w:r>
      <w:r w:rsidR="00FF48BC">
        <w:t xml:space="preserve"> the standard, additional costs </w:t>
      </w:r>
      <w:r>
        <w:t>may be incurred</w:t>
      </w:r>
      <w:r w:rsidR="00FF48BC">
        <w:t xml:space="preserve"> </w:t>
      </w:r>
      <w:r>
        <w:t>when trying to integrate with other systems or shar</w:t>
      </w:r>
      <w:r w:rsidR="007D4C97">
        <w:t>e</w:t>
      </w:r>
      <w:r>
        <w:t xml:space="preserve"> address data across government.</w:t>
      </w:r>
      <w:r w:rsidR="00FF48BC">
        <w:t xml:space="preserve"> If addresses are not validated </w:t>
      </w:r>
      <w:r w:rsidR="00D76F54">
        <w:t xml:space="preserve">on entry, </w:t>
      </w:r>
      <w:r w:rsidR="008C2B6C">
        <w:t xml:space="preserve">the resultant </w:t>
      </w:r>
      <w:r w:rsidR="005131F0">
        <w:t xml:space="preserve">poor </w:t>
      </w:r>
      <w:r w:rsidR="00FF48BC">
        <w:t xml:space="preserve">data quality </w:t>
      </w:r>
      <w:r w:rsidR="008C2B6C">
        <w:t>can</w:t>
      </w:r>
      <w:r w:rsidR="005131F0">
        <w:t xml:space="preserve"> impact on business processes and </w:t>
      </w:r>
      <w:r w:rsidR="005131F0" w:rsidRPr="006D25DA">
        <w:t>service delivery.</w:t>
      </w:r>
    </w:p>
    <w:p w:rsidR="006D25DA" w:rsidRPr="006D25DA" w:rsidRDefault="00F90F3F" w:rsidP="0083557E">
      <w:pPr>
        <w:pStyle w:val="DPCbody"/>
      </w:pPr>
      <w:r w:rsidRPr="006D25DA">
        <w:t xml:space="preserve">The government has taken a position that </w:t>
      </w:r>
      <w:r w:rsidR="00CC5E3A" w:rsidRPr="006D25DA">
        <w:t xml:space="preserve">development of </w:t>
      </w:r>
      <w:r w:rsidRPr="006D25DA">
        <w:t xml:space="preserve">custom systems </w:t>
      </w:r>
      <w:r w:rsidR="00CC5E3A" w:rsidRPr="006D25DA">
        <w:t xml:space="preserve">is </w:t>
      </w:r>
      <w:r w:rsidR="00C87453" w:rsidRPr="006D25DA">
        <w:t>a</w:t>
      </w:r>
      <w:r w:rsidR="00CC5E3A" w:rsidRPr="006D25DA">
        <w:t xml:space="preserve"> last resort</w:t>
      </w:r>
      <w:r w:rsidR="0083557E" w:rsidRPr="006D25DA">
        <w:rPr>
          <w:rStyle w:val="FootnoteReference"/>
        </w:rPr>
        <w:footnoteReference w:id="2"/>
      </w:r>
      <w:r w:rsidR="0083557E" w:rsidRPr="006D25DA">
        <w:t xml:space="preserve">. Should this approach be taken, the system should be fully compliant with the standard. </w:t>
      </w:r>
    </w:p>
    <w:p w:rsidR="00B45981" w:rsidRPr="00F238D7" w:rsidRDefault="00B45981" w:rsidP="008B1A3C">
      <w:pPr>
        <w:pStyle w:val="DPCbody"/>
      </w:pPr>
      <w:r w:rsidRPr="00F238D7">
        <w:t>When the implementation of a new system or dataset involves the migration of historical address data</w:t>
      </w:r>
      <w:r w:rsidR="002C6F2D" w:rsidRPr="00F238D7">
        <w:t xml:space="preserve">, </w:t>
      </w:r>
      <w:r w:rsidR="00A06721" w:rsidRPr="00F238D7">
        <w:t xml:space="preserve">appropriate data quality activities such as profiling and cleansing should be undertaken (see </w:t>
      </w:r>
      <w:r w:rsidR="00A06721" w:rsidRPr="00F238D7">
        <w:fldChar w:fldCharType="begin"/>
      </w:r>
      <w:r w:rsidR="00A06721" w:rsidRPr="00F238D7">
        <w:instrText xml:space="preserve"> REF _Ref485647022 \h </w:instrText>
      </w:r>
      <w:r w:rsidR="00334246" w:rsidRPr="00F238D7">
        <w:instrText xml:space="preserve"> \* MERGEFORMAT </w:instrText>
      </w:r>
      <w:r w:rsidR="00A06721" w:rsidRPr="00F238D7">
        <w:fldChar w:fldCharType="separate"/>
      </w:r>
      <w:r w:rsidR="00A06721" w:rsidRPr="00F238D7">
        <w:t>Batch validation</w:t>
      </w:r>
      <w:r w:rsidR="00A06721" w:rsidRPr="00F238D7">
        <w:fldChar w:fldCharType="end"/>
      </w:r>
      <w:r w:rsidR="00A06721" w:rsidRPr="00F238D7">
        <w:t xml:space="preserve"> below). </w:t>
      </w:r>
    </w:p>
    <w:p w:rsidR="00467E48" w:rsidRPr="00F238D7" w:rsidRDefault="00467E48" w:rsidP="002E18D2">
      <w:pPr>
        <w:pStyle w:val="Heading3"/>
      </w:pPr>
      <w:r w:rsidRPr="00F238D7">
        <w:t>Existing systems and datasets</w:t>
      </w:r>
    </w:p>
    <w:p w:rsidR="00467E48" w:rsidRPr="00F238D7" w:rsidRDefault="00134665" w:rsidP="00467E48">
      <w:pPr>
        <w:pStyle w:val="DPCbody"/>
      </w:pPr>
      <w:r w:rsidRPr="00F238D7">
        <w:t>The application of the standard to existing systems and datasets is highly desirable</w:t>
      </w:r>
      <w:r w:rsidR="00330EAB" w:rsidRPr="00F238D7">
        <w:t xml:space="preserve">, however </w:t>
      </w:r>
      <w:r w:rsidR="007636E1" w:rsidRPr="00F238D7">
        <w:t>this may not always be possible or feasible.</w:t>
      </w:r>
      <w:r w:rsidR="006860FA" w:rsidRPr="00F238D7">
        <w:t xml:space="preserve"> For example, s</w:t>
      </w:r>
      <w:r w:rsidR="00401AF2" w:rsidRPr="00F238D7">
        <w:t xml:space="preserve">ome legacy systems may be </w:t>
      </w:r>
      <w:r w:rsidR="00E97E25" w:rsidRPr="00F238D7">
        <w:t>difficult to modify</w:t>
      </w:r>
      <w:r w:rsidR="00401AF2" w:rsidRPr="00F238D7">
        <w:t>, or may be approaching end-of-life and due for replacement</w:t>
      </w:r>
      <w:r w:rsidR="00C30623" w:rsidRPr="00F238D7">
        <w:t xml:space="preserve">. </w:t>
      </w:r>
    </w:p>
    <w:p w:rsidR="003753F3" w:rsidRPr="00F238D7" w:rsidRDefault="004834D5" w:rsidP="005E2965">
      <w:pPr>
        <w:pStyle w:val="DPCbody"/>
      </w:pPr>
      <w:r w:rsidRPr="00F238D7">
        <w:t xml:space="preserve">Departments should consider a range of factors when deciding whether to </w:t>
      </w:r>
      <w:r w:rsidR="00E157FB" w:rsidRPr="00F238D7">
        <w:t>implement aspects of the standard</w:t>
      </w:r>
      <w:r w:rsidR="00BA0C79" w:rsidRPr="00F238D7">
        <w:t xml:space="preserve"> i</w:t>
      </w:r>
      <w:r w:rsidR="00435E7A" w:rsidRPr="00F238D7">
        <w:t>n existing systems and datasets</w:t>
      </w:r>
      <w:r w:rsidR="00CC6175">
        <w:t>,</w:t>
      </w:r>
      <w:r w:rsidR="00E157FB" w:rsidRPr="00F238D7">
        <w:t xml:space="preserve"> including</w:t>
      </w:r>
      <w:r w:rsidR="005E2965" w:rsidRPr="00F238D7">
        <w:t xml:space="preserve"> </w:t>
      </w:r>
      <w:r w:rsidR="00327DE8" w:rsidRPr="00F238D7">
        <w:t xml:space="preserve">alignment with enterprise </w:t>
      </w:r>
      <w:r w:rsidR="00467DAE" w:rsidRPr="00F238D7">
        <w:t xml:space="preserve">architecture and enterprise </w:t>
      </w:r>
      <w:r w:rsidR="00327DE8" w:rsidRPr="00F238D7">
        <w:t xml:space="preserve">data management initiatives, </w:t>
      </w:r>
      <w:r w:rsidR="00BA14D3" w:rsidRPr="00F238D7">
        <w:t xml:space="preserve">business drivers, </w:t>
      </w:r>
      <w:r w:rsidR="00327DE8" w:rsidRPr="00F238D7">
        <w:t>a</w:t>
      </w:r>
      <w:r w:rsidR="00BA14D3" w:rsidRPr="00F238D7">
        <w:t xml:space="preserve">nd </w:t>
      </w:r>
      <w:r w:rsidR="00FB7B2F" w:rsidRPr="00F238D7">
        <w:t xml:space="preserve">return on investment. </w:t>
      </w:r>
    </w:p>
    <w:p w:rsidR="008B1A3C" w:rsidRDefault="00F12AAD" w:rsidP="00467E48">
      <w:pPr>
        <w:pStyle w:val="DPCbody"/>
      </w:pPr>
      <w:r w:rsidRPr="00F238D7">
        <w:t xml:space="preserve">Where </w:t>
      </w:r>
      <w:r w:rsidR="003C655C" w:rsidRPr="00F238D7">
        <w:t xml:space="preserve">it is determined </w:t>
      </w:r>
      <w:r w:rsidRPr="00F238D7">
        <w:t>changes will not be made, p</w:t>
      </w:r>
      <w:r w:rsidR="009B0F17" w:rsidRPr="00F238D7">
        <w:t>eriodic profiling, analysis and cleansing (</w:t>
      </w:r>
      <w:r w:rsidR="00BC076F" w:rsidRPr="00F238D7">
        <w:t xml:space="preserve">e.g. </w:t>
      </w:r>
      <w:r w:rsidR="009B0F17" w:rsidRPr="00F238D7">
        <w:t xml:space="preserve">batch validation) </w:t>
      </w:r>
      <w:r w:rsidR="00A61C66" w:rsidRPr="00F238D7">
        <w:t>of address data s</w:t>
      </w:r>
      <w:r w:rsidRPr="00F238D7">
        <w:t xml:space="preserve">hould be considered, along with other data quality improvement measures </w:t>
      </w:r>
      <w:r w:rsidR="00590462" w:rsidRPr="00F238D7">
        <w:t>such as</w:t>
      </w:r>
      <w:r w:rsidR="004C15C8" w:rsidRPr="00F238D7">
        <w:t xml:space="preserve"> changes to </w:t>
      </w:r>
      <w:r w:rsidRPr="00F238D7">
        <w:t>business process</w:t>
      </w:r>
      <w:r w:rsidR="004C15C8" w:rsidRPr="00F238D7">
        <w:t>es</w:t>
      </w:r>
      <w:r w:rsidR="00590462" w:rsidRPr="00F238D7">
        <w:t xml:space="preserve">. </w:t>
      </w:r>
      <w:r w:rsidR="00CC6175">
        <w:t>T</w:t>
      </w:r>
      <w:r w:rsidR="00FC7CBD" w:rsidRPr="00F238D7">
        <w:t>hese a</w:t>
      </w:r>
      <w:r w:rsidR="00590462" w:rsidRPr="00F238D7">
        <w:t xml:space="preserve">ctivities </w:t>
      </w:r>
      <w:r w:rsidR="00FC7CBD" w:rsidRPr="00F238D7">
        <w:t xml:space="preserve">will </w:t>
      </w:r>
      <w:r w:rsidR="00E56153">
        <w:t xml:space="preserve">both </w:t>
      </w:r>
      <w:r w:rsidR="00716D97" w:rsidRPr="00F238D7">
        <w:t xml:space="preserve">benefit the business </w:t>
      </w:r>
      <w:r w:rsidR="00810A6B" w:rsidRPr="00F238D7">
        <w:t>in the present</w:t>
      </w:r>
      <w:r w:rsidR="00E56153">
        <w:t>,</w:t>
      </w:r>
      <w:r w:rsidR="00CC6175">
        <w:t xml:space="preserve"> and </w:t>
      </w:r>
      <w:r w:rsidR="00FC7CBD" w:rsidRPr="00F238D7">
        <w:t>assist</w:t>
      </w:r>
      <w:r w:rsidR="00CC6175">
        <w:t xml:space="preserve"> with </w:t>
      </w:r>
      <w:r w:rsidR="00097CFB" w:rsidRPr="00F238D7">
        <w:t>futur</w:t>
      </w:r>
      <w:r w:rsidR="00662AD2" w:rsidRPr="00F238D7">
        <w:t>e data migration and compliance with the standard.</w:t>
      </w:r>
    </w:p>
    <w:p w:rsidR="00CC6175" w:rsidRDefault="00CC6175">
      <w:pPr>
        <w:spacing w:before="0" w:after="0" w:line="240" w:lineRule="auto"/>
        <w:rPr>
          <w:rFonts w:asciiTheme="majorHAnsi" w:eastAsia="MS Gothic" w:hAnsiTheme="majorHAnsi"/>
          <w:bCs/>
          <w:iCs/>
          <w:color w:val="009CA6" w:themeColor="accent5"/>
          <w:sz w:val="36"/>
          <w:szCs w:val="36"/>
          <w:lang w:val="en-AU"/>
        </w:rPr>
      </w:pPr>
      <w:r>
        <w:br w:type="page"/>
      </w:r>
    </w:p>
    <w:p w:rsidR="002F57D2" w:rsidRPr="00A776F5" w:rsidRDefault="00D60F98" w:rsidP="002F57D2">
      <w:pPr>
        <w:pStyle w:val="Heading2"/>
      </w:pPr>
      <w:bookmarkStart w:id="18" w:name="_Toc489885442"/>
      <w:r>
        <w:t xml:space="preserve">Types </w:t>
      </w:r>
      <w:r w:rsidR="00DB78EC">
        <w:t xml:space="preserve">of </w:t>
      </w:r>
      <w:r w:rsidR="00A36FAE">
        <w:t>address</w:t>
      </w:r>
      <w:bookmarkEnd w:id="18"/>
    </w:p>
    <w:p w:rsidR="002F57D2" w:rsidRPr="00A776F5" w:rsidRDefault="002F57D2" w:rsidP="002F57D2">
      <w:pPr>
        <w:pStyle w:val="DPCbody"/>
      </w:pPr>
      <w:r w:rsidRPr="00A776F5">
        <w:t>This standard prescribes the approved authoritative sources for both physical</w:t>
      </w:r>
      <w:r w:rsidR="00A36FAE">
        <w:t xml:space="preserve"> </w:t>
      </w:r>
      <w:r w:rsidR="00CC6175">
        <w:t>or</w:t>
      </w:r>
      <w:r w:rsidR="00A36FAE">
        <w:t xml:space="preserve"> </w:t>
      </w:r>
      <w:r w:rsidRPr="00A776F5">
        <w:t xml:space="preserve">street addresses </w:t>
      </w:r>
      <w:r w:rsidR="00C844CB" w:rsidRPr="009F0D32">
        <w:t xml:space="preserve">(e.g. place of residence, business, asset or incident) </w:t>
      </w:r>
      <w:r w:rsidRPr="00A776F5">
        <w:t>and postal addresses</w:t>
      </w:r>
      <w:r w:rsidR="00C844CB">
        <w:t xml:space="preserve"> </w:t>
      </w:r>
      <w:r w:rsidR="00C844CB" w:rsidRPr="009F0D32">
        <w:t>(</w:t>
      </w:r>
      <w:r w:rsidR="000E0E00">
        <w:t xml:space="preserve">i.e. </w:t>
      </w:r>
      <w:r w:rsidR="00C844CB" w:rsidRPr="009F0D32">
        <w:t>mailing or correspondence)</w:t>
      </w:r>
      <w:r w:rsidRPr="00A776F5">
        <w:t xml:space="preserve">. </w:t>
      </w:r>
      <w:r w:rsidR="005E15FD">
        <w:t>S</w:t>
      </w:r>
      <w:r w:rsidR="00C844CB">
        <w:t xml:space="preserve">treet and postal address </w:t>
      </w:r>
      <w:r w:rsidR="005E15FD">
        <w:t>can differ</w:t>
      </w:r>
      <w:r w:rsidRPr="00A776F5">
        <w:t xml:space="preserve">. </w:t>
      </w:r>
    </w:p>
    <w:p w:rsidR="00592AC1" w:rsidRPr="00A776F5" w:rsidRDefault="00835876" w:rsidP="002F57D2">
      <w:pPr>
        <w:pStyle w:val="DPCbody"/>
      </w:pPr>
      <w:r>
        <w:t>D</w:t>
      </w:r>
      <w:r w:rsidR="005E15FD" w:rsidRPr="00A776F5">
        <w:t xml:space="preserve">epartments may benefit from capturing both types of address </w:t>
      </w:r>
      <w:r w:rsidR="005E15FD">
        <w:t>d</w:t>
      </w:r>
      <w:r w:rsidR="002F57D2" w:rsidRPr="00A776F5">
        <w:t>epending on the information requirements of the primary business process or transaction, and foreseeable secondary uses of the data such as reporting, analytics or insight. For exampl</w:t>
      </w:r>
      <w:r w:rsidR="00970D5E">
        <w:t xml:space="preserve">e, accurate geospatial analysis or modelling </w:t>
      </w:r>
      <w:r w:rsidR="002F57D2" w:rsidRPr="00A776F5">
        <w:t xml:space="preserve">of the location of clients, services or incidents requires physical address to have been recorded, rather than only postal address. </w:t>
      </w:r>
    </w:p>
    <w:p w:rsidR="002F57D2" w:rsidRDefault="002F57D2" w:rsidP="002F57D2">
      <w:pPr>
        <w:pStyle w:val="Heading2"/>
      </w:pPr>
      <w:bookmarkStart w:id="19" w:name="_Toc489885443"/>
      <w:r w:rsidRPr="00A776F5">
        <w:t>Authoritative sources</w:t>
      </w:r>
      <w:bookmarkEnd w:id="19"/>
    </w:p>
    <w:p w:rsidR="0023046E" w:rsidRPr="0023046E" w:rsidRDefault="0023046E" w:rsidP="0023046E">
      <w:pPr>
        <w:pStyle w:val="DPCbody"/>
      </w:pPr>
      <w:r w:rsidRPr="0023046E">
        <w:t xml:space="preserve">An authoritative source is an entity recognised by a legal authority (or similar) to develop or manage data for a specific business purpose or domain. </w:t>
      </w:r>
    </w:p>
    <w:p w:rsidR="00242D17" w:rsidRPr="0023046E" w:rsidRDefault="0090480F" w:rsidP="00242D17">
      <w:pPr>
        <w:pStyle w:val="DPCbody"/>
      </w:pPr>
      <w:r w:rsidRPr="0023046E">
        <w:t xml:space="preserve">Reference data are sets of valid, permissible values </w:t>
      </w:r>
      <w:r w:rsidR="006C2B9B" w:rsidRPr="0023046E">
        <w:t xml:space="preserve">to be used </w:t>
      </w:r>
      <w:r w:rsidR="007D3611" w:rsidRPr="0023046E">
        <w:t xml:space="preserve">in a given field or domain. </w:t>
      </w:r>
      <w:r w:rsidR="001D4AFF">
        <w:t>‘</w:t>
      </w:r>
      <w:r w:rsidR="008435D6" w:rsidRPr="0023046E">
        <w:t>Address reference data</w:t>
      </w:r>
      <w:r w:rsidR="001D4AFF">
        <w:t>’</w:t>
      </w:r>
      <w:r w:rsidR="008435D6" w:rsidRPr="0023046E">
        <w:t xml:space="preserve"> refers to </w:t>
      </w:r>
      <w:r w:rsidR="00AC2101" w:rsidRPr="0023046E">
        <w:t xml:space="preserve">sets of </w:t>
      </w:r>
      <w:r w:rsidR="00E42325" w:rsidRPr="0023046E">
        <w:t xml:space="preserve">addresses </w:t>
      </w:r>
      <w:r w:rsidR="005256D8" w:rsidRPr="0023046E">
        <w:t xml:space="preserve">that are </w:t>
      </w:r>
      <w:r w:rsidR="00814043">
        <w:t xml:space="preserve">complete, </w:t>
      </w:r>
      <w:r w:rsidR="005256D8" w:rsidRPr="0023046E">
        <w:t>valid</w:t>
      </w:r>
      <w:r w:rsidR="00B34245" w:rsidRPr="0023046E">
        <w:t xml:space="preserve"> and fit for purpose</w:t>
      </w:r>
      <w:r w:rsidR="00404F46">
        <w:t>.</w:t>
      </w:r>
      <w:r w:rsidR="009877A8" w:rsidRPr="0023046E">
        <w:t xml:space="preserve"> </w:t>
      </w:r>
    </w:p>
    <w:p w:rsidR="00242D17" w:rsidRPr="00242D17" w:rsidRDefault="00242D17" w:rsidP="002E18D2">
      <w:pPr>
        <w:pStyle w:val="Heading3"/>
      </w:pPr>
      <w:r w:rsidRPr="00AE3F1D">
        <w:t>Physical</w:t>
      </w:r>
      <w:r>
        <w:t xml:space="preserve"> </w:t>
      </w:r>
      <w:r w:rsidRPr="00AE3F1D">
        <w:t>/</w:t>
      </w:r>
      <w:r>
        <w:t xml:space="preserve"> </w:t>
      </w:r>
      <w:r w:rsidRPr="00AE3F1D">
        <w:t>street addresses</w:t>
      </w:r>
    </w:p>
    <w:p w:rsidR="00F87879" w:rsidRPr="0074480F" w:rsidRDefault="00F87879" w:rsidP="00F87879">
      <w:pPr>
        <w:pStyle w:val="Quote"/>
        <w:spacing w:before="120"/>
      </w:pPr>
      <w:r>
        <w:t>1.</w:t>
      </w:r>
      <w:r>
        <w:tab/>
      </w:r>
      <w:r w:rsidR="00060198">
        <w:t>For physical</w:t>
      </w:r>
      <w:r w:rsidR="00A36FAE">
        <w:t xml:space="preserve"> </w:t>
      </w:r>
      <w:r w:rsidR="00AF559E">
        <w:t xml:space="preserve">or </w:t>
      </w:r>
      <w:r w:rsidR="00060198">
        <w:t>street addresses (e.g. place of residence, business, asset or incident) use:</w:t>
      </w:r>
      <w:r>
        <w:t xml:space="preserve"> </w:t>
      </w:r>
      <w:r>
        <w:br/>
        <w:t>a.</w:t>
      </w:r>
      <w:r>
        <w:tab/>
      </w:r>
      <w:r w:rsidR="00060198" w:rsidRPr="00060198">
        <w:t>Geocoded National Address File</w:t>
      </w:r>
      <w:r w:rsidR="00AF559E">
        <w:rPr>
          <w:rStyle w:val="FootnoteReference"/>
        </w:rPr>
        <w:footnoteReference w:id="3"/>
      </w:r>
      <w:r w:rsidR="00060198">
        <w:t xml:space="preserve"> </w:t>
      </w:r>
      <w:r w:rsidR="00060198" w:rsidRPr="00060198">
        <w:t>(G-NAF), or</w:t>
      </w:r>
      <w:r>
        <w:br/>
        <w:t>b.</w:t>
      </w:r>
      <w:r>
        <w:tab/>
      </w:r>
      <w:r w:rsidR="00060198">
        <w:t>Vicmap Address</w:t>
      </w:r>
      <w:r w:rsidR="00655143" w:rsidRPr="00C840DA">
        <w:rPr>
          <w:rStyle w:val="FootnoteReference"/>
        </w:rPr>
        <w:footnoteReference w:id="4"/>
      </w:r>
      <w:r w:rsidR="00060198">
        <w:t>.</w:t>
      </w:r>
    </w:p>
    <w:p w:rsidR="002F57D2" w:rsidRPr="00C840DA" w:rsidRDefault="002F57D2" w:rsidP="002F57D2">
      <w:pPr>
        <w:pStyle w:val="Heading4"/>
      </w:pPr>
      <w:r w:rsidRPr="00C840DA">
        <w:t>Geocoded National Address File (G-NAF)</w:t>
      </w:r>
    </w:p>
    <w:p w:rsidR="002F57D2" w:rsidRPr="00C840DA" w:rsidRDefault="002F57D2" w:rsidP="002F57D2">
      <w:pPr>
        <w:pStyle w:val="DPCbody"/>
      </w:pPr>
      <w:r w:rsidRPr="00C840DA">
        <w:t>The G-NAF is a trusted index of Australian address information. It contains the state, suburb, street, number and coordinat</w:t>
      </w:r>
      <w:r w:rsidR="00835876">
        <w:t xml:space="preserve">es </w:t>
      </w:r>
      <w:r w:rsidRPr="00C840DA">
        <w:t xml:space="preserve">for street addresses in Australia. </w:t>
      </w:r>
    </w:p>
    <w:p w:rsidR="003C5EAB" w:rsidRDefault="002F57D2" w:rsidP="002F57D2">
      <w:pPr>
        <w:pStyle w:val="DPCbody"/>
      </w:pPr>
      <w:r w:rsidRPr="00C840DA">
        <w:t xml:space="preserve">G-NAF uses existing and recognised address sources (referred </w:t>
      </w:r>
      <w:r w:rsidRPr="00A143B8">
        <w:t xml:space="preserve">to as contributors) from the state and territory government land records and </w:t>
      </w:r>
      <w:r w:rsidR="000C7C98" w:rsidRPr="00A143B8">
        <w:t>c</w:t>
      </w:r>
      <w:r w:rsidRPr="00A143B8">
        <w:t>ommonwealth government agencies.</w:t>
      </w:r>
      <w:r w:rsidR="00772D20" w:rsidRPr="00A143B8">
        <w:t xml:space="preserve"> This includes Victoria’s Vicmap Address dataset (see below). </w:t>
      </w:r>
      <w:r w:rsidRPr="00A143B8">
        <w:t>G-NAF is maintained by PSMA Australia (PSMA), an unlisted public company owned by Australia’s federal</w:t>
      </w:r>
      <w:r w:rsidRPr="00C840DA">
        <w:t>, state and territory governments.</w:t>
      </w:r>
      <w:r w:rsidRPr="00C840DA">
        <w:rPr>
          <w:rStyle w:val="FootnoteReference"/>
        </w:rPr>
        <w:footnoteReference w:id="5"/>
      </w:r>
    </w:p>
    <w:p w:rsidR="002F57D2" w:rsidRPr="00C840DA" w:rsidRDefault="002F57D2" w:rsidP="002F57D2">
      <w:pPr>
        <w:pStyle w:val="DPCbody"/>
      </w:pPr>
      <w:r w:rsidRPr="00C840DA">
        <w:t>G-NAF</w:t>
      </w:r>
      <w:r w:rsidR="002A2FC8">
        <w:t xml:space="preserve"> </w:t>
      </w:r>
      <w:r w:rsidRPr="00C840DA">
        <w:t xml:space="preserve">is updated quarterly and published on </w:t>
      </w:r>
      <w:hyperlink r:id="rId24" w:history="1">
        <w:r w:rsidR="00D07B8D">
          <w:rPr>
            <w:rStyle w:val="Hyperlink"/>
          </w:rPr>
          <w:t>data.gov.au</w:t>
        </w:r>
      </w:hyperlink>
      <w:r w:rsidRPr="00C840DA">
        <w:t xml:space="preserve">. </w:t>
      </w:r>
      <w:hyperlink r:id="rId25" w:history="1">
        <w:r w:rsidRPr="00C840DA">
          <w:rPr>
            <w:rStyle w:val="Hyperlink"/>
          </w:rPr>
          <w:t>G-NAF Live</w:t>
        </w:r>
      </w:hyperlink>
      <w:r w:rsidRPr="00C840DA">
        <w:t xml:space="preserve"> is a web service providing access to the most recent authoritative addresses supplied to PSMA (with update frequency ranging from daily to quarterly, depending on contributor), and is available via third party </w:t>
      </w:r>
      <w:hyperlink r:id="rId26" w:history="1">
        <w:r w:rsidRPr="00C840DA">
          <w:rPr>
            <w:rStyle w:val="Hyperlink"/>
          </w:rPr>
          <w:t>PSMA partners</w:t>
        </w:r>
      </w:hyperlink>
      <w:r w:rsidRPr="00C840DA">
        <w:t>.</w:t>
      </w:r>
    </w:p>
    <w:p w:rsidR="00A36FAE" w:rsidRDefault="002F57D2" w:rsidP="00242D17">
      <w:pPr>
        <w:pStyle w:val="DPCbody"/>
      </w:pPr>
      <w:r w:rsidRPr="00C840DA">
        <w:t xml:space="preserve">For further information, </w:t>
      </w:r>
      <w:r>
        <w:t>see</w:t>
      </w:r>
      <w:r w:rsidRPr="00C840DA">
        <w:t xml:space="preserve"> </w:t>
      </w:r>
      <w:hyperlink r:id="rId27" w:history="1">
        <w:r w:rsidRPr="00CA2D79">
          <w:rPr>
            <w:rStyle w:val="Hyperlink"/>
            <w:i/>
          </w:rPr>
          <w:t>G-NAF</w:t>
        </w:r>
        <w:r w:rsidRPr="00CA2D79">
          <w:rPr>
            <w:rStyle w:val="Hyperlink"/>
            <w:rFonts w:cstheme="minorHAnsi"/>
            <w:i/>
            <w:vertAlign w:val="superscript"/>
          </w:rPr>
          <w:t>®</w:t>
        </w:r>
        <w:r w:rsidRPr="00CA2D79">
          <w:rPr>
            <w:rStyle w:val="Hyperlink"/>
            <w:i/>
          </w:rPr>
          <w:t xml:space="preserve"> Data Product Description</w:t>
        </w:r>
      </w:hyperlink>
      <w:r w:rsidRPr="00C840DA">
        <w:t xml:space="preserve">, which includes a data model and data dictionary. </w:t>
      </w:r>
    </w:p>
    <w:p w:rsidR="009A0E3D" w:rsidRPr="00C840DA" w:rsidRDefault="009A0E3D" w:rsidP="009A0E3D">
      <w:pPr>
        <w:pStyle w:val="Heading4"/>
      </w:pPr>
      <w:r w:rsidRPr="00C840DA">
        <w:t>Vicmap Address</w:t>
      </w:r>
    </w:p>
    <w:p w:rsidR="009A0E3D" w:rsidRPr="00C840DA" w:rsidRDefault="009A0E3D" w:rsidP="009A0E3D">
      <w:pPr>
        <w:pStyle w:val="DPCbody"/>
      </w:pPr>
      <w:r w:rsidRPr="00A143B8">
        <w:t>Vicmap Address is maintained by the Department of Environment, Land, Water and Planning</w:t>
      </w:r>
      <w:r w:rsidR="00E95FEF" w:rsidRPr="00A143B8">
        <w:t xml:space="preserve"> (DELWP)</w:t>
      </w:r>
      <w:r w:rsidRPr="00A143B8">
        <w:t xml:space="preserve">. It is the authoritative geocoded database of property address points for Victoria and </w:t>
      </w:r>
      <w:r w:rsidR="005C2D41" w:rsidRPr="00A143B8">
        <w:t>is used by G-NAF as the source of Victorian addresses</w:t>
      </w:r>
      <w:r w:rsidRPr="00A143B8">
        <w:t>. Vicmap Address data includes predominately (but not exclusively) property address identifiers assigned by Local Government.</w:t>
      </w:r>
      <w:r w:rsidR="00E95FEF" w:rsidRPr="00A143B8">
        <w:rPr>
          <w:vertAlign w:val="superscript"/>
        </w:rPr>
        <w:t>2</w:t>
      </w:r>
      <w:r w:rsidRPr="00C840DA">
        <w:t xml:space="preserve"> </w:t>
      </w:r>
    </w:p>
    <w:p w:rsidR="00162FD6" w:rsidRPr="00C840DA" w:rsidRDefault="009A0E3D" w:rsidP="009A0E3D">
      <w:pPr>
        <w:pStyle w:val="DPCbody"/>
      </w:pPr>
      <w:r w:rsidRPr="00C840DA">
        <w:t xml:space="preserve">Vicmap Address is updated weekly and is available directly through </w:t>
      </w:r>
      <w:r w:rsidR="0075185C">
        <w:t xml:space="preserve">DELWP’s </w:t>
      </w:r>
      <w:hyperlink r:id="rId28" w:history="1">
        <w:r w:rsidRPr="00C840DA">
          <w:rPr>
            <w:rStyle w:val="Hyperlink"/>
          </w:rPr>
          <w:t>Spatial Datamart</w:t>
        </w:r>
      </w:hyperlink>
      <w:r w:rsidR="00162FD6">
        <w:t xml:space="preserve">, </w:t>
      </w:r>
      <w:r w:rsidRPr="00C840DA">
        <w:t xml:space="preserve">as well as third party </w:t>
      </w:r>
      <w:hyperlink r:id="rId29" w:history="1">
        <w:r w:rsidRPr="00C840DA">
          <w:rPr>
            <w:rStyle w:val="Hyperlink"/>
          </w:rPr>
          <w:t>Vicmap Data Service Providers</w:t>
        </w:r>
      </w:hyperlink>
      <w:r w:rsidRPr="00C840DA">
        <w:t xml:space="preserve">. </w:t>
      </w:r>
      <w:r w:rsidR="00167F85">
        <w:t>The weekly updates are p</w:t>
      </w:r>
      <w:r w:rsidR="002E6DB5">
        <w:t>r</w:t>
      </w:r>
      <w:r w:rsidR="00505CAE">
        <w:t>ovided to PSMA to form part of G-NAF and G-NAF Live</w:t>
      </w:r>
      <w:r w:rsidR="00167F85">
        <w:t xml:space="preserve">, and Vicmap Address is </w:t>
      </w:r>
      <w:r w:rsidR="00167F85" w:rsidRPr="00C840DA">
        <w:t xml:space="preserve">also published quarterly on </w:t>
      </w:r>
      <w:hyperlink r:id="rId30" w:history="1">
        <w:r w:rsidR="00167F85">
          <w:rPr>
            <w:rStyle w:val="Hyperlink"/>
          </w:rPr>
          <w:t>Data.Vic</w:t>
        </w:r>
      </w:hyperlink>
      <w:r w:rsidR="00167F85">
        <w:rPr>
          <w:rStyle w:val="Hyperlink"/>
        </w:rPr>
        <w:t>.</w:t>
      </w:r>
    </w:p>
    <w:p w:rsidR="009A0E3D" w:rsidRDefault="009A0E3D" w:rsidP="00242D17">
      <w:pPr>
        <w:pStyle w:val="DPCbody"/>
      </w:pPr>
      <w:r w:rsidRPr="00C840DA">
        <w:t xml:space="preserve">For further information, </w:t>
      </w:r>
      <w:r>
        <w:t>see</w:t>
      </w:r>
      <w:r w:rsidRPr="00C840DA">
        <w:t xml:space="preserve"> </w:t>
      </w:r>
      <w:hyperlink r:id="rId31" w:history="1">
        <w:r w:rsidRPr="00CA2D79">
          <w:rPr>
            <w:rStyle w:val="Hyperlink"/>
            <w:i/>
          </w:rPr>
          <w:t>Vicmap</w:t>
        </w:r>
        <w:r w:rsidRPr="00CA2D79">
          <w:rPr>
            <w:rStyle w:val="Hyperlink"/>
            <w:rFonts w:cstheme="minorHAnsi"/>
            <w:i/>
          </w:rPr>
          <w:t>™</w:t>
        </w:r>
        <w:r w:rsidRPr="00CA2D79">
          <w:rPr>
            <w:rStyle w:val="Hyperlink"/>
            <w:i/>
          </w:rPr>
          <w:t xml:space="preserve"> Address Product data description</w:t>
        </w:r>
      </w:hyperlink>
      <w:r w:rsidRPr="00C840DA">
        <w:t xml:space="preserve"> and the </w:t>
      </w:r>
      <w:hyperlink r:id="rId32" w:anchor="VicmapProducts" w:history="1">
        <w:r w:rsidRPr="00CA2D79">
          <w:rPr>
            <w:rStyle w:val="Hyperlink"/>
            <w:i/>
          </w:rPr>
          <w:t>Vicmap data model</w:t>
        </w:r>
      </w:hyperlink>
      <w:r w:rsidRPr="00C840DA">
        <w:t>.</w:t>
      </w:r>
    </w:p>
    <w:p w:rsidR="002F57D2" w:rsidRDefault="002F57D2" w:rsidP="002E18D2">
      <w:pPr>
        <w:pStyle w:val="Heading3"/>
      </w:pPr>
      <w:r>
        <w:t>Postal addresses</w:t>
      </w:r>
    </w:p>
    <w:p w:rsidR="00A36FAE" w:rsidRPr="00A36FAE" w:rsidRDefault="00A36FAE" w:rsidP="00A36FAE">
      <w:pPr>
        <w:pStyle w:val="Quote"/>
        <w:spacing w:before="120"/>
      </w:pPr>
      <w:r>
        <w:t>2.</w:t>
      </w:r>
      <w:r>
        <w:tab/>
      </w:r>
      <w:r w:rsidRPr="00A36FAE">
        <w:t>For postal addresses (i.e. mailing or correspondence) use Postal Address File</w:t>
      </w:r>
      <w:r w:rsidR="000A2CAF">
        <w:rPr>
          <w:rStyle w:val="FootnoteReference"/>
        </w:rPr>
        <w:footnoteReference w:id="6"/>
      </w:r>
      <w:r w:rsidRPr="00A36FAE">
        <w:t xml:space="preserve"> (PAF).</w:t>
      </w:r>
    </w:p>
    <w:p w:rsidR="002E6DB5" w:rsidRDefault="003A56DD" w:rsidP="00F3578C">
      <w:pPr>
        <w:pStyle w:val="DPCbody"/>
      </w:pPr>
      <w:r w:rsidRPr="008D159A">
        <w:t xml:space="preserve">Postal addresses are those addresses to which Australia Post will deliver mail. </w:t>
      </w:r>
      <w:r w:rsidR="005F0E17" w:rsidRPr="008D159A">
        <w:t xml:space="preserve">While many are physical locations, </w:t>
      </w:r>
      <w:r w:rsidR="00EC56F1" w:rsidRPr="008D159A">
        <w:t>many are not</w:t>
      </w:r>
      <w:r w:rsidR="005F0E17" w:rsidRPr="008D159A">
        <w:t xml:space="preserve">, </w:t>
      </w:r>
      <w:r w:rsidR="000F400B">
        <w:t xml:space="preserve">e.g. </w:t>
      </w:r>
      <w:r w:rsidR="00D323E1" w:rsidRPr="008D159A">
        <w:t>post office (PO) boxes, roadside delivery points (RSD's)</w:t>
      </w:r>
      <w:r w:rsidR="00530A7E" w:rsidRPr="008D159A">
        <w:t xml:space="preserve"> and roadside mail boxes (RMB's)</w:t>
      </w:r>
      <w:r w:rsidR="005F0E17" w:rsidRPr="008D159A">
        <w:t>.</w:t>
      </w:r>
      <w:r w:rsidR="00E6423B" w:rsidRPr="008D159A">
        <w:t xml:space="preserve"> </w:t>
      </w:r>
      <w:r w:rsidR="002E6DB5" w:rsidRPr="008D159A">
        <w:t xml:space="preserve">Conversely, physical </w:t>
      </w:r>
      <w:r w:rsidR="000C7C98">
        <w:t>or</w:t>
      </w:r>
      <w:r w:rsidR="002E6DB5" w:rsidRPr="008D159A">
        <w:t xml:space="preserve"> street addresses </w:t>
      </w:r>
      <w:r w:rsidR="00D52408" w:rsidRPr="008D159A">
        <w:t xml:space="preserve">are not always </w:t>
      </w:r>
      <w:r w:rsidR="002E6DB5" w:rsidRPr="008D159A">
        <w:t>valid postal addresses as Australia Post does not deliver mail to all physical addresses.</w:t>
      </w:r>
      <w:r w:rsidR="002E6DB5">
        <w:t xml:space="preserve"> </w:t>
      </w:r>
    </w:p>
    <w:p w:rsidR="002F57D2" w:rsidRPr="00C840DA" w:rsidRDefault="002F57D2" w:rsidP="002F57D2">
      <w:pPr>
        <w:pStyle w:val="Heading4"/>
      </w:pPr>
      <w:r w:rsidRPr="00C840DA">
        <w:t>Postal Address File (PAF)</w:t>
      </w:r>
    </w:p>
    <w:p w:rsidR="002F57D2" w:rsidRPr="00C840DA" w:rsidRDefault="002F57D2" w:rsidP="002F57D2">
      <w:pPr>
        <w:pStyle w:val="DPCbody"/>
      </w:pPr>
      <w:r w:rsidRPr="00C840DA">
        <w:t>The PAF is an extract from Australia Post’s core addressing database. It was developed to support Australia Post's mail processing and delivery operations. It contains Australian postal addresses in a</w:t>
      </w:r>
      <w:r>
        <w:t xml:space="preserve"> </w:t>
      </w:r>
      <w:r w:rsidRPr="00C840DA">
        <w:t>preferred postal address format and their corresponding DPIDs (Delivery Point Identifiers) or DID (Delivery Identifier).</w:t>
      </w:r>
      <w:r w:rsidRPr="00C840DA">
        <w:rPr>
          <w:rStyle w:val="FootnoteReference"/>
        </w:rPr>
        <w:footnoteReference w:id="7"/>
      </w:r>
    </w:p>
    <w:p w:rsidR="002F57D2" w:rsidRPr="00C840DA" w:rsidRDefault="002F57D2" w:rsidP="002F57D2">
      <w:pPr>
        <w:pStyle w:val="DPCbody"/>
      </w:pPr>
      <w:r w:rsidRPr="00C840DA">
        <w:t xml:space="preserve">PAF is updated monthly and made available through </w:t>
      </w:r>
      <w:hyperlink r:id="rId33" w:history="1">
        <w:r w:rsidRPr="00C840DA">
          <w:rPr>
            <w:rStyle w:val="Hyperlink"/>
          </w:rPr>
          <w:t>Australia Post Raw address file solution providers</w:t>
        </w:r>
      </w:hyperlink>
      <w:r w:rsidRPr="00C840DA">
        <w:t xml:space="preserve">. </w:t>
      </w:r>
    </w:p>
    <w:p w:rsidR="002F57D2" w:rsidRPr="00C840DA" w:rsidRDefault="002F57D2" w:rsidP="002F57D2">
      <w:pPr>
        <w:pStyle w:val="DPCbody"/>
      </w:pPr>
      <w:r w:rsidRPr="00C840DA">
        <w:t xml:space="preserve">For further information, visit </w:t>
      </w:r>
      <w:hyperlink r:id="rId34" w:history="1">
        <w:r w:rsidRPr="00CA2D79">
          <w:rPr>
            <w:rStyle w:val="Hyperlink"/>
            <w:i/>
          </w:rPr>
          <w:t>Australia Post Data Guide</w:t>
        </w:r>
      </w:hyperlink>
      <w:r w:rsidRPr="00C840DA">
        <w:rPr>
          <w:rStyle w:val="Hyperlink"/>
        </w:rPr>
        <w:t>.</w:t>
      </w:r>
    </w:p>
    <w:p w:rsidR="007F2D40" w:rsidRDefault="007F2D40">
      <w:pPr>
        <w:spacing w:before="0" w:after="0" w:line="240" w:lineRule="auto"/>
        <w:rPr>
          <w:rFonts w:asciiTheme="majorHAnsi" w:eastAsia="MS Gothic" w:hAnsiTheme="majorHAnsi"/>
          <w:bCs/>
          <w:iCs/>
          <w:color w:val="009CA6" w:themeColor="accent5"/>
          <w:sz w:val="36"/>
          <w:szCs w:val="36"/>
          <w:lang w:val="en-AU"/>
        </w:rPr>
      </w:pPr>
      <w:r>
        <w:br w:type="page"/>
      </w:r>
    </w:p>
    <w:p w:rsidR="002F57D2" w:rsidRDefault="002F57D2" w:rsidP="002F57D2">
      <w:pPr>
        <w:pStyle w:val="Heading2"/>
      </w:pPr>
      <w:bookmarkStart w:id="20" w:name="_Toc489885444"/>
      <w:r w:rsidRPr="009F0D32">
        <w:t>Validation</w:t>
      </w:r>
      <w:bookmarkEnd w:id="20"/>
    </w:p>
    <w:p w:rsidR="002A2FC8" w:rsidRPr="0074480F" w:rsidRDefault="002A2FC8" w:rsidP="002A2FC8">
      <w:pPr>
        <w:pStyle w:val="Quote"/>
        <w:spacing w:before="120"/>
      </w:pPr>
      <w:r>
        <w:t>3.</w:t>
      </w:r>
      <w:r>
        <w:tab/>
      </w:r>
      <w:r w:rsidRPr="002A2FC8">
        <w:t xml:space="preserve">Use the authoritative sources above to validate physical </w:t>
      </w:r>
      <w:r w:rsidR="000C7C98">
        <w:t>or</w:t>
      </w:r>
      <w:r>
        <w:t xml:space="preserve"> street </w:t>
      </w:r>
      <w:r w:rsidRPr="002A2FC8">
        <w:t>and postal addresses:</w:t>
      </w:r>
      <w:r>
        <w:t xml:space="preserve"> </w:t>
      </w:r>
      <w:r>
        <w:br/>
        <w:t>a.</w:t>
      </w:r>
      <w:r>
        <w:tab/>
        <w:t>at the point of collection, entry or receipt of data</w:t>
      </w:r>
      <w:r w:rsidRPr="00060198">
        <w:t xml:space="preserve">, </w:t>
      </w:r>
      <w:r>
        <w:t>and</w:t>
      </w:r>
      <w:r>
        <w:br/>
        <w:t>b.</w:t>
      </w:r>
      <w:r>
        <w:tab/>
        <w:t>when performing data quality profiling, analysis and cleansing.</w:t>
      </w:r>
    </w:p>
    <w:p w:rsidR="002F57D2" w:rsidRPr="009F0D32" w:rsidRDefault="002F57D2" w:rsidP="002F57D2">
      <w:pPr>
        <w:pStyle w:val="DPCbody"/>
      </w:pPr>
      <w:r w:rsidRPr="009F0D32">
        <w:t xml:space="preserve">In practice, validation of addresses will often occur using a combination of physical and postal reference addresses depending on the information requirements of the business process. Most third party </w:t>
      </w:r>
      <w:r w:rsidR="00E37864">
        <w:t xml:space="preserve">validation </w:t>
      </w:r>
      <w:r w:rsidRPr="009F0D32">
        <w:t xml:space="preserve">providers offer a combination of G-NAF and PAF by default. </w:t>
      </w:r>
    </w:p>
    <w:p w:rsidR="002F57D2" w:rsidRPr="009F0D32" w:rsidRDefault="002F57D2" w:rsidP="002F57D2">
      <w:pPr>
        <w:pStyle w:val="DPCbody"/>
      </w:pPr>
      <w:r w:rsidRPr="009F0D32">
        <w:t>Departments may choose to perform validation internally</w:t>
      </w:r>
      <w:r w:rsidR="001C58D0">
        <w:t>,</w:t>
      </w:r>
      <w:r w:rsidRPr="009F0D32">
        <w:t xml:space="preserve"> obtaining address data files from the authoritative source(s) and running either application-specific validation or a shared validation service across the department. In this case, the address data files should be updated on a regular basis.</w:t>
      </w:r>
    </w:p>
    <w:p w:rsidR="002F57D2" w:rsidRPr="009F0D32" w:rsidRDefault="002F57D2" w:rsidP="002E18D2">
      <w:pPr>
        <w:pStyle w:val="Heading3"/>
      </w:pPr>
      <w:r w:rsidRPr="009F0D32">
        <w:t>Point of entry / real-time validation</w:t>
      </w:r>
    </w:p>
    <w:p w:rsidR="002F57D2" w:rsidRPr="00C840DA" w:rsidRDefault="002F57D2" w:rsidP="002F57D2">
      <w:pPr>
        <w:pStyle w:val="DPCbody"/>
      </w:pPr>
      <w:r w:rsidRPr="009F0D32">
        <w:t xml:space="preserve">Validating address accuracy at the point of entry, for instance when entering data into systems during </w:t>
      </w:r>
      <w:r w:rsidR="00EE3AD8">
        <w:t xml:space="preserve">web, </w:t>
      </w:r>
      <w:r w:rsidRPr="009F0D32">
        <w:t>phone or face-to-face contact, is the most effective</w:t>
      </w:r>
      <w:r w:rsidRPr="00C840DA">
        <w:t xml:space="preserve"> way of ensuring data quality. </w:t>
      </w:r>
    </w:p>
    <w:p w:rsidR="002F57D2" w:rsidRPr="00C840DA" w:rsidRDefault="002F57D2" w:rsidP="002F57D2">
      <w:pPr>
        <w:pStyle w:val="DPCbody"/>
      </w:pPr>
      <w:r w:rsidRPr="00C840DA">
        <w:t>A number of third party providers offer web services for real-time address validation against up-to-date versions of G-NAF</w:t>
      </w:r>
      <w:r w:rsidR="00177380">
        <w:t xml:space="preserve"> </w:t>
      </w:r>
      <w:r w:rsidR="00AA4F68">
        <w:t>and</w:t>
      </w:r>
      <w:r w:rsidR="00177380">
        <w:t xml:space="preserve"> </w:t>
      </w:r>
      <w:r w:rsidR="00AA4F68">
        <w:t>/</w:t>
      </w:r>
      <w:r w:rsidR="00177380">
        <w:t xml:space="preserve"> </w:t>
      </w:r>
      <w:r w:rsidR="00AA4F68">
        <w:t>or</w:t>
      </w:r>
      <w:r w:rsidRPr="00C840DA">
        <w:t xml:space="preserve"> PAF. Typically, these are provided as an Application Programming Interface (API), which can be integrated into transactional systems and web</w:t>
      </w:r>
      <w:r w:rsidR="00AE0E41">
        <w:t xml:space="preserve"> </w:t>
      </w:r>
      <w:r w:rsidR="00AA4F68">
        <w:t>electronic forms</w:t>
      </w:r>
      <w:r w:rsidRPr="00C840DA">
        <w:t xml:space="preserve">. </w:t>
      </w:r>
    </w:p>
    <w:p w:rsidR="002F57D2" w:rsidRPr="00C840DA" w:rsidRDefault="002F57D2" w:rsidP="002E18D2">
      <w:pPr>
        <w:pStyle w:val="Heading3"/>
      </w:pPr>
      <w:bookmarkStart w:id="21" w:name="_Ref485647022"/>
      <w:r w:rsidRPr="00C840DA">
        <w:t>Batch validation</w:t>
      </w:r>
      <w:bookmarkEnd w:id="21"/>
      <w:r w:rsidRPr="00C840DA">
        <w:t xml:space="preserve"> </w:t>
      </w:r>
    </w:p>
    <w:p w:rsidR="002A2FC8" w:rsidRPr="00A143B8" w:rsidRDefault="002F57D2" w:rsidP="00BB57ED">
      <w:pPr>
        <w:pStyle w:val="DPCbody"/>
      </w:pPr>
      <w:r w:rsidRPr="00C840DA">
        <w:t>Where real-time validation is not feasible or for data quality initiatives such as profiling and cleansing of historical data, a batch address validation service may be used. In this process, a (</w:t>
      </w:r>
      <w:r w:rsidRPr="00A143B8">
        <w:t xml:space="preserve">usually large) set of address data is generally extracted and run through a tool (either </w:t>
      </w:r>
      <w:r w:rsidR="00AE0E41" w:rsidRPr="00A143B8">
        <w:t>on premise</w:t>
      </w:r>
      <w:r w:rsidRPr="00A143B8">
        <w:t xml:space="preserve"> or externally) via Software as a Service (SaaS). Many Vicmap and PSMA third party providers offer this service.</w:t>
      </w:r>
    </w:p>
    <w:p w:rsidR="00C264EB" w:rsidRPr="00A143B8" w:rsidRDefault="00BF5E2E" w:rsidP="00BB57ED">
      <w:pPr>
        <w:pStyle w:val="DPCbody"/>
      </w:pPr>
      <w:r w:rsidRPr="00A143B8">
        <w:t>Valid a</w:t>
      </w:r>
      <w:r w:rsidR="00C264EB" w:rsidRPr="00A143B8">
        <w:t>ddresses captured in the past may no</w:t>
      </w:r>
      <w:r w:rsidRPr="00A143B8">
        <w:t xml:space="preserve"> longer </w:t>
      </w:r>
      <w:r w:rsidR="00C264EB" w:rsidRPr="00A143B8">
        <w:t xml:space="preserve">exist in the same form today, or in </w:t>
      </w:r>
      <w:r w:rsidR="002247CC" w:rsidRPr="00A143B8">
        <w:t xml:space="preserve">the </w:t>
      </w:r>
      <w:r w:rsidR="00C264EB" w:rsidRPr="00A143B8">
        <w:t>future</w:t>
      </w:r>
      <w:r w:rsidR="0061515B" w:rsidRPr="00A143B8">
        <w:t>. There are also recordkeeping implica</w:t>
      </w:r>
      <w:r w:rsidRPr="00A143B8">
        <w:t xml:space="preserve">tions of changing historical data. Departments should be mindful of these </w:t>
      </w:r>
      <w:r w:rsidR="00CE2C49" w:rsidRPr="00A143B8">
        <w:t xml:space="preserve">types of </w:t>
      </w:r>
      <w:r w:rsidRPr="00A143B8">
        <w:t>considerations when</w:t>
      </w:r>
      <w:r w:rsidR="00CE2C49" w:rsidRPr="00A143B8">
        <w:t xml:space="preserve"> planning </w:t>
      </w:r>
      <w:r w:rsidR="00222790" w:rsidRPr="00A143B8">
        <w:t xml:space="preserve">batch validation of </w:t>
      </w:r>
      <w:r w:rsidR="00272034" w:rsidRPr="00A143B8">
        <w:t xml:space="preserve">address </w:t>
      </w:r>
      <w:r w:rsidR="00222790" w:rsidRPr="00A143B8">
        <w:t>data.</w:t>
      </w:r>
      <w:r w:rsidRPr="00A143B8">
        <w:t xml:space="preserve"> </w:t>
      </w:r>
    </w:p>
    <w:p w:rsidR="00650598" w:rsidRPr="00A143B8" w:rsidRDefault="00650598" w:rsidP="002E18D2">
      <w:pPr>
        <w:pStyle w:val="Heading3"/>
      </w:pPr>
      <w:r w:rsidRPr="00A143B8">
        <w:t>Non-</w:t>
      </w:r>
      <w:r w:rsidR="00A25F00" w:rsidRPr="00A143B8">
        <w:t>standard</w:t>
      </w:r>
      <w:r w:rsidRPr="00A143B8">
        <w:t xml:space="preserve"> addresses</w:t>
      </w:r>
    </w:p>
    <w:p w:rsidR="00650598" w:rsidRDefault="00650598" w:rsidP="00650598">
      <w:pPr>
        <w:pStyle w:val="DPCbody"/>
      </w:pPr>
      <w:r w:rsidRPr="00A143B8">
        <w:t>There are a range of scenarios where addresses may not conform to the standard Australian format</w:t>
      </w:r>
      <w:r w:rsidR="005F4C6B" w:rsidRPr="00A143B8">
        <w:t>,</w:t>
      </w:r>
      <w:r w:rsidRPr="00A143B8">
        <w:t xml:space="preserve"> or match with an authoritative source. These include people of ‘no fixed abode’ (e.g. homeless), overseas visitors and people who refuse to provide a full (or even partial) address. </w:t>
      </w:r>
      <w:r w:rsidR="00592AC1" w:rsidRPr="00A143B8">
        <w:t xml:space="preserve">The location of an </w:t>
      </w:r>
      <w:r w:rsidR="00C3157D" w:rsidRPr="00A143B8">
        <w:t>event</w:t>
      </w:r>
      <w:r w:rsidR="00C01F7B" w:rsidRPr="00A143B8">
        <w:t xml:space="preserve"> (e.g. an accident) may be in a location without a </w:t>
      </w:r>
      <w:r w:rsidR="00592AC1" w:rsidRPr="00A143B8">
        <w:t>precise</w:t>
      </w:r>
      <w:r w:rsidR="00C01F7B" w:rsidRPr="00A143B8">
        <w:t xml:space="preserve"> </w:t>
      </w:r>
      <w:r w:rsidR="00C3157D" w:rsidRPr="00A143B8">
        <w:t xml:space="preserve">listed </w:t>
      </w:r>
      <w:r w:rsidR="002B782C" w:rsidRPr="00A143B8">
        <w:t xml:space="preserve">street </w:t>
      </w:r>
      <w:r w:rsidR="00C3157D" w:rsidRPr="00A143B8">
        <w:t>address</w:t>
      </w:r>
      <w:r w:rsidR="00C01F7B" w:rsidRPr="00A143B8">
        <w:t>, or need to be more specific than the address of a large rural property</w:t>
      </w:r>
      <w:r w:rsidR="00C3157D" w:rsidRPr="00A143B8">
        <w:t xml:space="preserve">. </w:t>
      </w:r>
      <w:r w:rsidRPr="00A143B8">
        <w:t>Additionally, new legitimate addresses may not yet have been included in the authoritative reference data at the time of interaction or transaction. Departments should determine the appropriate system</w:t>
      </w:r>
      <w:r w:rsidRPr="009F0D32">
        <w:t xml:space="preserve"> functionality, business rules and validations to cater for these scenarios.</w:t>
      </w:r>
    </w:p>
    <w:p w:rsidR="00BB57ED" w:rsidRDefault="00BB57ED" w:rsidP="002F57D2">
      <w:pPr>
        <w:pStyle w:val="Heading2"/>
        <w:spacing w:before="240"/>
      </w:pPr>
      <w:bookmarkStart w:id="22" w:name="_Toc489885445"/>
      <w:r>
        <w:t>Interchange, storage, sharing and release</w:t>
      </w:r>
      <w:bookmarkEnd w:id="22"/>
    </w:p>
    <w:p w:rsidR="00BB57ED" w:rsidRPr="00BB57ED" w:rsidRDefault="00BB57ED" w:rsidP="00BB57ED">
      <w:pPr>
        <w:pStyle w:val="Quote"/>
        <w:spacing w:before="120"/>
      </w:pPr>
      <w:r>
        <w:t>4.</w:t>
      </w:r>
      <w:r>
        <w:tab/>
      </w:r>
      <w:r w:rsidRPr="00BB57ED">
        <w:t>Use Section 5 ‘</w:t>
      </w:r>
      <w:r w:rsidR="005D123E">
        <w:t>a</w:t>
      </w:r>
      <w:r w:rsidRPr="00BB57ED">
        <w:t>ddress details’ of Australian Standard AS 4590: Interchange of client information</w:t>
      </w:r>
      <w:r w:rsidR="00655143">
        <w:rPr>
          <w:rStyle w:val="FootnoteReference"/>
        </w:rPr>
        <w:footnoteReference w:id="8"/>
      </w:r>
      <w:r w:rsidRPr="00BB57ED">
        <w:t xml:space="preserve"> (AS 4590) as the data standard for:</w:t>
      </w:r>
      <w:r>
        <w:br/>
        <w:t>a.</w:t>
      </w:r>
      <w:r>
        <w:tab/>
        <w:t>interchange of address data between systems</w:t>
      </w:r>
      <w:r>
        <w:br/>
        <w:t>b.</w:t>
      </w:r>
      <w:r>
        <w:tab/>
        <w:t>the basis of the schema</w:t>
      </w:r>
      <w:r w:rsidR="00030D24">
        <w:rPr>
          <w:rStyle w:val="FootnoteReference"/>
        </w:rPr>
        <w:footnoteReference w:id="9"/>
      </w:r>
      <w:r>
        <w:t xml:space="preserve"> when sharing or releasing address data manually </w:t>
      </w:r>
      <w:r>
        <w:tab/>
      </w:r>
      <w:r>
        <w:br/>
        <w:t>c.</w:t>
      </w:r>
      <w:r>
        <w:tab/>
      </w:r>
      <w:r w:rsidRPr="00BB57ED">
        <w:t>the basis of the schema and data model for storag</w:t>
      </w:r>
      <w:r>
        <w:t>e of address data in any custom</w:t>
      </w:r>
      <w:r w:rsidR="009A510E">
        <w:t>-</w:t>
      </w:r>
      <w:r>
        <w:br/>
        <w:t xml:space="preserve">    </w:t>
      </w:r>
      <w:r>
        <w:tab/>
      </w:r>
      <w:r w:rsidRPr="00BB57ED">
        <w:t>developed systems</w:t>
      </w:r>
      <w:r>
        <w:t>.</w:t>
      </w:r>
    </w:p>
    <w:p w:rsidR="002F57D2" w:rsidRPr="00C840DA" w:rsidRDefault="002F57D2" w:rsidP="002E18D2">
      <w:pPr>
        <w:pStyle w:val="Heading3"/>
      </w:pPr>
      <w:r w:rsidRPr="00C840DA">
        <w:t>Australian Standard AS 4590: Interchange of client information</w:t>
      </w:r>
    </w:p>
    <w:p w:rsidR="002F57D2" w:rsidRPr="00C840DA" w:rsidRDefault="002F57D2" w:rsidP="002F57D2">
      <w:pPr>
        <w:pStyle w:val="DPCbody"/>
        <w:rPr>
          <w:rFonts w:cstheme="minorHAnsi"/>
        </w:rPr>
      </w:pPr>
      <w:r w:rsidRPr="00C840DA">
        <w:t>AS 4590 is the recognised standard for the i</w:t>
      </w:r>
      <w:r w:rsidRPr="00C840DA">
        <w:rPr>
          <w:rFonts w:cstheme="minorHAnsi"/>
        </w:rPr>
        <w:t>nterchange of client information within Australia. The standard was originally developed as a result of industry concern at the myriad of data interchange formats used within the information technology industry.</w:t>
      </w:r>
      <w:r w:rsidR="004E1584" w:rsidRPr="00C840DA">
        <w:rPr>
          <w:rFonts w:cstheme="minorHAnsi"/>
        </w:rPr>
        <w:t xml:space="preserve"> </w:t>
      </w:r>
    </w:p>
    <w:p w:rsidR="002F57D2" w:rsidRPr="00C840DA" w:rsidRDefault="002F57D2" w:rsidP="002F57D2">
      <w:pPr>
        <w:pStyle w:val="DPCbody"/>
        <w:rPr>
          <w:rFonts w:cstheme="minorHAnsi"/>
        </w:rPr>
      </w:pPr>
      <w:r w:rsidRPr="00C840DA">
        <w:rPr>
          <w:rFonts w:cstheme="minorHAnsi"/>
        </w:rPr>
        <w:t>It is comprised of several sections including party identification, person, organisation, address and electronic contact details. Section 5 ‘</w:t>
      </w:r>
      <w:r w:rsidR="00E857F5">
        <w:rPr>
          <w:rFonts w:cstheme="minorHAnsi"/>
        </w:rPr>
        <w:t>a</w:t>
      </w:r>
      <w:r w:rsidRPr="00C840DA">
        <w:rPr>
          <w:rFonts w:cstheme="minorHAnsi"/>
        </w:rPr>
        <w:t xml:space="preserve">ddress details’ is aligned with AS/NZS 4819 </w:t>
      </w:r>
      <w:r w:rsidRPr="00C840DA">
        <w:rPr>
          <w:rFonts w:cstheme="minorHAnsi"/>
          <w:i/>
        </w:rPr>
        <w:t>Geographic Information – Rural and urban addressing</w:t>
      </w:r>
      <w:r w:rsidR="003C1200">
        <w:rPr>
          <w:rFonts w:cstheme="minorHAnsi"/>
          <w:i/>
        </w:rPr>
        <w:t xml:space="preserve">, </w:t>
      </w:r>
      <w:r w:rsidR="003C1200" w:rsidRPr="003C1200">
        <w:rPr>
          <w:rFonts w:cstheme="minorHAnsi"/>
        </w:rPr>
        <w:t>the</w:t>
      </w:r>
      <w:r w:rsidRPr="00C840DA">
        <w:rPr>
          <w:rFonts w:cstheme="minorHAnsi"/>
        </w:rPr>
        <w:t xml:space="preserve"> standard </w:t>
      </w:r>
      <w:r w:rsidR="00E857F5">
        <w:rPr>
          <w:rFonts w:cstheme="minorHAnsi"/>
        </w:rPr>
        <w:t xml:space="preserve">that </w:t>
      </w:r>
      <w:r w:rsidRPr="00C840DA">
        <w:rPr>
          <w:rFonts w:cstheme="minorHAnsi"/>
        </w:rPr>
        <w:t xml:space="preserve">directs authorities </w:t>
      </w:r>
      <w:r w:rsidR="003C1200">
        <w:rPr>
          <w:rFonts w:cstheme="minorHAnsi"/>
        </w:rPr>
        <w:t>such as Local Government</w:t>
      </w:r>
      <w:r w:rsidRPr="00C840DA">
        <w:rPr>
          <w:rFonts w:cstheme="minorHAnsi"/>
        </w:rPr>
        <w:t xml:space="preserve"> on the allocation of physical addresses. </w:t>
      </w:r>
    </w:p>
    <w:p w:rsidR="002F57D2" w:rsidRPr="00C840DA" w:rsidRDefault="002F57D2" w:rsidP="002F57D2">
      <w:pPr>
        <w:pStyle w:val="DPCbody"/>
        <w:rPr>
          <w:rFonts w:cstheme="minorHAnsi"/>
        </w:rPr>
      </w:pPr>
      <w:r w:rsidRPr="00C840DA">
        <w:rPr>
          <w:rFonts w:cstheme="minorHAnsi"/>
        </w:rPr>
        <w:t>The schemas for Vicmap, G-NAF and PAF are all based on AS 4590, with some extensions for additional geocode information.</w:t>
      </w:r>
    </w:p>
    <w:p w:rsidR="00481FAD" w:rsidRDefault="002F57D2" w:rsidP="002F57D2">
      <w:pPr>
        <w:pStyle w:val="DPCbody"/>
      </w:pPr>
      <w:r w:rsidRPr="00C840DA">
        <w:t xml:space="preserve">Where a UML or XML format </w:t>
      </w:r>
      <w:r w:rsidRPr="009F0D32">
        <w:t xml:space="preserve">is to be used for exchange of address data between systems, </w:t>
      </w:r>
      <w:hyperlink r:id="rId35" w:history="1">
        <w:r w:rsidRPr="00DE7B5A">
          <w:rPr>
            <w:rStyle w:val="Hyperlink"/>
            <w:i/>
          </w:rPr>
          <w:t>AS 4590 Technical Implementation Guidelines and UML/XML schemas</w:t>
        </w:r>
      </w:hyperlink>
      <w:r w:rsidRPr="009F0D32">
        <w:t xml:space="preserve"> are available from </w:t>
      </w:r>
      <w:hyperlink r:id="rId36" w:history="1">
        <w:r w:rsidRPr="009F0D32">
          <w:rPr>
            <w:rStyle w:val="Hyperlink"/>
          </w:rPr>
          <w:t>GovShare</w:t>
        </w:r>
      </w:hyperlink>
      <w:r w:rsidRPr="009F0D32">
        <w:t>.</w:t>
      </w:r>
      <w:r w:rsidR="00565A9F">
        <w:br/>
      </w:r>
    </w:p>
    <w:p w:rsidR="00481FAD" w:rsidRPr="009D53C8" w:rsidRDefault="00481FAD" w:rsidP="00481FAD">
      <w:pPr>
        <w:pStyle w:val="DPCbody"/>
        <w:ind w:left="1440"/>
        <w:rPr>
          <w:highlight w:val="yellow"/>
        </w:rPr>
      </w:pPr>
      <w:r w:rsidRPr="009D53C8">
        <w:rPr>
          <w:noProof/>
          <w:highlight w:val="yellow"/>
          <w:lang w:eastAsia="en-AU"/>
        </w:rPr>
        <w:drawing>
          <wp:anchor distT="0" distB="0" distL="114300" distR="114300" simplePos="0" relativeHeight="251661312" behindDoc="1" locked="0" layoutInCell="1" allowOverlap="1" wp14:anchorId="5827F07F" wp14:editId="0F420EE8">
            <wp:simplePos x="0" y="0"/>
            <wp:positionH relativeFrom="column">
              <wp:posOffset>164465</wp:posOffset>
            </wp:positionH>
            <wp:positionV relativeFrom="paragraph">
              <wp:posOffset>27940</wp:posOffset>
            </wp:positionV>
            <wp:extent cx="565150" cy="579120"/>
            <wp:effectExtent l="0" t="0" r="6350" b="0"/>
            <wp:wrapTight wrapText="bothSides">
              <wp:wrapPolygon edited="0">
                <wp:start x="0" y="0"/>
                <wp:lineTo x="0" y="20605"/>
                <wp:lineTo x="21115" y="20605"/>
                <wp:lineTo x="21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ation point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D32">
        <w:t xml:space="preserve">The </w:t>
      </w:r>
      <w:r w:rsidRPr="00AE3F1D">
        <w:t xml:space="preserve">Department of Health and Human Services’ </w:t>
      </w:r>
      <w:hyperlink r:id="rId38" w:history="1">
        <w:r w:rsidRPr="00AE3F1D">
          <w:rPr>
            <w:rStyle w:val="Hyperlink"/>
            <w:i/>
          </w:rPr>
          <w:t>Address reference data dictionary</w:t>
        </w:r>
      </w:hyperlink>
      <w:r w:rsidRPr="00AE3F1D">
        <w:t xml:space="preserve"> provides an example of a health </w:t>
      </w:r>
      <w:r w:rsidRPr="00A776F5">
        <w:t>and human services based</w:t>
      </w:r>
      <w:r w:rsidRPr="00AE3F1D">
        <w:t xml:space="preserve"> implementation</w:t>
      </w:r>
      <w:r w:rsidRPr="009F0D32">
        <w:t xml:space="preserve"> guid</w:t>
      </w:r>
      <w:r>
        <w:t>e for address, based on AS 4590.</w:t>
      </w:r>
    </w:p>
    <w:p w:rsidR="00531070" w:rsidRDefault="00531070" w:rsidP="002F57D2">
      <w:pPr>
        <w:pStyle w:val="DPCbody"/>
      </w:pPr>
    </w:p>
    <w:p w:rsidR="00531070" w:rsidRDefault="00531070" w:rsidP="00531070">
      <w:pPr>
        <w:pStyle w:val="Heading1"/>
      </w:pPr>
      <w:bookmarkStart w:id="23" w:name="_Toc489885446"/>
      <w:r>
        <w:t>Further information</w:t>
      </w:r>
      <w:bookmarkEnd w:id="23"/>
    </w:p>
    <w:bookmarkEnd w:id="15"/>
    <w:bookmarkEnd w:id="16"/>
    <w:p w:rsidR="000704FD" w:rsidRDefault="000704FD" w:rsidP="000704FD">
      <w:pPr>
        <w:pStyle w:val="DPCbody"/>
      </w:pPr>
      <w:r>
        <w:t xml:space="preserve">For further information regarding this standard, please contact Digital Strategy and Transformation, Department of Premier and Cabinet, at: </w:t>
      </w:r>
      <w:hyperlink r:id="rId39" w:history="1">
        <w:r w:rsidRPr="00E026D5">
          <w:rPr>
            <w:rStyle w:val="Hyperlink"/>
          </w:rPr>
          <w:t>digital.transformation@dpc.vic.gov.au</w:t>
        </w:r>
      </w:hyperlink>
      <w:r>
        <w:t>.</w:t>
      </w:r>
    </w:p>
    <w:p w:rsidR="00531070" w:rsidRDefault="00531070" w:rsidP="000704FD">
      <w:pPr>
        <w:pStyle w:val="DPCbody"/>
        <w:rPr>
          <w:rStyle w:val="Hyperlink"/>
        </w:rPr>
      </w:pPr>
    </w:p>
    <w:sectPr w:rsidR="00531070" w:rsidSect="00AB6E1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 w:code="9"/>
      <w:pgMar w:top="1134" w:right="1304" w:bottom="1134" w:left="130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B39" w:rsidRDefault="00FC2B39">
      <w:r>
        <w:separator/>
      </w:r>
    </w:p>
  </w:endnote>
  <w:endnote w:type="continuationSeparator" w:id="0">
    <w:p w:rsidR="00FC2B39" w:rsidRDefault="00F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68" w:rsidRDefault="000704FD" w:rsidP="003D275B">
    <w:pPr>
      <w:pStyle w:val="DPCfooter"/>
      <w:rPr>
        <w:rFonts w:ascii="Arial" w:hAnsi="Arial" w:cs="Arial"/>
        <w:b/>
        <w:color w:val="3F3F3F"/>
        <w:sz w:val="20"/>
        <w:szCs w:val="20"/>
      </w:rPr>
    </w:pPr>
    <w:bookmarkStart w:id="0" w:name="aliashNonProtectiveMarki1FooterEvenPages"/>
    <w:r>
      <w:rPr>
        <w:rFonts w:ascii="Arial" w:hAnsi="Arial" w:cs="Arial"/>
        <w:b/>
        <w:noProof/>
        <w:color w:val="3F3F3F"/>
        <w:sz w:val="20"/>
        <w:szCs w:val="20"/>
      </w:rPr>
      <mc:AlternateContent>
        <mc:Choice Requires="wps">
          <w:drawing>
            <wp:anchor distT="0" distB="0" distL="114300" distR="114300" simplePos="1" relativeHeight="251663360" behindDoc="0" locked="0" layoutInCell="0" allowOverlap="1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992c4d679cd052c6be1d0c8f" descr="{&quot;HashCode&quot;:-12676035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704FD" w:rsidRPr="000704FD" w:rsidRDefault="000704FD" w:rsidP="000704FD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704F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92c4d679cd052c6be1d0c8f" o:spid="_x0000_s1026" type="#_x0000_t202" alt="{&quot;HashCode&quot;:-1267603503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" o:allowincell="f" filled="f" stroked="f" strokeweight=".5pt">
              <v:fill o:detectmouseclick="t"/>
              <v:textbox inset="20pt,0,,0">
                <w:txbxContent>
                  <w:p w:rsidR="000704FD" w:rsidRPr="000704FD" w:rsidRDefault="000704FD" w:rsidP="000704FD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704F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p w:rsidR="003B40EB" w:rsidRPr="004C0098" w:rsidRDefault="004C0098" w:rsidP="004C0098">
    <w:pPr>
      <w:pStyle w:val="DPCfooter"/>
      <w:rPr>
        <w:sz w:val="20"/>
        <w:szCs w:val="20"/>
      </w:rPr>
    </w:pPr>
    <w:r w:rsidRPr="00DA068B">
      <w:rPr>
        <w:sz w:val="20"/>
        <w:szCs w:val="20"/>
      </w:rPr>
      <w:t>IM-</w:t>
    </w:r>
    <w:r>
      <w:rPr>
        <w:sz w:val="20"/>
        <w:szCs w:val="20"/>
      </w:rPr>
      <w:t>GUIDE</w:t>
    </w:r>
    <w:r w:rsidRPr="00DA068B">
      <w:rPr>
        <w:sz w:val="20"/>
        <w:szCs w:val="20"/>
      </w:rPr>
      <w:t>-0</w:t>
    </w:r>
    <w:r w:rsidR="00066FE9">
      <w:rPr>
        <w:sz w:val="20"/>
        <w:szCs w:val="20"/>
      </w:rPr>
      <w:t>7</w:t>
    </w:r>
    <w:r w:rsidRPr="00DA068B">
      <w:rPr>
        <w:sz w:val="20"/>
        <w:szCs w:val="20"/>
      </w:rPr>
      <w:t xml:space="preserve"> – </w:t>
    </w:r>
    <w:r w:rsidR="00327D8C">
      <w:rPr>
        <w:sz w:val="20"/>
        <w:szCs w:val="20"/>
      </w:rPr>
      <w:t xml:space="preserve">Address </w:t>
    </w:r>
    <w:r w:rsidRPr="00DA068B">
      <w:rPr>
        <w:sz w:val="20"/>
        <w:szCs w:val="20"/>
      </w:rPr>
      <w:t xml:space="preserve">Data </w:t>
    </w:r>
    <w:r>
      <w:rPr>
        <w:sz w:val="20"/>
        <w:szCs w:val="20"/>
      </w:rPr>
      <w:t>Guideline</w:t>
    </w:r>
    <w:r w:rsidRPr="00DA068B">
      <w:rPr>
        <w:sz w:val="20"/>
        <w:szCs w:val="20"/>
      </w:rPr>
      <w:tab/>
    </w:r>
    <w:r w:rsidRPr="00DA068B">
      <w:rPr>
        <w:sz w:val="20"/>
        <w:szCs w:val="20"/>
      </w:rPr>
      <w:fldChar w:fldCharType="begin"/>
    </w:r>
    <w:r w:rsidRPr="00DA068B">
      <w:rPr>
        <w:sz w:val="20"/>
        <w:szCs w:val="20"/>
      </w:rPr>
      <w:instrText xml:space="preserve"> PAGE   \* MERGEFORMAT </w:instrText>
    </w:r>
    <w:r w:rsidRPr="00DA068B">
      <w:rPr>
        <w:sz w:val="20"/>
        <w:szCs w:val="20"/>
      </w:rPr>
      <w:fldChar w:fldCharType="separate"/>
    </w:r>
    <w:r w:rsidR="003609E4">
      <w:rPr>
        <w:noProof/>
        <w:sz w:val="20"/>
        <w:szCs w:val="20"/>
      </w:rPr>
      <w:t>6</w:t>
    </w:r>
    <w:r w:rsidRPr="00DA068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68" w:rsidRDefault="000704FD" w:rsidP="003D275B">
    <w:pPr>
      <w:pStyle w:val="Footer"/>
      <w:spacing w:before="0" w:after="0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3ae54333bc908175077dddad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704FD" w:rsidRPr="000704FD" w:rsidRDefault="000704FD" w:rsidP="000704FD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704F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ae54333bc908175077dddad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FcIMHx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0704FD" w:rsidRPr="000704FD" w:rsidRDefault="000704FD" w:rsidP="000704FD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704F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:rsidR="003B40EB" w:rsidRDefault="003B4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68" w:rsidRDefault="00AA4F68" w:rsidP="003D275B">
    <w:pPr>
      <w:pStyle w:val="Footer"/>
      <w:spacing w:before="0" w:after="0"/>
      <w:rPr>
        <w:rFonts w:ascii="Arial" w:hAnsi="Arial"/>
        <w:b/>
        <w:color w:val="3F3F3F"/>
      </w:rPr>
    </w:pPr>
    <w:bookmarkStart w:id="2" w:name="aliashNonProtectiveMarki1FooterFirstPage"/>
  </w:p>
  <w:bookmarkEnd w:id="2"/>
  <w:p w:rsidR="003B40EB" w:rsidRDefault="003B40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A8" w:rsidRDefault="000704FD" w:rsidP="003D275B">
    <w:pPr>
      <w:pStyle w:val="Footer"/>
      <w:spacing w:before="0" w:after="0"/>
      <w:rPr>
        <w:rFonts w:ascii="Arial" w:hAnsi="Arial"/>
        <w:b/>
        <w:color w:val="3F3F3F"/>
      </w:rPr>
    </w:pPr>
    <w:bookmarkStart w:id="24" w:name="aliashNonProtectiveMarki2FooterEvenPages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09b74bb5b1991a1464bf873b" descr="{&quot;HashCode&quot;:-1267603503,&quot;Height&quot;:841.0,&quot;Width&quot;:595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704FD" w:rsidRPr="000704FD" w:rsidRDefault="000704FD" w:rsidP="000704FD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704F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9b74bb5b1991a1464bf873b" o:spid="_x0000_s1028" type="#_x0000_t202" alt="{&quot;HashCode&quot;:-1267603503,&quot;Height&quot;:841.0,&quot;Width&quot;:595.0,&quot;Placement&quot;:&quot;Footer&quot;,&quot;Index&quot;:&quot;OddAndEven&quot;,&quot;Section&quot;:2,&quot;Top&quot;:0.0,&quot;Left&quot;:0.0}" style="position:absolute;margin-left:0;margin-top:805.9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BTJ8k+JAMAAEIGAAAO&#10;AAAAAAAAAAAAAAAAAC4CAABkcnMvZTJvRG9jLnhtbFBLAQItABQABgAIAAAAIQBgEcYm3gAAAAsB&#10;AAAPAAAAAAAAAAAAAAAAAH4FAABkcnMvZG93bnJldi54bWxQSwUGAAAAAAQABADzAAAAiQYAAAAA&#10;" o:allowincell="f" filled="f" stroked="f" strokeweight=".5pt">
              <v:fill o:detectmouseclick="t"/>
              <v:textbox inset="20pt,0,,0">
                <w:txbxContent>
                  <w:p w:rsidR="000704FD" w:rsidRPr="000704FD" w:rsidRDefault="000704FD" w:rsidP="000704FD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704F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24"/>
  <w:p w:rsidR="003B40EB" w:rsidRPr="0099618E" w:rsidRDefault="003B40EB" w:rsidP="0099618E">
    <w:pPr>
      <w:pStyle w:val="Footer"/>
    </w:pPr>
    <w:r w:rsidRPr="0099618E">
      <w:fldChar w:fldCharType="begin"/>
    </w:r>
    <w:r w:rsidRPr="0099618E">
      <w:instrText xml:space="preserve"> PAGE </w:instrText>
    </w:r>
    <w:r w:rsidRPr="0099618E">
      <w:fldChar w:fldCharType="separate"/>
    </w:r>
    <w:r w:rsidR="007F2D40">
      <w:rPr>
        <w:noProof/>
      </w:rPr>
      <w:t>2</w:t>
    </w:r>
    <w:r w:rsidRPr="0099618E">
      <w:fldChar w:fldCharType="end"/>
    </w:r>
    <w:r w:rsidRPr="0099618E">
      <w:tab/>
    </w:r>
    <w:r>
      <w:t>IM-GUIDE-0</w:t>
    </w:r>
    <w:r w:rsidR="00763AA5">
      <w:t>7</w:t>
    </w:r>
    <w:r>
      <w:t xml:space="preserve"> </w:t>
    </w:r>
    <w:r w:rsidR="00DB2D54">
      <w:t xml:space="preserve">Address Data </w:t>
    </w:r>
    <w:r>
      <w:t>Guideline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56" w:rsidRDefault="000704FD" w:rsidP="00920AA6">
    <w:pPr>
      <w:pStyle w:val="Footer"/>
      <w:spacing w:before="0" w:after="0"/>
      <w:rPr>
        <w:rFonts w:ascii="Arial" w:hAnsi="Arial"/>
        <w:b/>
        <w:color w:val="3F3F3F"/>
      </w:rPr>
    </w:pPr>
    <w:bookmarkStart w:id="25" w:name="aliashNonProtectiveMarking4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11af4564b777b796a87630c3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704FD" w:rsidRPr="000704FD" w:rsidRDefault="000704FD" w:rsidP="000704FD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704F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1af4564b777b796a87630c3" o:spid="_x0000_s1029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JOPUOIgAwAAPw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0704FD" w:rsidRPr="000704FD" w:rsidRDefault="000704FD" w:rsidP="000704FD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704F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A4F68" w:rsidRDefault="00AA4F68" w:rsidP="003D275B">
    <w:pPr>
      <w:pStyle w:val="Footer"/>
      <w:spacing w:before="0" w:after="0"/>
      <w:rPr>
        <w:rFonts w:ascii="Arial" w:hAnsi="Arial"/>
        <w:b/>
        <w:color w:val="3F3F3F"/>
      </w:rPr>
    </w:pPr>
    <w:bookmarkStart w:id="26" w:name="aliashNonProtectiveMarking2FooterPrimary"/>
    <w:bookmarkEnd w:id="25"/>
  </w:p>
  <w:bookmarkEnd w:id="26"/>
  <w:p w:rsidR="003B40EB" w:rsidRPr="00A80D31" w:rsidRDefault="003B40EB" w:rsidP="0099618E">
    <w:pPr>
      <w:pStyle w:val="Footer"/>
    </w:pPr>
    <w:r>
      <w:t>IM-GUIDE-0</w:t>
    </w:r>
    <w:r w:rsidR="00A05EA9">
      <w:t>7</w:t>
    </w:r>
    <w:r>
      <w:t xml:space="preserve"> </w:t>
    </w:r>
    <w:r w:rsidR="00DB2D54">
      <w:t xml:space="preserve">Address </w:t>
    </w:r>
    <w:r w:rsidR="00A05EA9">
      <w:t xml:space="preserve">Data </w:t>
    </w:r>
    <w:r>
      <w:t>Guideline</w:t>
    </w:r>
    <w:r w:rsidRPr="00A80D31">
      <w:tab/>
    </w:r>
    <w:r w:rsidRPr="00A80D31">
      <w:fldChar w:fldCharType="begin"/>
    </w:r>
    <w:r w:rsidRPr="00A80D31">
      <w:instrText xml:space="preserve"> PAGE </w:instrText>
    </w:r>
    <w:r w:rsidRPr="00A80D31">
      <w:fldChar w:fldCharType="separate"/>
    </w:r>
    <w:r w:rsidR="007F2D40">
      <w:rPr>
        <w:noProof/>
      </w:rPr>
      <w:t>3</w:t>
    </w:r>
    <w:r w:rsidRPr="00A80D3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68" w:rsidRDefault="00AA4F68" w:rsidP="003D275B">
    <w:pPr>
      <w:pStyle w:val="Footer"/>
      <w:spacing w:before="0" w:after="0"/>
      <w:rPr>
        <w:rFonts w:ascii="Arial" w:hAnsi="Arial"/>
        <w:b/>
        <w:color w:val="3F3F3F"/>
      </w:rPr>
    </w:pPr>
    <w:bookmarkStart w:id="27" w:name="aliashNonProtectiveMarki2FooterFirstPage"/>
  </w:p>
  <w:p w:rsidR="003B40EB" w:rsidRDefault="003B40EB" w:rsidP="00920AA6">
    <w:pPr>
      <w:pStyle w:val="Footer"/>
      <w:spacing w:before="0" w:after="0"/>
      <w:rPr>
        <w:rFonts w:ascii="Arial" w:hAnsi="Arial"/>
        <w:b/>
        <w:color w:val="3F3F3F"/>
      </w:rPr>
    </w:pPr>
    <w:bookmarkStart w:id="28" w:name="aliashNonProtectiveMarki4FooterFirstPage"/>
    <w:bookmarkEnd w:id="27"/>
  </w:p>
  <w:p w:rsidR="003B40EB" w:rsidRDefault="003B40EB" w:rsidP="00920AA6">
    <w:pPr>
      <w:pStyle w:val="Footer"/>
      <w:spacing w:before="0" w:after="0"/>
      <w:rPr>
        <w:rFonts w:ascii="Arial" w:hAnsi="Arial"/>
        <w:b/>
        <w:color w:val="3F3F3F"/>
      </w:rPr>
    </w:pPr>
    <w:bookmarkStart w:id="29" w:name="aliashNonProtectiveMarki3FooterFirstPage"/>
    <w:bookmarkEnd w:id="28"/>
  </w:p>
  <w:bookmarkEnd w:id="29"/>
  <w:p w:rsidR="003B40EB" w:rsidRPr="001A7E04" w:rsidRDefault="003B40EB" w:rsidP="0099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B39" w:rsidRDefault="00FC2B39">
      <w:r>
        <w:separator/>
      </w:r>
    </w:p>
  </w:footnote>
  <w:footnote w:type="continuationSeparator" w:id="0">
    <w:p w:rsidR="00FC2B39" w:rsidRDefault="00FC2B39">
      <w:r>
        <w:continuationSeparator/>
      </w:r>
    </w:p>
  </w:footnote>
  <w:footnote w:type="continuationNotice" w:id="1">
    <w:p w:rsidR="00FC2B39" w:rsidRDefault="00FC2B39">
      <w:pPr>
        <w:spacing w:before="0" w:after="0" w:line="240" w:lineRule="auto"/>
      </w:pPr>
    </w:p>
  </w:footnote>
  <w:footnote w:id="2">
    <w:p w:rsidR="0083557E" w:rsidRDefault="0083557E" w:rsidP="0083557E">
      <w:pPr>
        <w:pStyle w:val="FootnoteText"/>
      </w:pPr>
      <w:r>
        <w:rPr>
          <w:rStyle w:val="FootnoteReference"/>
        </w:rPr>
        <w:footnoteRef/>
      </w:r>
      <w:r>
        <w:t xml:space="preserve"> Information Technology Strategy</w:t>
      </w:r>
      <w:r w:rsidR="00CC6175">
        <w:t xml:space="preserve"> 2016-20</w:t>
      </w:r>
      <w:r>
        <w:t xml:space="preserve"> for the Victorian Government, Victorian Government, 2016, </w:t>
      </w:r>
      <w:hyperlink r:id="rId1" w:history="1">
        <w:r w:rsidR="000704FD" w:rsidRPr="00E026D5">
          <w:rPr>
            <w:rStyle w:val="Hyperlink"/>
          </w:rPr>
          <w:t>http://www.vic.gov.au/digital-strategy-transformation/</w:t>
        </w:r>
      </w:hyperlink>
      <w:r>
        <w:t xml:space="preserve"> </w:t>
      </w:r>
    </w:p>
  </w:footnote>
  <w:footnote w:id="3">
    <w:p w:rsidR="00AF559E" w:rsidRDefault="00AF559E" w:rsidP="00AF55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0D32">
        <w:t xml:space="preserve">G-NAF, PSMA, </w:t>
      </w:r>
      <w:r>
        <w:t xml:space="preserve">2017, </w:t>
      </w:r>
      <w:hyperlink r:id="rId2" w:history="1">
        <w:r w:rsidRPr="009F0D32">
          <w:rPr>
            <w:rStyle w:val="Hyperlink"/>
          </w:rPr>
          <w:t>https://www.psma.com.au/products/g-naf</w:t>
        </w:r>
      </w:hyperlink>
    </w:p>
  </w:footnote>
  <w:footnote w:id="4">
    <w:p w:rsidR="00655143" w:rsidRDefault="00655143" w:rsidP="00655143">
      <w:pPr>
        <w:pStyle w:val="FootnoteText"/>
      </w:pPr>
      <w:r>
        <w:rPr>
          <w:rStyle w:val="FootnoteReference"/>
        </w:rPr>
        <w:footnoteRef/>
      </w:r>
      <w:r>
        <w:t xml:space="preserve"> Vicmap</w:t>
      </w:r>
      <w:r>
        <w:rPr>
          <w:rFonts w:cstheme="minorHAnsi"/>
        </w:rPr>
        <w:t>™</w:t>
      </w:r>
      <w:r>
        <w:t xml:space="preserve"> Product data description, Victorian Government, 2017, </w:t>
      </w:r>
      <w:hyperlink r:id="rId3" w:history="1">
        <w:r>
          <w:rPr>
            <w:rStyle w:val="Hyperlink"/>
          </w:rPr>
          <w:t>http://www.depi.vic.gov.au/forestry-and-land-use/spatial-data-and-resources/vicmap</w:t>
        </w:r>
      </w:hyperlink>
      <w:r>
        <w:t xml:space="preserve"> </w:t>
      </w:r>
      <w:r w:rsidR="00E963DB">
        <w:br/>
        <w:t xml:space="preserve">Note: </w:t>
      </w:r>
      <w:r w:rsidR="00E963DB" w:rsidRPr="009F0D32">
        <w:t>Vicmap Address should be used when only Victorian addresses are required, and the update frequency and/or delivery mechanism of G-NAF is not suitable).</w:t>
      </w:r>
    </w:p>
  </w:footnote>
  <w:footnote w:id="5">
    <w:p w:rsidR="002F57D2" w:rsidRDefault="002F57D2" w:rsidP="002F57D2">
      <w:pPr>
        <w:pStyle w:val="FootnoteText"/>
      </w:pPr>
      <w:r>
        <w:rPr>
          <w:rStyle w:val="FootnoteReference"/>
        </w:rPr>
        <w:footnoteRef/>
      </w:r>
      <w:r>
        <w:t xml:space="preserve"> G-NAF</w:t>
      </w:r>
      <w:r w:rsidRPr="00CA6C82">
        <w:rPr>
          <w:rFonts w:cstheme="minorHAnsi"/>
          <w:vertAlign w:val="superscript"/>
        </w:rPr>
        <w:t>®</w:t>
      </w:r>
      <w:r>
        <w:t xml:space="preserve"> Data Product Description, PSMA, 2017, </w:t>
      </w:r>
      <w:hyperlink r:id="rId4" w:history="1">
        <w:r>
          <w:rPr>
            <w:rStyle w:val="Hyperlink"/>
          </w:rPr>
          <w:t>https://www.psma.com.au/products/g-naf</w:t>
        </w:r>
      </w:hyperlink>
    </w:p>
  </w:footnote>
  <w:footnote w:id="6">
    <w:p w:rsidR="000A2CAF" w:rsidRDefault="000A2C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0D32">
        <w:t>PAF, Australia Post,</w:t>
      </w:r>
      <w:r w:rsidR="007F38AF">
        <w:t xml:space="preserve"> 2017,</w:t>
      </w:r>
      <w:r w:rsidRPr="009F0D32">
        <w:t xml:space="preserve"> </w:t>
      </w:r>
      <w:hyperlink r:id="rId5" w:history="1">
        <w:r w:rsidRPr="009F0D32">
          <w:rPr>
            <w:rStyle w:val="Hyperlink"/>
          </w:rPr>
          <w:t>https://auspost.com.au/business-solutions/data-marketing-services/improve-your-data/address-data</w:t>
        </w:r>
      </w:hyperlink>
    </w:p>
  </w:footnote>
  <w:footnote w:id="7">
    <w:p w:rsidR="002F57D2" w:rsidRDefault="002F57D2" w:rsidP="002F57D2">
      <w:pPr>
        <w:pStyle w:val="FootnoteText"/>
      </w:pPr>
      <w:r>
        <w:rPr>
          <w:rStyle w:val="FootnoteReference"/>
        </w:rPr>
        <w:footnoteRef/>
      </w:r>
      <w:r>
        <w:t xml:space="preserve"> Australia Post Data Guide, Australia Post, 2015, </w:t>
      </w:r>
      <w:hyperlink r:id="rId6" w:history="1">
        <w:r>
          <w:rPr>
            <w:rStyle w:val="Hyperlink"/>
          </w:rPr>
          <w:t>https://auspost.com.au/business-solutions/data-marketing-services/supporting-our-data-partners/address-data</w:t>
        </w:r>
      </w:hyperlink>
    </w:p>
  </w:footnote>
  <w:footnote w:id="8">
    <w:p w:rsidR="00655143" w:rsidRDefault="006551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0D32">
        <w:t xml:space="preserve">Australian Standard AS 4590-2006: </w:t>
      </w:r>
      <w:r w:rsidRPr="009F0D32">
        <w:rPr>
          <w:i/>
        </w:rPr>
        <w:t>Interchange of client information</w:t>
      </w:r>
      <w:r w:rsidRPr="009F0D32">
        <w:t xml:space="preserve">, </w:t>
      </w:r>
      <w:r w:rsidR="004F4881">
        <w:t xml:space="preserve">Standards Australia, </w:t>
      </w:r>
      <w:r w:rsidRPr="009F0D32">
        <w:t>2006,</w:t>
      </w:r>
      <w:r>
        <w:t xml:space="preserve"> </w:t>
      </w:r>
      <w:hyperlink r:id="rId7" w:history="1">
        <w:r w:rsidRPr="00107572">
          <w:rPr>
            <w:rStyle w:val="Hyperlink"/>
          </w:rPr>
          <w:t>https://infostore.saiglobal.com/store/details.aspx?ProductID=316376</w:t>
        </w:r>
      </w:hyperlink>
      <w:r>
        <w:t xml:space="preserve"> </w:t>
      </w:r>
      <w:r w:rsidR="00B16191">
        <w:t>(</w:t>
      </w:r>
      <w:r>
        <w:t xml:space="preserve">also available via the Victorian Government Library Service at </w:t>
      </w:r>
      <w:hyperlink r:id="rId8" w:history="1">
        <w:r w:rsidRPr="00107572">
          <w:rPr>
            <w:rStyle w:val="Hyperlink"/>
          </w:rPr>
          <w:t>http://library.intranet.vic.gov.au/</w:t>
        </w:r>
      </w:hyperlink>
      <w:r w:rsidR="00B16191">
        <w:t>)</w:t>
      </w:r>
    </w:p>
  </w:footnote>
  <w:footnote w:id="9">
    <w:p w:rsidR="00030D24" w:rsidRDefault="00030D24">
      <w:pPr>
        <w:pStyle w:val="FootnoteText"/>
      </w:pPr>
      <w:r>
        <w:rPr>
          <w:rStyle w:val="FootnoteReference"/>
        </w:rPr>
        <w:footnoteRef/>
      </w:r>
      <w:r>
        <w:t xml:space="preserve"> E.g. elements o</w:t>
      </w:r>
      <w:r w:rsidR="00770BE4">
        <w:t>r</w:t>
      </w:r>
      <w:r>
        <w:t xml:space="preserve"> columns</w:t>
      </w:r>
      <w:r w:rsidR="00181594">
        <w:t xml:space="preserve"> in a spreadsheet or data file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AFF" w:rsidRDefault="00302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AFF" w:rsidRDefault="00302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AFF" w:rsidRDefault="00302A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0EB" w:rsidRDefault="003B40E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0" allowOverlap="1" wp14:anchorId="729A7D75" wp14:editId="2BCBE1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59640"/>
          <wp:effectExtent l="0" t="0" r="317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Background 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0EB" w:rsidRDefault="003B40E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1" layoutInCell="0" allowOverlap="1" wp14:anchorId="4C3D8356" wp14:editId="6EE454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59280"/>
          <wp:effectExtent l="0" t="0" r="0" b="3175"/>
          <wp:wrapNone/>
          <wp:docPr id="4" name="Picture 4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Background 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0EB" w:rsidRDefault="003B4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74E"/>
    <w:multiLevelType w:val="hybridMultilevel"/>
    <w:tmpl w:val="E45AD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0007"/>
    <w:multiLevelType w:val="hybridMultilevel"/>
    <w:tmpl w:val="8222E506"/>
    <w:lvl w:ilvl="0" w:tplc="AF0E2C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653C"/>
    <w:multiLevelType w:val="hybridMultilevel"/>
    <w:tmpl w:val="DDD4A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2C60"/>
    <w:multiLevelType w:val="hybridMultilevel"/>
    <w:tmpl w:val="5AFCC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13B2"/>
    <w:multiLevelType w:val="hybridMultilevel"/>
    <w:tmpl w:val="A5C8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0DF3AB5"/>
    <w:multiLevelType w:val="hybridMultilevel"/>
    <w:tmpl w:val="EC8C7C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71BED"/>
    <w:multiLevelType w:val="hybridMultilevel"/>
    <w:tmpl w:val="6BB8E938"/>
    <w:lvl w:ilvl="0" w:tplc="E85A5298">
      <w:start w:val="1"/>
      <w:numFmt w:val="bullet"/>
      <w:pStyle w:val="StyleBulletVArial11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031"/>
    <w:multiLevelType w:val="hybridMultilevel"/>
    <w:tmpl w:val="B29ED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7D1D1BD9"/>
    <w:multiLevelType w:val="hybridMultilevel"/>
    <w:tmpl w:val="0D70EB4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A7D"/>
    <w:rsid w:val="00000CA0"/>
    <w:rsid w:val="00002990"/>
    <w:rsid w:val="000048AC"/>
    <w:rsid w:val="000102AA"/>
    <w:rsid w:val="000136B5"/>
    <w:rsid w:val="00014FC4"/>
    <w:rsid w:val="00016095"/>
    <w:rsid w:val="00016E16"/>
    <w:rsid w:val="00020AAB"/>
    <w:rsid w:val="00022E60"/>
    <w:rsid w:val="00026942"/>
    <w:rsid w:val="00026C19"/>
    <w:rsid w:val="000270E1"/>
    <w:rsid w:val="0002767F"/>
    <w:rsid w:val="00030D24"/>
    <w:rsid w:val="00031B1A"/>
    <w:rsid w:val="0004128D"/>
    <w:rsid w:val="00046D9E"/>
    <w:rsid w:val="00055589"/>
    <w:rsid w:val="000574B0"/>
    <w:rsid w:val="00060198"/>
    <w:rsid w:val="00060E93"/>
    <w:rsid w:val="00062036"/>
    <w:rsid w:val="00064936"/>
    <w:rsid w:val="00065152"/>
    <w:rsid w:val="00066FE9"/>
    <w:rsid w:val="000704FD"/>
    <w:rsid w:val="000710CC"/>
    <w:rsid w:val="00071202"/>
    <w:rsid w:val="00072333"/>
    <w:rsid w:val="000734F8"/>
    <w:rsid w:val="000736B8"/>
    <w:rsid w:val="00074BA7"/>
    <w:rsid w:val="0008010D"/>
    <w:rsid w:val="000817CB"/>
    <w:rsid w:val="00081C7B"/>
    <w:rsid w:val="0008644A"/>
    <w:rsid w:val="00086E0D"/>
    <w:rsid w:val="000873EF"/>
    <w:rsid w:val="0009003A"/>
    <w:rsid w:val="00090672"/>
    <w:rsid w:val="000909AC"/>
    <w:rsid w:val="000909F0"/>
    <w:rsid w:val="00092660"/>
    <w:rsid w:val="00097CFB"/>
    <w:rsid w:val="000A2CAF"/>
    <w:rsid w:val="000A3D10"/>
    <w:rsid w:val="000A66F6"/>
    <w:rsid w:val="000C2C04"/>
    <w:rsid w:val="000C3687"/>
    <w:rsid w:val="000C6242"/>
    <w:rsid w:val="000C68DB"/>
    <w:rsid w:val="000C7C98"/>
    <w:rsid w:val="000D2C32"/>
    <w:rsid w:val="000E0E00"/>
    <w:rsid w:val="000E38B6"/>
    <w:rsid w:val="000E6F72"/>
    <w:rsid w:val="000E7BB6"/>
    <w:rsid w:val="000F0478"/>
    <w:rsid w:val="000F400B"/>
    <w:rsid w:val="0010162D"/>
    <w:rsid w:val="00102B2E"/>
    <w:rsid w:val="00103D5E"/>
    <w:rsid w:val="00104EA7"/>
    <w:rsid w:val="00105FAD"/>
    <w:rsid w:val="0011155B"/>
    <w:rsid w:val="00111A6A"/>
    <w:rsid w:val="001124F9"/>
    <w:rsid w:val="00112D76"/>
    <w:rsid w:val="00113286"/>
    <w:rsid w:val="00114E3B"/>
    <w:rsid w:val="0011521B"/>
    <w:rsid w:val="00121BF1"/>
    <w:rsid w:val="00122BB0"/>
    <w:rsid w:val="00127A8B"/>
    <w:rsid w:val="00131D75"/>
    <w:rsid w:val="00134665"/>
    <w:rsid w:val="00134BE5"/>
    <w:rsid w:val="001423E3"/>
    <w:rsid w:val="0014448A"/>
    <w:rsid w:val="001475EA"/>
    <w:rsid w:val="0015001B"/>
    <w:rsid w:val="001504F5"/>
    <w:rsid w:val="001517BD"/>
    <w:rsid w:val="001552EF"/>
    <w:rsid w:val="00162FD6"/>
    <w:rsid w:val="00167F85"/>
    <w:rsid w:val="0017248D"/>
    <w:rsid w:val="00173626"/>
    <w:rsid w:val="0017614A"/>
    <w:rsid w:val="00177380"/>
    <w:rsid w:val="00181594"/>
    <w:rsid w:val="001817CD"/>
    <w:rsid w:val="0018235E"/>
    <w:rsid w:val="00183F62"/>
    <w:rsid w:val="00185AD9"/>
    <w:rsid w:val="00186942"/>
    <w:rsid w:val="00192198"/>
    <w:rsid w:val="00192BA0"/>
    <w:rsid w:val="00194A1A"/>
    <w:rsid w:val="00197303"/>
    <w:rsid w:val="001A0236"/>
    <w:rsid w:val="001A17EA"/>
    <w:rsid w:val="001A6C9B"/>
    <w:rsid w:val="001A7A18"/>
    <w:rsid w:val="001B1565"/>
    <w:rsid w:val="001B166D"/>
    <w:rsid w:val="001B28B5"/>
    <w:rsid w:val="001B295D"/>
    <w:rsid w:val="001B2975"/>
    <w:rsid w:val="001B5C56"/>
    <w:rsid w:val="001C122D"/>
    <w:rsid w:val="001C58D0"/>
    <w:rsid w:val="001D2A82"/>
    <w:rsid w:val="001D4AFF"/>
    <w:rsid w:val="001D569B"/>
    <w:rsid w:val="001E0EA3"/>
    <w:rsid w:val="001E2E20"/>
    <w:rsid w:val="001E6CCE"/>
    <w:rsid w:val="001E73A1"/>
    <w:rsid w:val="001F43E6"/>
    <w:rsid w:val="001F518D"/>
    <w:rsid w:val="001F6CA3"/>
    <w:rsid w:val="001F70DD"/>
    <w:rsid w:val="00201F1A"/>
    <w:rsid w:val="002060B6"/>
    <w:rsid w:val="0021340B"/>
    <w:rsid w:val="00213772"/>
    <w:rsid w:val="00213CAA"/>
    <w:rsid w:val="00213E5E"/>
    <w:rsid w:val="00215DB8"/>
    <w:rsid w:val="00220749"/>
    <w:rsid w:val="002219A8"/>
    <w:rsid w:val="00222790"/>
    <w:rsid w:val="0022422C"/>
    <w:rsid w:val="002247CC"/>
    <w:rsid w:val="0022724E"/>
    <w:rsid w:val="00230458"/>
    <w:rsid w:val="0023046E"/>
    <w:rsid w:val="00230666"/>
    <w:rsid w:val="00231153"/>
    <w:rsid w:val="00232144"/>
    <w:rsid w:val="0023252E"/>
    <w:rsid w:val="002345DF"/>
    <w:rsid w:val="00241C31"/>
    <w:rsid w:val="00242A20"/>
    <w:rsid w:val="00242D17"/>
    <w:rsid w:val="00246749"/>
    <w:rsid w:val="00251E7F"/>
    <w:rsid w:val="00252056"/>
    <w:rsid w:val="002536ED"/>
    <w:rsid w:val="00253938"/>
    <w:rsid w:val="00254988"/>
    <w:rsid w:val="00257924"/>
    <w:rsid w:val="00262B7A"/>
    <w:rsid w:val="00263C52"/>
    <w:rsid w:val="00267083"/>
    <w:rsid w:val="002714FD"/>
    <w:rsid w:val="00272034"/>
    <w:rsid w:val="00272118"/>
    <w:rsid w:val="00272BE8"/>
    <w:rsid w:val="00275F94"/>
    <w:rsid w:val="00281B9C"/>
    <w:rsid w:val="00283B10"/>
    <w:rsid w:val="00284C9B"/>
    <w:rsid w:val="00293F56"/>
    <w:rsid w:val="00294A87"/>
    <w:rsid w:val="00295421"/>
    <w:rsid w:val="00296597"/>
    <w:rsid w:val="00296E85"/>
    <w:rsid w:val="002A0021"/>
    <w:rsid w:val="002A141B"/>
    <w:rsid w:val="002A1860"/>
    <w:rsid w:val="002A26B6"/>
    <w:rsid w:val="002A2FC8"/>
    <w:rsid w:val="002A3BEC"/>
    <w:rsid w:val="002A3E1C"/>
    <w:rsid w:val="002A557E"/>
    <w:rsid w:val="002A6A4E"/>
    <w:rsid w:val="002B0BB5"/>
    <w:rsid w:val="002B5A85"/>
    <w:rsid w:val="002B63A7"/>
    <w:rsid w:val="002B76FE"/>
    <w:rsid w:val="002B782C"/>
    <w:rsid w:val="002C07DE"/>
    <w:rsid w:val="002C1B24"/>
    <w:rsid w:val="002C3A28"/>
    <w:rsid w:val="002C4CC5"/>
    <w:rsid w:val="002C4D47"/>
    <w:rsid w:val="002C5543"/>
    <w:rsid w:val="002C6F2D"/>
    <w:rsid w:val="002D0F7F"/>
    <w:rsid w:val="002D1A7C"/>
    <w:rsid w:val="002D2D85"/>
    <w:rsid w:val="002D4D8C"/>
    <w:rsid w:val="002D514F"/>
    <w:rsid w:val="002D5516"/>
    <w:rsid w:val="002E0198"/>
    <w:rsid w:val="002E18D2"/>
    <w:rsid w:val="002E1D7C"/>
    <w:rsid w:val="002E2475"/>
    <w:rsid w:val="002E2AA7"/>
    <w:rsid w:val="002E6DB5"/>
    <w:rsid w:val="002F1FE7"/>
    <w:rsid w:val="002F449B"/>
    <w:rsid w:val="002F4D86"/>
    <w:rsid w:val="002F57D2"/>
    <w:rsid w:val="002F7C77"/>
    <w:rsid w:val="003009D3"/>
    <w:rsid w:val="00301664"/>
    <w:rsid w:val="00302AFF"/>
    <w:rsid w:val="0030394B"/>
    <w:rsid w:val="0031298A"/>
    <w:rsid w:val="00312C30"/>
    <w:rsid w:val="00315BBD"/>
    <w:rsid w:val="0031753A"/>
    <w:rsid w:val="003203BA"/>
    <w:rsid w:val="00320A1C"/>
    <w:rsid w:val="00320FDE"/>
    <w:rsid w:val="00322248"/>
    <w:rsid w:val="00322833"/>
    <w:rsid w:val="00322CC2"/>
    <w:rsid w:val="00327D8C"/>
    <w:rsid w:val="00327DE8"/>
    <w:rsid w:val="003307C8"/>
    <w:rsid w:val="00330EAB"/>
    <w:rsid w:val="00334246"/>
    <w:rsid w:val="00334B54"/>
    <w:rsid w:val="00343733"/>
    <w:rsid w:val="00346B4E"/>
    <w:rsid w:val="00346D61"/>
    <w:rsid w:val="00350BC9"/>
    <w:rsid w:val="00351C30"/>
    <w:rsid w:val="00351D1C"/>
    <w:rsid w:val="00352B6B"/>
    <w:rsid w:val="00353D19"/>
    <w:rsid w:val="00355886"/>
    <w:rsid w:val="00356814"/>
    <w:rsid w:val="00357404"/>
    <w:rsid w:val="0035796F"/>
    <w:rsid w:val="003609E4"/>
    <w:rsid w:val="003720DD"/>
    <w:rsid w:val="00372FF8"/>
    <w:rsid w:val="003747BC"/>
    <w:rsid w:val="003753F3"/>
    <w:rsid w:val="00377AE7"/>
    <w:rsid w:val="003819A7"/>
    <w:rsid w:val="00382071"/>
    <w:rsid w:val="003A0470"/>
    <w:rsid w:val="003A2F25"/>
    <w:rsid w:val="003A56DD"/>
    <w:rsid w:val="003A60BF"/>
    <w:rsid w:val="003A78DC"/>
    <w:rsid w:val="003B2807"/>
    <w:rsid w:val="003B40EB"/>
    <w:rsid w:val="003B7E7C"/>
    <w:rsid w:val="003C0DA0"/>
    <w:rsid w:val="003C1200"/>
    <w:rsid w:val="003C398B"/>
    <w:rsid w:val="003C5A1B"/>
    <w:rsid w:val="003C5B16"/>
    <w:rsid w:val="003C5EAB"/>
    <w:rsid w:val="003C655C"/>
    <w:rsid w:val="003C7ADE"/>
    <w:rsid w:val="003D275B"/>
    <w:rsid w:val="003D2F7A"/>
    <w:rsid w:val="003D38AA"/>
    <w:rsid w:val="003D4500"/>
    <w:rsid w:val="003D4AF3"/>
    <w:rsid w:val="003D5CFB"/>
    <w:rsid w:val="003E0316"/>
    <w:rsid w:val="003E2636"/>
    <w:rsid w:val="003E2E12"/>
    <w:rsid w:val="003E6371"/>
    <w:rsid w:val="003E66DE"/>
    <w:rsid w:val="003F0EA4"/>
    <w:rsid w:val="003F1B48"/>
    <w:rsid w:val="003F2B5D"/>
    <w:rsid w:val="003F39CE"/>
    <w:rsid w:val="00401108"/>
    <w:rsid w:val="00401AF2"/>
    <w:rsid w:val="00402927"/>
    <w:rsid w:val="00403AE9"/>
    <w:rsid w:val="00404F46"/>
    <w:rsid w:val="00407308"/>
    <w:rsid w:val="00410FAD"/>
    <w:rsid w:val="00411833"/>
    <w:rsid w:val="00412F64"/>
    <w:rsid w:val="00417BEB"/>
    <w:rsid w:val="004279C8"/>
    <w:rsid w:val="00431779"/>
    <w:rsid w:val="004324FF"/>
    <w:rsid w:val="00432665"/>
    <w:rsid w:val="00432A55"/>
    <w:rsid w:val="00435468"/>
    <w:rsid w:val="004354F1"/>
    <w:rsid w:val="00435E7A"/>
    <w:rsid w:val="004374D2"/>
    <w:rsid w:val="004379C9"/>
    <w:rsid w:val="0044260A"/>
    <w:rsid w:val="00444D82"/>
    <w:rsid w:val="00447B87"/>
    <w:rsid w:val="004503DB"/>
    <w:rsid w:val="00454369"/>
    <w:rsid w:val="004564C6"/>
    <w:rsid w:val="004610CC"/>
    <w:rsid w:val="00465464"/>
    <w:rsid w:val="00465510"/>
    <w:rsid w:val="00465E87"/>
    <w:rsid w:val="00467DAE"/>
    <w:rsid w:val="00467E48"/>
    <w:rsid w:val="0047786A"/>
    <w:rsid w:val="00477A65"/>
    <w:rsid w:val="00481FAD"/>
    <w:rsid w:val="00482DB3"/>
    <w:rsid w:val="004834D5"/>
    <w:rsid w:val="0048380B"/>
    <w:rsid w:val="00485406"/>
    <w:rsid w:val="00494F73"/>
    <w:rsid w:val="0049707A"/>
    <w:rsid w:val="00497BC3"/>
    <w:rsid w:val="004A0236"/>
    <w:rsid w:val="004A369A"/>
    <w:rsid w:val="004A3B3E"/>
    <w:rsid w:val="004A6AC2"/>
    <w:rsid w:val="004B20C7"/>
    <w:rsid w:val="004B53A4"/>
    <w:rsid w:val="004C0098"/>
    <w:rsid w:val="004C1170"/>
    <w:rsid w:val="004C15C8"/>
    <w:rsid w:val="004C1E5B"/>
    <w:rsid w:val="004C22F4"/>
    <w:rsid w:val="004C294E"/>
    <w:rsid w:val="004C3B21"/>
    <w:rsid w:val="004C4D4A"/>
    <w:rsid w:val="004C6E41"/>
    <w:rsid w:val="004D00F0"/>
    <w:rsid w:val="004D0173"/>
    <w:rsid w:val="004D0960"/>
    <w:rsid w:val="004D1056"/>
    <w:rsid w:val="004D2738"/>
    <w:rsid w:val="004E1584"/>
    <w:rsid w:val="004E293F"/>
    <w:rsid w:val="004E7922"/>
    <w:rsid w:val="004F0DFC"/>
    <w:rsid w:val="004F41B2"/>
    <w:rsid w:val="004F4881"/>
    <w:rsid w:val="004F4AFC"/>
    <w:rsid w:val="004F52A5"/>
    <w:rsid w:val="00500C8C"/>
    <w:rsid w:val="00501375"/>
    <w:rsid w:val="00501D7E"/>
    <w:rsid w:val="005022C9"/>
    <w:rsid w:val="00504B8D"/>
    <w:rsid w:val="00505CAE"/>
    <w:rsid w:val="0050633E"/>
    <w:rsid w:val="0050779D"/>
    <w:rsid w:val="005131F0"/>
    <w:rsid w:val="00514FD5"/>
    <w:rsid w:val="005151CE"/>
    <w:rsid w:val="00520BBB"/>
    <w:rsid w:val="00522120"/>
    <w:rsid w:val="00525456"/>
    <w:rsid w:val="005256D8"/>
    <w:rsid w:val="00530A7E"/>
    <w:rsid w:val="00530FC9"/>
    <w:rsid w:val="00531070"/>
    <w:rsid w:val="00531650"/>
    <w:rsid w:val="00532236"/>
    <w:rsid w:val="00535B24"/>
    <w:rsid w:val="00537CD2"/>
    <w:rsid w:val="005412AA"/>
    <w:rsid w:val="00541DFE"/>
    <w:rsid w:val="00543E6C"/>
    <w:rsid w:val="005503B8"/>
    <w:rsid w:val="00551152"/>
    <w:rsid w:val="0055342D"/>
    <w:rsid w:val="005552FD"/>
    <w:rsid w:val="0055648C"/>
    <w:rsid w:val="00557E42"/>
    <w:rsid w:val="005600E5"/>
    <w:rsid w:val="0056232A"/>
    <w:rsid w:val="00564E8F"/>
    <w:rsid w:val="005654E1"/>
    <w:rsid w:val="00565703"/>
    <w:rsid w:val="00565A9F"/>
    <w:rsid w:val="0057225B"/>
    <w:rsid w:val="005728A4"/>
    <w:rsid w:val="005763FC"/>
    <w:rsid w:val="00576EB4"/>
    <w:rsid w:val="00577E9E"/>
    <w:rsid w:val="00582768"/>
    <w:rsid w:val="00583461"/>
    <w:rsid w:val="00584257"/>
    <w:rsid w:val="00584B52"/>
    <w:rsid w:val="005856A4"/>
    <w:rsid w:val="00587E4C"/>
    <w:rsid w:val="00590462"/>
    <w:rsid w:val="00590730"/>
    <w:rsid w:val="00592AC1"/>
    <w:rsid w:val="00592C47"/>
    <w:rsid w:val="0059314F"/>
    <w:rsid w:val="0059347A"/>
    <w:rsid w:val="0059428F"/>
    <w:rsid w:val="005A3051"/>
    <w:rsid w:val="005A5250"/>
    <w:rsid w:val="005A53FE"/>
    <w:rsid w:val="005B1A07"/>
    <w:rsid w:val="005B1B08"/>
    <w:rsid w:val="005B5D05"/>
    <w:rsid w:val="005B73AC"/>
    <w:rsid w:val="005B7D22"/>
    <w:rsid w:val="005C029E"/>
    <w:rsid w:val="005C2D41"/>
    <w:rsid w:val="005D123E"/>
    <w:rsid w:val="005D5DD6"/>
    <w:rsid w:val="005E085D"/>
    <w:rsid w:val="005E15FD"/>
    <w:rsid w:val="005E1B17"/>
    <w:rsid w:val="005E2965"/>
    <w:rsid w:val="005E3FA7"/>
    <w:rsid w:val="005E7963"/>
    <w:rsid w:val="005F0E17"/>
    <w:rsid w:val="005F218C"/>
    <w:rsid w:val="005F4C6B"/>
    <w:rsid w:val="005F63B0"/>
    <w:rsid w:val="00601D4D"/>
    <w:rsid w:val="006021B4"/>
    <w:rsid w:val="006062D8"/>
    <w:rsid w:val="00606827"/>
    <w:rsid w:val="0061515B"/>
    <w:rsid w:val="0061779E"/>
    <w:rsid w:val="00617DCC"/>
    <w:rsid w:val="0062013D"/>
    <w:rsid w:val="00620262"/>
    <w:rsid w:val="00620A76"/>
    <w:rsid w:val="00621001"/>
    <w:rsid w:val="00621B4C"/>
    <w:rsid w:val="00627C52"/>
    <w:rsid w:val="00630937"/>
    <w:rsid w:val="0063220A"/>
    <w:rsid w:val="00632572"/>
    <w:rsid w:val="006411A7"/>
    <w:rsid w:val="00641738"/>
    <w:rsid w:val="00650598"/>
    <w:rsid w:val="00653B84"/>
    <w:rsid w:val="00654DFF"/>
    <w:rsid w:val="00654E7C"/>
    <w:rsid w:val="00655143"/>
    <w:rsid w:val="006561C7"/>
    <w:rsid w:val="00660464"/>
    <w:rsid w:val="00660FD5"/>
    <w:rsid w:val="00662AD2"/>
    <w:rsid w:val="00665B41"/>
    <w:rsid w:val="00672042"/>
    <w:rsid w:val="006722B7"/>
    <w:rsid w:val="00676709"/>
    <w:rsid w:val="0067757F"/>
    <w:rsid w:val="00681CDB"/>
    <w:rsid w:val="00685CD1"/>
    <w:rsid w:val="006860FA"/>
    <w:rsid w:val="006865C8"/>
    <w:rsid w:val="00686A71"/>
    <w:rsid w:val="00686B48"/>
    <w:rsid w:val="00687038"/>
    <w:rsid w:val="0068714E"/>
    <w:rsid w:val="00690F21"/>
    <w:rsid w:val="0069297B"/>
    <w:rsid w:val="006929F7"/>
    <w:rsid w:val="0069374A"/>
    <w:rsid w:val="00695041"/>
    <w:rsid w:val="006956EB"/>
    <w:rsid w:val="0069720D"/>
    <w:rsid w:val="006A01B3"/>
    <w:rsid w:val="006A0AFA"/>
    <w:rsid w:val="006A2000"/>
    <w:rsid w:val="006A5521"/>
    <w:rsid w:val="006B2333"/>
    <w:rsid w:val="006B2C51"/>
    <w:rsid w:val="006B30AA"/>
    <w:rsid w:val="006B6361"/>
    <w:rsid w:val="006C2B9B"/>
    <w:rsid w:val="006C3896"/>
    <w:rsid w:val="006C7844"/>
    <w:rsid w:val="006D25DA"/>
    <w:rsid w:val="006D360C"/>
    <w:rsid w:val="006D5650"/>
    <w:rsid w:val="006D5AC9"/>
    <w:rsid w:val="006D62FB"/>
    <w:rsid w:val="006D66ED"/>
    <w:rsid w:val="006D6C07"/>
    <w:rsid w:val="006E1C1A"/>
    <w:rsid w:val="006E4A65"/>
    <w:rsid w:val="006E5F56"/>
    <w:rsid w:val="006E6743"/>
    <w:rsid w:val="006E786B"/>
    <w:rsid w:val="006F1DC8"/>
    <w:rsid w:val="006F613A"/>
    <w:rsid w:val="007002B1"/>
    <w:rsid w:val="00701F43"/>
    <w:rsid w:val="00704EB7"/>
    <w:rsid w:val="00705742"/>
    <w:rsid w:val="007104FE"/>
    <w:rsid w:val="0071310C"/>
    <w:rsid w:val="00713418"/>
    <w:rsid w:val="00713981"/>
    <w:rsid w:val="00716D97"/>
    <w:rsid w:val="007176D6"/>
    <w:rsid w:val="00720F58"/>
    <w:rsid w:val="00722A87"/>
    <w:rsid w:val="00727D54"/>
    <w:rsid w:val="00731952"/>
    <w:rsid w:val="007344C5"/>
    <w:rsid w:val="00734959"/>
    <w:rsid w:val="007351A7"/>
    <w:rsid w:val="00741C2F"/>
    <w:rsid w:val="00744E92"/>
    <w:rsid w:val="00747004"/>
    <w:rsid w:val="00750531"/>
    <w:rsid w:val="0075185C"/>
    <w:rsid w:val="007636E1"/>
    <w:rsid w:val="00763AA5"/>
    <w:rsid w:val="00767D11"/>
    <w:rsid w:val="00770BE4"/>
    <w:rsid w:val="00772D20"/>
    <w:rsid w:val="00773C8E"/>
    <w:rsid w:val="007763FC"/>
    <w:rsid w:val="007810A9"/>
    <w:rsid w:val="00781AB4"/>
    <w:rsid w:val="00785F5B"/>
    <w:rsid w:val="00790104"/>
    <w:rsid w:val="007923B7"/>
    <w:rsid w:val="00792616"/>
    <w:rsid w:val="007926BB"/>
    <w:rsid w:val="00796960"/>
    <w:rsid w:val="007A0283"/>
    <w:rsid w:val="007A3B56"/>
    <w:rsid w:val="007A6B45"/>
    <w:rsid w:val="007B1E7A"/>
    <w:rsid w:val="007B37A7"/>
    <w:rsid w:val="007B3E4C"/>
    <w:rsid w:val="007B4070"/>
    <w:rsid w:val="007B4881"/>
    <w:rsid w:val="007C0048"/>
    <w:rsid w:val="007C3414"/>
    <w:rsid w:val="007C4D68"/>
    <w:rsid w:val="007D1063"/>
    <w:rsid w:val="007D3611"/>
    <w:rsid w:val="007D3A2E"/>
    <w:rsid w:val="007D4C97"/>
    <w:rsid w:val="007D6652"/>
    <w:rsid w:val="007E01A0"/>
    <w:rsid w:val="007E206D"/>
    <w:rsid w:val="007E343D"/>
    <w:rsid w:val="007E5BC7"/>
    <w:rsid w:val="007F2D40"/>
    <w:rsid w:val="007F38AF"/>
    <w:rsid w:val="007F4383"/>
    <w:rsid w:val="00801601"/>
    <w:rsid w:val="00802F12"/>
    <w:rsid w:val="00805F11"/>
    <w:rsid w:val="00810A6B"/>
    <w:rsid w:val="00811C07"/>
    <w:rsid w:val="0081290E"/>
    <w:rsid w:val="00812D3E"/>
    <w:rsid w:val="00814043"/>
    <w:rsid w:val="008141DE"/>
    <w:rsid w:val="00814A9B"/>
    <w:rsid w:val="00814F66"/>
    <w:rsid w:val="00817C9E"/>
    <w:rsid w:val="008205AF"/>
    <w:rsid w:val="008225E5"/>
    <w:rsid w:val="00822B01"/>
    <w:rsid w:val="008246AF"/>
    <w:rsid w:val="00826417"/>
    <w:rsid w:val="00831053"/>
    <w:rsid w:val="0083127B"/>
    <w:rsid w:val="008314D2"/>
    <w:rsid w:val="0083254D"/>
    <w:rsid w:val="008330A8"/>
    <w:rsid w:val="00833104"/>
    <w:rsid w:val="00834ACE"/>
    <w:rsid w:val="0083557E"/>
    <w:rsid w:val="00835876"/>
    <w:rsid w:val="00836249"/>
    <w:rsid w:val="00836F00"/>
    <w:rsid w:val="00837CBF"/>
    <w:rsid w:val="008435D6"/>
    <w:rsid w:val="008458D6"/>
    <w:rsid w:val="00846192"/>
    <w:rsid w:val="00850806"/>
    <w:rsid w:val="00856A1B"/>
    <w:rsid w:val="00861155"/>
    <w:rsid w:val="00861C35"/>
    <w:rsid w:val="00861F82"/>
    <w:rsid w:val="008621C3"/>
    <w:rsid w:val="00865486"/>
    <w:rsid w:val="0086659E"/>
    <w:rsid w:val="00875C46"/>
    <w:rsid w:val="00876275"/>
    <w:rsid w:val="00876D30"/>
    <w:rsid w:val="00882B99"/>
    <w:rsid w:val="00883CE9"/>
    <w:rsid w:val="0088510E"/>
    <w:rsid w:val="00897F3A"/>
    <w:rsid w:val="008A295B"/>
    <w:rsid w:val="008A2A28"/>
    <w:rsid w:val="008A4449"/>
    <w:rsid w:val="008A6604"/>
    <w:rsid w:val="008A6840"/>
    <w:rsid w:val="008A7334"/>
    <w:rsid w:val="008A7E5B"/>
    <w:rsid w:val="008B0855"/>
    <w:rsid w:val="008B1A3C"/>
    <w:rsid w:val="008B2BA1"/>
    <w:rsid w:val="008B5482"/>
    <w:rsid w:val="008B7693"/>
    <w:rsid w:val="008C11F4"/>
    <w:rsid w:val="008C2B6C"/>
    <w:rsid w:val="008C2BEC"/>
    <w:rsid w:val="008C6D0E"/>
    <w:rsid w:val="008D09D2"/>
    <w:rsid w:val="008D159A"/>
    <w:rsid w:val="008D39C5"/>
    <w:rsid w:val="008D5B34"/>
    <w:rsid w:val="008D6CD1"/>
    <w:rsid w:val="008E1D89"/>
    <w:rsid w:val="008E3E3E"/>
    <w:rsid w:val="008E42E5"/>
    <w:rsid w:val="008E4D6E"/>
    <w:rsid w:val="008E6508"/>
    <w:rsid w:val="008F4CF3"/>
    <w:rsid w:val="008F5F87"/>
    <w:rsid w:val="00900A34"/>
    <w:rsid w:val="009032D6"/>
    <w:rsid w:val="0090480F"/>
    <w:rsid w:val="00907073"/>
    <w:rsid w:val="0091040F"/>
    <w:rsid w:val="00911EF0"/>
    <w:rsid w:val="00916EEB"/>
    <w:rsid w:val="009204F1"/>
    <w:rsid w:val="009208F5"/>
    <w:rsid w:val="00920AA6"/>
    <w:rsid w:val="009243AA"/>
    <w:rsid w:val="00924672"/>
    <w:rsid w:val="00931E77"/>
    <w:rsid w:val="00932051"/>
    <w:rsid w:val="00932862"/>
    <w:rsid w:val="00935D60"/>
    <w:rsid w:val="009447BB"/>
    <w:rsid w:val="009447E2"/>
    <w:rsid w:val="00946335"/>
    <w:rsid w:val="009513C4"/>
    <w:rsid w:val="00953071"/>
    <w:rsid w:val="00955E55"/>
    <w:rsid w:val="00957C38"/>
    <w:rsid w:val="0096180A"/>
    <w:rsid w:val="00962200"/>
    <w:rsid w:val="00964548"/>
    <w:rsid w:val="0096624C"/>
    <w:rsid w:val="00966F54"/>
    <w:rsid w:val="00970D5E"/>
    <w:rsid w:val="00970D9F"/>
    <w:rsid w:val="009716FD"/>
    <w:rsid w:val="00971842"/>
    <w:rsid w:val="00973D72"/>
    <w:rsid w:val="00975354"/>
    <w:rsid w:val="00975E61"/>
    <w:rsid w:val="00976E31"/>
    <w:rsid w:val="00977C63"/>
    <w:rsid w:val="00980087"/>
    <w:rsid w:val="00980A1B"/>
    <w:rsid w:val="00980C0B"/>
    <w:rsid w:val="009877A8"/>
    <w:rsid w:val="00992714"/>
    <w:rsid w:val="009935DC"/>
    <w:rsid w:val="00995B49"/>
    <w:rsid w:val="0099618E"/>
    <w:rsid w:val="009963CD"/>
    <w:rsid w:val="009A0796"/>
    <w:rsid w:val="009A0E3D"/>
    <w:rsid w:val="009A2C8B"/>
    <w:rsid w:val="009A4B2C"/>
    <w:rsid w:val="009A510E"/>
    <w:rsid w:val="009B0F17"/>
    <w:rsid w:val="009B266D"/>
    <w:rsid w:val="009B5CBF"/>
    <w:rsid w:val="009C1788"/>
    <w:rsid w:val="009C184A"/>
    <w:rsid w:val="009C5A59"/>
    <w:rsid w:val="009D2C69"/>
    <w:rsid w:val="009D794D"/>
    <w:rsid w:val="009E11C3"/>
    <w:rsid w:val="009E7735"/>
    <w:rsid w:val="009F08D1"/>
    <w:rsid w:val="009F124E"/>
    <w:rsid w:val="009F38E6"/>
    <w:rsid w:val="009F3F89"/>
    <w:rsid w:val="009F480E"/>
    <w:rsid w:val="009F4879"/>
    <w:rsid w:val="00A022A2"/>
    <w:rsid w:val="00A02D15"/>
    <w:rsid w:val="00A037A5"/>
    <w:rsid w:val="00A05EA9"/>
    <w:rsid w:val="00A06721"/>
    <w:rsid w:val="00A068C1"/>
    <w:rsid w:val="00A10620"/>
    <w:rsid w:val="00A11403"/>
    <w:rsid w:val="00A11D29"/>
    <w:rsid w:val="00A128E8"/>
    <w:rsid w:val="00A143B8"/>
    <w:rsid w:val="00A17A37"/>
    <w:rsid w:val="00A23123"/>
    <w:rsid w:val="00A23736"/>
    <w:rsid w:val="00A25B76"/>
    <w:rsid w:val="00A25F00"/>
    <w:rsid w:val="00A26B0D"/>
    <w:rsid w:val="00A273E4"/>
    <w:rsid w:val="00A3162A"/>
    <w:rsid w:val="00A36FAE"/>
    <w:rsid w:val="00A4029E"/>
    <w:rsid w:val="00A42F1B"/>
    <w:rsid w:val="00A44ABF"/>
    <w:rsid w:val="00A45A52"/>
    <w:rsid w:val="00A45B00"/>
    <w:rsid w:val="00A46360"/>
    <w:rsid w:val="00A507D1"/>
    <w:rsid w:val="00A54251"/>
    <w:rsid w:val="00A546BC"/>
    <w:rsid w:val="00A60DD9"/>
    <w:rsid w:val="00A61C66"/>
    <w:rsid w:val="00A73217"/>
    <w:rsid w:val="00A759F8"/>
    <w:rsid w:val="00A75CD5"/>
    <w:rsid w:val="00A7649F"/>
    <w:rsid w:val="00A76A80"/>
    <w:rsid w:val="00A76C56"/>
    <w:rsid w:val="00A77062"/>
    <w:rsid w:val="00A80D31"/>
    <w:rsid w:val="00A81255"/>
    <w:rsid w:val="00A952AB"/>
    <w:rsid w:val="00A95FC3"/>
    <w:rsid w:val="00AA45E6"/>
    <w:rsid w:val="00AA4F68"/>
    <w:rsid w:val="00AB1F81"/>
    <w:rsid w:val="00AB489C"/>
    <w:rsid w:val="00AB5992"/>
    <w:rsid w:val="00AB6936"/>
    <w:rsid w:val="00AB6E15"/>
    <w:rsid w:val="00AB71F6"/>
    <w:rsid w:val="00AB78A2"/>
    <w:rsid w:val="00AC0C3B"/>
    <w:rsid w:val="00AC2101"/>
    <w:rsid w:val="00AC2D63"/>
    <w:rsid w:val="00AC35CC"/>
    <w:rsid w:val="00AC76B5"/>
    <w:rsid w:val="00AD03D8"/>
    <w:rsid w:val="00AD0711"/>
    <w:rsid w:val="00AD0C44"/>
    <w:rsid w:val="00AD1040"/>
    <w:rsid w:val="00AD168F"/>
    <w:rsid w:val="00AD189F"/>
    <w:rsid w:val="00AD4D8E"/>
    <w:rsid w:val="00AE0E41"/>
    <w:rsid w:val="00AE20D1"/>
    <w:rsid w:val="00AE313C"/>
    <w:rsid w:val="00AE4662"/>
    <w:rsid w:val="00AE5FE0"/>
    <w:rsid w:val="00AE60B7"/>
    <w:rsid w:val="00AF1450"/>
    <w:rsid w:val="00AF2AB7"/>
    <w:rsid w:val="00AF2B1C"/>
    <w:rsid w:val="00AF4D3F"/>
    <w:rsid w:val="00AF559E"/>
    <w:rsid w:val="00AF6CFC"/>
    <w:rsid w:val="00B00B6A"/>
    <w:rsid w:val="00B0300B"/>
    <w:rsid w:val="00B05457"/>
    <w:rsid w:val="00B128A0"/>
    <w:rsid w:val="00B13789"/>
    <w:rsid w:val="00B157D3"/>
    <w:rsid w:val="00B16191"/>
    <w:rsid w:val="00B20240"/>
    <w:rsid w:val="00B23281"/>
    <w:rsid w:val="00B26574"/>
    <w:rsid w:val="00B27571"/>
    <w:rsid w:val="00B34245"/>
    <w:rsid w:val="00B3527C"/>
    <w:rsid w:val="00B359DD"/>
    <w:rsid w:val="00B35E83"/>
    <w:rsid w:val="00B37662"/>
    <w:rsid w:val="00B4164B"/>
    <w:rsid w:val="00B43716"/>
    <w:rsid w:val="00B45981"/>
    <w:rsid w:val="00B45FAB"/>
    <w:rsid w:val="00B526A5"/>
    <w:rsid w:val="00B5409A"/>
    <w:rsid w:val="00B55574"/>
    <w:rsid w:val="00B55D4D"/>
    <w:rsid w:val="00B6502C"/>
    <w:rsid w:val="00B6525D"/>
    <w:rsid w:val="00B65ABA"/>
    <w:rsid w:val="00B6790F"/>
    <w:rsid w:val="00B70111"/>
    <w:rsid w:val="00B71B3B"/>
    <w:rsid w:val="00B73701"/>
    <w:rsid w:val="00B8570B"/>
    <w:rsid w:val="00B85C16"/>
    <w:rsid w:val="00B87D61"/>
    <w:rsid w:val="00B93948"/>
    <w:rsid w:val="00BA0C79"/>
    <w:rsid w:val="00BA14D3"/>
    <w:rsid w:val="00BA4BC7"/>
    <w:rsid w:val="00BA55B7"/>
    <w:rsid w:val="00BA7D57"/>
    <w:rsid w:val="00BB18D1"/>
    <w:rsid w:val="00BB1EB1"/>
    <w:rsid w:val="00BB2E18"/>
    <w:rsid w:val="00BB3330"/>
    <w:rsid w:val="00BB47D7"/>
    <w:rsid w:val="00BB4A62"/>
    <w:rsid w:val="00BB57ED"/>
    <w:rsid w:val="00BC01C1"/>
    <w:rsid w:val="00BC076F"/>
    <w:rsid w:val="00BC3FAE"/>
    <w:rsid w:val="00BD2546"/>
    <w:rsid w:val="00BD6E05"/>
    <w:rsid w:val="00BE54D0"/>
    <w:rsid w:val="00BE575E"/>
    <w:rsid w:val="00BF4B4E"/>
    <w:rsid w:val="00BF5E2E"/>
    <w:rsid w:val="00BF7251"/>
    <w:rsid w:val="00BF7B07"/>
    <w:rsid w:val="00BF7F28"/>
    <w:rsid w:val="00C01F7B"/>
    <w:rsid w:val="00C044F1"/>
    <w:rsid w:val="00C05787"/>
    <w:rsid w:val="00C05A69"/>
    <w:rsid w:val="00C066D8"/>
    <w:rsid w:val="00C156D4"/>
    <w:rsid w:val="00C167A3"/>
    <w:rsid w:val="00C17A65"/>
    <w:rsid w:val="00C203F7"/>
    <w:rsid w:val="00C2232A"/>
    <w:rsid w:val="00C24D34"/>
    <w:rsid w:val="00C264EB"/>
    <w:rsid w:val="00C2657D"/>
    <w:rsid w:val="00C30623"/>
    <w:rsid w:val="00C3157D"/>
    <w:rsid w:val="00C321DC"/>
    <w:rsid w:val="00C34AB7"/>
    <w:rsid w:val="00C416E1"/>
    <w:rsid w:val="00C43451"/>
    <w:rsid w:val="00C47BF8"/>
    <w:rsid w:val="00C51FCB"/>
    <w:rsid w:val="00C535F3"/>
    <w:rsid w:val="00C53DCE"/>
    <w:rsid w:val="00C601CF"/>
    <w:rsid w:val="00C63D90"/>
    <w:rsid w:val="00C653B8"/>
    <w:rsid w:val="00C655F2"/>
    <w:rsid w:val="00C65B61"/>
    <w:rsid w:val="00C70E53"/>
    <w:rsid w:val="00C72979"/>
    <w:rsid w:val="00C73A05"/>
    <w:rsid w:val="00C73D14"/>
    <w:rsid w:val="00C74224"/>
    <w:rsid w:val="00C76E08"/>
    <w:rsid w:val="00C76E57"/>
    <w:rsid w:val="00C81529"/>
    <w:rsid w:val="00C81BA6"/>
    <w:rsid w:val="00C8377C"/>
    <w:rsid w:val="00C844CB"/>
    <w:rsid w:val="00C87453"/>
    <w:rsid w:val="00C8756A"/>
    <w:rsid w:val="00C877CD"/>
    <w:rsid w:val="00C902E9"/>
    <w:rsid w:val="00C908B7"/>
    <w:rsid w:val="00C96517"/>
    <w:rsid w:val="00C96D45"/>
    <w:rsid w:val="00CA3E9B"/>
    <w:rsid w:val="00CA47D6"/>
    <w:rsid w:val="00CA4871"/>
    <w:rsid w:val="00CA4F73"/>
    <w:rsid w:val="00CA6722"/>
    <w:rsid w:val="00CA6D4E"/>
    <w:rsid w:val="00CA7A0A"/>
    <w:rsid w:val="00CA7B4B"/>
    <w:rsid w:val="00CA7F3D"/>
    <w:rsid w:val="00CB0321"/>
    <w:rsid w:val="00CB52DD"/>
    <w:rsid w:val="00CC08FC"/>
    <w:rsid w:val="00CC1877"/>
    <w:rsid w:val="00CC4F64"/>
    <w:rsid w:val="00CC5E3A"/>
    <w:rsid w:val="00CC6175"/>
    <w:rsid w:val="00CC6814"/>
    <w:rsid w:val="00CD058C"/>
    <w:rsid w:val="00CD19AD"/>
    <w:rsid w:val="00CD3B98"/>
    <w:rsid w:val="00CD4216"/>
    <w:rsid w:val="00CD574B"/>
    <w:rsid w:val="00CD5E91"/>
    <w:rsid w:val="00CD733F"/>
    <w:rsid w:val="00CD7A7C"/>
    <w:rsid w:val="00CE0942"/>
    <w:rsid w:val="00CE28AC"/>
    <w:rsid w:val="00CE2C49"/>
    <w:rsid w:val="00CE39CC"/>
    <w:rsid w:val="00CE7CA5"/>
    <w:rsid w:val="00CF1D81"/>
    <w:rsid w:val="00CF2DC9"/>
    <w:rsid w:val="00CF469C"/>
    <w:rsid w:val="00D03649"/>
    <w:rsid w:val="00D07B8D"/>
    <w:rsid w:val="00D112BE"/>
    <w:rsid w:val="00D145A6"/>
    <w:rsid w:val="00D16AA4"/>
    <w:rsid w:val="00D311AB"/>
    <w:rsid w:val="00D31F7A"/>
    <w:rsid w:val="00D323E1"/>
    <w:rsid w:val="00D332E1"/>
    <w:rsid w:val="00D34B3C"/>
    <w:rsid w:val="00D362FE"/>
    <w:rsid w:val="00D442AD"/>
    <w:rsid w:val="00D4664B"/>
    <w:rsid w:val="00D52408"/>
    <w:rsid w:val="00D5784B"/>
    <w:rsid w:val="00D57908"/>
    <w:rsid w:val="00D60F98"/>
    <w:rsid w:val="00D613EC"/>
    <w:rsid w:val="00D61D91"/>
    <w:rsid w:val="00D63EFB"/>
    <w:rsid w:val="00D658AF"/>
    <w:rsid w:val="00D65EEF"/>
    <w:rsid w:val="00D66EBB"/>
    <w:rsid w:val="00D759B3"/>
    <w:rsid w:val="00D76F54"/>
    <w:rsid w:val="00D81F78"/>
    <w:rsid w:val="00D83DE9"/>
    <w:rsid w:val="00D8450D"/>
    <w:rsid w:val="00D86DBC"/>
    <w:rsid w:val="00D9040C"/>
    <w:rsid w:val="00D95AF9"/>
    <w:rsid w:val="00D96848"/>
    <w:rsid w:val="00DA09C9"/>
    <w:rsid w:val="00DA1822"/>
    <w:rsid w:val="00DA4F24"/>
    <w:rsid w:val="00DA7BA8"/>
    <w:rsid w:val="00DB26F9"/>
    <w:rsid w:val="00DB2D54"/>
    <w:rsid w:val="00DB3D56"/>
    <w:rsid w:val="00DB402D"/>
    <w:rsid w:val="00DB47D2"/>
    <w:rsid w:val="00DB5E1F"/>
    <w:rsid w:val="00DB78EC"/>
    <w:rsid w:val="00DC20B9"/>
    <w:rsid w:val="00DC2613"/>
    <w:rsid w:val="00DC4512"/>
    <w:rsid w:val="00DD00C5"/>
    <w:rsid w:val="00DD6B4C"/>
    <w:rsid w:val="00DE0B23"/>
    <w:rsid w:val="00DE24E6"/>
    <w:rsid w:val="00DE422B"/>
    <w:rsid w:val="00DE5446"/>
    <w:rsid w:val="00DE54CC"/>
    <w:rsid w:val="00DE7ACD"/>
    <w:rsid w:val="00DE7B5A"/>
    <w:rsid w:val="00DF07AD"/>
    <w:rsid w:val="00DF3364"/>
    <w:rsid w:val="00E02ED1"/>
    <w:rsid w:val="00E055BB"/>
    <w:rsid w:val="00E10C93"/>
    <w:rsid w:val="00E11975"/>
    <w:rsid w:val="00E11988"/>
    <w:rsid w:val="00E136E2"/>
    <w:rsid w:val="00E157FB"/>
    <w:rsid w:val="00E15DA9"/>
    <w:rsid w:val="00E2095D"/>
    <w:rsid w:val="00E22089"/>
    <w:rsid w:val="00E252A7"/>
    <w:rsid w:val="00E26F93"/>
    <w:rsid w:val="00E27B33"/>
    <w:rsid w:val="00E27E99"/>
    <w:rsid w:val="00E30414"/>
    <w:rsid w:val="00E30F1E"/>
    <w:rsid w:val="00E363F2"/>
    <w:rsid w:val="00E37864"/>
    <w:rsid w:val="00E40769"/>
    <w:rsid w:val="00E40D42"/>
    <w:rsid w:val="00E42325"/>
    <w:rsid w:val="00E42A87"/>
    <w:rsid w:val="00E45F6E"/>
    <w:rsid w:val="00E47295"/>
    <w:rsid w:val="00E55643"/>
    <w:rsid w:val="00E55959"/>
    <w:rsid w:val="00E56153"/>
    <w:rsid w:val="00E56285"/>
    <w:rsid w:val="00E608C7"/>
    <w:rsid w:val="00E60F12"/>
    <w:rsid w:val="00E62903"/>
    <w:rsid w:val="00E6423B"/>
    <w:rsid w:val="00E652FB"/>
    <w:rsid w:val="00E67439"/>
    <w:rsid w:val="00E73E35"/>
    <w:rsid w:val="00E73FBD"/>
    <w:rsid w:val="00E74E1F"/>
    <w:rsid w:val="00E75FF7"/>
    <w:rsid w:val="00E7635F"/>
    <w:rsid w:val="00E77F13"/>
    <w:rsid w:val="00E82159"/>
    <w:rsid w:val="00E82A7D"/>
    <w:rsid w:val="00E85217"/>
    <w:rsid w:val="00E857F5"/>
    <w:rsid w:val="00E92A81"/>
    <w:rsid w:val="00E95855"/>
    <w:rsid w:val="00E95FEF"/>
    <w:rsid w:val="00E963DB"/>
    <w:rsid w:val="00E97E25"/>
    <w:rsid w:val="00EA29B8"/>
    <w:rsid w:val="00EB41A9"/>
    <w:rsid w:val="00EB5439"/>
    <w:rsid w:val="00EB6552"/>
    <w:rsid w:val="00EB65D4"/>
    <w:rsid w:val="00EC12BF"/>
    <w:rsid w:val="00EC18E6"/>
    <w:rsid w:val="00EC1984"/>
    <w:rsid w:val="00EC56F1"/>
    <w:rsid w:val="00ED02CC"/>
    <w:rsid w:val="00ED3529"/>
    <w:rsid w:val="00EE373C"/>
    <w:rsid w:val="00EE397B"/>
    <w:rsid w:val="00EE3AD8"/>
    <w:rsid w:val="00EE47B1"/>
    <w:rsid w:val="00EE677D"/>
    <w:rsid w:val="00EE6CD3"/>
    <w:rsid w:val="00EF20D7"/>
    <w:rsid w:val="00EF3419"/>
    <w:rsid w:val="00EF5809"/>
    <w:rsid w:val="00F01CC3"/>
    <w:rsid w:val="00F02BDB"/>
    <w:rsid w:val="00F037E3"/>
    <w:rsid w:val="00F0441B"/>
    <w:rsid w:val="00F0453E"/>
    <w:rsid w:val="00F07623"/>
    <w:rsid w:val="00F12AAD"/>
    <w:rsid w:val="00F14BA9"/>
    <w:rsid w:val="00F160BD"/>
    <w:rsid w:val="00F17BEA"/>
    <w:rsid w:val="00F20479"/>
    <w:rsid w:val="00F238D7"/>
    <w:rsid w:val="00F24470"/>
    <w:rsid w:val="00F26CFE"/>
    <w:rsid w:val="00F3136B"/>
    <w:rsid w:val="00F314F1"/>
    <w:rsid w:val="00F327EA"/>
    <w:rsid w:val="00F34379"/>
    <w:rsid w:val="00F35191"/>
    <w:rsid w:val="00F3578C"/>
    <w:rsid w:val="00F3692B"/>
    <w:rsid w:val="00F36D09"/>
    <w:rsid w:val="00F3780A"/>
    <w:rsid w:val="00F42842"/>
    <w:rsid w:val="00F44202"/>
    <w:rsid w:val="00F46E40"/>
    <w:rsid w:val="00F4760A"/>
    <w:rsid w:val="00F477D9"/>
    <w:rsid w:val="00F52B0E"/>
    <w:rsid w:val="00F52B8E"/>
    <w:rsid w:val="00F53C33"/>
    <w:rsid w:val="00F53CFD"/>
    <w:rsid w:val="00F54AF5"/>
    <w:rsid w:val="00F557E3"/>
    <w:rsid w:val="00F564A6"/>
    <w:rsid w:val="00F61E78"/>
    <w:rsid w:val="00F635C5"/>
    <w:rsid w:val="00F66351"/>
    <w:rsid w:val="00F736E3"/>
    <w:rsid w:val="00F75DE7"/>
    <w:rsid w:val="00F767E8"/>
    <w:rsid w:val="00F853D0"/>
    <w:rsid w:val="00F86A3F"/>
    <w:rsid w:val="00F87879"/>
    <w:rsid w:val="00F905D7"/>
    <w:rsid w:val="00F90F3F"/>
    <w:rsid w:val="00F91297"/>
    <w:rsid w:val="00F95F36"/>
    <w:rsid w:val="00F97730"/>
    <w:rsid w:val="00FA0450"/>
    <w:rsid w:val="00FA2F8D"/>
    <w:rsid w:val="00FB32A4"/>
    <w:rsid w:val="00FB3F7E"/>
    <w:rsid w:val="00FB4042"/>
    <w:rsid w:val="00FB594D"/>
    <w:rsid w:val="00FB6346"/>
    <w:rsid w:val="00FB7B2F"/>
    <w:rsid w:val="00FC2B39"/>
    <w:rsid w:val="00FC41A6"/>
    <w:rsid w:val="00FC49BB"/>
    <w:rsid w:val="00FC7CBD"/>
    <w:rsid w:val="00FD2412"/>
    <w:rsid w:val="00FD616B"/>
    <w:rsid w:val="00FE0BC7"/>
    <w:rsid w:val="00FE33CE"/>
    <w:rsid w:val="00FE4B5C"/>
    <w:rsid w:val="00FE51D3"/>
    <w:rsid w:val="00FE61D3"/>
    <w:rsid w:val="00FE6428"/>
    <w:rsid w:val="00FE735A"/>
    <w:rsid w:val="00FF1F29"/>
    <w:rsid w:val="00FF29DC"/>
    <w:rsid w:val="00FF4523"/>
    <w:rsid w:val="00FF48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FC1787"/>
  <w15:docId w15:val="{3ECC3473-CB9B-49AF-9CC5-50BBA4EF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next w:val="BodyText"/>
    <w:qFormat/>
    <w:rsid w:val="00E82A7D"/>
    <w:pPr>
      <w:spacing w:before="60" w:after="120" w:line="240" w:lineRule="exact"/>
    </w:pPr>
    <w:rPr>
      <w:rFonts w:ascii="Arial" w:eastAsia="Cambria" w:hAnsi="Arial"/>
      <w:szCs w:val="24"/>
      <w:lang w:val="en-US" w:eastAsia="en-US"/>
    </w:rPr>
  </w:style>
  <w:style w:type="paragraph" w:styleId="Heading1">
    <w:name w:val="heading 1"/>
    <w:next w:val="DPCbody"/>
    <w:link w:val="Heading1Char"/>
    <w:uiPriority w:val="1"/>
    <w:qFormat/>
    <w:rsid w:val="00E82A7D"/>
    <w:pPr>
      <w:keepNext/>
      <w:keepLines/>
      <w:spacing w:before="240" w:after="480" w:line="560" w:lineRule="atLeast"/>
      <w:outlineLvl w:val="0"/>
    </w:pPr>
    <w:rPr>
      <w:rFonts w:asciiTheme="majorHAnsi" w:eastAsia="MS Gothic" w:hAnsiTheme="majorHAnsi" w:cs="Arial"/>
      <w:bCs/>
      <w:color w:val="009CA6" w:themeColor="accent5"/>
      <w:kern w:val="32"/>
      <w:sz w:val="52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203F7"/>
    <w:pPr>
      <w:keepNext/>
      <w:keepLines/>
      <w:spacing w:before="360" w:after="120"/>
      <w:outlineLvl w:val="1"/>
    </w:pPr>
    <w:rPr>
      <w:rFonts w:asciiTheme="majorHAnsi" w:eastAsia="MS Gothic" w:hAnsiTheme="majorHAnsi"/>
      <w:bCs/>
      <w:iCs/>
      <w:color w:val="009CA6" w:themeColor="accent5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2E18D2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2C4D47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501D7E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E82A7D"/>
    <w:rPr>
      <w:rFonts w:asciiTheme="majorHAnsi" w:eastAsia="MS Gothic" w:hAnsiTheme="majorHAnsi" w:cs="Arial"/>
      <w:bCs/>
      <w:color w:val="009CA6" w:themeColor="accent5"/>
      <w:kern w:val="32"/>
      <w:sz w:val="52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203F7"/>
    <w:rPr>
      <w:rFonts w:asciiTheme="majorHAnsi" w:eastAsia="MS Gothic" w:hAnsiTheme="majorHAnsi"/>
      <w:bCs/>
      <w:iCs/>
      <w:color w:val="009CA6" w:themeColor="accent5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2E18D2"/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2C4D47"/>
    <w:rPr>
      <w:rFonts w:asciiTheme="majorHAnsi" w:eastAsia="MS Mincho" w:hAnsiTheme="majorHAnsi"/>
      <w:b/>
      <w:bCs/>
      <w:color w:val="009CA6" w:themeColor="accent5"/>
      <w:sz w:val="28"/>
      <w:szCs w:val="28"/>
      <w:lang w:eastAsia="en-US"/>
    </w:rPr>
  </w:style>
  <w:style w:type="paragraph" w:styleId="Header">
    <w:name w:val="header"/>
    <w:link w:val="HeaderChar"/>
    <w:rsid w:val="00900A34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99618E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551152"/>
    <w:rPr>
      <w:color w:val="6633CC"/>
      <w:u w:val="dotted"/>
    </w:rPr>
  </w:style>
  <w:style w:type="character" w:customStyle="1" w:styleId="FootnoteTextChar">
    <w:name w:val="Footnote Text Char"/>
    <w:link w:val="FootnoteText"/>
    <w:uiPriority w:val="8"/>
    <w:rsid w:val="0099618E"/>
    <w:rPr>
      <w:rFonts w:asciiTheme="minorHAnsi" w:eastAsia="MS Gothic" w:hAnsiTheme="minorHAnsi"/>
      <w:sz w:val="18"/>
      <w:szCs w:val="18"/>
      <w:lang w:eastAsia="en-US"/>
    </w:rPr>
  </w:style>
  <w:style w:type="paragraph" w:styleId="EndnoteText">
    <w:name w:val="endnote text"/>
    <w:basedOn w:val="Normal"/>
    <w:semiHidden/>
    <w:rsid w:val="00EA6F2B"/>
    <w:rPr>
      <w:sz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uiPriority w:val="59"/>
    <w:rsid w:val="00353D19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styleId="PageNumber">
    <w:name w:val="page number"/>
    <w:basedOn w:val="DefaultParagraphFont"/>
    <w:semiHidden/>
    <w:rsid w:val="00DA7946"/>
  </w:style>
  <w:style w:type="character" w:styleId="FootnoteReference">
    <w:name w:val="footnote reference"/>
    <w:uiPriority w:val="8"/>
    <w:rsid w:val="00232144"/>
    <w:rPr>
      <w:vertAlign w:val="superscript"/>
    </w:rPr>
  </w:style>
  <w:style w:type="paragraph" w:styleId="FootnoteText">
    <w:name w:val="footnote text"/>
    <w:link w:val="FootnoteTextChar"/>
    <w:uiPriority w:val="8"/>
    <w:rsid w:val="0099618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paragraph" w:styleId="TOC1">
    <w:name w:val="toc 1"/>
    <w:uiPriority w:val="39"/>
    <w:rsid w:val="00352B6B"/>
    <w:pPr>
      <w:keepLines/>
      <w:tabs>
        <w:tab w:val="right" w:pos="9072"/>
      </w:tabs>
      <w:spacing w:before="200" w:after="60"/>
      <w:ind w:right="680"/>
    </w:pPr>
    <w:rPr>
      <w:rFonts w:asciiTheme="minorHAnsi" w:hAnsiTheme="minorHAnsi"/>
      <w:b/>
      <w:noProof/>
      <w:sz w:val="22"/>
      <w:szCs w:val="22"/>
      <w:lang w:eastAsia="en-US"/>
    </w:rPr>
  </w:style>
  <w:style w:type="paragraph" w:styleId="TOC2">
    <w:name w:val="toc 2"/>
    <w:uiPriority w:val="39"/>
    <w:rsid w:val="00352B6B"/>
    <w:pPr>
      <w:keepLines/>
      <w:tabs>
        <w:tab w:val="right" w:pos="9072"/>
      </w:tabs>
      <w:spacing w:after="60"/>
      <w:ind w:right="680"/>
    </w:pPr>
    <w:rPr>
      <w:rFonts w:asciiTheme="minorHAnsi" w:hAnsiTheme="minorHAnsi"/>
      <w:noProof/>
      <w:sz w:val="22"/>
      <w:szCs w:val="22"/>
      <w:lang w:eastAsia="en-US"/>
    </w:rPr>
  </w:style>
  <w:style w:type="paragraph" w:styleId="TOC3">
    <w:name w:val="toc 3"/>
    <w:basedOn w:val="DPCbodynospace"/>
    <w:next w:val="Normal"/>
    <w:uiPriority w:val="39"/>
    <w:rsid w:val="0088510E"/>
  </w:style>
  <w:style w:type="paragraph" w:styleId="TOC4">
    <w:name w:val="toc 4"/>
    <w:basedOn w:val="Normal"/>
    <w:next w:val="Normal"/>
    <w:autoRedefine/>
    <w:uiPriority w:val="39"/>
    <w:semiHidden/>
    <w:rsid w:val="00AC2D63"/>
    <w:pPr>
      <w:tabs>
        <w:tab w:val="right" w:leader="dot" w:pos="9299"/>
      </w:tabs>
      <w:spacing w:after="60" w:line="270" w:lineRule="atLeast"/>
      <w:ind w:left="567" w:right="6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PCreporttitle">
    <w:name w:val="DPC report title"/>
    <w:uiPriority w:val="4"/>
    <w:rsid w:val="004C4D4A"/>
    <w:pPr>
      <w:keepLines/>
      <w:spacing w:after="240"/>
    </w:pPr>
    <w:rPr>
      <w:rFonts w:asciiTheme="majorHAnsi" w:hAnsiTheme="majorHAnsi"/>
      <w:bCs/>
      <w:color w:val="FFFFFF" w:themeColor="background1"/>
      <w:sz w:val="64"/>
      <w:szCs w:val="64"/>
      <w:lang w:eastAsia="en-US"/>
    </w:rPr>
  </w:style>
  <w:style w:type="paragraph" w:customStyle="1" w:styleId="DPCreportsubtitle">
    <w:name w:val="DPC report subtitle"/>
    <w:uiPriority w:val="4"/>
    <w:rsid w:val="004C4D4A"/>
    <w:pPr>
      <w:spacing w:after="120"/>
    </w:pPr>
    <w:rPr>
      <w:rFonts w:asciiTheme="majorHAnsi" w:hAnsiTheme="majorHAnsi"/>
      <w:bCs/>
      <w:color w:val="FFFFFF" w:themeColor="background1"/>
      <w:sz w:val="40"/>
      <w:szCs w:val="40"/>
      <w:lang w:eastAsia="en-US"/>
    </w:rPr>
  </w:style>
  <w:style w:type="character" w:customStyle="1" w:styleId="Heading5Char">
    <w:name w:val="Heading 5 Char"/>
    <w:link w:val="Heading5"/>
    <w:uiPriority w:val="9"/>
    <w:rsid w:val="00501D7E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232144"/>
    <w:rPr>
      <w:color w:val="3366FF"/>
      <w:u w:val="dotted"/>
    </w:rPr>
  </w:style>
  <w:style w:type="paragraph" w:customStyle="1" w:styleId="DPCTOCheadingreport">
    <w:name w:val="DPC TOC heading report"/>
    <w:basedOn w:val="Heading1"/>
    <w:link w:val="DPCTOCheadingreportChar"/>
    <w:uiPriority w:val="5"/>
    <w:rsid w:val="002C4D47"/>
    <w:pPr>
      <w:pageBreakBefore/>
      <w:outlineLvl w:val="9"/>
    </w:pPr>
  </w:style>
  <w:style w:type="character" w:customStyle="1" w:styleId="DPCTOCheadingreportChar">
    <w:name w:val="DPC TOC heading report Char"/>
    <w:link w:val="DPCTOCheadingreport"/>
    <w:uiPriority w:val="5"/>
    <w:rsid w:val="002C4D47"/>
    <w:rPr>
      <w:rFonts w:asciiTheme="majorHAnsi" w:eastAsia="MS Gothic" w:hAnsiTheme="majorHAnsi" w:cs="Arial"/>
      <w:bCs/>
      <w:color w:val="009CA6" w:themeColor="accent5"/>
      <w:kern w:val="32"/>
      <w:sz w:val="52"/>
      <w:szCs w:val="52"/>
      <w:lang w:eastAsia="en-US"/>
    </w:rPr>
  </w:style>
  <w:style w:type="numbering" w:customStyle="1" w:styleId="Bullets">
    <w:name w:val="Bullets"/>
    <w:rsid w:val="00C601CF"/>
    <w:pPr>
      <w:numPr>
        <w:numId w:val="1"/>
      </w:numPr>
    </w:pPr>
  </w:style>
  <w:style w:type="numbering" w:customStyle="1" w:styleId="Numbers">
    <w:name w:val="Numbers"/>
    <w:rsid w:val="00232144"/>
    <w:pPr>
      <w:numPr>
        <w:numId w:val="2"/>
      </w:numPr>
    </w:pPr>
  </w:style>
  <w:style w:type="paragraph" w:customStyle="1" w:styleId="DPCaccessibilitypara">
    <w:name w:val="DPC accessibility para"/>
    <w:uiPriority w:val="11"/>
    <w:rsid w:val="007A6B45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">
    <w:name w:val="DPC body"/>
    <w:qFormat/>
    <w:rsid w:val="00FE51D3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232144"/>
    <w:pPr>
      <w:spacing w:before="240"/>
    </w:pPr>
  </w:style>
  <w:style w:type="paragraph" w:customStyle="1" w:styleId="DPCbodynospace">
    <w:name w:val="DPC body no space"/>
    <w:basedOn w:val="DPCbody"/>
    <w:uiPriority w:val="1"/>
    <w:rsid w:val="00232144"/>
    <w:pPr>
      <w:spacing w:after="0"/>
    </w:pPr>
  </w:style>
  <w:style w:type="paragraph" w:customStyle="1" w:styleId="DPCbullet1">
    <w:name w:val="DPC bullet 1"/>
    <w:basedOn w:val="DPCbody"/>
    <w:qFormat/>
    <w:rsid w:val="00C601CF"/>
    <w:pPr>
      <w:numPr>
        <w:numId w:val="1"/>
      </w:numPr>
      <w:spacing w:after="60"/>
    </w:pPr>
  </w:style>
  <w:style w:type="paragraph" w:customStyle="1" w:styleId="DPCbullet1lastline">
    <w:name w:val="DPC bullet 1 last line"/>
    <w:basedOn w:val="DPCbullet1"/>
    <w:qFormat/>
    <w:rsid w:val="00C601CF"/>
    <w:pPr>
      <w:numPr>
        <w:ilvl w:val="1"/>
      </w:numPr>
      <w:spacing w:after="160"/>
    </w:pPr>
  </w:style>
  <w:style w:type="paragraph" w:customStyle="1" w:styleId="DPCbullet2">
    <w:name w:val="DPC bullet 2"/>
    <w:basedOn w:val="DPCbody"/>
    <w:uiPriority w:val="2"/>
    <w:qFormat/>
    <w:rsid w:val="00C601CF"/>
    <w:pPr>
      <w:numPr>
        <w:ilvl w:val="2"/>
        <w:numId w:val="1"/>
      </w:numPr>
      <w:spacing w:after="60"/>
    </w:pPr>
  </w:style>
  <w:style w:type="paragraph" w:customStyle="1" w:styleId="DPCbullet2lastline">
    <w:name w:val="DPC bullet 2 last line"/>
    <w:basedOn w:val="DPCbullet2"/>
    <w:uiPriority w:val="2"/>
    <w:rsid w:val="00C601CF"/>
    <w:pPr>
      <w:numPr>
        <w:ilvl w:val="3"/>
      </w:numPr>
      <w:spacing w:after="160"/>
    </w:pPr>
  </w:style>
  <w:style w:type="paragraph" w:customStyle="1" w:styleId="DPCbulletindent">
    <w:name w:val="DPC bullet indent"/>
    <w:basedOn w:val="DPCbody"/>
    <w:rsid w:val="00C601CF"/>
    <w:pPr>
      <w:numPr>
        <w:ilvl w:val="4"/>
        <w:numId w:val="1"/>
      </w:numPr>
      <w:spacing w:after="60"/>
    </w:pPr>
  </w:style>
  <w:style w:type="paragraph" w:customStyle="1" w:styleId="DPCbulletindentlastline">
    <w:name w:val="DPC bullet indent last line"/>
    <w:basedOn w:val="DPCbody"/>
    <w:rsid w:val="00C601CF"/>
    <w:pPr>
      <w:numPr>
        <w:ilvl w:val="5"/>
        <w:numId w:val="1"/>
      </w:numPr>
    </w:pPr>
  </w:style>
  <w:style w:type="paragraph" w:customStyle="1" w:styleId="DPCfigurecaption">
    <w:name w:val="DPC figure caption"/>
    <w:next w:val="DPCbody"/>
    <w:uiPriority w:val="8"/>
    <w:rsid w:val="00501D7E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numberdigit">
    <w:name w:val="DPC number digit"/>
    <w:basedOn w:val="DPCbody"/>
    <w:uiPriority w:val="4"/>
    <w:rsid w:val="00232144"/>
    <w:pPr>
      <w:numPr>
        <w:numId w:val="3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232144"/>
    <w:pPr>
      <w:numPr>
        <w:ilvl w:val="3"/>
        <w:numId w:val="3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232144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232144"/>
    <w:pPr>
      <w:numPr>
        <w:ilvl w:val="2"/>
        <w:numId w:val="3"/>
      </w:numPr>
    </w:pPr>
  </w:style>
  <w:style w:type="paragraph" w:customStyle="1" w:styleId="DPCnumberlowerroman">
    <w:name w:val="DPC number lower roman"/>
    <w:basedOn w:val="DPCbody"/>
    <w:uiPriority w:val="4"/>
    <w:qFormat/>
    <w:rsid w:val="00232144"/>
    <w:pPr>
      <w:numPr>
        <w:ilvl w:val="4"/>
        <w:numId w:val="3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232144"/>
    <w:pPr>
      <w:numPr>
        <w:ilvl w:val="5"/>
        <w:numId w:val="3"/>
      </w:numPr>
    </w:pPr>
  </w:style>
  <w:style w:type="paragraph" w:customStyle="1" w:styleId="DPCquote">
    <w:name w:val="DPC quote"/>
    <w:basedOn w:val="DPCbody"/>
    <w:uiPriority w:val="3"/>
    <w:qFormat/>
    <w:rsid w:val="00DB402D"/>
    <w:pPr>
      <w:shd w:val="clear" w:color="auto" w:fill="D9D9D9" w:themeFill="background1" w:themeFillShade="D9"/>
      <w:ind w:left="284" w:hanging="284"/>
    </w:pPr>
    <w:rPr>
      <w:color w:val="009CA6" w:themeColor="accent5"/>
    </w:rPr>
  </w:style>
  <w:style w:type="paragraph" w:customStyle="1" w:styleId="DPCtabletext">
    <w:name w:val="DPC table text"/>
    <w:uiPriority w:val="3"/>
    <w:qFormat/>
    <w:rsid w:val="00FE51D3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bullet">
    <w:name w:val="DPC table bullet"/>
    <w:basedOn w:val="DPCtabletext"/>
    <w:uiPriority w:val="3"/>
    <w:qFormat/>
    <w:rsid w:val="00C601CF"/>
    <w:pPr>
      <w:numPr>
        <w:ilvl w:val="6"/>
        <w:numId w:val="1"/>
      </w:numPr>
    </w:pPr>
  </w:style>
  <w:style w:type="paragraph" w:customStyle="1" w:styleId="DPCtablecaption">
    <w:name w:val="DPC table caption"/>
    <w:next w:val="DPCbody"/>
    <w:uiPriority w:val="3"/>
    <w:qFormat/>
    <w:rsid w:val="00501D7E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tablecolhead">
    <w:name w:val="DPC table col head"/>
    <w:uiPriority w:val="3"/>
    <w:qFormat/>
    <w:rsid w:val="00D81F78"/>
    <w:pPr>
      <w:spacing w:before="80" w:after="60"/>
    </w:pPr>
    <w:rPr>
      <w:rFonts w:asciiTheme="majorHAnsi" w:hAnsiTheme="majorHAnsi"/>
      <w:b/>
      <w:color w:val="53565A" w:themeColor="accent6"/>
      <w:lang w:eastAsia="en-US"/>
    </w:rPr>
  </w:style>
  <w:style w:type="paragraph" w:customStyle="1" w:styleId="DPCtablefigurefootnote">
    <w:name w:val="DPC table/figure footnote"/>
    <w:uiPriority w:val="4"/>
    <w:rsid w:val="00FE51D3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semiHidden/>
    <w:rsid w:val="00232144"/>
    <w:pPr>
      <w:spacing w:line="240" w:lineRule="auto"/>
    </w:pPr>
    <w:rPr>
      <w:noProof/>
      <w:sz w:val="12"/>
    </w:rPr>
  </w:style>
  <w:style w:type="paragraph" w:styleId="BodyText">
    <w:name w:val="Body Text"/>
    <w:basedOn w:val="Normal"/>
    <w:link w:val="BodyTextChar"/>
    <w:uiPriority w:val="99"/>
    <w:unhideWhenUsed/>
    <w:rsid w:val="00E82A7D"/>
  </w:style>
  <w:style w:type="character" w:customStyle="1" w:styleId="BodyTextChar">
    <w:name w:val="Body Text Char"/>
    <w:basedOn w:val="DefaultParagraphFont"/>
    <w:link w:val="BodyText"/>
    <w:uiPriority w:val="99"/>
    <w:rsid w:val="00E82A7D"/>
    <w:rPr>
      <w:rFonts w:ascii="Arial" w:eastAsia="Cambria" w:hAnsi="Arial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82A7D"/>
    <w:pPr>
      <w:spacing w:before="0" w:after="200" w:line="240" w:lineRule="auto"/>
    </w:pPr>
    <w:rPr>
      <w:b/>
      <w:bCs/>
      <w:color w:val="201547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A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7D"/>
    <w:rPr>
      <w:rFonts w:ascii="Tahoma" w:eastAsia="Cambria" w:hAnsi="Tahoma" w:cs="Tahoma"/>
      <w:sz w:val="16"/>
      <w:szCs w:val="16"/>
      <w:lang w:val="en-US" w:eastAsia="en-US"/>
    </w:rPr>
  </w:style>
  <w:style w:type="table" w:styleId="MediumShading1-Accent6">
    <w:name w:val="Medium Shading 1 Accent 6"/>
    <w:basedOn w:val="TableNormal"/>
    <w:uiPriority w:val="68"/>
    <w:rsid w:val="00E82A7D"/>
    <w:tblPr>
      <w:tblStyleRowBandSize w:val="1"/>
      <w:tblStyleColBandSize w:val="1"/>
      <w:tblBorders>
        <w:top w:val="single" w:sz="8" w:space="0" w:color="7B7F85" w:themeColor="accent6" w:themeTint="BF"/>
        <w:left w:val="single" w:sz="8" w:space="0" w:color="7B7F85" w:themeColor="accent6" w:themeTint="BF"/>
        <w:bottom w:val="single" w:sz="8" w:space="0" w:color="7B7F85" w:themeColor="accent6" w:themeTint="BF"/>
        <w:right w:val="single" w:sz="8" w:space="0" w:color="7B7F85" w:themeColor="accent6" w:themeTint="BF"/>
        <w:insideH w:val="single" w:sz="8" w:space="0" w:color="7B7F8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  <w:shd w:val="clear" w:color="auto" w:fill="5356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6" w:themeTint="BF"/>
          <w:left w:val="single" w:sz="8" w:space="0" w:color="7B7F85" w:themeColor="accent6" w:themeTint="BF"/>
          <w:bottom w:val="single" w:sz="8" w:space="0" w:color="7B7F85" w:themeColor="accent6" w:themeTint="BF"/>
          <w:right w:val="single" w:sz="8" w:space="0" w:color="7B7F8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DPCbody"/>
    <w:uiPriority w:val="72"/>
    <w:qFormat/>
    <w:rsid w:val="00E82A7D"/>
    <w:pPr>
      <w:numPr>
        <w:numId w:val="5"/>
      </w:numPr>
    </w:pPr>
  </w:style>
  <w:style w:type="paragraph" w:styleId="Quote">
    <w:name w:val="Quote"/>
    <w:basedOn w:val="DPCquote"/>
    <w:next w:val="Normal"/>
    <w:link w:val="QuoteChar"/>
    <w:uiPriority w:val="73"/>
    <w:qFormat/>
    <w:rsid w:val="00A068C1"/>
    <w:pPr>
      <w:spacing w:after="120"/>
      <w:ind w:left="425" w:hanging="425"/>
    </w:pPr>
  </w:style>
  <w:style w:type="character" w:customStyle="1" w:styleId="QuoteChar">
    <w:name w:val="Quote Char"/>
    <w:basedOn w:val="DefaultParagraphFont"/>
    <w:link w:val="Quote"/>
    <w:uiPriority w:val="73"/>
    <w:rsid w:val="00A068C1"/>
    <w:rPr>
      <w:rFonts w:asciiTheme="minorHAnsi" w:eastAsia="Times" w:hAnsiTheme="minorHAnsi" w:cs="Arial"/>
      <w:color w:val="009CA6" w:themeColor="accent5"/>
      <w:sz w:val="22"/>
      <w:szCs w:val="22"/>
      <w:shd w:val="clear" w:color="auto" w:fill="D9D9D9" w:themeFill="background1" w:themeFillShade="D9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4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0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02D"/>
    <w:rPr>
      <w:rFonts w:ascii="Arial" w:eastAsia="Cambria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02D"/>
    <w:rPr>
      <w:rFonts w:ascii="Arial" w:eastAsia="Cambria" w:hAnsi="Arial"/>
      <w:b/>
      <w:bCs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BB1EB1"/>
    <w:pPr>
      <w:keepNext/>
      <w:spacing w:before="360" w:after="0" w:line="240" w:lineRule="auto"/>
      <w:outlineLvl w:val="0"/>
    </w:pPr>
    <w:rPr>
      <w:rFonts w:eastAsia="Times New Roman"/>
      <w:b/>
      <w:bCs/>
      <w:caps/>
      <w:color w:val="082B61"/>
      <w:kern w:val="32"/>
      <w:sz w:val="24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BB1EB1"/>
    <w:rPr>
      <w:rFonts w:ascii="Arial" w:hAnsi="Arial"/>
      <w:b/>
      <w:bCs/>
      <w:caps/>
      <w:color w:val="082B61"/>
      <w:kern w:val="32"/>
      <w:sz w:val="24"/>
      <w:szCs w:val="32"/>
      <w:lang w:val="en-GB" w:eastAsia="en-US"/>
    </w:rPr>
  </w:style>
  <w:style w:type="paragraph" w:customStyle="1" w:styleId="StyleBulletVArial11pt">
    <w:name w:val="Style Bullet V + Arial 11 pt"/>
    <w:basedOn w:val="Normal"/>
    <w:autoRedefine/>
    <w:semiHidden/>
    <w:rsid w:val="00971842"/>
    <w:pPr>
      <w:keepLines/>
      <w:numPr>
        <w:numId w:val="6"/>
      </w:numPr>
      <w:spacing w:before="120" w:line="240" w:lineRule="auto"/>
      <w:jc w:val="both"/>
    </w:pPr>
    <w:rPr>
      <w:rFonts w:eastAsia="Times New Roman" w:cs="Arial"/>
      <w:snapToGrid w:val="0"/>
      <w:sz w:val="22"/>
      <w:szCs w:val="22"/>
      <w:lang w:val="en-GB"/>
    </w:rPr>
  </w:style>
  <w:style w:type="paragraph" w:customStyle="1" w:styleId="Default">
    <w:name w:val="Default"/>
    <w:rsid w:val="002A3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PCfooter">
    <w:name w:val="DPC footer"/>
    <w:uiPriority w:val="11"/>
    <w:rsid w:val="004503DB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503DB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nterprisesolutions.vic.gov.au/information-management/" TargetMode="External"/><Relationship Id="rId26" Type="http://schemas.openxmlformats.org/officeDocument/2006/relationships/hyperlink" Target="https://www.psma.com.au/get-data" TargetMode="External"/><Relationship Id="rId39" Type="http://schemas.openxmlformats.org/officeDocument/2006/relationships/hyperlink" Target="mailto:digital.transformation@dpc.vic.gov.a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enterprisesolutions.vic.gov.au/information-management/" TargetMode="External"/><Relationship Id="rId34" Type="http://schemas.openxmlformats.org/officeDocument/2006/relationships/hyperlink" Target="https://auspost.com.au/business-solutions/data-marketing-services/supporting-our-data-partners/address-data" TargetMode="External"/><Relationship Id="rId42" Type="http://schemas.openxmlformats.org/officeDocument/2006/relationships/footer" Target="footer4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s://www.psma.com.au/products/g-naf-live" TargetMode="External"/><Relationship Id="rId33" Type="http://schemas.openxmlformats.org/officeDocument/2006/relationships/hyperlink" Target="https://auspost.com.au/business-solutions/data-marketing-services/improve-your-data/address-data/raw-address-data" TargetMode="External"/><Relationship Id="rId38" Type="http://schemas.openxmlformats.org/officeDocument/2006/relationships/hyperlink" Target="https://www2.health.vic.gov.au/about/reporting-planning-data/data-dictionaries/common-reference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enterprisesolutions.vic.gov.au/information-management/" TargetMode="External"/><Relationship Id="rId29" Type="http://schemas.openxmlformats.org/officeDocument/2006/relationships/hyperlink" Target="http://www.depi.vic.gov.au/forestry-and-land-use/spatial-data-and-resources/vicmap-data-service-providers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data.gov.au/dataset/geocoded-national-address-file-g-naf" TargetMode="External"/><Relationship Id="rId32" Type="http://schemas.openxmlformats.org/officeDocument/2006/relationships/hyperlink" Target="http://www.depi.vic.gov.au/forestry-and-land-use/spatial-data-and-resources/vicmap" TargetMode="External"/><Relationship Id="rId37" Type="http://schemas.openxmlformats.org/officeDocument/2006/relationships/image" Target="media/image3.jpg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www2.health.vic.gov.au/about/reporting-planning-data/data-dictionaries/common-reference" TargetMode="External"/><Relationship Id="rId28" Type="http://schemas.openxmlformats.org/officeDocument/2006/relationships/hyperlink" Target="https://services.land.vic.gov.au/SpatialDatamart/" TargetMode="External"/><Relationship Id="rId36" Type="http://schemas.openxmlformats.org/officeDocument/2006/relationships/hyperlink" Target="https://www.govshare.gov.a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nterprisesolutions.vic.gov.au/information-management/" TargetMode="External"/><Relationship Id="rId31" Type="http://schemas.openxmlformats.org/officeDocument/2006/relationships/hyperlink" Target="http://www.depi.vic.gov.au/forestry-and-land-use/spatial-data-and-resources/vicmap" TargetMode="External"/><Relationship Id="rId44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www.govshare.gov.au/item-details/?rid=49" TargetMode="External"/><Relationship Id="rId27" Type="http://schemas.openxmlformats.org/officeDocument/2006/relationships/hyperlink" Target="https://www.psma.com.au/products/g-naf" TargetMode="External"/><Relationship Id="rId30" Type="http://schemas.openxmlformats.org/officeDocument/2006/relationships/hyperlink" Target="https://www.data.vic.gov.au/" TargetMode="External"/><Relationship Id="rId35" Type="http://schemas.openxmlformats.org/officeDocument/2006/relationships/hyperlink" Target="https://www.govshare.gov.au/item-details/?rid=49" TargetMode="External"/><Relationship Id="rId43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ntranet.vic.gov.au/" TargetMode="External"/><Relationship Id="rId3" Type="http://schemas.openxmlformats.org/officeDocument/2006/relationships/hyperlink" Target="http://www.depi.vic.gov.au/forestry-and-land-use/spatial-data-and-resources/vicmap" TargetMode="External"/><Relationship Id="rId7" Type="http://schemas.openxmlformats.org/officeDocument/2006/relationships/hyperlink" Target="https://infostore.saiglobal.com/store/details.aspx?ProductID=316376" TargetMode="External"/><Relationship Id="rId2" Type="http://schemas.openxmlformats.org/officeDocument/2006/relationships/hyperlink" Target="https://www.psma.com.au/products/g-naf" TargetMode="External"/><Relationship Id="rId1" Type="http://schemas.openxmlformats.org/officeDocument/2006/relationships/hyperlink" Target="http://www.vic.gov.au/digital-strategy-transformation/" TargetMode="External"/><Relationship Id="rId6" Type="http://schemas.openxmlformats.org/officeDocument/2006/relationships/hyperlink" Target="https://auspost.com.au/business-solutions/data-marketing-services/supporting-our-data-partners/address-data" TargetMode="External"/><Relationship Id="rId5" Type="http://schemas.openxmlformats.org/officeDocument/2006/relationships/hyperlink" Target="https://auspost.com.au/business-solutions/data-marketing-services/improve-your-data/address-data" TargetMode="External"/><Relationship Id="rId4" Type="http://schemas.openxmlformats.org/officeDocument/2006/relationships/hyperlink" Target="https://www.psma.com.au/products/g-naf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PC 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01547"/>
      </a:accent1>
      <a:accent2>
        <a:srgbClr val="E35205"/>
      </a:accent2>
      <a:accent3>
        <a:srgbClr val="87189D"/>
      </a:accent3>
      <a:accent4>
        <a:srgbClr val="AF272F"/>
      </a:accent4>
      <a:accent5>
        <a:srgbClr val="009CA6"/>
      </a:accent5>
      <a:accent6>
        <a:srgbClr val="53565A"/>
      </a:accent6>
      <a:hlink>
        <a:srgbClr val="3366FF"/>
      </a:hlink>
      <a:folHlink>
        <a:srgbClr val="9966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D576-4D4A-44CB-AF71-7273FE3536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88F2F59-7FF3-49B3-AC78-81FA4A1F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10</Pages>
  <Words>2418</Words>
  <Characters>14391</Characters>
  <Application>Microsoft Office Word</Application>
  <DocSecurity>0</DocSecurity>
  <Lines>359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16594</CharactersWithSpaces>
  <SharedDoc>false</SharedDoc>
  <HyperlinkBase/>
  <HLinks>
    <vt:vector size="36" baseType="variant"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_Toc411370762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_Toc411370761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_Toc411370760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_Toc411370759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_Toc411370758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_Toc411370757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Carly Lusk (DPC)</cp:lastModifiedBy>
  <cp:revision>328</cp:revision>
  <cp:lastPrinted>2017-06-13T05:41:00Z</cp:lastPrinted>
  <dcterms:created xsi:type="dcterms:W3CDTF">2017-06-06T06:13:00Z</dcterms:created>
  <dcterms:modified xsi:type="dcterms:W3CDTF">2020-07-17T03:50:00Z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99de1e31-bf2c-4e86-9615-12b9a1f8c3fb</vt:lpwstr>
  </property>
  <property fmtid="{D5CDD505-2E9C-101B-9397-08002B2CF9AE}" pid="4" name="PSPFClassification">
    <vt:lpwstr>Do Not Mark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carly.lusk@dpc.vic.gov.au</vt:lpwstr>
  </property>
  <property fmtid="{D5CDD505-2E9C-101B-9397-08002B2CF9AE}" pid="8" name="MSIP_Label_7158ebbd-6c5e-441f-bfc9-4eb8c11e3978_SetDate">
    <vt:lpwstr>2020-07-17T03:50:05.6273294Z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