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087B2F" w14:textId="22F0315E" w:rsidR="00931C47" w:rsidRPr="00304E49" w:rsidRDefault="00931C47" w:rsidP="004F775A">
      <w:pPr>
        <w:pStyle w:val="Title"/>
        <w:spacing w:before="4320"/>
        <w:ind w:left="1276" w:right="83"/>
      </w:pPr>
      <w:bookmarkStart w:id="0" w:name="_GoBack"/>
      <w:bookmarkEnd w:id="0"/>
      <w:r w:rsidRPr="00304E49">
        <w:t xml:space="preserve">ADULT, COMMUNITY </w:t>
      </w:r>
      <w:r w:rsidR="00BB6E48" w:rsidRPr="00304E49">
        <w:br/>
      </w:r>
      <w:r w:rsidRPr="00304E49">
        <w:t>AND FURTHER</w:t>
      </w:r>
      <w:r w:rsidR="00B45FE2" w:rsidRPr="00304E49">
        <w:t xml:space="preserve"> </w:t>
      </w:r>
      <w:r w:rsidRPr="00304E49">
        <w:t>EDUCATION</w:t>
      </w:r>
      <w:r w:rsidR="00BB6E48" w:rsidRPr="00304E49">
        <w:t xml:space="preserve"> </w:t>
      </w:r>
      <w:r w:rsidRPr="00304E49">
        <w:t xml:space="preserve">BOARD STRATEGY </w:t>
      </w:r>
      <w:r w:rsidR="00BB6E48" w:rsidRPr="00304E49">
        <w:br/>
      </w:r>
      <w:r w:rsidRPr="00304E49">
        <w:t>2020–25</w:t>
      </w:r>
    </w:p>
    <w:p w14:paraId="72F2BE6A" w14:textId="77777777" w:rsidR="00E91044" w:rsidRDefault="00931C47" w:rsidP="004F775A">
      <w:pPr>
        <w:pStyle w:val="Subtitle"/>
        <w:ind w:left="993" w:right="83"/>
        <w:sectPr w:rsidR="00E91044" w:rsidSect="000C1E8C">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134" w:right="794" w:bottom="1134" w:left="794" w:header="709" w:footer="709" w:gutter="170"/>
          <w:pgNumType w:start="1"/>
          <w:cols w:space="708"/>
          <w:docGrid w:linePitch="360"/>
        </w:sectPr>
      </w:pPr>
      <w:r w:rsidRPr="00E7394A">
        <w:t>SKILLS FOR STUDY, WORK AND LIFE</w:t>
      </w:r>
    </w:p>
    <w:p w14:paraId="5A90B449" w14:textId="62DCEE3D" w:rsidR="00407333" w:rsidRPr="008D6017" w:rsidRDefault="00AE5F51" w:rsidP="002B7025">
      <w:pPr>
        <w:pStyle w:val="Heading1"/>
      </w:pPr>
      <w:r w:rsidRPr="008D6017">
        <w:lastRenderedPageBreak/>
        <w:t xml:space="preserve">Chairperson’s </w:t>
      </w:r>
      <w:r w:rsidR="007B4A78">
        <w:br/>
      </w:r>
      <w:r w:rsidRPr="008D6017">
        <w:t>foreword</w:t>
      </w:r>
    </w:p>
    <w:p w14:paraId="1EC5C241" w14:textId="68C97904" w:rsidR="00F14A99" w:rsidRPr="008D6017" w:rsidRDefault="00F14A99" w:rsidP="00941B5F">
      <w:pPr>
        <w:pStyle w:val="BodyText"/>
      </w:pPr>
      <w:r w:rsidRPr="008D6017">
        <w:t>The Adult, Communi</w:t>
      </w:r>
      <w:r w:rsidR="00CF6918" w:rsidRPr="008D6017">
        <w:t>ty and Further Education</w:t>
      </w:r>
      <w:r w:rsidR="00622312" w:rsidRPr="008D6017">
        <w:t xml:space="preserve"> </w:t>
      </w:r>
      <w:r w:rsidR="005B320A" w:rsidRPr="008D6017">
        <w:t>Board</w:t>
      </w:r>
      <w:r w:rsidRPr="008D6017">
        <w:t xml:space="preserve"> </w:t>
      </w:r>
      <w:r w:rsidR="00566870" w:rsidRPr="008D6017">
        <w:t>leads</w:t>
      </w:r>
      <w:r w:rsidRPr="008D6017">
        <w:t xml:space="preserve"> adult community and further education in Victoria</w:t>
      </w:r>
      <w:r w:rsidR="00566870" w:rsidRPr="008D6017">
        <w:t xml:space="preserve"> and oversees Victorian Government funding to the Learn Local sector</w:t>
      </w:r>
      <w:r w:rsidRPr="008D6017">
        <w:t xml:space="preserve">. This strategy establishes a blueprint for the </w:t>
      </w:r>
      <w:r w:rsidR="00637730" w:rsidRPr="008D6017">
        <w:t xml:space="preserve">Board and the </w:t>
      </w:r>
      <w:r w:rsidR="00216EE5" w:rsidRPr="008D6017">
        <w:t>Learn Local sector</w:t>
      </w:r>
      <w:r w:rsidRPr="008D6017">
        <w:t xml:space="preserve"> for the six years from 2020 to 2025.</w:t>
      </w:r>
    </w:p>
    <w:p w14:paraId="24317E88" w14:textId="6D74ACB0" w:rsidR="003B1066" w:rsidRPr="008D6017" w:rsidRDefault="00637730" w:rsidP="00941B5F">
      <w:pPr>
        <w:pStyle w:val="BodyText"/>
      </w:pPr>
      <w:r w:rsidRPr="008D6017">
        <w:t>T</w:t>
      </w:r>
      <w:r w:rsidR="00F14A99" w:rsidRPr="008D6017">
        <w:t>he</w:t>
      </w:r>
      <w:r w:rsidR="003B1066" w:rsidRPr="008D6017">
        <w:t xml:space="preserve"> </w:t>
      </w:r>
      <w:r w:rsidR="009C2D6C" w:rsidRPr="008D6017">
        <w:t>Learn Local sector</w:t>
      </w:r>
      <w:r w:rsidR="003B1066" w:rsidRPr="008D6017">
        <w:t xml:space="preserve"> plays a vital role in changing the lives of thousands of Victorians each year. </w:t>
      </w:r>
      <w:r w:rsidR="00861673" w:rsidRPr="008D6017">
        <w:t xml:space="preserve">The sector </w:t>
      </w:r>
      <w:r w:rsidR="003B1066" w:rsidRPr="008D6017">
        <w:t xml:space="preserve">takes great pride in supporting learners to achieve their learning goals. It provides opportunities for people to re-engage </w:t>
      </w:r>
      <w:r w:rsidRPr="008D6017">
        <w:t xml:space="preserve">with education and training, </w:t>
      </w:r>
      <w:r w:rsidR="003B1066" w:rsidRPr="008D6017">
        <w:t>participate in positive learning experiences</w:t>
      </w:r>
      <w:r w:rsidR="00861673" w:rsidRPr="008D6017">
        <w:t>,</w:t>
      </w:r>
      <w:r w:rsidR="003B1066" w:rsidRPr="008D6017">
        <w:t xml:space="preserve"> and gain the confidence and skills they need to </w:t>
      </w:r>
      <w:r w:rsidR="001074D3" w:rsidRPr="008D6017">
        <w:t>improve their lives and take the next steps towards their future,</w:t>
      </w:r>
      <w:r w:rsidR="003B1066" w:rsidRPr="008D6017">
        <w:t xml:space="preserve"> whether further study, gaining employment, </w:t>
      </w:r>
      <w:r w:rsidR="00E37769" w:rsidRPr="008D6017">
        <w:t xml:space="preserve">or maintaining employment by </w:t>
      </w:r>
      <w:r w:rsidR="00407333" w:rsidRPr="008D6017">
        <w:t>upskilling or changing careers</w:t>
      </w:r>
      <w:r w:rsidR="00861673" w:rsidRPr="008D6017">
        <w:t xml:space="preserve">. Crucially, the sector </w:t>
      </w:r>
      <w:r w:rsidR="00E37769" w:rsidRPr="008D6017">
        <w:t xml:space="preserve">gives </w:t>
      </w:r>
      <w:r w:rsidR="00861673" w:rsidRPr="008D6017">
        <w:t xml:space="preserve">people </w:t>
      </w:r>
      <w:r w:rsidR="00E37769" w:rsidRPr="008D6017">
        <w:t xml:space="preserve">greater ability </w:t>
      </w:r>
      <w:r w:rsidR="00861673" w:rsidRPr="008D6017">
        <w:t xml:space="preserve">to </w:t>
      </w:r>
      <w:r w:rsidR="00954470" w:rsidRPr="008D6017">
        <w:t>participat</w:t>
      </w:r>
      <w:r w:rsidR="00861673" w:rsidRPr="008D6017">
        <w:t>e</w:t>
      </w:r>
      <w:r w:rsidR="00954470" w:rsidRPr="008D6017">
        <w:t xml:space="preserve"> fully as </w:t>
      </w:r>
      <w:r w:rsidR="00E37769" w:rsidRPr="008D6017">
        <w:t xml:space="preserve">active </w:t>
      </w:r>
      <w:r w:rsidR="00954470" w:rsidRPr="008D6017">
        <w:t>member</w:t>
      </w:r>
      <w:r w:rsidR="00861673" w:rsidRPr="008D6017">
        <w:t>s</w:t>
      </w:r>
      <w:r w:rsidR="00954470" w:rsidRPr="008D6017">
        <w:t xml:space="preserve"> of the Victorian community</w:t>
      </w:r>
      <w:r w:rsidR="00407333" w:rsidRPr="008D6017">
        <w:t>.</w:t>
      </w:r>
    </w:p>
    <w:p w14:paraId="5B28C6EE" w14:textId="6BED262B" w:rsidR="003B1066" w:rsidRPr="008D6017" w:rsidRDefault="003B1066" w:rsidP="00941B5F">
      <w:pPr>
        <w:pStyle w:val="BodyText"/>
      </w:pPr>
      <w:r w:rsidRPr="008D6017">
        <w:t>Continuing my career-long commitment to adult learning, I was honoured to be appointed Chairperson of the Adult, Community and Further Education Board in August 2018.</w:t>
      </w:r>
      <w:r w:rsidR="00954470" w:rsidRPr="008D6017">
        <w:t xml:space="preserve"> My commitment to </w:t>
      </w:r>
      <w:r w:rsidRPr="008D6017">
        <w:t xml:space="preserve">learners </w:t>
      </w:r>
      <w:r w:rsidR="008553E9" w:rsidRPr="008D6017">
        <w:t>who are seeking to enhance their educational capa</w:t>
      </w:r>
      <w:r w:rsidR="006F29BA" w:rsidRPr="008D6017">
        <w:t>c</w:t>
      </w:r>
      <w:r w:rsidR="008553E9" w:rsidRPr="008D6017">
        <w:t xml:space="preserve">ity and core skills </w:t>
      </w:r>
      <w:r w:rsidRPr="008D6017">
        <w:t xml:space="preserve">began as an adult language, literacy and numeracy teacher, an experience that shaped my passion for education. Since then, my working life has been strongly aligned to the core values and purpose of the </w:t>
      </w:r>
      <w:r w:rsidR="009C2D6C" w:rsidRPr="008D6017">
        <w:t>Learn Local sector</w:t>
      </w:r>
      <w:r w:rsidRPr="008D6017">
        <w:t xml:space="preserve"> and the difference it makes on a daily basis to so many people across the state.</w:t>
      </w:r>
    </w:p>
    <w:p w14:paraId="46647692" w14:textId="414D5790" w:rsidR="003B1066" w:rsidRPr="008D6017" w:rsidRDefault="003B1066" w:rsidP="00941B5F">
      <w:pPr>
        <w:pStyle w:val="BodyText"/>
      </w:pPr>
      <w:r w:rsidRPr="008D6017">
        <w:t xml:space="preserve">This new, multiyear strategy builds on the work achieved under the previous strategy. It acknowledges the sector’s strengths, and it looks to the future and how best to position the sector in the adult education </w:t>
      </w:r>
      <w:r w:rsidR="006C4FE8" w:rsidRPr="008D6017">
        <w:t xml:space="preserve">and training </w:t>
      </w:r>
      <w:r w:rsidRPr="008D6017">
        <w:t xml:space="preserve">landscape in Victoria. The new strategy reflects our aim to provide a clear direction </w:t>
      </w:r>
      <w:r w:rsidR="00F71E50" w:rsidRPr="008D6017">
        <w:t>with</w:t>
      </w:r>
      <w:r w:rsidRPr="008D6017">
        <w:t xml:space="preserve"> a strong focus on learners and measurable </w:t>
      </w:r>
      <w:r w:rsidR="00F71E50" w:rsidRPr="008D6017">
        <w:t xml:space="preserve">positive </w:t>
      </w:r>
      <w:r w:rsidRPr="008D6017">
        <w:t>outcomes.</w:t>
      </w:r>
    </w:p>
    <w:p w14:paraId="7DBAC7B7" w14:textId="6BE43ADE" w:rsidR="00DA341F" w:rsidRPr="008D6017" w:rsidRDefault="00DA341F" w:rsidP="00941B5F">
      <w:pPr>
        <w:pStyle w:val="BodyText"/>
      </w:pPr>
      <w:r w:rsidRPr="008D6017">
        <w:t xml:space="preserve">In developing this new strategy, the </w:t>
      </w:r>
      <w:r w:rsidR="00CF6918" w:rsidRPr="008D6017">
        <w:t xml:space="preserve">Adult, Community and Further Education Board </w:t>
      </w:r>
      <w:r w:rsidRPr="008D6017">
        <w:t xml:space="preserve">has placed great importance on extensive consultation with </w:t>
      </w:r>
      <w:r w:rsidR="00814ABC" w:rsidRPr="008D6017">
        <w:t>our</w:t>
      </w:r>
      <w:r w:rsidRPr="008D6017">
        <w:t xml:space="preserve"> learners, with the </w:t>
      </w:r>
      <w:r w:rsidR="009C2D6C" w:rsidRPr="008D6017">
        <w:t>Learn Local sector</w:t>
      </w:r>
      <w:r w:rsidRPr="008D6017">
        <w:t xml:space="preserve">, with employers, </w:t>
      </w:r>
      <w:r w:rsidR="00F71E50" w:rsidRPr="008D6017">
        <w:t>TAFEs and other</w:t>
      </w:r>
      <w:r w:rsidRPr="008D6017">
        <w:t xml:space="preserve"> partners, and with other stakeholders. The Board extends its thanks to the </w:t>
      </w:r>
      <w:r w:rsidR="00814ABC" w:rsidRPr="008D6017">
        <w:t>190 people from more than 160 organisations who contributed their voice and views to making this strategy a robust reflection of the opportunities and challenges we face.</w:t>
      </w:r>
    </w:p>
    <w:p w14:paraId="1935B81A" w14:textId="37ED505C" w:rsidR="003B1066" w:rsidRPr="008D6017" w:rsidRDefault="003B1066" w:rsidP="00941B5F">
      <w:pPr>
        <w:pStyle w:val="BodyText"/>
      </w:pPr>
      <w:r w:rsidRPr="008D6017">
        <w:t xml:space="preserve">In line with the new strategy, </w:t>
      </w:r>
      <w:r w:rsidR="00E7554C" w:rsidRPr="008D6017">
        <w:t xml:space="preserve">the </w:t>
      </w:r>
      <w:r w:rsidR="00CF6918" w:rsidRPr="008D6017">
        <w:t xml:space="preserve">Adult, Community and Further Education Board </w:t>
      </w:r>
      <w:r w:rsidRPr="008D6017">
        <w:t xml:space="preserve">will support activities that improve outcomes for learners, foster innovation, enhance delivery, and strengthen the role we can play with </w:t>
      </w:r>
      <w:r w:rsidR="00F14A99" w:rsidRPr="008D6017">
        <w:t xml:space="preserve">our </w:t>
      </w:r>
      <w:r w:rsidRPr="008D6017">
        <w:t>partner</w:t>
      </w:r>
      <w:r w:rsidR="00F14A99" w:rsidRPr="008D6017">
        <w:t xml:space="preserve"> organisations</w:t>
      </w:r>
      <w:r w:rsidR="00F93729" w:rsidRPr="008D6017">
        <w:t xml:space="preserve"> in place-based settings across the state</w:t>
      </w:r>
      <w:r w:rsidRPr="008D6017">
        <w:t xml:space="preserve">. All members of the </w:t>
      </w:r>
      <w:r w:rsidR="00BB6C1D" w:rsidRPr="008D6017">
        <w:t xml:space="preserve">Board </w:t>
      </w:r>
      <w:r w:rsidRPr="008D6017">
        <w:t xml:space="preserve">look forward to </w:t>
      </w:r>
      <w:r w:rsidR="000A0F51" w:rsidRPr="008D6017">
        <w:t xml:space="preserve">continuing to </w:t>
      </w:r>
      <w:r w:rsidRPr="008D6017">
        <w:t xml:space="preserve">work with </w:t>
      </w:r>
      <w:r w:rsidR="00444670" w:rsidRPr="008D6017">
        <w:t>Learn Local providers</w:t>
      </w:r>
      <w:r w:rsidRPr="008D6017">
        <w:t xml:space="preserve"> and partners </w:t>
      </w:r>
      <w:r w:rsidR="000A0F51" w:rsidRPr="008D6017">
        <w:t xml:space="preserve">in </w:t>
      </w:r>
      <w:r w:rsidRPr="008D6017">
        <w:t>reaching out</w:t>
      </w:r>
      <w:r w:rsidR="000A0F51" w:rsidRPr="008D6017">
        <w:t xml:space="preserve"> </w:t>
      </w:r>
      <w:r w:rsidRPr="008D6017">
        <w:t xml:space="preserve">and supporting individuals to believe in themselves </w:t>
      </w:r>
      <w:r w:rsidR="00F71E50" w:rsidRPr="008D6017">
        <w:t>as learners</w:t>
      </w:r>
      <w:r w:rsidR="00BB6C1D" w:rsidRPr="008D6017">
        <w:t xml:space="preserve"> and gain </w:t>
      </w:r>
      <w:r w:rsidR="000A0F51" w:rsidRPr="008D6017">
        <w:t xml:space="preserve">a new trajectory in their lives, and to </w:t>
      </w:r>
      <w:r w:rsidR="00BB6C1D" w:rsidRPr="008D6017">
        <w:t xml:space="preserve">show the Victorian community </w:t>
      </w:r>
      <w:r w:rsidR="000A0F51" w:rsidRPr="008D6017">
        <w:t>the difference adult community and further education make</w:t>
      </w:r>
      <w:r w:rsidR="00BB6C1D" w:rsidRPr="008D6017">
        <w:t>s</w:t>
      </w:r>
      <w:r w:rsidR="000A0F51" w:rsidRPr="008D6017">
        <w:t xml:space="preserve"> to individu</w:t>
      </w:r>
      <w:r w:rsidR="00BB6C1D" w:rsidRPr="008D6017">
        <w:t>a</w:t>
      </w:r>
      <w:r w:rsidR="000A0F51" w:rsidRPr="008D6017">
        <w:t>ls, and to the community overall</w:t>
      </w:r>
      <w:r w:rsidRPr="008D6017">
        <w:t>.</w:t>
      </w:r>
    </w:p>
    <w:p w14:paraId="6AA9465D" w14:textId="77777777" w:rsidR="000C1E8C" w:rsidRDefault="00ED4867" w:rsidP="00EE5861">
      <w:pPr>
        <w:pStyle w:val="Signatureblock"/>
        <w:spacing w:before="1080"/>
        <w:sectPr w:rsidR="000C1E8C" w:rsidSect="000C1E8C">
          <w:footerReference w:type="even" r:id="rId17"/>
          <w:type w:val="evenPage"/>
          <w:pgSz w:w="11906" w:h="16838"/>
          <w:pgMar w:top="1134" w:right="794" w:bottom="1134" w:left="794" w:header="709" w:footer="709" w:gutter="170"/>
          <w:pgNumType w:start="1"/>
          <w:cols w:space="708"/>
          <w:docGrid w:linePitch="360"/>
        </w:sectPr>
      </w:pPr>
      <w:r>
        <w:rPr>
          <w:b/>
        </w:rPr>
        <w:pict w14:anchorId="0973C7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4" type="#_x0000_t75" style="position:absolute;margin-left:1.8pt;margin-top:18.8pt;width:61.5pt;height:24pt;z-index:251662336;mso-position-horizontal-relative:text;mso-position-vertical-relative:text;mso-width-relative:page;mso-height-relative:page">
            <v:imagedata r:id="rId18" o:title="MariaPeters_ Signature_WhiteBackground"/>
          </v:shape>
        </w:pict>
      </w:r>
      <w:r w:rsidR="003A1969" w:rsidRPr="00304E49">
        <w:rPr>
          <w:b/>
        </w:rPr>
        <w:t>Maria Peters</w:t>
      </w:r>
      <w:r w:rsidR="00301F4F">
        <w:t xml:space="preserve"> | </w:t>
      </w:r>
      <w:r w:rsidR="003A1969" w:rsidRPr="008D6017">
        <w:t>Chairperson</w:t>
      </w:r>
      <w:r w:rsidR="003A1969" w:rsidRPr="008D6017">
        <w:br/>
        <w:t>Adult, Community and Further Education Board</w:t>
      </w:r>
    </w:p>
    <w:p w14:paraId="0D64887E" w14:textId="77777777" w:rsidR="009A3DD6" w:rsidRPr="008D6017" w:rsidRDefault="009A3DD6" w:rsidP="002B7025">
      <w:pPr>
        <w:pStyle w:val="Heading1"/>
      </w:pPr>
      <w:r w:rsidRPr="008D6017">
        <w:lastRenderedPageBreak/>
        <w:t>Introduction</w:t>
      </w:r>
    </w:p>
    <w:p w14:paraId="671FB1BC" w14:textId="66495C15" w:rsidR="00415F06" w:rsidRPr="008D6017" w:rsidRDefault="009A3DD6" w:rsidP="00941B5F">
      <w:pPr>
        <w:pStyle w:val="Highlightedparagraph"/>
      </w:pPr>
      <w:r w:rsidRPr="008D6017">
        <w:t>This</w:t>
      </w:r>
      <w:r w:rsidR="009472C2" w:rsidRPr="008D6017">
        <w:t xml:space="preserve"> Adult, Community and Further Education Board </w:t>
      </w:r>
      <w:r w:rsidRPr="008D6017">
        <w:t xml:space="preserve">Strategy 2020–25 has been developed </w:t>
      </w:r>
      <w:r w:rsidR="00D9715D" w:rsidRPr="008D6017">
        <w:t xml:space="preserve">based on </w:t>
      </w:r>
      <w:r w:rsidRPr="008D6017">
        <w:t>extensive stakeholder consultation, a scan</w:t>
      </w:r>
      <w:r w:rsidR="00D9715D" w:rsidRPr="008D6017">
        <w:t xml:space="preserve"> of the operating environment </w:t>
      </w:r>
      <w:r w:rsidR="007C3FE2" w:rsidRPr="008D6017">
        <w:t>(</w:t>
      </w:r>
      <w:r w:rsidR="00D9715D" w:rsidRPr="008D6017">
        <w:t>including Victorian Government policy directions</w:t>
      </w:r>
      <w:r w:rsidR="007C3FE2" w:rsidRPr="008D6017">
        <w:t>)</w:t>
      </w:r>
      <w:r w:rsidR="00D9715D" w:rsidRPr="008D6017">
        <w:t>, and a review</w:t>
      </w:r>
      <w:r w:rsidR="007C3FE2" w:rsidRPr="008D6017">
        <w:t xml:space="preserve"> of</w:t>
      </w:r>
      <w:r w:rsidR="00D9715D" w:rsidRPr="008D6017">
        <w:t xml:space="preserve"> relevant research literature</w:t>
      </w:r>
      <w:r w:rsidRPr="008D6017">
        <w:t xml:space="preserve"> </w:t>
      </w:r>
      <w:r w:rsidR="00D9715D" w:rsidRPr="008D6017">
        <w:t xml:space="preserve">and </w:t>
      </w:r>
      <w:r w:rsidR="00E7554C" w:rsidRPr="008D6017">
        <w:t>the Adult</w:t>
      </w:r>
      <w:r w:rsidR="00CF6918" w:rsidRPr="008D6017">
        <w:t>,</w:t>
      </w:r>
      <w:r w:rsidR="00E7554C" w:rsidRPr="008D6017">
        <w:t xml:space="preserve"> Community and Further Education Board</w:t>
      </w:r>
      <w:r w:rsidRPr="008D6017">
        <w:t xml:space="preserve"> </w:t>
      </w:r>
      <w:r w:rsidR="00D9715D" w:rsidRPr="008D6017">
        <w:t>Strategy 2016–19</w:t>
      </w:r>
      <w:r w:rsidRPr="008D6017">
        <w:t>.</w:t>
      </w:r>
    </w:p>
    <w:p w14:paraId="592F9B7E" w14:textId="1F48E530" w:rsidR="009A3DD6" w:rsidRPr="008D6017" w:rsidRDefault="00742BB5" w:rsidP="00941B5F">
      <w:pPr>
        <w:pStyle w:val="BodyText"/>
      </w:pPr>
      <w:r w:rsidRPr="008D6017">
        <w:t xml:space="preserve">The Strategy is a primary means to implement the 2019 Statement of the Minister for Training and Skills and Minister for Higher Education on Adult Community Education. The </w:t>
      </w:r>
      <w:r w:rsidR="00415F06" w:rsidRPr="008D6017">
        <w:t>Minister</w:t>
      </w:r>
      <w:r w:rsidR="00D9715D" w:rsidRPr="008D6017">
        <w:t>ial</w:t>
      </w:r>
      <w:r w:rsidR="00415F06" w:rsidRPr="008D6017">
        <w:t xml:space="preserve"> Statement </w:t>
      </w:r>
      <w:r w:rsidR="000E2816" w:rsidRPr="008D6017">
        <w:t>establishes</w:t>
      </w:r>
      <w:r w:rsidR="000A7C05" w:rsidRPr="008D6017">
        <w:t xml:space="preserve"> priority directions</w:t>
      </w:r>
      <w:r w:rsidR="000E2816" w:rsidRPr="008D6017">
        <w:t xml:space="preserve"> </w:t>
      </w:r>
      <w:r w:rsidR="00F75646" w:rsidRPr="008D6017">
        <w:t xml:space="preserve">for </w:t>
      </w:r>
      <w:r w:rsidR="008E074D" w:rsidRPr="008D6017">
        <w:t xml:space="preserve">policy, </w:t>
      </w:r>
      <w:r w:rsidR="00A27909" w:rsidRPr="008D6017">
        <w:t>and this Strategy aligns closely with those direc</w:t>
      </w:r>
      <w:r w:rsidR="00872814" w:rsidRPr="008D6017">
        <w:t>tions.</w:t>
      </w:r>
      <w:r w:rsidR="00F72C6C" w:rsidRPr="008D6017">
        <w:t xml:space="preserve"> Link</w:t>
      </w:r>
      <w:r w:rsidR="00FF64F1" w:rsidRPr="008D6017">
        <w:t>age</w:t>
      </w:r>
      <w:r w:rsidR="00F72C6C" w:rsidRPr="008D6017">
        <w:t xml:space="preserve">s </w:t>
      </w:r>
      <w:r w:rsidR="003935C4" w:rsidRPr="008D6017">
        <w:t>with</w:t>
      </w:r>
      <w:r w:rsidR="00FF64F1" w:rsidRPr="008D6017">
        <w:t xml:space="preserve"> the Statement are outlined in later sections of the Strategy.</w:t>
      </w:r>
    </w:p>
    <w:p w14:paraId="45660E53" w14:textId="4DE1BD3A" w:rsidR="000A7C05" w:rsidRPr="008D6017" w:rsidRDefault="000A7C05" w:rsidP="00941B5F">
      <w:pPr>
        <w:pStyle w:val="BodyText"/>
      </w:pPr>
      <w:r w:rsidRPr="008D6017">
        <w:t>This</w:t>
      </w:r>
      <w:r w:rsidR="009A3DD6" w:rsidRPr="008D6017">
        <w:t xml:space="preserve"> </w:t>
      </w:r>
      <w:r w:rsidR="009472C2" w:rsidRPr="008D6017">
        <w:t>strategy</w:t>
      </w:r>
      <w:r w:rsidR="009A3DD6" w:rsidRPr="008D6017">
        <w:t xml:space="preserve"> establishes a blueprint for adult community and further education in Victoria </w:t>
      </w:r>
      <w:r w:rsidR="00CA1BAA" w:rsidRPr="008D6017">
        <w:t xml:space="preserve">for the next six </w:t>
      </w:r>
      <w:r w:rsidR="009A3DD6" w:rsidRPr="008D6017">
        <w:t>years</w:t>
      </w:r>
      <w:r w:rsidRPr="008D6017">
        <w:t xml:space="preserve"> and is the primary means by which the Ministerial Statement will be implemented.</w:t>
      </w:r>
    </w:p>
    <w:p w14:paraId="3610CCF1" w14:textId="522D7E5A" w:rsidR="008E11B3" w:rsidRPr="008D6017" w:rsidRDefault="009A3DD6" w:rsidP="00941B5F">
      <w:pPr>
        <w:pStyle w:val="BodyText"/>
        <w:rPr>
          <w:iCs/>
        </w:rPr>
      </w:pPr>
      <w:r w:rsidRPr="008D6017">
        <w:t xml:space="preserve">In fulfilment of </w:t>
      </w:r>
      <w:r w:rsidR="00E7554C" w:rsidRPr="008D6017">
        <w:t xml:space="preserve">the </w:t>
      </w:r>
      <w:r w:rsidR="00CF6918" w:rsidRPr="008D6017">
        <w:t>Adult, Community and Further Education Board</w:t>
      </w:r>
      <w:r w:rsidRPr="008D6017">
        <w:t xml:space="preserve">’s statutory roles and functions under the </w:t>
      </w:r>
      <w:r w:rsidRPr="008D6017">
        <w:rPr>
          <w:i/>
        </w:rPr>
        <w:t>Education and Training Reform Act 2006</w:t>
      </w:r>
      <w:r w:rsidRPr="008D6017">
        <w:rPr>
          <w:iCs/>
        </w:rPr>
        <w:t xml:space="preserve">, the </w:t>
      </w:r>
      <w:r w:rsidR="009472C2" w:rsidRPr="008D6017">
        <w:rPr>
          <w:iCs/>
        </w:rPr>
        <w:t>strategy</w:t>
      </w:r>
      <w:r w:rsidRPr="008D6017">
        <w:rPr>
          <w:iCs/>
        </w:rPr>
        <w:t xml:space="preserve"> responds to trends and challenges in the </w:t>
      </w:r>
      <w:r w:rsidR="00B70C86" w:rsidRPr="008D6017">
        <w:rPr>
          <w:iCs/>
        </w:rPr>
        <w:t>Learn Local</w:t>
      </w:r>
      <w:r w:rsidR="00817E40" w:rsidRPr="008D6017">
        <w:rPr>
          <w:iCs/>
        </w:rPr>
        <w:t xml:space="preserve"> </w:t>
      </w:r>
      <w:r w:rsidRPr="008D6017">
        <w:rPr>
          <w:iCs/>
        </w:rPr>
        <w:t xml:space="preserve">sector, including changes in learner needs, changing modes of skills acquisition, </w:t>
      </w:r>
      <w:r w:rsidR="00415F06" w:rsidRPr="008D6017">
        <w:rPr>
          <w:iCs/>
        </w:rPr>
        <w:t>changes in place</w:t>
      </w:r>
      <w:r w:rsidR="000A7C05" w:rsidRPr="008D6017">
        <w:rPr>
          <w:iCs/>
        </w:rPr>
        <w:t>-based</w:t>
      </w:r>
      <w:r w:rsidR="00415F06" w:rsidRPr="008D6017">
        <w:rPr>
          <w:iCs/>
        </w:rPr>
        <w:t xml:space="preserve"> models, </w:t>
      </w:r>
      <w:r w:rsidRPr="008D6017">
        <w:rPr>
          <w:iCs/>
        </w:rPr>
        <w:t xml:space="preserve">changes in industry and the nature of work, policy and regulatory changes at the State and </w:t>
      </w:r>
      <w:r w:rsidR="00BC7C74" w:rsidRPr="008D6017">
        <w:rPr>
          <w:iCs/>
        </w:rPr>
        <w:t>Commonwealth</w:t>
      </w:r>
      <w:r w:rsidRPr="008D6017">
        <w:rPr>
          <w:iCs/>
        </w:rPr>
        <w:t xml:space="preserve"> Government levels, and changes in society more generally.</w:t>
      </w:r>
      <w:r w:rsidR="007C3FE2" w:rsidRPr="008D6017">
        <w:rPr>
          <w:iCs/>
        </w:rPr>
        <w:t xml:space="preserve"> Above all, it reflects the right of </w:t>
      </w:r>
      <w:r w:rsidR="00111100" w:rsidRPr="008D6017">
        <w:rPr>
          <w:iCs/>
        </w:rPr>
        <w:t>people</w:t>
      </w:r>
      <w:r w:rsidR="007C3FE2" w:rsidRPr="008D6017">
        <w:rPr>
          <w:iCs/>
        </w:rPr>
        <w:t xml:space="preserve"> to access core education and training.</w:t>
      </w:r>
    </w:p>
    <w:p w14:paraId="357A61CD" w14:textId="35F371AC" w:rsidR="00931C47" w:rsidRPr="002B7025" w:rsidRDefault="00931C47" w:rsidP="002B7025">
      <w:pPr>
        <w:pStyle w:val="Heading1"/>
      </w:pPr>
      <w:bookmarkStart w:id="1" w:name="_Toc22308009"/>
      <w:bookmarkStart w:id="2" w:name="_Ref21531073"/>
      <w:r w:rsidRPr="008D6017">
        <w:lastRenderedPageBreak/>
        <w:t xml:space="preserve">A blueprint </w:t>
      </w:r>
      <w:r w:rsidR="004F775A">
        <w:br/>
      </w:r>
      <w:r w:rsidRPr="008D6017">
        <w:t>for the future</w:t>
      </w:r>
    </w:p>
    <w:p w14:paraId="76E6E9E4" w14:textId="579BB4E4" w:rsidR="00097C01" w:rsidRPr="008D6017" w:rsidRDefault="00931C47" w:rsidP="008D6017">
      <w:pPr>
        <w:pStyle w:val="Highlightedparagraph"/>
      </w:pPr>
      <w:r w:rsidRPr="008D6017">
        <w:t>The Adult, Community and Further Education Board is a statutory authority established by the Education and Training Reform Act 2006. Under the Act, the Board has the crucial role of planning and providing for the delivery of adult community education in Victoria.</w:t>
      </w:r>
    </w:p>
    <w:p w14:paraId="3306BF47" w14:textId="579BB82A" w:rsidR="00931C47" w:rsidRPr="008D6017" w:rsidRDefault="00931C47" w:rsidP="008D6017">
      <w:pPr>
        <w:pStyle w:val="BodyText"/>
      </w:pPr>
      <w:r w:rsidRPr="008D6017">
        <w:t>Through the Board, the Victorian Government provides funding to adult community education providers for delivery of education and training programs to a broad range of Victorians who are above compulsory school age and who are seeking to enhance their educational capacity and core skills.</w:t>
      </w:r>
    </w:p>
    <w:p w14:paraId="24E4DD69" w14:textId="77C01E7E" w:rsidR="00931C47" w:rsidRDefault="00931C47" w:rsidP="008D6017">
      <w:pPr>
        <w:pStyle w:val="BodyText"/>
      </w:pPr>
      <w:r w:rsidRPr="008D6017">
        <w:t>The Adult, Community and Further Education Board is also legislated to lead adult community education in Victoria, with responsibility for public promotion of the sector, undertaking research, and providing advice to the responsible Minister.</w:t>
      </w:r>
    </w:p>
    <w:p w14:paraId="205EAEA7" w14:textId="3F5FB448" w:rsidR="00AB7A33" w:rsidRDefault="00AB7A33" w:rsidP="00AB7A33">
      <w:pPr>
        <w:pStyle w:val="Highlightedparagraph"/>
      </w:pPr>
      <w:r>
        <w:t>The Learn Local sector is about access, opportunity and ensuring no-one is left behind</w:t>
      </w:r>
    </w:p>
    <w:p w14:paraId="55940EAA" w14:textId="5A985779" w:rsidR="00AB7A33" w:rsidRDefault="00AB7A33" w:rsidP="00AB7A33">
      <w:pPr>
        <w:pStyle w:val="Heading3"/>
      </w:pPr>
      <w:r>
        <w:t>Education for the future</w:t>
      </w:r>
    </w:p>
    <w:p w14:paraId="76F9D421" w14:textId="6CDC75AD" w:rsidR="00AB7A33" w:rsidRDefault="00AB7A33" w:rsidP="00AB7A33">
      <w:pPr>
        <w:pStyle w:val="Bulletedlist"/>
      </w:pPr>
      <w:r>
        <w:t>Individual needs</w:t>
      </w:r>
    </w:p>
    <w:p w14:paraId="609B6FFF" w14:textId="4DC20502" w:rsidR="00AB7A33" w:rsidRDefault="00AB7A33" w:rsidP="00AB7A33">
      <w:pPr>
        <w:pStyle w:val="Bulletedlist"/>
      </w:pPr>
      <w:r>
        <w:t>The needs of working life</w:t>
      </w:r>
    </w:p>
    <w:p w14:paraId="27470A99" w14:textId="3F41D7FD" w:rsidR="00AB7A33" w:rsidRPr="008D6017" w:rsidRDefault="00AB7A33" w:rsidP="00AB7A33">
      <w:pPr>
        <w:pStyle w:val="Bulletedlist"/>
      </w:pPr>
      <w:r>
        <w:t>The needs of communities and society</w:t>
      </w:r>
    </w:p>
    <w:p w14:paraId="7B0EDE15" w14:textId="5D346818" w:rsidR="00931C47" w:rsidRPr="008D6017" w:rsidRDefault="00931C47" w:rsidP="002B7025">
      <w:pPr>
        <w:pStyle w:val="Heading1"/>
      </w:pPr>
      <w:r w:rsidRPr="008D6017">
        <w:lastRenderedPageBreak/>
        <w:t xml:space="preserve">Mission </w:t>
      </w:r>
      <w:r w:rsidR="004F775A">
        <w:br/>
      </w:r>
      <w:r w:rsidRPr="008D6017">
        <w:t>and vision</w:t>
      </w:r>
    </w:p>
    <w:p w14:paraId="59ECEBDD" w14:textId="77777777" w:rsidR="003800DB" w:rsidRDefault="00931C47" w:rsidP="008D6017">
      <w:pPr>
        <w:pStyle w:val="Highlightedparagraph"/>
      </w:pPr>
      <w:r w:rsidRPr="008D6017">
        <w:t>The Adult, Community and Further Education Board has renewed its commitment to its core role and purpose for adult learners in Victoria who are seeking to attain the educational capacity and core skills they</w:t>
      </w:r>
      <w:r w:rsidR="003800DB">
        <w:t xml:space="preserve"> need for study, work and life.</w:t>
      </w:r>
    </w:p>
    <w:p w14:paraId="046ABCC6" w14:textId="6928B677" w:rsidR="00931C47" w:rsidRPr="008D6017" w:rsidRDefault="00931C47" w:rsidP="008D6017">
      <w:pPr>
        <w:pStyle w:val="Highlightedparagraph"/>
      </w:pPr>
      <w:r w:rsidRPr="008D6017">
        <w:t>The following mission statement encapsulates the heart of the Board’s role and strategy.</w:t>
      </w:r>
    </w:p>
    <w:p w14:paraId="4DD273D4" w14:textId="77777777" w:rsidR="00931C47" w:rsidRPr="008D6017" w:rsidRDefault="00931C47" w:rsidP="003800DB">
      <w:pPr>
        <w:pStyle w:val="Heading2"/>
      </w:pPr>
      <w:bookmarkStart w:id="3" w:name="_Toc21439876"/>
      <w:r w:rsidRPr="008D6017">
        <w:t>Mission of the Adult, Community and Further Education Board</w:t>
      </w:r>
      <w:bookmarkEnd w:id="3"/>
    </w:p>
    <w:p w14:paraId="1DB279CA" w14:textId="77777777" w:rsidR="00931C47" w:rsidRPr="008D6017" w:rsidRDefault="00931C47" w:rsidP="008D6017">
      <w:pPr>
        <w:pStyle w:val="Highlightedparagraph"/>
      </w:pPr>
      <w:r w:rsidRPr="008D6017">
        <w:t>The mission of the Adult, Community and Further Education Board is to lead literacy, numeracy, English language, employability and digital skills education and training for adult learners in Victoria.</w:t>
      </w:r>
    </w:p>
    <w:p w14:paraId="62F6F1D4" w14:textId="77777777" w:rsidR="00931C47" w:rsidRPr="008D6017" w:rsidRDefault="00931C47" w:rsidP="008D6017">
      <w:pPr>
        <w:pStyle w:val="BodyText"/>
      </w:pPr>
      <w:r w:rsidRPr="008D6017">
        <w:t>The Board’s responsibility is for learners who need to develop the educational capacity and skills outlined in this mission. In establishing its mission, the Adult, Community and Further Education Board recognises the role of the Learn Local sector in transforming the lives of individuals. To achieve this, adult learners need the capacity to learn and the core skills to succeed.</w:t>
      </w:r>
    </w:p>
    <w:p w14:paraId="36A83BBE" w14:textId="77777777" w:rsidR="00931C47" w:rsidRPr="008D6017" w:rsidRDefault="00931C47" w:rsidP="008D6017">
      <w:pPr>
        <w:pStyle w:val="BodyText"/>
      </w:pPr>
      <w:r w:rsidRPr="008D6017">
        <w:t>Fulfilling its leadership and stewardship of the sector, the Board will work in close collaboration with the Learn Local sector to make the following vision a reality.</w:t>
      </w:r>
    </w:p>
    <w:p w14:paraId="6F08A6D0" w14:textId="36B68BDD" w:rsidR="00931C47" w:rsidRPr="008D6017" w:rsidRDefault="00931C47" w:rsidP="003800DB">
      <w:pPr>
        <w:pStyle w:val="Heading2"/>
      </w:pPr>
      <w:bookmarkStart w:id="4" w:name="_Toc21439877"/>
      <w:r w:rsidRPr="008D6017">
        <w:t>Vision for the sector</w:t>
      </w:r>
    </w:p>
    <w:bookmarkEnd w:id="4"/>
    <w:p w14:paraId="39F45BA5" w14:textId="77777777" w:rsidR="00931C47" w:rsidRPr="008D6017" w:rsidRDefault="00931C47" w:rsidP="008D6017">
      <w:pPr>
        <w:pStyle w:val="Highlightedparagraph"/>
      </w:pPr>
      <w:r w:rsidRPr="008D6017">
        <w:t>The Adult Community and Further Education Sector develops the core skills Victorian adults need for study, work and life.</w:t>
      </w:r>
    </w:p>
    <w:bookmarkEnd w:id="1"/>
    <w:bookmarkEnd w:id="2"/>
    <w:p w14:paraId="274C12DC" w14:textId="77777777" w:rsidR="00931C47" w:rsidRPr="008D6017" w:rsidRDefault="00931C47" w:rsidP="002B7025">
      <w:pPr>
        <w:pStyle w:val="Heading1"/>
      </w:pPr>
      <w:r w:rsidRPr="008D6017">
        <w:lastRenderedPageBreak/>
        <w:t>Mandate</w:t>
      </w:r>
    </w:p>
    <w:p w14:paraId="2C7C37CC" w14:textId="77777777" w:rsidR="00931C47" w:rsidRPr="008D6017" w:rsidRDefault="00931C47" w:rsidP="008D6017">
      <w:pPr>
        <w:pStyle w:val="Heading2afterHeading1"/>
      </w:pPr>
      <w:r w:rsidRPr="008D6017">
        <w:t>Our learners</w:t>
      </w:r>
    </w:p>
    <w:p w14:paraId="34755797" w14:textId="0B881091" w:rsidR="00931C47" w:rsidRPr="008D6017" w:rsidRDefault="00931C47" w:rsidP="008D6017">
      <w:pPr>
        <w:pStyle w:val="BodyText"/>
      </w:pPr>
      <w:r w:rsidRPr="008D6017">
        <w:t>The Adult, Community and Further Education Board leads and funds secondary, further and vocational education and training for adult Victorians who need to build their educational capacity and who are seeking to develop the core skills they need to fully participate in further study, work and life – as members of the Victorian community. Core skills include literacy, numeracy, English language and employability skills, including digital skills.</w:t>
      </w:r>
    </w:p>
    <w:p w14:paraId="14AE0477" w14:textId="79927AAA" w:rsidR="00931C47" w:rsidRPr="008D6017" w:rsidRDefault="00931C47" w:rsidP="008D6017">
      <w:pPr>
        <w:pStyle w:val="BodyText"/>
      </w:pPr>
      <w:r w:rsidRPr="008D6017">
        <w:t>Adult community and further education and training contributes to the wellbeing of learners in a range of important ways, including by building self-confidence and social engagement, through positive learning experiences that lead to study pathways or employment, and to other benefits including economic participation.</w:t>
      </w:r>
    </w:p>
    <w:p w14:paraId="72EDFD14" w14:textId="5E3D972A" w:rsidR="00931C47" w:rsidRPr="008D6017" w:rsidRDefault="00931C47" w:rsidP="008D6017">
      <w:pPr>
        <w:pStyle w:val="BodyText"/>
      </w:pPr>
      <w:r w:rsidRPr="008D6017">
        <w:t>The Learn Local sector supports learners with diverse needs. Adults who are still developing core skills may not have completed secondary school; they may not have been engaged in education for a significant period; or they may be unemployed. The sector can also support people who are in the workforce but have vocational or employment skills at a level that makes them vulnerable to losing their job, particularly if their industry changes or is disrupted, such as when new technologies are introduced.</w:t>
      </w:r>
    </w:p>
    <w:p w14:paraId="2F12DCC8" w14:textId="2C104BAF" w:rsidR="00931C47" w:rsidRPr="008D6017" w:rsidRDefault="00931C47" w:rsidP="008D6017">
      <w:pPr>
        <w:pStyle w:val="BodyText"/>
      </w:pPr>
      <w:r w:rsidRPr="008D6017">
        <w:t>Adults who are still developing core skills often face a range of other challenges in their lives, such as in physical or mental health, disability, cultural differences, homelessness or housing instability, experience of violence or discrimination, and long-term or generational unemployment.</w:t>
      </w:r>
    </w:p>
    <w:p w14:paraId="01ACA985" w14:textId="77777777" w:rsidR="00931C47" w:rsidRPr="008D6017" w:rsidRDefault="00931C47" w:rsidP="008D6017">
      <w:pPr>
        <w:pStyle w:val="BodyText"/>
      </w:pPr>
      <w:r w:rsidRPr="008D6017">
        <w:t>Through our sector, the Adult, Community and Further Education Board will support learners to build their educational capacity and core skills to assist and support them to pursue their educational and employment goals and to have a more positive future.</w:t>
      </w:r>
    </w:p>
    <w:p w14:paraId="2DD71035" w14:textId="77777777" w:rsidR="00931C47" w:rsidRPr="00D56EDF" w:rsidRDefault="00931C47" w:rsidP="008D6017">
      <w:pPr>
        <w:pStyle w:val="Highlightedparagraph"/>
      </w:pPr>
      <w:r w:rsidRPr="008D6017">
        <w:t>The Learn Local sector develops fulfilled and socially engaged citizens through adult community education and training, not as a second-best choice, but as a welcoming and accessible entry-point to post-compulsory education.</w:t>
      </w:r>
    </w:p>
    <w:p w14:paraId="39E7D65C" w14:textId="77777777" w:rsidR="00931C47" w:rsidRPr="008D6017" w:rsidRDefault="00931C47" w:rsidP="008D6017">
      <w:pPr>
        <w:pStyle w:val="Heading2"/>
      </w:pPr>
      <w:r w:rsidRPr="008D6017">
        <w:t>Our community</w:t>
      </w:r>
    </w:p>
    <w:p w14:paraId="0E176336" w14:textId="77777777" w:rsidR="00931C47" w:rsidRPr="008D6017" w:rsidRDefault="00931C47" w:rsidP="008D6017">
      <w:pPr>
        <w:pStyle w:val="BodyText"/>
      </w:pPr>
      <w:r w:rsidRPr="008D6017">
        <w:t>Adult community and further education strengthens Victorian communities. It offers economic benefits through greater workforce participation, reduced welfare costs and improved mental health; and it contributes social benefits by strengthening the ability of all Victorians to participate fully as members of the Victorian community.</w:t>
      </w:r>
    </w:p>
    <w:p w14:paraId="3C2222A3" w14:textId="77777777" w:rsidR="00931C47" w:rsidRPr="00D56EDF" w:rsidRDefault="00931C47" w:rsidP="008D6017">
      <w:pPr>
        <w:pStyle w:val="Highlightedparagraph"/>
      </w:pPr>
      <w:r w:rsidRPr="008D6017">
        <w:t>The Learn Local sector plays a pivotal role in increasing the educational, social and economic participation of adults across the state.</w:t>
      </w:r>
    </w:p>
    <w:p w14:paraId="47C28AFE" w14:textId="77777777" w:rsidR="00931C47" w:rsidRPr="008D6017" w:rsidRDefault="00931C47" w:rsidP="008D6017">
      <w:pPr>
        <w:pStyle w:val="Heading2"/>
      </w:pPr>
      <w:r w:rsidRPr="008D6017">
        <w:t>Our providers</w:t>
      </w:r>
    </w:p>
    <w:p w14:paraId="0D5AFF9A" w14:textId="5A29315D" w:rsidR="00931C47" w:rsidRPr="008D6017" w:rsidRDefault="00931C47" w:rsidP="008D6017">
      <w:pPr>
        <w:pStyle w:val="BodyText"/>
      </w:pPr>
      <w:r w:rsidRPr="008D6017">
        <w:t>Registered Learn Local providers are community-based organisations ranging from large, sophisticated organisations staffed by experts in many fields, to smaller organisations with simple structures staffed by people with expertise primarily in adult community and further education. In 2019, there were more than 270 registered Learn Local providers, including one Adult Education Institution.</w:t>
      </w:r>
    </w:p>
    <w:p w14:paraId="770C7BCD" w14:textId="77777777" w:rsidR="00931C47" w:rsidRPr="008D6017" w:rsidRDefault="00931C47" w:rsidP="008D6017">
      <w:pPr>
        <w:pStyle w:val="BodyText"/>
      </w:pPr>
      <w:r w:rsidRPr="008D6017">
        <w:t>Some providers focus solely on delivering Adult, Community and Further Education Board-funded education and training. For most providers, however, their educational and service delivery responsibilities are much broader.</w:t>
      </w:r>
    </w:p>
    <w:p w14:paraId="258751DC" w14:textId="093DAFE8" w:rsidR="00D35E78" w:rsidRPr="008D6017" w:rsidRDefault="00A53348" w:rsidP="002B7025">
      <w:pPr>
        <w:pStyle w:val="Heading1"/>
      </w:pPr>
      <w:r w:rsidRPr="008D6017">
        <w:lastRenderedPageBreak/>
        <w:t xml:space="preserve">Adult, Community and Further Education Board </w:t>
      </w:r>
      <w:r w:rsidR="00D35E78" w:rsidRPr="008D6017">
        <w:t>leadership</w:t>
      </w:r>
    </w:p>
    <w:p w14:paraId="413377A3" w14:textId="207DCEE3" w:rsidR="005936BD" w:rsidRPr="008D6017" w:rsidRDefault="009A3DD6" w:rsidP="008D6017">
      <w:pPr>
        <w:pStyle w:val="Highlightedparagraph"/>
      </w:pPr>
      <w:r w:rsidRPr="008D6017">
        <w:t xml:space="preserve">The mission of the Adult, Community and Further Education Board is to lead adult literacy, numeracy, </w:t>
      </w:r>
      <w:r w:rsidR="000C2B57" w:rsidRPr="008D6017">
        <w:t xml:space="preserve">English language, </w:t>
      </w:r>
      <w:r w:rsidRPr="008D6017">
        <w:t>employability and digital skills education and training in Victoria</w:t>
      </w:r>
      <w:r w:rsidR="00C33242">
        <w:t>.</w:t>
      </w:r>
    </w:p>
    <w:p w14:paraId="533C3F2A" w14:textId="4C35A623" w:rsidR="009A3DD6" w:rsidRPr="008D6017" w:rsidRDefault="009A3DD6" w:rsidP="008D6017">
      <w:pPr>
        <w:pStyle w:val="BodyText"/>
      </w:pPr>
      <w:r w:rsidRPr="008D6017">
        <w:t xml:space="preserve">In practice, this has implications for the Board’s </w:t>
      </w:r>
      <w:r w:rsidR="004478CA" w:rsidRPr="008D6017">
        <w:t xml:space="preserve">leadership of the </w:t>
      </w:r>
      <w:r w:rsidR="00B70C86" w:rsidRPr="008D6017">
        <w:t xml:space="preserve">Learn Local </w:t>
      </w:r>
      <w:r w:rsidR="004478CA" w:rsidRPr="008D6017">
        <w:t xml:space="preserve">sector and its work </w:t>
      </w:r>
      <w:r w:rsidRPr="008D6017">
        <w:t xml:space="preserve">and projects </w:t>
      </w:r>
      <w:r w:rsidR="000F48C4" w:rsidRPr="008D6017">
        <w:t>more broadly</w:t>
      </w:r>
      <w:r w:rsidR="00CE3B07" w:rsidRPr="008D6017">
        <w:t xml:space="preserve">. It encompasses </w:t>
      </w:r>
      <w:r w:rsidRPr="008D6017">
        <w:t>thought leadership</w:t>
      </w:r>
      <w:r w:rsidR="00CE3B07" w:rsidRPr="008D6017">
        <w:t>,</w:t>
      </w:r>
      <w:r w:rsidR="004478CA" w:rsidRPr="008D6017">
        <w:t xml:space="preserve"> research</w:t>
      </w:r>
      <w:r w:rsidRPr="008D6017">
        <w:t xml:space="preserve">, </w:t>
      </w:r>
      <w:r w:rsidR="004478CA" w:rsidRPr="008D6017">
        <w:t xml:space="preserve">fostering innovation and quality learning, forming and </w:t>
      </w:r>
      <w:r w:rsidRPr="008D6017">
        <w:t xml:space="preserve">brokering partnerships, investing in </w:t>
      </w:r>
      <w:r w:rsidR="0093574F" w:rsidRPr="008D6017">
        <w:t xml:space="preserve">education and </w:t>
      </w:r>
      <w:r w:rsidR="000F48C4" w:rsidRPr="008D6017">
        <w:t xml:space="preserve">training </w:t>
      </w:r>
      <w:r w:rsidR="004478CA" w:rsidRPr="008D6017">
        <w:t>product</w:t>
      </w:r>
      <w:r w:rsidR="000F48C4" w:rsidRPr="008D6017">
        <w:t>s</w:t>
      </w:r>
      <w:r w:rsidR="004478CA" w:rsidRPr="008D6017">
        <w:t xml:space="preserve">, resources and </w:t>
      </w:r>
      <w:r w:rsidRPr="008D6017">
        <w:t xml:space="preserve">capability, advocating for the sector and supporting the professionalisation of the </w:t>
      </w:r>
      <w:r w:rsidR="00622201" w:rsidRPr="008D6017">
        <w:t>Learn Local workforce</w:t>
      </w:r>
      <w:r w:rsidRPr="008D6017">
        <w:t>.</w:t>
      </w:r>
    </w:p>
    <w:p w14:paraId="228CDECA" w14:textId="77777777" w:rsidR="00931C47" w:rsidRPr="008D6017" w:rsidRDefault="00931C47" w:rsidP="00C33242">
      <w:pPr>
        <w:pStyle w:val="Heading2"/>
        <w:spacing w:before="240"/>
      </w:pPr>
      <w:r w:rsidRPr="008D6017">
        <w:t>Spheres of Board leadership</w:t>
      </w:r>
    </w:p>
    <w:p w14:paraId="114BC081" w14:textId="77777777" w:rsidR="00931C47" w:rsidRPr="00F94C10" w:rsidRDefault="00931C47" w:rsidP="00F94C10">
      <w:pPr>
        <w:pStyle w:val="Heading3afterHeading2"/>
      </w:pPr>
      <w:r w:rsidRPr="008D6017">
        <w:t>Mapping and understanding provision</w:t>
      </w:r>
    </w:p>
    <w:p w14:paraId="2224D587" w14:textId="77777777" w:rsidR="00931C47" w:rsidRPr="008D6017" w:rsidRDefault="00931C47" w:rsidP="00004ADC">
      <w:pPr>
        <w:pStyle w:val="BodyText"/>
      </w:pPr>
      <w:r w:rsidRPr="008D6017">
        <w:t>Continuing to deepen understanding of adult education provision, including by gathering and analysing data on adult learner needs, the workforce, course types, provider types and levels of provision</w:t>
      </w:r>
    </w:p>
    <w:p w14:paraId="7A206C83" w14:textId="77777777" w:rsidR="00931C47" w:rsidRPr="008D6017" w:rsidRDefault="00931C47" w:rsidP="00004ADC">
      <w:pPr>
        <w:pStyle w:val="Heading3"/>
      </w:pPr>
      <w:r w:rsidRPr="008D6017">
        <w:t>Research, thought leadership and innovation</w:t>
      </w:r>
    </w:p>
    <w:p w14:paraId="48EFE0F0" w14:textId="77777777" w:rsidR="00931C47" w:rsidRPr="008D6017" w:rsidRDefault="00931C47" w:rsidP="00004ADC">
      <w:pPr>
        <w:pStyle w:val="BodyText"/>
      </w:pPr>
      <w:r w:rsidRPr="008D6017">
        <w:t>Leading innovation in adult community and further education, and wider foundational skills education and training, including by investing in research, bringing together leading-edge knowledge, case studies and expertise, and developing policy responses to improve the responsiveness of Learn Locals and the broader sector</w:t>
      </w:r>
    </w:p>
    <w:p w14:paraId="35954110" w14:textId="77777777" w:rsidR="00931C47" w:rsidRPr="008D6017" w:rsidRDefault="00931C47" w:rsidP="003675E4">
      <w:pPr>
        <w:pStyle w:val="Heading3"/>
      </w:pPr>
      <w:r w:rsidRPr="008D6017">
        <w:t>Coordinating and brokering partnerships</w:t>
      </w:r>
    </w:p>
    <w:p w14:paraId="39EDCF8A" w14:textId="77777777" w:rsidR="00931C47" w:rsidRPr="008D6017" w:rsidRDefault="00931C47" w:rsidP="003675E4">
      <w:pPr>
        <w:pStyle w:val="BodyText"/>
      </w:pPr>
      <w:r w:rsidRPr="008D6017">
        <w:t>Building on pilot projects to broker partnerships and strategic collaboration, including linking Learn Local providers with each other and with partners including TAFEs and employers</w:t>
      </w:r>
    </w:p>
    <w:p w14:paraId="733FBAF8" w14:textId="77777777" w:rsidR="00931C47" w:rsidRPr="008D6017" w:rsidRDefault="00931C47" w:rsidP="003675E4">
      <w:pPr>
        <w:pStyle w:val="Heading3"/>
      </w:pPr>
      <w:r w:rsidRPr="008D6017">
        <w:t>Investing in the development of courses, tools, materials</w:t>
      </w:r>
    </w:p>
    <w:p w14:paraId="6EF4B420" w14:textId="77777777" w:rsidR="00931C47" w:rsidRPr="003675E4" w:rsidRDefault="00931C47" w:rsidP="003675E4">
      <w:pPr>
        <w:pStyle w:val="BodyText"/>
      </w:pPr>
      <w:r w:rsidRPr="003675E4">
        <w:t>Leading and investing in education and training product development; curriculum development; assessment</w:t>
      </w:r>
      <w:r w:rsidRPr="008D6017">
        <w:t xml:space="preserve"> </w:t>
      </w:r>
      <w:r w:rsidRPr="003675E4">
        <w:t>tools. Encouraging and facilitating the sharing of good practice tools and materials</w:t>
      </w:r>
    </w:p>
    <w:p w14:paraId="3CAF2F87" w14:textId="77777777" w:rsidR="00931C47" w:rsidRPr="008D6017" w:rsidRDefault="00931C47" w:rsidP="003675E4">
      <w:pPr>
        <w:pStyle w:val="Heading3"/>
      </w:pPr>
      <w:r w:rsidRPr="008D6017">
        <w:t>Professionalising and investing in the workforce</w:t>
      </w:r>
    </w:p>
    <w:p w14:paraId="27BF2A48" w14:textId="77777777" w:rsidR="00931C47" w:rsidRPr="008D6017" w:rsidRDefault="00931C47" w:rsidP="003675E4">
      <w:pPr>
        <w:pStyle w:val="BodyText"/>
      </w:pPr>
      <w:r w:rsidRPr="008D6017">
        <w:t>Investing in the adult community and further education workforce, and the wider foundational skills workforce, to enhance capacity and capability, including through professional development</w:t>
      </w:r>
    </w:p>
    <w:p w14:paraId="6BC5D6A2" w14:textId="77777777" w:rsidR="00931C47" w:rsidRPr="008D6017" w:rsidRDefault="00931C47" w:rsidP="003675E4">
      <w:pPr>
        <w:pStyle w:val="Heading3"/>
      </w:pPr>
      <w:r w:rsidRPr="008D6017">
        <w:t>Literacy, numeracy, English language, employability and digital skills education and training</w:t>
      </w:r>
    </w:p>
    <w:p w14:paraId="1FC7F3D3" w14:textId="77777777" w:rsidR="00931C47" w:rsidRPr="008D6017" w:rsidRDefault="00931C47" w:rsidP="003675E4">
      <w:pPr>
        <w:pStyle w:val="BodyText"/>
      </w:pPr>
      <w:r w:rsidRPr="008D6017">
        <w:t>Directly and in partnership, investing in adult literacy, numeracy, English language, employability and digital skills education and training, and complementary training and non-educational services</w:t>
      </w:r>
    </w:p>
    <w:p w14:paraId="54E19994" w14:textId="77777777" w:rsidR="00931C47" w:rsidRPr="008D6017" w:rsidRDefault="00931C47" w:rsidP="003675E4">
      <w:pPr>
        <w:pStyle w:val="Heading3"/>
      </w:pPr>
      <w:r w:rsidRPr="008D6017">
        <w:t>Communication and advocacy</w:t>
      </w:r>
    </w:p>
    <w:p w14:paraId="6DCD97E2" w14:textId="634E9AAD" w:rsidR="00931C47" w:rsidRPr="008D6017" w:rsidRDefault="00931C47" w:rsidP="003675E4">
      <w:pPr>
        <w:pStyle w:val="BodyText"/>
      </w:pPr>
      <w:r w:rsidRPr="008D6017">
        <w:t>Capturing and communicating the impact of the Learn Local sector and the benefits delivered by adult community and further education</w:t>
      </w:r>
    </w:p>
    <w:p w14:paraId="2907D7E9" w14:textId="0337DB00" w:rsidR="005936BD" w:rsidRPr="008D6017" w:rsidRDefault="001D5209" w:rsidP="00870F76">
      <w:pPr>
        <w:pStyle w:val="Highlightedparagraph"/>
        <w:ind w:right="-200"/>
      </w:pPr>
      <w:r>
        <w:t xml:space="preserve">Learners </w:t>
      </w:r>
      <w:r w:rsidR="00870F76" w:rsidRPr="004C21F7">
        <w:t>will be</w:t>
      </w:r>
      <w:r w:rsidRPr="004C21F7">
        <w:t xml:space="preserve"> positioned</w:t>
      </w:r>
      <w:r>
        <w:t xml:space="preserve"> for study, work and life by promoting people’s skills, inclusion and wellbeing and boosting the vitality and sustainability of communities, business and industry across Victoria leading to economic, social and environmental benefits</w:t>
      </w:r>
    </w:p>
    <w:p w14:paraId="316E4F3B" w14:textId="310E30ED" w:rsidR="00A468AD" w:rsidRPr="008D6017" w:rsidRDefault="00F52226" w:rsidP="002B7025">
      <w:pPr>
        <w:pStyle w:val="Heading1"/>
      </w:pPr>
      <w:bookmarkStart w:id="5" w:name="_Toc21439878"/>
      <w:r w:rsidRPr="008D6017">
        <w:lastRenderedPageBreak/>
        <w:t>Scope</w:t>
      </w:r>
      <w:bookmarkEnd w:id="5"/>
    </w:p>
    <w:p w14:paraId="278E3B82" w14:textId="6BA84C29" w:rsidR="000F1671" w:rsidRPr="008D6017" w:rsidRDefault="000F1671" w:rsidP="003675E4">
      <w:pPr>
        <w:pStyle w:val="Highlightedparagraph"/>
      </w:pPr>
      <w:r w:rsidRPr="008D6017">
        <w:t xml:space="preserve">The Adult, Community and Further Education Board’s scope is to ensure </w:t>
      </w:r>
      <w:r w:rsidR="008B69B3" w:rsidRPr="008D6017">
        <w:t xml:space="preserve">education and </w:t>
      </w:r>
      <w:r w:rsidRPr="008D6017">
        <w:t xml:space="preserve">training provision </w:t>
      </w:r>
      <w:r w:rsidR="00A71ACB" w:rsidRPr="008D6017">
        <w:t xml:space="preserve">is </w:t>
      </w:r>
      <w:r w:rsidR="00640494" w:rsidRPr="008D6017">
        <w:t xml:space="preserve">available </w:t>
      </w:r>
      <w:r w:rsidRPr="008D6017">
        <w:t>for adults</w:t>
      </w:r>
      <w:r w:rsidR="009D08A6" w:rsidRPr="008D6017">
        <w:t xml:space="preserve"> who are</w:t>
      </w:r>
      <w:r w:rsidRPr="008D6017">
        <w:t xml:space="preserve"> </w:t>
      </w:r>
      <w:r w:rsidR="00010989" w:rsidRPr="008D6017">
        <w:t>seeking to attain the educational capa</w:t>
      </w:r>
      <w:r w:rsidR="006F29BA" w:rsidRPr="008D6017">
        <w:t>c</w:t>
      </w:r>
      <w:r w:rsidR="00010989" w:rsidRPr="008D6017">
        <w:t>ity and core skills they need for study, work and life</w:t>
      </w:r>
      <w:r w:rsidRPr="008D6017">
        <w:t>.</w:t>
      </w:r>
    </w:p>
    <w:p w14:paraId="18C492E1" w14:textId="5440B6FF" w:rsidR="004E2F3E" w:rsidRPr="008D6017" w:rsidRDefault="009A3DD6" w:rsidP="003675E4">
      <w:pPr>
        <w:pStyle w:val="BodyText"/>
      </w:pPr>
      <w:r w:rsidRPr="008D6017">
        <w:t xml:space="preserve">This </w:t>
      </w:r>
      <w:r w:rsidR="009472C2" w:rsidRPr="008D6017">
        <w:t>strategy</w:t>
      </w:r>
      <w:r w:rsidRPr="008D6017">
        <w:t xml:space="preserve"> </w:t>
      </w:r>
      <w:r w:rsidR="00657097" w:rsidRPr="008D6017">
        <w:t xml:space="preserve">encompasses </w:t>
      </w:r>
      <w:r w:rsidR="00E57262" w:rsidRPr="008D6017">
        <w:t>Learn Local</w:t>
      </w:r>
      <w:r w:rsidRPr="008D6017">
        <w:t xml:space="preserve"> education, training and programs funded by </w:t>
      </w:r>
      <w:r w:rsidR="005B320A" w:rsidRPr="008D6017">
        <w:t xml:space="preserve">the </w:t>
      </w:r>
      <w:r w:rsidR="00CF6918" w:rsidRPr="008D6017">
        <w:t xml:space="preserve">Adult, Community and Further Education Board </w:t>
      </w:r>
      <w:r w:rsidR="004478CA" w:rsidRPr="008D6017">
        <w:t xml:space="preserve">focused on </w:t>
      </w:r>
      <w:r w:rsidR="00F52226" w:rsidRPr="008D6017">
        <w:t xml:space="preserve">core skills </w:t>
      </w:r>
      <w:r w:rsidR="004478CA" w:rsidRPr="008D6017">
        <w:t>education</w:t>
      </w:r>
      <w:r w:rsidR="002E3472" w:rsidRPr="008D6017">
        <w:t xml:space="preserve">: </w:t>
      </w:r>
      <w:r w:rsidR="004478CA" w:rsidRPr="008D6017">
        <w:t>literacy</w:t>
      </w:r>
      <w:r w:rsidR="00F52226" w:rsidRPr="008D6017">
        <w:t>,</w:t>
      </w:r>
      <w:r w:rsidR="004478CA" w:rsidRPr="008D6017">
        <w:t xml:space="preserve"> numeracy</w:t>
      </w:r>
      <w:r w:rsidR="00F52226" w:rsidRPr="008D6017">
        <w:t>,</w:t>
      </w:r>
      <w:r w:rsidR="004478CA" w:rsidRPr="008D6017">
        <w:t xml:space="preserve"> </w:t>
      </w:r>
      <w:r w:rsidR="002E3472" w:rsidRPr="008D6017">
        <w:t>English language</w:t>
      </w:r>
      <w:r w:rsidR="00F52226" w:rsidRPr="008D6017">
        <w:t xml:space="preserve">, </w:t>
      </w:r>
      <w:r w:rsidR="004478CA" w:rsidRPr="008D6017">
        <w:t>employability</w:t>
      </w:r>
      <w:r w:rsidR="002E3472" w:rsidRPr="008D6017">
        <w:t xml:space="preserve"> </w:t>
      </w:r>
      <w:r w:rsidR="00F52226" w:rsidRPr="008D6017">
        <w:t xml:space="preserve">and digital </w:t>
      </w:r>
      <w:r w:rsidR="002E3472" w:rsidRPr="008D6017">
        <w:t>skills</w:t>
      </w:r>
      <w:r w:rsidR="004478CA" w:rsidRPr="008D6017">
        <w:t>.</w:t>
      </w:r>
      <w:r w:rsidR="000F1671" w:rsidRPr="008D6017">
        <w:t xml:space="preserve"> It also covers preparation and contextualised learning for study and work. And it </w:t>
      </w:r>
      <w:r w:rsidR="00657097" w:rsidRPr="008D6017">
        <w:t xml:space="preserve">encompasses </w:t>
      </w:r>
      <w:r w:rsidR="002E3472" w:rsidRPr="008D6017">
        <w:t>the accredited Certificates of General Education (CGEA)</w:t>
      </w:r>
      <w:r w:rsidR="00906267" w:rsidRPr="008D6017">
        <w:t xml:space="preserve">, which the </w:t>
      </w:r>
      <w:r w:rsidR="00CF6918" w:rsidRPr="008D6017">
        <w:t xml:space="preserve">Adult, Community and Further Education Board </w:t>
      </w:r>
      <w:r w:rsidR="00906267" w:rsidRPr="008D6017">
        <w:t>leads</w:t>
      </w:r>
      <w:r w:rsidR="002E3472" w:rsidRPr="008D6017">
        <w:t>.</w:t>
      </w:r>
    </w:p>
    <w:p w14:paraId="25C4D4A1" w14:textId="374A7C58" w:rsidR="005B2313" w:rsidRPr="008D6017" w:rsidRDefault="00BE329B" w:rsidP="003675E4">
      <w:pPr>
        <w:pStyle w:val="BodyText"/>
      </w:pPr>
      <w:r w:rsidRPr="008D6017">
        <w:t xml:space="preserve">In order to achieve </w:t>
      </w:r>
      <w:r w:rsidR="00AB0BF5" w:rsidRPr="008D6017">
        <w:t>its</w:t>
      </w:r>
      <w:r w:rsidRPr="008D6017">
        <w:t xml:space="preserve"> responsibilities,</w:t>
      </w:r>
      <w:r w:rsidR="00AB0BF5" w:rsidRPr="008D6017">
        <w:t xml:space="preserve"> the Board</w:t>
      </w:r>
      <w:r w:rsidRPr="008D6017">
        <w:t xml:space="preserve"> will prioritise the Ministerial Statement in its core work. </w:t>
      </w:r>
      <w:r w:rsidR="005B2313" w:rsidRPr="008D6017">
        <w:t>To do this, as noted in the Statement:</w:t>
      </w:r>
    </w:p>
    <w:p w14:paraId="75D255B4" w14:textId="62967A90" w:rsidR="005B2313" w:rsidRPr="003675E4" w:rsidRDefault="006051C4" w:rsidP="003675E4">
      <w:pPr>
        <w:pStyle w:val="Bulletedlist"/>
      </w:pPr>
      <w:r>
        <w:t>T</w:t>
      </w:r>
      <w:r w:rsidR="005B2313" w:rsidRPr="003675E4">
        <w:t xml:space="preserve">he </w:t>
      </w:r>
      <w:r w:rsidR="00BE329B" w:rsidRPr="003675E4">
        <w:t xml:space="preserve">Board’s capacity will need to be strengthened to ensure it is able to </w:t>
      </w:r>
      <w:r w:rsidR="005B2313" w:rsidRPr="003675E4">
        <w:t>support</w:t>
      </w:r>
      <w:r w:rsidR="00BE329B" w:rsidRPr="003675E4">
        <w:t xml:space="preserve"> </w:t>
      </w:r>
      <w:r w:rsidR="005B2313" w:rsidRPr="003675E4">
        <w:t>the S</w:t>
      </w:r>
      <w:r w:rsidR="00BE329B" w:rsidRPr="003675E4">
        <w:t>tatement’s ambitions for the sector</w:t>
      </w:r>
    </w:p>
    <w:p w14:paraId="6179EB11" w14:textId="416FB4E1" w:rsidR="00BE329B" w:rsidRPr="003675E4" w:rsidRDefault="006051C4" w:rsidP="003675E4">
      <w:pPr>
        <w:pStyle w:val="Bulletedlist"/>
      </w:pPr>
      <w:r>
        <w:t>T</w:t>
      </w:r>
      <w:r w:rsidR="005B2313" w:rsidRPr="003675E4">
        <w:t>he</w:t>
      </w:r>
      <w:r w:rsidR="00BE329B" w:rsidRPr="003675E4">
        <w:t xml:space="preserve"> work of the Board will be underpinned by quality and effective support from the </w:t>
      </w:r>
      <w:r w:rsidR="005B2313" w:rsidRPr="003675E4">
        <w:t>D</w:t>
      </w:r>
      <w:r w:rsidR="00BE329B" w:rsidRPr="003675E4">
        <w:t>epartment.</w:t>
      </w:r>
    </w:p>
    <w:p w14:paraId="3EA8C55D" w14:textId="4A15221E" w:rsidR="00F2404E" w:rsidRDefault="001D5209" w:rsidP="001D5209">
      <w:pPr>
        <w:pStyle w:val="Highlightedparagraph"/>
      </w:pPr>
      <w:r>
        <w:t xml:space="preserve">Learners </w:t>
      </w:r>
      <w:r w:rsidR="00870F76" w:rsidRPr="004C21F7">
        <w:t xml:space="preserve">are </w:t>
      </w:r>
      <w:r w:rsidRPr="004C21F7">
        <w:t>at the centre</w:t>
      </w:r>
      <w:r w:rsidR="00870F76" w:rsidRPr="004C21F7">
        <w:t xml:space="preserve"> of the Board’s work</w:t>
      </w:r>
      <w:r w:rsidR="00811978">
        <w:t xml:space="preserve">, and </w:t>
      </w:r>
      <w:r>
        <w:t>are prepared for study, work and life through:</w:t>
      </w:r>
    </w:p>
    <w:p w14:paraId="7FF195E1" w14:textId="1373AF80" w:rsidR="001D5209" w:rsidRDefault="001D5209" w:rsidP="001D5209">
      <w:pPr>
        <w:pStyle w:val="Heading3afterHeading2"/>
      </w:pPr>
      <w:r>
        <w:t>Knowledge, skills and behaviours</w:t>
      </w:r>
    </w:p>
    <w:p w14:paraId="5820865C" w14:textId="4130E68E" w:rsidR="001D5209" w:rsidRDefault="001D5209" w:rsidP="001D5209">
      <w:pPr>
        <w:pStyle w:val="Bulletedlist"/>
      </w:pPr>
      <w:r>
        <w:t>Literacy skills</w:t>
      </w:r>
    </w:p>
    <w:p w14:paraId="0C09BCEA" w14:textId="5A8E0EEB" w:rsidR="001D5209" w:rsidRDefault="001D5209" w:rsidP="001D5209">
      <w:pPr>
        <w:pStyle w:val="Bulletedlist"/>
      </w:pPr>
      <w:r>
        <w:t>Numeracy skills</w:t>
      </w:r>
    </w:p>
    <w:p w14:paraId="16DF42B6" w14:textId="343B7D84" w:rsidR="001D5209" w:rsidRDefault="001D5209" w:rsidP="001D5209">
      <w:pPr>
        <w:pStyle w:val="Bulletedlist"/>
      </w:pPr>
      <w:r>
        <w:t>Language skills</w:t>
      </w:r>
    </w:p>
    <w:p w14:paraId="694AFA9B" w14:textId="443D1C74" w:rsidR="001D5209" w:rsidRDefault="001D5209" w:rsidP="001D5209">
      <w:pPr>
        <w:pStyle w:val="Bulletedlist"/>
      </w:pPr>
      <w:r>
        <w:t>Digital skills</w:t>
      </w:r>
    </w:p>
    <w:p w14:paraId="77795D69" w14:textId="06A77EDB" w:rsidR="001D5209" w:rsidRDefault="001D5209" w:rsidP="001D5209">
      <w:pPr>
        <w:pStyle w:val="Bulletedlist"/>
      </w:pPr>
      <w:r>
        <w:t>Employability skills</w:t>
      </w:r>
    </w:p>
    <w:p w14:paraId="62BA505A" w14:textId="0D801A3E" w:rsidR="001D5209" w:rsidRDefault="001D5209" w:rsidP="001D5209">
      <w:pPr>
        <w:pStyle w:val="Heading3"/>
      </w:pPr>
      <w:r>
        <w:t>Learning model</w:t>
      </w:r>
    </w:p>
    <w:p w14:paraId="067B794B" w14:textId="3CF466B1" w:rsidR="001D5209" w:rsidRDefault="001D5209" w:rsidP="001D5209">
      <w:pPr>
        <w:pStyle w:val="Bulletedlist"/>
      </w:pPr>
      <w:r>
        <w:t>Flexible</w:t>
      </w:r>
    </w:p>
    <w:p w14:paraId="0714738A" w14:textId="0555DD0C" w:rsidR="001D5209" w:rsidRDefault="001D5209" w:rsidP="001D5209">
      <w:pPr>
        <w:pStyle w:val="Bulletedlist"/>
      </w:pPr>
      <w:r>
        <w:t>Tailored and responsive curriculum</w:t>
      </w:r>
    </w:p>
    <w:p w14:paraId="4A0DD32D" w14:textId="2304EA42" w:rsidR="001D5209" w:rsidRDefault="001D5209" w:rsidP="001D5209">
      <w:pPr>
        <w:pStyle w:val="Bulletedlist"/>
      </w:pPr>
      <w:r>
        <w:t>Developing learner capability</w:t>
      </w:r>
    </w:p>
    <w:p w14:paraId="0E9B98C8" w14:textId="72991FB0" w:rsidR="001D5209" w:rsidRDefault="001D5209" w:rsidP="001D5209">
      <w:pPr>
        <w:pStyle w:val="Bulletedlist"/>
      </w:pPr>
      <w:r>
        <w:t>Capable workforce</w:t>
      </w:r>
    </w:p>
    <w:p w14:paraId="365FA8E2" w14:textId="7839056A" w:rsidR="001D5209" w:rsidRDefault="001D5209" w:rsidP="001D5209">
      <w:pPr>
        <w:pStyle w:val="Heading3"/>
      </w:pPr>
      <w:r>
        <w:t>Settings</w:t>
      </w:r>
    </w:p>
    <w:p w14:paraId="3E91BD74" w14:textId="66088181" w:rsidR="001D5209" w:rsidRDefault="00D446FB" w:rsidP="00D446FB">
      <w:pPr>
        <w:pStyle w:val="Bulletedlist"/>
      </w:pPr>
      <w:r>
        <w:t>Place-based in the community</w:t>
      </w:r>
    </w:p>
    <w:p w14:paraId="6F5D2D58" w14:textId="0BAFAFDD" w:rsidR="00D446FB" w:rsidRPr="001D5209" w:rsidRDefault="00D446FB" w:rsidP="00D446FB">
      <w:pPr>
        <w:pStyle w:val="Bulletedlist"/>
      </w:pPr>
      <w:r>
        <w:t>Contextualised in the workplace</w:t>
      </w:r>
    </w:p>
    <w:p w14:paraId="77618CF5" w14:textId="6A2067BF" w:rsidR="001D5209" w:rsidRDefault="001D5209" w:rsidP="001D5209">
      <w:pPr>
        <w:pStyle w:val="Heading3"/>
      </w:pPr>
      <w:r>
        <w:t>Partners</w:t>
      </w:r>
    </w:p>
    <w:p w14:paraId="1599AA65" w14:textId="49A683A9" w:rsidR="001D5209" w:rsidRDefault="001D5209" w:rsidP="001D5209">
      <w:pPr>
        <w:pStyle w:val="Bulletedlist"/>
      </w:pPr>
      <w:r>
        <w:t>Community</w:t>
      </w:r>
    </w:p>
    <w:p w14:paraId="5B6C4A9B" w14:textId="40ADAFEB" w:rsidR="001D5209" w:rsidRDefault="001D5209" w:rsidP="001D5209">
      <w:pPr>
        <w:pStyle w:val="Bulletedlist"/>
      </w:pPr>
      <w:r>
        <w:t>Business and industry</w:t>
      </w:r>
    </w:p>
    <w:p w14:paraId="6242AE2C" w14:textId="1D5C0FC8" w:rsidR="001D5209" w:rsidRDefault="001D5209" w:rsidP="001D5209">
      <w:pPr>
        <w:pStyle w:val="Bulletedlist"/>
      </w:pPr>
      <w:r>
        <w:t>TAFE, universities and other education providers</w:t>
      </w:r>
    </w:p>
    <w:p w14:paraId="6FD6342F" w14:textId="5A495CEF" w:rsidR="001D5209" w:rsidRDefault="001D5209" w:rsidP="001D5209">
      <w:pPr>
        <w:pStyle w:val="Bulletedlist"/>
      </w:pPr>
      <w:r>
        <w:t>Government</w:t>
      </w:r>
    </w:p>
    <w:p w14:paraId="4B7F2247" w14:textId="0FD151BB" w:rsidR="001D5209" w:rsidRDefault="001D5209" w:rsidP="001D5209">
      <w:pPr>
        <w:pStyle w:val="Bulletedlist"/>
      </w:pPr>
      <w:r>
        <w:t>Service agencies</w:t>
      </w:r>
    </w:p>
    <w:p w14:paraId="477F2EC2" w14:textId="1CB42371" w:rsidR="00F52226" w:rsidRPr="008D6017" w:rsidRDefault="00F52226" w:rsidP="002B7025">
      <w:pPr>
        <w:pStyle w:val="Heading1"/>
      </w:pPr>
      <w:r w:rsidRPr="008D6017">
        <w:lastRenderedPageBreak/>
        <w:t>Strategic principles</w:t>
      </w:r>
      <w:r w:rsidR="00906267" w:rsidRPr="008D6017">
        <w:t xml:space="preserve"> </w:t>
      </w:r>
      <w:r w:rsidR="00811978">
        <w:br/>
      </w:r>
      <w:r w:rsidR="00906267" w:rsidRPr="008D6017">
        <w:t xml:space="preserve">for the </w:t>
      </w:r>
      <w:r w:rsidR="00216EE5" w:rsidRPr="008D6017">
        <w:t>Learn Local sector</w:t>
      </w:r>
    </w:p>
    <w:p w14:paraId="3C25A3CF" w14:textId="2E0E4439" w:rsidR="00906267" w:rsidRPr="008D6017" w:rsidRDefault="00E7554C" w:rsidP="003675E4">
      <w:pPr>
        <w:pStyle w:val="Highlightedparagraph"/>
      </w:pPr>
      <w:r w:rsidRPr="008D6017">
        <w:t>The Adult</w:t>
      </w:r>
      <w:r w:rsidR="00CF6918" w:rsidRPr="008D6017">
        <w:t>,</w:t>
      </w:r>
      <w:r w:rsidRPr="008D6017">
        <w:t xml:space="preserve"> Community and Further Education Board</w:t>
      </w:r>
      <w:r w:rsidR="009A3DD6" w:rsidRPr="008D6017">
        <w:t xml:space="preserve"> </w:t>
      </w:r>
      <w:r w:rsidR="00906267" w:rsidRPr="008D6017">
        <w:t xml:space="preserve">advocates </w:t>
      </w:r>
      <w:r w:rsidR="009A3DD6" w:rsidRPr="008D6017">
        <w:t>a</w:t>
      </w:r>
      <w:r w:rsidR="00906267" w:rsidRPr="008D6017">
        <w:t>n</w:t>
      </w:r>
      <w:r w:rsidR="009A3DD6" w:rsidRPr="008D6017">
        <w:t xml:space="preserve"> approach </w:t>
      </w:r>
      <w:r w:rsidR="00906267" w:rsidRPr="008D6017">
        <w:t xml:space="preserve">based on the following principles for the </w:t>
      </w:r>
      <w:r w:rsidR="00216EE5" w:rsidRPr="008D6017">
        <w:t>Learn Local sector</w:t>
      </w:r>
      <w:r w:rsidR="00906267" w:rsidRPr="008D6017">
        <w:t>.</w:t>
      </w:r>
    </w:p>
    <w:p w14:paraId="7EADBC20" w14:textId="3EA01426" w:rsidR="009A3DD6" w:rsidRPr="008D6017" w:rsidRDefault="00906267" w:rsidP="003675E4">
      <w:pPr>
        <w:pStyle w:val="BodyText"/>
      </w:pPr>
      <w:r w:rsidRPr="008D6017">
        <w:t xml:space="preserve">The Board will also </w:t>
      </w:r>
      <w:r w:rsidR="009D08A6" w:rsidRPr="008D6017">
        <w:t>apply these</w:t>
      </w:r>
      <w:r w:rsidRPr="008D6017">
        <w:t xml:space="preserve"> principles</w:t>
      </w:r>
      <w:r w:rsidR="009D08A6" w:rsidRPr="008D6017">
        <w:t xml:space="preserve"> in </w:t>
      </w:r>
      <w:r w:rsidR="009A3DD6" w:rsidRPr="008D6017">
        <w:t xml:space="preserve">its </w:t>
      </w:r>
      <w:r w:rsidR="004478CA" w:rsidRPr="008D6017">
        <w:t xml:space="preserve">strategic leadership </w:t>
      </w:r>
      <w:r w:rsidR="00E57262" w:rsidRPr="008D6017">
        <w:t xml:space="preserve">work </w:t>
      </w:r>
      <w:r w:rsidR="005A118D" w:rsidRPr="008D6017">
        <w:t>and activities</w:t>
      </w:r>
      <w:r w:rsidRPr="008D6017">
        <w:t xml:space="preserve">, </w:t>
      </w:r>
      <w:r w:rsidR="009A3DD6" w:rsidRPr="008D6017">
        <w:t>its decisions about funding</w:t>
      </w:r>
      <w:r w:rsidRPr="008D6017">
        <w:t>,</w:t>
      </w:r>
      <w:r w:rsidR="009A3DD6" w:rsidRPr="008D6017">
        <w:t xml:space="preserve"> and </w:t>
      </w:r>
      <w:r w:rsidR="009D08A6" w:rsidRPr="008D6017">
        <w:t xml:space="preserve">in other aspects of how it </w:t>
      </w:r>
      <w:r w:rsidR="009A3DD6" w:rsidRPr="008D6017">
        <w:t>fulfil</w:t>
      </w:r>
      <w:r w:rsidR="009D08A6" w:rsidRPr="008D6017">
        <w:t>s</w:t>
      </w:r>
      <w:r w:rsidR="009A3DD6" w:rsidRPr="008D6017">
        <w:t xml:space="preserve"> its statutory role</w:t>
      </w:r>
      <w:r w:rsidR="002630F4" w:rsidRPr="008D6017">
        <w:t xml:space="preserve"> and the expectations </w:t>
      </w:r>
      <w:r w:rsidR="00657097" w:rsidRPr="008D6017">
        <w:t>set</w:t>
      </w:r>
      <w:r w:rsidR="002630F4" w:rsidRPr="008D6017">
        <w:t xml:space="preserve"> for the Board in the Ministerial Statement</w:t>
      </w:r>
      <w:r w:rsidR="00111100" w:rsidRPr="008D6017">
        <w:t xml:space="preserve"> on the Future of Adult Community Education in Victoria 2020–25</w:t>
      </w:r>
      <w:r w:rsidR="009A3DD6" w:rsidRPr="008D6017">
        <w:t>.</w:t>
      </w:r>
    </w:p>
    <w:p w14:paraId="41CC17B5" w14:textId="77777777" w:rsidR="00C90BDA" w:rsidRPr="008D6017" w:rsidRDefault="00C90BDA" w:rsidP="00941B5F">
      <w:pPr>
        <w:pStyle w:val="Heading2"/>
      </w:pPr>
      <w:r w:rsidRPr="008D6017">
        <w:t>Learner-focused</w:t>
      </w:r>
    </w:p>
    <w:p w14:paraId="4DB6568A" w14:textId="77777777" w:rsidR="00C90BDA" w:rsidRPr="008D6017" w:rsidRDefault="00C90BDA" w:rsidP="003675E4">
      <w:pPr>
        <w:pStyle w:val="BodyText"/>
      </w:pPr>
      <w:r w:rsidRPr="008D6017">
        <w:t>Learners and their needs are at the centre of all we do</w:t>
      </w:r>
    </w:p>
    <w:p w14:paraId="6722D987" w14:textId="77777777" w:rsidR="00C90BDA" w:rsidRPr="008D6017" w:rsidRDefault="00C90BDA" w:rsidP="00941B5F">
      <w:pPr>
        <w:pStyle w:val="Heading2"/>
      </w:pPr>
      <w:r w:rsidRPr="008D6017">
        <w:t>Accessible, equitable and inclusive</w:t>
      </w:r>
    </w:p>
    <w:p w14:paraId="3EFFF160" w14:textId="77777777" w:rsidR="00C90BDA" w:rsidRPr="008D6017" w:rsidRDefault="00C90BDA" w:rsidP="003675E4">
      <w:pPr>
        <w:pStyle w:val="BodyText"/>
      </w:pPr>
      <w:r w:rsidRPr="008D6017">
        <w:t>Learners have ready access to the education and training they need, inclusive learning environments, and teaching approaches</w:t>
      </w:r>
    </w:p>
    <w:p w14:paraId="7BDBC7D6" w14:textId="77777777" w:rsidR="00C90BDA" w:rsidRPr="008D6017" w:rsidRDefault="00C90BDA" w:rsidP="00941B5F">
      <w:pPr>
        <w:pStyle w:val="Heading2"/>
      </w:pPr>
      <w:r w:rsidRPr="008D6017">
        <w:t>Place-based</w:t>
      </w:r>
    </w:p>
    <w:p w14:paraId="398E6663" w14:textId="77777777" w:rsidR="00C90BDA" w:rsidRPr="008D6017" w:rsidRDefault="00C90BDA" w:rsidP="003675E4">
      <w:pPr>
        <w:pStyle w:val="BodyText"/>
      </w:pPr>
      <w:r w:rsidRPr="008D6017">
        <w:t>Learners are offered education and training that matches the needs of local communities and employers</w:t>
      </w:r>
    </w:p>
    <w:p w14:paraId="26FAB15E" w14:textId="77777777" w:rsidR="00C90BDA" w:rsidRPr="008D6017" w:rsidRDefault="00C90BDA" w:rsidP="00941B5F">
      <w:pPr>
        <w:pStyle w:val="Heading2"/>
      </w:pPr>
      <w:r w:rsidRPr="008D6017">
        <w:t>Social and economic impact</w:t>
      </w:r>
    </w:p>
    <w:p w14:paraId="7A732EF9" w14:textId="77777777" w:rsidR="00C90BDA" w:rsidRPr="008D6017" w:rsidRDefault="00C90BDA" w:rsidP="003675E4">
      <w:pPr>
        <w:pStyle w:val="BodyText"/>
      </w:pPr>
      <w:r w:rsidRPr="008D6017">
        <w:t>We have a demonstrably positive social and economic impact on individuals and the Victorian community as a whole</w:t>
      </w:r>
    </w:p>
    <w:p w14:paraId="2FDDFFC4" w14:textId="77777777" w:rsidR="00C90BDA" w:rsidRPr="008D6017" w:rsidRDefault="00C90BDA" w:rsidP="00941B5F">
      <w:pPr>
        <w:pStyle w:val="Heading2"/>
      </w:pPr>
      <w:r w:rsidRPr="008D6017">
        <w:t>Needs-based</w:t>
      </w:r>
    </w:p>
    <w:p w14:paraId="72A9DF09" w14:textId="77777777" w:rsidR="00C90BDA" w:rsidRPr="008D6017" w:rsidRDefault="00C90BDA" w:rsidP="003675E4">
      <w:pPr>
        <w:pStyle w:val="BodyText"/>
      </w:pPr>
      <w:r w:rsidRPr="008D6017">
        <w:t>Our learning provision is flexible, agile and tailored to individual learners</w:t>
      </w:r>
    </w:p>
    <w:p w14:paraId="79DE5E7E" w14:textId="77777777" w:rsidR="00C90BDA" w:rsidRPr="008D6017" w:rsidRDefault="00C90BDA" w:rsidP="00941B5F">
      <w:pPr>
        <w:pStyle w:val="Heading2"/>
      </w:pPr>
      <w:r w:rsidRPr="008D6017">
        <w:t>Aligned, collaborative and interconnected</w:t>
      </w:r>
    </w:p>
    <w:p w14:paraId="62DBFC49" w14:textId="77777777" w:rsidR="00C90BDA" w:rsidRPr="008D6017" w:rsidRDefault="00C90BDA" w:rsidP="003675E4">
      <w:pPr>
        <w:pStyle w:val="BodyText"/>
      </w:pPr>
      <w:r w:rsidRPr="008D6017">
        <w:t>We support ready access to all parts of the post-secondary education system for learners</w:t>
      </w:r>
    </w:p>
    <w:p w14:paraId="2C6A67BE" w14:textId="77777777" w:rsidR="00C90BDA" w:rsidRPr="008D6017" w:rsidRDefault="00C90BDA" w:rsidP="003675E4">
      <w:pPr>
        <w:pStyle w:val="BodyText"/>
      </w:pPr>
      <w:r w:rsidRPr="008D6017">
        <w:t>We work with health and community services partners to help connect learners to the non-educational services they need to support their success in education and training</w:t>
      </w:r>
    </w:p>
    <w:p w14:paraId="091ABB18" w14:textId="77777777" w:rsidR="00C90BDA" w:rsidRPr="008D6017" w:rsidRDefault="00C90BDA" w:rsidP="003675E4">
      <w:pPr>
        <w:pStyle w:val="BodyText"/>
      </w:pPr>
      <w:r w:rsidRPr="008D6017">
        <w:t>We collaborate with industry and employers to understand trends and needs</w:t>
      </w:r>
    </w:p>
    <w:p w14:paraId="61883DBE" w14:textId="77777777" w:rsidR="00C90BDA" w:rsidRPr="008D6017" w:rsidRDefault="00C90BDA" w:rsidP="003675E4">
      <w:pPr>
        <w:pStyle w:val="BodyText"/>
      </w:pPr>
      <w:r w:rsidRPr="008D6017">
        <w:t>We collaborate with each other to share best practice</w:t>
      </w:r>
    </w:p>
    <w:p w14:paraId="42B57A70" w14:textId="77777777" w:rsidR="00C90BDA" w:rsidRPr="008D6017" w:rsidRDefault="00C90BDA" w:rsidP="00941B5F">
      <w:pPr>
        <w:pStyle w:val="Heading2"/>
      </w:pPr>
      <w:r w:rsidRPr="008D6017">
        <w:t>Transparent</w:t>
      </w:r>
    </w:p>
    <w:p w14:paraId="4727016A" w14:textId="60593B99" w:rsidR="00C90BDA" w:rsidRPr="008D6017" w:rsidRDefault="00C90BDA" w:rsidP="003675E4">
      <w:pPr>
        <w:pStyle w:val="BodyText"/>
      </w:pPr>
      <w:r w:rsidRPr="008D6017">
        <w:t>The Adult, Community and Further Education Board makes decisions that are aligned with Victorian Government policy, and communicates to the Learn Local sector openly and consistently</w:t>
      </w:r>
    </w:p>
    <w:p w14:paraId="0C580040" w14:textId="003441A0" w:rsidR="00CE5A11" w:rsidRPr="00D56EDF" w:rsidRDefault="00C90BDA" w:rsidP="003675E4">
      <w:pPr>
        <w:pStyle w:val="Highlightedparagraph"/>
      </w:pPr>
      <w:bookmarkStart w:id="6" w:name="_Toc21439879"/>
      <w:r w:rsidRPr="008D6017">
        <w:t>These aspirational principles will guide the Learn Local sector and</w:t>
      </w:r>
      <w:r w:rsidR="003675E4">
        <w:t xml:space="preserve"> </w:t>
      </w:r>
      <w:r w:rsidRPr="008D6017">
        <w:t>Adult, Community and Further Education Board leadership for 2020 to 2025.</w:t>
      </w:r>
    </w:p>
    <w:p w14:paraId="34BA991B" w14:textId="3D06BF42" w:rsidR="00723F0A" w:rsidRPr="008D6017" w:rsidRDefault="0024400E" w:rsidP="002B7025">
      <w:pPr>
        <w:pStyle w:val="Heading1"/>
      </w:pPr>
      <w:r w:rsidRPr="008D6017">
        <w:lastRenderedPageBreak/>
        <w:t>The r</w:t>
      </w:r>
      <w:r w:rsidR="00906267" w:rsidRPr="008D6017">
        <w:t>ole</w:t>
      </w:r>
      <w:r w:rsidR="00723F0A" w:rsidRPr="008D6017">
        <w:t xml:space="preserve"> of the </w:t>
      </w:r>
      <w:r w:rsidR="00770ECD">
        <w:br/>
      </w:r>
      <w:r w:rsidR="009C2D6C" w:rsidRPr="008D6017">
        <w:t>Learn Local sector</w:t>
      </w:r>
      <w:bookmarkEnd w:id="6"/>
    </w:p>
    <w:p w14:paraId="0FBF8B35" w14:textId="46B99917" w:rsidR="00F5206F" w:rsidRPr="008D6017" w:rsidRDefault="009A3DD6" w:rsidP="00926E57">
      <w:pPr>
        <w:pStyle w:val="Highlightedparagraph"/>
      </w:pPr>
      <w:r w:rsidRPr="008D6017">
        <w:t>The Learn Local sector is a</w:t>
      </w:r>
      <w:r w:rsidR="009D08A6" w:rsidRPr="008D6017">
        <w:t>n</w:t>
      </w:r>
      <w:r w:rsidRPr="008D6017">
        <w:t xml:space="preserve"> </w:t>
      </w:r>
      <w:r w:rsidR="009D08A6" w:rsidRPr="008D6017">
        <w:t xml:space="preserve">essential </w:t>
      </w:r>
      <w:r w:rsidRPr="008D6017">
        <w:t xml:space="preserve">part of </w:t>
      </w:r>
      <w:r w:rsidR="00216EE5" w:rsidRPr="008D6017">
        <w:t xml:space="preserve">Victoria’s </w:t>
      </w:r>
      <w:r w:rsidRPr="008D6017">
        <w:t>post-</w:t>
      </w:r>
      <w:r w:rsidR="00906267" w:rsidRPr="008D6017">
        <w:t>compulso</w:t>
      </w:r>
      <w:r w:rsidRPr="008D6017">
        <w:t xml:space="preserve">ry education system. </w:t>
      </w:r>
      <w:r w:rsidR="00F5206F" w:rsidRPr="008D6017">
        <w:t>It</w:t>
      </w:r>
      <w:r w:rsidRPr="008D6017">
        <w:t xml:space="preserve"> plays four crucial roles in supporting learners to enter and succeed in </w:t>
      </w:r>
      <w:r w:rsidR="00216EE5" w:rsidRPr="008D6017">
        <w:t xml:space="preserve">further </w:t>
      </w:r>
      <w:r w:rsidR="0039693D" w:rsidRPr="008D6017">
        <w:t>study</w:t>
      </w:r>
      <w:r w:rsidR="004D7AD7" w:rsidRPr="008D6017">
        <w:t xml:space="preserve"> </w:t>
      </w:r>
      <w:r w:rsidRPr="008D6017">
        <w:t>and employment.</w:t>
      </w:r>
      <w:r w:rsidR="00F5206F" w:rsidRPr="008D6017">
        <w:t xml:space="preserve"> </w:t>
      </w:r>
      <w:r w:rsidR="000F5A9D" w:rsidRPr="008D6017">
        <w:t>T</w:t>
      </w:r>
      <w:r w:rsidR="009C2313" w:rsidRPr="008D6017">
        <w:t>he sector has focused on the first of these quadrants, with all Learn Local providers playing this role</w:t>
      </w:r>
      <w:r w:rsidR="00F5206F" w:rsidRPr="008D6017">
        <w:t>.</w:t>
      </w:r>
    </w:p>
    <w:p w14:paraId="3708A18C" w14:textId="7C8585C2" w:rsidR="009A3DD6" w:rsidRPr="008D6017" w:rsidRDefault="000F5A9D" w:rsidP="00926E57">
      <w:pPr>
        <w:pStyle w:val="BodyText"/>
      </w:pPr>
      <w:r w:rsidRPr="008D6017">
        <w:t xml:space="preserve">While it is not expected that all Learn Local providers will focus on all four roles, </w:t>
      </w:r>
      <w:r w:rsidR="00F5206F" w:rsidRPr="008D6017">
        <w:t xml:space="preserve">this strategy envisages a stronger role for the </w:t>
      </w:r>
      <w:r w:rsidR="00C57515" w:rsidRPr="008D6017">
        <w:t xml:space="preserve">whole </w:t>
      </w:r>
      <w:r w:rsidR="00F5206F" w:rsidRPr="008D6017">
        <w:t>Learn Local sector in the remaining three quadrants</w:t>
      </w:r>
      <w:r w:rsidR="009D08A6" w:rsidRPr="008D6017">
        <w:t>, as well as the first</w:t>
      </w:r>
      <w:r w:rsidR="00F5206F" w:rsidRPr="008D6017">
        <w:t>.</w:t>
      </w:r>
    </w:p>
    <w:p w14:paraId="29696F98" w14:textId="4BEDAF96" w:rsidR="00C90BDA" w:rsidRPr="008D6017" w:rsidRDefault="00C90BDA" w:rsidP="00926E57">
      <w:pPr>
        <w:pStyle w:val="Heading2"/>
      </w:pPr>
      <w:r w:rsidRPr="008D6017">
        <w:t xml:space="preserve">Quadrant 1: </w:t>
      </w:r>
      <w:r w:rsidR="00926E57" w:rsidRPr="008D6017">
        <w:t xml:space="preserve">Engage and participate </w:t>
      </w:r>
      <w:r w:rsidR="00926E57">
        <w:t>in further education and training</w:t>
      </w:r>
    </w:p>
    <w:p w14:paraId="4C31029C" w14:textId="2071AAB6" w:rsidR="00C90BDA" w:rsidRPr="00D56EDF" w:rsidRDefault="00C90BDA" w:rsidP="00926E57">
      <w:pPr>
        <w:pStyle w:val="Heading3afterHeading2"/>
      </w:pPr>
      <w:r w:rsidRPr="008D6017">
        <w:t>Building confidence and skills for participation in education and training</w:t>
      </w:r>
    </w:p>
    <w:p w14:paraId="23A14DE6" w14:textId="77777777" w:rsidR="00C90BDA" w:rsidRPr="008D6017" w:rsidRDefault="00C90BDA" w:rsidP="00926E57">
      <w:pPr>
        <w:pStyle w:val="BodyText"/>
      </w:pPr>
      <w:r w:rsidRPr="008D6017">
        <w:t>Learners engage and re-engage in learning through supportive, inclusive, flexible learning environments</w:t>
      </w:r>
    </w:p>
    <w:p w14:paraId="43AECAA7" w14:textId="439E15F1" w:rsidR="00C90BDA" w:rsidRPr="008D6017" w:rsidRDefault="00C90BDA" w:rsidP="00926E57">
      <w:pPr>
        <w:pStyle w:val="BodyText"/>
      </w:pPr>
      <w:r w:rsidRPr="008D6017">
        <w:t>Learners acquire the literacy, numeracy and English language skills they need for full participation in the community and to enter further study</w:t>
      </w:r>
    </w:p>
    <w:p w14:paraId="22BC9206" w14:textId="199AE415" w:rsidR="00C90BDA" w:rsidRPr="008D6017" w:rsidRDefault="00C90BDA" w:rsidP="00941B5F">
      <w:pPr>
        <w:pStyle w:val="Heading2"/>
      </w:pPr>
      <w:r w:rsidRPr="008D6017">
        <w:t xml:space="preserve">Quadrant 2: </w:t>
      </w:r>
      <w:r w:rsidR="00926E57" w:rsidRPr="008D6017">
        <w:t xml:space="preserve">Achieve success </w:t>
      </w:r>
      <w:r w:rsidR="00926E57">
        <w:t>in f</w:t>
      </w:r>
      <w:r w:rsidRPr="008D6017">
        <w:t xml:space="preserve">urther education and </w:t>
      </w:r>
      <w:r w:rsidR="00926E57">
        <w:t>training</w:t>
      </w:r>
    </w:p>
    <w:p w14:paraId="110F51D5" w14:textId="3C01F8E2" w:rsidR="00C90BDA" w:rsidRPr="00D56EDF" w:rsidRDefault="00C90BDA" w:rsidP="00926E57">
      <w:pPr>
        <w:pStyle w:val="Heading3afterHeading2"/>
      </w:pPr>
      <w:r w:rsidRPr="008D6017">
        <w:t>Supporting successful attainment in accredited training</w:t>
      </w:r>
    </w:p>
    <w:p w14:paraId="56E138F5" w14:textId="51EA3D1D" w:rsidR="00C90BDA" w:rsidRPr="008D6017" w:rsidRDefault="00C90BDA" w:rsidP="00926E57">
      <w:pPr>
        <w:pStyle w:val="BodyText"/>
      </w:pPr>
      <w:r w:rsidRPr="008D6017">
        <w:t>Learners concurrently develop the literacy, numeracy, English language and digital skills they need to successfully complete accredited training</w:t>
      </w:r>
    </w:p>
    <w:p w14:paraId="62F45CC5" w14:textId="6CAB0DD3" w:rsidR="00C90BDA" w:rsidRPr="008D6017" w:rsidRDefault="00926E57" w:rsidP="00941B5F">
      <w:pPr>
        <w:pStyle w:val="Heading2"/>
      </w:pPr>
      <w:r>
        <w:t xml:space="preserve">Quadrant 3: </w:t>
      </w:r>
      <w:r w:rsidRPr="008D6017">
        <w:t>Engage and participate</w:t>
      </w:r>
      <w:r>
        <w:t xml:space="preserve"> in work</w:t>
      </w:r>
    </w:p>
    <w:p w14:paraId="37ECDA15" w14:textId="77777777" w:rsidR="00C90BDA" w:rsidRPr="00D56EDF" w:rsidRDefault="00C90BDA" w:rsidP="00926E57">
      <w:pPr>
        <w:pStyle w:val="Heading3afterHeading2"/>
      </w:pPr>
      <w:r w:rsidRPr="008D6017">
        <w:t>Building confidence and skills for participation in work</w:t>
      </w:r>
    </w:p>
    <w:p w14:paraId="73C39B6F" w14:textId="77777777" w:rsidR="00C90BDA" w:rsidRPr="008D6017" w:rsidRDefault="00C90BDA" w:rsidP="00926E57">
      <w:pPr>
        <w:pStyle w:val="BodyText"/>
      </w:pPr>
      <w:r w:rsidRPr="008D6017">
        <w:t>Learners acquire the employability and digital skills, and the literacy, numeracy and English language skills they need to get a job</w:t>
      </w:r>
    </w:p>
    <w:p w14:paraId="17EA9206" w14:textId="77EEEDC0" w:rsidR="00C90BDA" w:rsidRPr="008D6017" w:rsidRDefault="00C90BDA" w:rsidP="00926E57">
      <w:pPr>
        <w:pStyle w:val="BodyText"/>
      </w:pPr>
      <w:r w:rsidRPr="008D6017">
        <w:t>Learners develop skills in demand by employers</w:t>
      </w:r>
    </w:p>
    <w:p w14:paraId="2423E373" w14:textId="3FE1717C" w:rsidR="00C90BDA" w:rsidRPr="008D6017" w:rsidRDefault="00C90BDA" w:rsidP="00941B5F">
      <w:pPr>
        <w:pStyle w:val="Heading2"/>
      </w:pPr>
      <w:r w:rsidRPr="008D6017">
        <w:t>Quadr</w:t>
      </w:r>
      <w:r w:rsidR="00926E57">
        <w:t xml:space="preserve">ant 4: </w:t>
      </w:r>
      <w:r w:rsidR="00926E57" w:rsidRPr="008D6017">
        <w:t>Achieve success</w:t>
      </w:r>
      <w:r w:rsidR="00926E57">
        <w:t xml:space="preserve"> in work</w:t>
      </w:r>
    </w:p>
    <w:p w14:paraId="4019848B" w14:textId="095A31A8" w:rsidR="00C90BDA" w:rsidRPr="00D56EDF" w:rsidRDefault="00C90BDA" w:rsidP="00926E57">
      <w:pPr>
        <w:pStyle w:val="Heading3afterHeading2"/>
      </w:pPr>
      <w:r w:rsidRPr="008D6017">
        <w:t>Upskilling and reskilling vulnerable workers</w:t>
      </w:r>
    </w:p>
    <w:p w14:paraId="020C840F" w14:textId="26B3EE9E" w:rsidR="00C90BDA" w:rsidRPr="008D6017" w:rsidRDefault="00C90BDA" w:rsidP="00926E57">
      <w:pPr>
        <w:pStyle w:val="BodyText"/>
      </w:pPr>
      <w:r w:rsidRPr="008D6017">
        <w:t>Learners reskill and upskill, as workplace requirements change, and keep pace with innovation, disruption and industry transition</w:t>
      </w:r>
    </w:p>
    <w:p w14:paraId="394F8DD7" w14:textId="10042094" w:rsidR="00C90BDA" w:rsidRPr="008D6017" w:rsidRDefault="00C90BDA" w:rsidP="00926E57">
      <w:pPr>
        <w:pStyle w:val="Highlightedparagraph"/>
      </w:pPr>
      <w:r w:rsidRPr="008D6017">
        <w:t>A strength of the Learn Local sector is the ability to understand the educational and training needs of people in their local communities.</w:t>
      </w:r>
    </w:p>
    <w:p w14:paraId="6BFB2085" w14:textId="027393F6" w:rsidR="002E1984" w:rsidRPr="008D6017" w:rsidRDefault="00895368" w:rsidP="002B7025">
      <w:pPr>
        <w:pStyle w:val="Heading1"/>
      </w:pPr>
      <w:bookmarkStart w:id="7" w:name="_Toc21439880"/>
      <w:r w:rsidRPr="008D6017">
        <w:lastRenderedPageBreak/>
        <w:t>Board s</w:t>
      </w:r>
      <w:r w:rsidR="00B52859" w:rsidRPr="008D6017">
        <w:t xml:space="preserve">trategic </w:t>
      </w:r>
      <w:r w:rsidR="00770ECD">
        <w:br/>
      </w:r>
      <w:r w:rsidR="00B52859" w:rsidRPr="008D6017">
        <w:t>directions for 202</w:t>
      </w:r>
      <w:r w:rsidR="002E1984" w:rsidRPr="008D6017">
        <w:t>0</w:t>
      </w:r>
      <w:r w:rsidR="00B52859" w:rsidRPr="008D6017">
        <w:t>–</w:t>
      </w:r>
      <w:r w:rsidR="002E1984" w:rsidRPr="008D6017">
        <w:t>25</w:t>
      </w:r>
      <w:bookmarkEnd w:id="7"/>
    </w:p>
    <w:p w14:paraId="1A48FB87" w14:textId="77777777" w:rsidR="00C90BDA" w:rsidRPr="008D6017" w:rsidRDefault="00BC7C74" w:rsidP="00702751">
      <w:pPr>
        <w:pStyle w:val="Highlightedparagraph"/>
      </w:pPr>
      <w:r w:rsidRPr="008D6017">
        <w:t xml:space="preserve">Over the period of this </w:t>
      </w:r>
      <w:r w:rsidR="009472C2" w:rsidRPr="008D6017">
        <w:t>strategy</w:t>
      </w:r>
      <w:r w:rsidRPr="008D6017">
        <w:t>, the</w:t>
      </w:r>
      <w:r w:rsidR="009A3DD6" w:rsidRPr="008D6017">
        <w:t xml:space="preserve"> Adult, Community and Further Education Board will focus on </w:t>
      </w:r>
      <w:r w:rsidR="003F62E4" w:rsidRPr="008D6017">
        <w:t xml:space="preserve">the many </w:t>
      </w:r>
      <w:r w:rsidR="009A3DD6" w:rsidRPr="008D6017">
        <w:t xml:space="preserve">adult Victorians who are still developing the core skills they need to be able to fully participate in further study, work and in their </w:t>
      </w:r>
      <w:r w:rsidR="001B1B55" w:rsidRPr="008D6017">
        <w:t xml:space="preserve">daily </w:t>
      </w:r>
      <w:r w:rsidR="009A3DD6" w:rsidRPr="008D6017">
        <w:t>lives as members of the Victorian community.</w:t>
      </w:r>
    </w:p>
    <w:p w14:paraId="3FDC735C" w14:textId="1D656E9C" w:rsidR="00C90BDA" w:rsidRPr="008D6017" w:rsidRDefault="00C90BDA" w:rsidP="005F13D0">
      <w:pPr>
        <w:pStyle w:val="Heading2"/>
      </w:pPr>
      <w:r w:rsidRPr="008D6017">
        <w:t>Our learners</w:t>
      </w:r>
    </w:p>
    <w:p w14:paraId="45943AFE" w14:textId="06DE2A54" w:rsidR="00C90BDA" w:rsidRPr="008D6017" w:rsidRDefault="00C90BDA" w:rsidP="005F13D0">
      <w:pPr>
        <w:pStyle w:val="Heading3afterHeading2"/>
      </w:pPr>
      <w:r w:rsidRPr="008D6017">
        <w:t>Engagement and confidence-building</w:t>
      </w:r>
    </w:p>
    <w:p w14:paraId="62A7FA2A" w14:textId="77777777" w:rsidR="00C90BDA" w:rsidRPr="008D6017" w:rsidRDefault="00C90BDA" w:rsidP="005F13D0">
      <w:pPr>
        <w:pStyle w:val="BodyText"/>
      </w:pPr>
      <w:r w:rsidRPr="008D6017">
        <w:t>Maintaining – and building on – the core strengths of Learn Local education and training</w:t>
      </w:r>
    </w:p>
    <w:p w14:paraId="61350508" w14:textId="77777777" w:rsidR="00C90BDA" w:rsidRPr="008D6017" w:rsidRDefault="00C90BDA" w:rsidP="005F13D0">
      <w:pPr>
        <w:pStyle w:val="BodyText"/>
      </w:pPr>
      <w:r w:rsidRPr="008D6017">
        <w:t>Continuing to successfully engage and re-engage adult learners</w:t>
      </w:r>
    </w:p>
    <w:p w14:paraId="3AA7F42B" w14:textId="26156236" w:rsidR="00C90BDA" w:rsidRPr="008D6017" w:rsidRDefault="00C90BDA" w:rsidP="005F13D0">
      <w:pPr>
        <w:pStyle w:val="BodyText"/>
      </w:pPr>
      <w:r w:rsidRPr="008D6017">
        <w:t>Providing supportive, inclusive, flexible learning environments</w:t>
      </w:r>
    </w:p>
    <w:p w14:paraId="584EDCCD" w14:textId="77777777" w:rsidR="00C90BDA" w:rsidRPr="008D6017" w:rsidRDefault="00C90BDA" w:rsidP="005F13D0">
      <w:pPr>
        <w:pStyle w:val="Heading3"/>
      </w:pPr>
      <w:r w:rsidRPr="008D6017">
        <w:t>Skills for further education, training, work, volunteering and life</w:t>
      </w:r>
    </w:p>
    <w:p w14:paraId="647993BD" w14:textId="77777777" w:rsidR="00C90BDA" w:rsidRPr="008D6017" w:rsidRDefault="00C90BDA" w:rsidP="005F13D0">
      <w:pPr>
        <w:pStyle w:val="BodyText"/>
      </w:pPr>
      <w:r w:rsidRPr="008D6017">
        <w:t>Providing access to developing core skills for learners in every local government area</w:t>
      </w:r>
    </w:p>
    <w:p w14:paraId="2725AFC0" w14:textId="77777777" w:rsidR="00C90BDA" w:rsidRPr="008D6017" w:rsidRDefault="00C90BDA" w:rsidP="005F13D0">
      <w:pPr>
        <w:pStyle w:val="BodyText"/>
      </w:pPr>
      <w:r w:rsidRPr="008D6017">
        <w:t>Offering equitable access for learners regardless of their location, background or circumstances</w:t>
      </w:r>
    </w:p>
    <w:p w14:paraId="6BD4166A" w14:textId="574C87AB" w:rsidR="00C90BDA" w:rsidRPr="008D6017" w:rsidRDefault="00C90BDA" w:rsidP="00EC6898">
      <w:pPr>
        <w:pStyle w:val="Heading2"/>
        <w:spacing w:before="240"/>
      </w:pPr>
      <w:r w:rsidRPr="008D6017">
        <w:t>Our partners</w:t>
      </w:r>
    </w:p>
    <w:p w14:paraId="426CCD27" w14:textId="77777777" w:rsidR="00C90BDA" w:rsidRPr="008D6017" w:rsidRDefault="00C90BDA" w:rsidP="005F13D0">
      <w:pPr>
        <w:pStyle w:val="Heading3afterHeading2"/>
      </w:pPr>
      <w:r w:rsidRPr="008D6017">
        <w:t>Partnering and collaboration</w:t>
      </w:r>
    </w:p>
    <w:p w14:paraId="630739B1" w14:textId="77777777" w:rsidR="00C90BDA" w:rsidRPr="008D6017" w:rsidRDefault="00C90BDA" w:rsidP="005F13D0">
      <w:pPr>
        <w:pStyle w:val="BodyText"/>
      </w:pPr>
      <w:r w:rsidRPr="008D6017">
        <w:t>Developing partnerships between Learn Local providers, TAFEs, universities and other parts of the post-compulsory education system</w:t>
      </w:r>
    </w:p>
    <w:p w14:paraId="273D240D" w14:textId="77777777" w:rsidR="00C90BDA" w:rsidRPr="008D6017" w:rsidRDefault="00C90BDA" w:rsidP="005F13D0">
      <w:pPr>
        <w:pStyle w:val="BodyText"/>
      </w:pPr>
      <w:r w:rsidRPr="008D6017">
        <w:t>Developing partnerships between Learn Local providers and employers</w:t>
      </w:r>
    </w:p>
    <w:p w14:paraId="6FFE0A61" w14:textId="6F65929B" w:rsidR="00C90BDA" w:rsidRPr="008D6017" w:rsidRDefault="00C90BDA" w:rsidP="005F13D0">
      <w:pPr>
        <w:pStyle w:val="BodyText"/>
      </w:pPr>
      <w:r w:rsidRPr="008D6017">
        <w:t>Developing arrangements for non-educational supports for learners from health and community services partners</w:t>
      </w:r>
    </w:p>
    <w:p w14:paraId="7FE11DA6" w14:textId="77777777" w:rsidR="00C90BDA" w:rsidRPr="008D6017" w:rsidRDefault="00C90BDA" w:rsidP="005F13D0">
      <w:pPr>
        <w:pStyle w:val="Heading3"/>
      </w:pPr>
      <w:r w:rsidRPr="008D6017">
        <w:t>A priority provider of solutions</w:t>
      </w:r>
    </w:p>
    <w:p w14:paraId="7A3B7797" w14:textId="77777777" w:rsidR="00C90BDA" w:rsidRPr="008D6017" w:rsidRDefault="00C90BDA" w:rsidP="005F13D0">
      <w:pPr>
        <w:pStyle w:val="BodyText"/>
      </w:pPr>
      <w:r w:rsidRPr="008D6017">
        <w:t>Delivering practical solutions aligned with employers’ needs and Victorian Government priorities</w:t>
      </w:r>
    </w:p>
    <w:p w14:paraId="5667D9A9" w14:textId="748624A5" w:rsidR="00C90BDA" w:rsidRPr="008D6017" w:rsidRDefault="00C90BDA" w:rsidP="00EC6898">
      <w:pPr>
        <w:pStyle w:val="Heading2"/>
        <w:spacing w:before="240"/>
      </w:pPr>
      <w:r w:rsidRPr="008D6017">
        <w:t>Our people</w:t>
      </w:r>
    </w:p>
    <w:p w14:paraId="69160155" w14:textId="77777777" w:rsidR="00C90BDA" w:rsidRPr="008D6017" w:rsidRDefault="00C90BDA" w:rsidP="005F13D0">
      <w:pPr>
        <w:pStyle w:val="Heading3afterHeading2"/>
      </w:pPr>
      <w:r w:rsidRPr="008D6017">
        <w:t>Investing in the Learn Local workforce</w:t>
      </w:r>
    </w:p>
    <w:p w14:paraId="0C3E0B06" w14:textId="77777777" w:rsidR="00C90BDA" w:rsidRPr="008D6017" w:rsidRDefault="00C90BDA" w:rsidP="005F13D0">
      <w:pPr>
        <w:pStyle w:val="BodyText"/>
      </w:pPr>
      <w:r w:rsidRPr="008D6017">
        <w:t>Investing in the professional development of Learn Local leaders and educators</w:t>
      </w:r>
    </w:p>
    <w:p w14:paraId="153A6457" w14:textId="77777777" w:rsidR="00C90BDA" w:rsidRPr="008D6017" w:rsidRDefault="00C90BDA" w:rsidP="005F13D0">
      <w:pPr>
        <w:pStyle w:val="Heading3"/>
      </w:pPr>
      <w:r w:rsidRPr="008D6017">
        <w:t>Investing in improved products and tools</w:t>
      </w:r>
    </w:p>
    <w:p w14:paraId="7C282D40" w14:textId="77777777" w:rsidR="00C90BDA" w:rsidRPr="008D6017" w:rsidRDefault="00C90BDA" w:rsidP="005F13D0">
      <w:pPr>
        <w:pStyle w:val="BodyText"/>
      </w:pPr>
      <w:r w:rsidRPr="008D6017">
        <w:t>Investing in high-quality learning resources</w:t>
      </w:r>
    </w:p>
    <w:p w14:paraId="2C5CF3AD" w14:textId="71D0A40D" w:rsidR="00C90BDA" w:rsidRPr="008D6017" w:rsidRDefault="00C90BDA" w:rsidP="00EC6898">
      <w:pPr>
        <w:pStyle w:val="Heading2"/>
        <w:spacing w:before="240"/>
      </w:pPr>
      <w:r w:rsidRPr="008D6017">
        <w:t>Our Board</w:t>
      </w:r>
    </w:p>
    <w:p w14:paraId="04FCFE68" w14:textId="77777777" w:rsidR="00C90BDA" w:rsidRPr="008D6017" w:rsidRDefault="00C90BDA" w:rsidP="005F13D0">
      <w:pPr>
        <w:pStyle w:val="Heading3afterHeading2"/>
      </w:pPr>
      <w:r w:rsidRPr="008D6017">
        <w:t>Stewardship and governance</w:t>
      </w:r>
    </w:p>
    <w:p w14:paraId="78B884FD" w14:textId="77777777" w:rsidR="00C90BDA" w:rsidRPr="008D6017" w:rsidRDefault="00C90BDA" w:rsidP="005F13D0">
      <w:pPr>
        <w:pStyle w:val="BodyText"/>
      </w:pPr>
      <w:r w:rsidRPr="008D6017">
        <w:t>Meeting the expectations and relevant outcomes set out in the Ministerial Statement on the Future of Adult Community Education in Victoria 2020–25</w:t>
      </w:r>
    </w:p>
    <w:p w14:paraId="091016C0" w14:textId="12BE9AD2" w:rsidR="00C90BDA" w:rsidRPr="008D6017" w:rsidRDefault="00C90BDA" w:rsidP="005F13D0">
      <w:pPr>
        <w:pStyle w:val="BodyText"/>
      </w:pPr>
      <w:r w:rsidRPr="008D6017">
        <w:t>Modelling ethical, values-based stewardship and governance</w:t>
      </w:r>
    </w:p>
    <w:p w14:paraId="49458BFB" w14:textId="77777777" w:rsidR="00C90BDA" w:rsidRPr="008D6017" w:rsidRDefault="00C90BDA" w:rsidP="005F13D0">
      <w:pPr>
        <w:pStyle w:val="Heading3"/>
      </w:pPr>
      <w:r w:rsidRPr="008D6017">
        <w:t>Communicating value and impact</w:t>
      </w:r>
    </w:p>
    <w:p w14:paraId="0C17F9EC" w14:textId="77777777" w:rsidR="00C90BDA" w:rsidRPr="008D6017" w:rsidRDefault="00C90BDA" w:rsidP="005F13D0">
      <w:pPr>
        <w:pStyle w:val="BodyText"/>
      </w:pPr>
      <w:r w:rsidRPr="008D6017">
        <w:t>Championing and communicating the value that the Learn Local sector creates</w:t>
      </w:r>
    </w:p>
    <w:p w14:paraId="1AB0BD8E" w14:textId="6A10D892" w:rsidR="00CB6957" w:rsidRPr="008D6017" w:rsidRDefault="00770ECD" w:rsidP="002B7025">
      <w:pPr>
        <w:pStyle w:val="Heading1"/>
      </w:pPr>
      <w:r>
        <w:lastRenderedPageBreak/>
        <w:t xml:space="preserve">The Board’s Strategy </w:t>
      </w:r>
      <w:r>
        <w:br/>
        <w:t xml:space="preserve">and </w:t>
      </w:r>
      <w:r w:rsidR="00AF4270" w:rsidRPr="008D6017">
        <w:t>the Ministerial Statement</w:t>
      </w:r>
    </w:p>
    <w:p w14:paraId="33C40A64" w14:textId="3EEFA468" w:rsidR="00B45FE2" w:rsidRPr="008D6017" w:rsidRDefault="00AF4270" w:rsidP="004161F4">
      <w:pPr>
        <w:pStyle w:val="Highlightedparagraph"/>
      </w:pPr>
      <w:r w:rsidRPr="008D6017">
        <w:t xml:space="preserve">The Board’s strategic directions align closely with the </w:t>
      </w:r>
      <w:r w:rsidR="003F15A5" w:rsidRPr="008D6017">
        <w:t xml:space="preserve">aspirations and </w:t>
      </w:r>
      <w:r w:rsidRPr="008D6017">
        <w:t>goals set out in the Ministerial Statement</w:t>
      </w:r>
      <w:r w:rsidR="003F15A5" w:rsidRPr="008D6017">
        <w:t xml:space="preserve"> on the Future of Adult Community Education in Victoria 2020–25</w:t>
      </w:r>
      <w:r w:rsidR="0052083C" w:rsidRPr="008D6017">
        <w:t>, as the following table shows</w:t>
      </w:r>
      <w:r w:rsidRPr="008D6017">
        <w:t xml:space="preserve">. </w:t>
      </w:r>
      <w:r w:rsidR="0052083C" w:rsidRPr="008D6017">
        <w:t>The Board’s work in pursuit of the strategic directions is the primary means of implementation of the Minister’s</w:t>
      </w:r>
      <w:r w:rsidR="003F15A5" w:rsidRPr="008D6017">
        <w:t xml:space="preserve"> </w:t>
      </w:r>
      <w:r w:rsidR="00A71ACB" w:rsidRPr="008D6017">
        <w:t xml:space="preserve">stated </w:t>
      </w:r>
      <w:r w:rsidR="003F15A5" w:rsidRPr="008D6017">
        <w:t>aspirations</w:t>
      </w:r>
      <w:r w:rsidR="0052083C" w:rsidRPr="008D6017">
        <w:t xml:space="preserve"> </w:t>
      </w:r>
      <w:r w:rsidR="003F15A5" w:rsidRPr="008D6017">
        <w:t xml:space="preserve">and </w:t>
      </w:r>
      <w:r w:rsidR="0052083C" w:rsidRPr="008D6017">
        <w:t>goals.</w:t>
      </w:r>
    </w:p>
    <w:p w14:paraId="796FAF91" w14:textId="58043076" w:rsidR="00B45FE2" w:rsidRPr="008D6017" w:rsidRDefault="00B45FE2" w:rsidP="00185004">
      <w:pPr>
        <w:pStyle w:val="Heading2"/>
        <w:spacing w:before="240"/>
      </w:pPr>
      <w:r w:rsidRPr="008D6017">
        <w:t>Building literacy, numeracy, digital and employability skills provision capability</w:t>
      </w:r>
    </w:p>
    <w:p w14:paraId="4CAF5200" w14:textId="1F20B6BB" w:rsidR="00B45FE2" w:rsidRPr="008D6017" w:rsidRDefault="00B45FE2" w:rsidP="004161F4">
      <w:pPr>
        <w:pStyle w:val="Heading3afterHeading2"/>
      </w:pPr>
      <w:r w:rsidRPr="008D6017">
        <w:t>Ministerial Statement aspiration</w:t>
      </w:r>
    </w:p>
    <w:p w14:paraId="0A2866C0" w14:textId="77777777" w:rsidR="00B45FE2" w:rsidRPr="008D6017" w:rsidRDefault="00B45FE2" w:rsidP="004161F4">
      <w:pPr>
        <w:pStyle w:val="BodyText"/>
      </w:pPr>
      <w:r w:rsidRPr="008D6017">
        <w:t>All adult community educators have the capacity to deliver literacy, numeracy, employability or digital education and training</w:t>
      </w:r>
    </w:p>
    <w:p w14:paraId="7CE99B72" w14:textId="4AFA8EF1" w:rsidR="00B45FE2" w:rsidRPr="008D6017" w:rsidRDefault="00B45FE2" w:rsidP="004161F4">
      <w:pPr>
        <w:pStyle w:val="Heading3"/>
      </w:pPr>
      <w:r w:rsidRPr="008D6017">
        <w:t>Ministerial Statement goals</w:t>
      </w:r>
    </w:p>
    <w:p w14:paraId="4BA5B670" w14:textId="77777777" w:rsidR="00B45FE2" w:rsidRPr="008D6017" w:rsidRDefault="00B45FE2" w:rsidP="004161F4">
      <w:pPr>
        <w:pStyle w:val="BodyText"/>
      </w:pPr>
      <w:r w:rsidRPr="008D6017">
        <w:t>The adult community education sector is recognised by industry, community and the vocational education and training sector as playing the lead role in adult literacy, numeracy, employability and digital skills development</w:t>
      </w:r>
    </w:p>
    <w:p w14:paraId="094AA06D" w14:textId="2F54C207" w:rsidR="00B45FE2" w:rsidRPr="008D6017" w:rsidRDefault="00B45FE2" w:rsidP="004161F4">
      <w:pPr>
        <w:pStyle w:val="BodyText"/>
      </w:pPr>
      <w:r w:rsidRPr="008D6017">
        <w:t>All adult community education courses embed developing literacy, numeracy, employability or digital skills</w:t>
      </w:r>
    </w:p>
    <w:p w14:paraId="28FD4F43" w14:textId="0EF92628" w:rsidR="00B45FE2" w:rsidRPr="008D6017" w:rsidRDefault="00B45FE2" w:rsidP="004161F4">
      <w:pPr>
        <w:pStyle w:val="Heading3"/>
      </w:pPr>
      <w:r w:rsidRPr="008D6017">
        <w:t>Board strategic directions</w:t>
      </w:r>
    </w:p>
    <w:p w14:paraId="793E61FA" w14:textId="77777777" w:rsidR="00B45FE2" w:rsidRPr="008D6017" w:rsidRDefault="00B45FE2" w:rsidP="004161F4">
      <w:pPr>
        <w:pStyle w:val="BodyText"/>
      </w:pPr>
      <w:r w:rsidRPr="008D6017">
        <w:t>Investing in the Learn Local workforce</w:t>
      </w:r>
    </w:p>
    <w:p w14:paraId="0739749F" w14:textId="69419A05" w:rsidR="00B45FE2" w:rsidRPr="008D6017" w:rsidRDefault="00B45FE2" w:rsidP="004161F4">
      <w:pPr>
        <w:pStyle w:val="BodyText"/>
      </w:pPr>
      <w:r w:rsidRPr="008D6017">
        <w:t>Investing in improved products and tools</w:t>
      </w:r>
    </w:p>
    <w:p w14:paraId="6EC87DCB" w14:textId="14BEA8BB" w:rsidR="00B45FE2" w:rsidRPr="008D6017" w:rsidRDefault="00B45FE2" w:rsidP="00185004">
      <w:pPr>
        <w:pStyle w:val="Heading2"/>
        <w:spacing w:before="240"/>
      </w:pPr>
      <w:r w:rsidRPr="008D6017">
        <w:t>Quality teaching</w:t>
      </w:r>
    </w:p>
    <w:p w14:paraId="7FE502AF" w14:textId="1D5B1680" w:rsidR="00DD24FD" w:rsidRPr="008D6017" w:rsidRDefault="00DD24FD" w:rsidP="004161F4">
      <w:pPr>
        <w:pStyle w:val="Heading3afterHeading2"/>
      </w:pPr>
      <w:r w:rsidRPr="008D6017">
        <w:t>Ministerial Statement aspiration</w:t>
      </w:r>
    </w:p>
    <w:p w14:paraId="4A7AFFAC" w14:textId="5E8B44A9" w:rsidR="00DD24FD" w:rsidRPr="008D6017" w:rsidRDefault="00DD24FD" w:rsidP="004161F4">
      <w:pPr>
        <w:pStyle w:val="BodyText"/>
      </w:pPr>
      <w:r w:rsidRPr="008D6017">
        <w:t>Adult community education providers consistently deliver high-quality education and training that is valued by learners and the community</w:t>
      </w:r>
    </w:p>
    <w:p w14:paraId="715BCB86" w14:textId="26000834" w:rsidR="00B45FE2" w:rsidRPr="008D6017" w:rsidRDefault="00DD24FD" w:rsidP="004161F4">
      <w:pPr>
        <w:pStyle w:val="Heading3"/>
      </w:pPr>
      <w:r w:rsidRPr="008D6017">
        <w:t>Ministerial Statement goals</w:t>
      </w:r>
    </w:p>
    <w:p w14:paraId="2EBFD1C7" w14:textId="77777777" w:rsidR="00DD24FD" w:rsidRPr="008D6017" w:rsidRDefault="00DD24FD" w:rsidP="004161F4">
      <w:pPr>
        <w:pStyle w:val="BodyText"/>
      </w:pPr>
      <w:r w:rsidRPr="008D6017">
        <w:t>All adult community education providers have access to free, high-quality professional development</w:t>
      </w:r>
    </w:p>
    <w:p w14:paraId="0FDF9ADC" w14:textId="77777777" w:rsidR="00DD24FD" w:rsidRPr="008D6017" w:rsidRDefault="00DD24FD" w:rsidP="004161F4">
      <w:pPr>
        <w:pStyle w:val="BodyText"/>
      </w:pPr>
      <w:r w:rsidRPr="008D6017">
        <w:t>All adult community education providers have access to high-quality teaching resources</w:t>
      </w:r>
    </w:p>
    <w:p w14:paraId="6A478409" w14:textId="10449C0D" w:rsidR="00DD24FD" w:rsidRPr="008D6017" w:rsidRDefault="00DD24FD" w:rsidP="004161F4">
      <w:pPr>
        <w:pStyle w:val="BodyText"/>
      </w:pPr>
      <w:r w:rsidRPr="008D6017">
        <w:t>Learner perception of teaching consistently exceeds 85 per cent</w:t>
      </w:r>
    </w:p>
    <w:p w14:paraId="73A212AA" w14:textId="24A7C84E" w:rsidR="00DD24FD" w:rsidRPr="008D6017" w:rsidRDefault="00DD24FD" w:rsidP="004161F4">
      <w:pPr>
        <w:pStyle w:val="Heading3"/>
      </w:pPr>
      <w:r w:rsidRPr="008D6017">
        <w:t>Board strategic directions</w:t>
      </w:r>
    </w:p>
    <w:p w14:paraId="09BD660C" w14:textId="77777777" w:rsidR="00DD24FD" w:rsidRPr="008D6017" w:rsidRDefault="00DD24FD" w:rsidP="004161F4">
      <w:pPr>
        <w:pStyle w:val="BodyText"/>
      </w:pPr>
      <w:r w:rsidRPr="008D6017">
        <w:t>Investing in the Learn Local workforce</w:t>
      </w:r>
    </w:p>
    <w:p w14:paraId="53BC2BBB" w14:textId="420081A0" w:rsidR="00DD24FD" w:rsidRPr="008D6017" w:rsidRDefault="00DD24FD" w:rsidP="004161F4">
      <w:pPr>
        <w:pStyle w:val="BodyText"/>
      </w:pPr>
      <w:r w:rsidRPr="008D6017">
        <w:t>Investing in improved products and tools</w:t>
      </w:r>
    </w:p>
    <w:p w14:paraId="56877895" w14:textId="24AE8F9B" w:rsidR="00B45FE2" w:rsidRPr="008D6017" w:rsidRDefault="00B45FE2" w:rsidP="00185004">
      <w:pPr>
        <w:pStyle w:val="Heading2"/>
        <w:spacing w:before="240"/>
      </w:pPr>
      <w:r w:rsidRPr="008D6017">
        <w:lastRenderedPageBreak/>
        <w:t>Building the capacity of the Adult, Community and Further Education Board to deliver the priorities in this Ministerial Statement</w:t>
      </w:r>
    </w:p>
    <w:p w14:paraId="2F6DF27D" w14:textId="77777777" w:rsidR="00DD24FD" w:rsidRPr="008D6017" w:rsidRDefault="00DD24FD" w:rsidP="006B254F">
      <w:pPr>
        <w:pStyle w:val="Heading3"/>
      </w:pPr>
      <w:r w:rsidRPr="008D6017">
        <w:t>Ministerial Statement aspiration</w:t>
      </w:r>
    </w:p>
    <w:p w14:paraId="33FEAFBC" w14:textId="77777777" w:rsidR="00DD24FD" w:rsidRPr="008D6017" w:rsidRDefault="00DD24FD" w:rsidP="006B254F">
      <w:pPr>
        <w:pStyle w:val="BodyText"/>
      </w:pPr>
      <w:r w:rsidRPr="008D6017">
        <w:t>The Adult, Community and Further Education Board is recognised by the post-compulsory education and training sector and key stakeholders as the leader of adult community education in Victoria</w:t>
      </w:r>
    </w:p>
    <w:p w14:paraId="18BF590F" w14:textId="4999FFFF" w:rsidR="00DD24FD" w:rsidRPr="008D6017" w:rsidRDefault="00DD24FD" w:rsidP="006B254F">
      <w:pPr>
        <w:pStyle w:val="Heading3"/>
      </w:pPr>
      <w:r w:rsidRPr="008D6017">
        <w:t>Ministerial Statement goals</w:t>
      </w:r>
    </w:p>
    <w:p w14:paraId="407952EC" w14:textId="77777777" w:rsidR="00DD24FD" w:rsidRPr="008D6017" w:rsidRDefault="00DD24FD" w:rsidP="006B254F">
      <w:pPr>
        <w:pStyle w:val="BodyText"/>
      </w:pPr>
      <w:r w:rsidRPr="008D6017">
        <w:t>The Adult, Community and Further Education Board legislation will be contemporary and fit-for-purpose, ensuring that the Board can best lead the adult community education sector</w:t>
      </w:r>
    </w:p>
    <w:p w14:paraId="096F0327" w14:textId="77777777" w:rsidR="00DD24FD" w:rsidRPr="008D6017" w:rsidRDefault="00DD24FD" w:rsidP="006B254F">
      <w:pPr>
        <w:pStyle w:val="BodyText"/>
      </w:pPr>
      <w:r w:rsidRPr="008D6017">
        <w:t>The Adult, Community and Further Education Board has the capacity and resources to ensure it can deliver the aspirations of the Ministerial Statement</w:t>
      </w:r>
    </w:p>
    <w:p w14:paraId="7708536C" w14:textId="77777777" w:rsidR="00DD24FD" w:rsidRPr="008D6017" w:rsidRDefault="00DD24FD" w:rsidP="006B254F">
      <w:pPr>
        <w:pStyle w:val="BodyText"/>
      </w:pPr>
      <w:r w:rsidRPr="008D6017">
        <w:t>The Adult, Community and Further Education Board fosters relevant strategic partnerships with industry and other key stakeholders</w:t>
      </w:r>
    </w:p>
    <w:p w14:paraId="59AA6CC7" w14:textId="4CA87E76" w:rsidR="00DD24FD" w:rsidRPr="008D6017" w:rsidRDefault="00DD24FD" w:rsidP="006B254F">
      <w:pPr>
        <w:pStyle w:val="Heading3"/>
      </w:pPr>
      <w:r w:rsidRPr="008D6017">
        <w:t>Board strategic directions</w:t>
      </w:r>
    </w:p>
    <w:p w14:paraId="220CC729" w14:textId="1A727CFA" w:rsidR="00DD24FD" w:rsidRPr="008D6017" w:rsidRDefault="00DD24FD" w:rsidP="006B254F">
      <w:pPr>
        <w:pStyle w:val="BodyText"/>
      </w:pPr>
      <w:r w:rsidRPr="008D6017">
        <w:t>Stewardship and governance</w:t>
      </w:r>
    </w:p>
    <w:p w14:paraId="5762428B" w14:textId="77777777" w:rsidR="004B3F04" w:rsidRPr="008D6017" w:rsidRDefault="00B45FE2" w:rsidP="00185004">
      <w:pPr>
        <w:pStyle w:val="Heading2"/>
        <w:spacing w:before="240"/>
      </w:pPr>
      <w:r w:rsidRPr="008D6017">
        <w:t>Partnerships with local employers</w:t>
      </w:r>
    </w:p>
    <w:p w14:paraId="0220F0BD" w14:textId="77777777" w:rsidR="004B3F04" w:rsidRPr="008D6017" w:rsidRDefault="00DD24FD" w:rsidP="006B254F">
      <w:pPr>
        <w:pStyle w:val="Heading3afterHeading2"/>
      </w:pPr>
      <w:r w:rsidRPr="008D6017">
        <w:t>Ministerial Statement aspiration</w:t>
      </w:r>
    </w:p>
    <w:p w14:paraId="12D971E8" w14:textId="77777777" w:rsidR="004B3F04" w:rsidRPr="008D6017" w:rsidRDefault="00DD24FD" w:rsidP="006B254F">
      <w:pPr>
        <w:pStyle w:val="BodyText"/>
      </w:pPr>
      <w:r w:rsidRPr="008D6017">
        <w:t>The adult community education sector has established strong partnerships with local employers that lead to increased employment outcomes for learners</w:t>
      </w:r>
    </w:p>
    <w:p w14:paraId="4ACDED1D" w14:textId="77777777" w:rsidR="004B3F04" w:rsidRPr="008D6017" w:rsidRDefault="00DD24FD" w:rsidP="006B254F">
      <w:pPr>
        <w:pStyle w:val="Heading3"/>
      </w:pPr>
      <w:r w:rsidRPr="008D6017">
        <w:t>Ministerial Statement goals</w:t>
      </w:r>
    </w:p>
    <w:p w14:paraId="52E71542" w14:textId="77777777" w:rsidR="004B3F04" w:rsidRPr="008D6017" w:rsidRDefault="00DD24FD" w:rsidP="006B254F">
      <w:pPr>
        <w:pStyle w:val="BodyText"/>
      </w:pPr>
      <w:r w:rsidRPr="008D6017">
        <w:t>A portion of training provision will be delivered in partnership with employers, with direct pathways to real employment opportunities</w:t>
      </w:r>
    </w:p>
    <w:p w14:paraId="1A76254D" w14:textId="77777777" w:rsidR="004B3F04" w:rsidRPr="008D6017" w:rsidRDefault="00DD24FD" w:rsidP="006B254F">
      <w:pPr>
        <w:pStyle w:val="BodyText"/>
      </w:pPr>
      <w:r w:rsidRPr="008D6017">
        <w:t>Consistently, more than 80 per cent of learners who undertake adult community education as a pathway to employment achieve their main reason for training</w:t>
      </w:r>
    </w:p>
    <w:p w14:paraId="3A60DF4D" w14:textId="3C86CD13" w:rsidR="00DD24FD" w:rsidRPr="008D6017" w:rsidRDefault="00DD24FD" w:rsidP="006B254F">
      <w:pPr>
        <w:pStyle w:val="BodyText"/>
      </w:pPr>
      <w:r w:rsidRPr="008D6017">
        <w:t>A new approach to on-the-job training and work experience will be developed and rolled out</w:t>
      </w:r>
    </w:p>
    <w:p w14:paraId="6643CDFF" w14:textId="68CDCDE6" w:rsidR="00DD24FD" w:rsidRPr="008D6017" w:rsidRDefault="00DD24FD" w:rsidP="006B254F">
      <w:pPr>
        <w:pStyle w:val="Heading3"/>
      </w:pPr>
      <w:r w:rsidRPr="008D6017">
        <w:t>Board strategic directions</w:t>
      </w:r>
    </w:p>
    <w:p w14:paraId="12520BDD" w14:textId="331F1D15" w:rsidR="004B3F04" w:rsidRPr="008D6017" w:rsidRDefault="00DD24FD" w:rsidP="006B254F">
      <w:pPr>
        <w:pStyle w:val="BodyText"/>
      </w:pPr>
      <w:r w:rsidRPr="008D6017">
        <w:t>Partnering and collaboration</w:t>
      </w:r>
    </w:p>
    <w:p w14:paraId="7DA78F1F" w14:textId="3D81A790" w:rsidR="00B45FE2" w:rsidRPr="008D6017" w:rsidRDefault="00B45FE2" w:rsidP="00185004">
      <w:pPr>
        <w:pStyle w:val="Heading2"/>
        <w:spacing w:before="240"/>
      </w:pPr>
      <w:r w:rsidRPr="008D6017">
        <w:t>Partnerships across the post-secondary education system</w:t>
      </w:r>
    </w:p>
    <w:p w14:paraId="2BFD6180" w14:textId="77777777" w:rsidR="00DD24FD" w:rsidRPr="008D6017" w:rsidRDefault="00DD24FD" w:rsidP="006B254F">
      <w:pPr>
        <w:pStyle w:val="Heading3afterHeading2"/>
      </w:pPr>
      <w:r w:rsidRPr="008D6017">
        <w:t>Ministerial Statement aspiration</w:t>
      </w:r>
    </w:p>
    <w:p w14:paraId="6ADD7BD7" w14:textId="77777777" w:rsidR="00DD24FD" w:rsidRPr="008D6017" w:rsidRDefault="00DD24FD" w:rsidP="006B254F">
      <w:pPr>
        <w:pStyle w:val="BodyText"/>
      </w:pPr>
      <w:r w:rsidRPr="008D6017">
        <w:t>Learners have a seamless journey through the post-secondary system, with adult community education serving as a valuable pathway</w:t>
      </w:r>
    </w:p>
    <w:p w14:paraId="2F333B06" w14:textId="22246FB0" w:rsidR="00DD24FD" w:rsidRPr="008D6017" w:rsidRDefault="00DD24FD" w:rsidP="006B254F">
      <w:pPr>
        <w:pStyle w:val="Heading3"/>
      </w:pPr>
      <w:r w:rsidRPr="008D6017">
        <w:t>Ministerial Statement goals</w:t>
      </w:r>
    </w:p>
    <w:p w14:paraId="70E3694A" w14:textId="77777777" w:rsidR="00DD24FD" w:rsidRPr="008D6017" w:rsidRDefault="00DD24FD" w:rsidP="006B254F">
      <w:pPr>
        <w:pStyle w:val="BodyText"/>
      </w:pPr>
      <w:r w:rsidRPr="008D6017">
        <w:t>Specific training provision will be directed to courses established in partnership with TAFEs with direct pathways to specific accredited training courses</w:t>
      </w:r>
    </w:p>
    <w:p w14:paraId="5F4B271B" w14:textId="6C7A63D4" w:rsidR="00DD24FD" w:rsidRPr="008D6017" w:rsidRDefault="00DD24FD" w:rsidP="006B254F">
      <w:pPr>
        <w:pStyle w:val="BodyText"/>
      </w:pPr>
      <w:r w:rsidRPr="008D6017">
        <w:t>All TAFEs and dual sector universities will establish pathways with local adult community education providers which scaffold transitioning adult community education learners</w:t>
      </w:r>
    </w:p>
    <w:p w14:paraId="61280DF3" w14:textId="77777777" w:rsidR="00DD24FD" w:rsidRPr="008D6017" w:rsidRDefault="00DD24FD" w:rsidP="006B254F">
      <w:pPr>
        <w:pStyle w:val="BodyText"/>
      </w:pPr>
      <w:r w:rsidRPr="008D6017">
        <w:t>Consistently, more than 80 per cent of learners who undertake adult community education as a pathway to employment or further education achieve their main reason for training</w:t>
      </w:r>
    </w:p>
    <w:p w14:paraId="130DF78C" w14:textId="77777777" w:rsidR="00DD24FD" w:rsidRPr="008D6017" w:rsidRDefault="00DD24FD" w:rsidP="006B254F">
      <w:pPr>
        <w:pStyle w:val="BodyText"/>
      </w:pPr>
      <w:r w:rsidRPr="008D6017">
        <w:t>All dual sector universities work cooperatively with the adult community education sector to raise learner aspirations and remove barriers to pathways to university education</w:t>
      </w:r>
    </w:p>
    <w:p w14:paraId="144A3F37" w14:textId="5A874925" w:rsidR="00DD24FD" w:rsidRPr="008D6017" w:rsidRDefault="00DD24FD" w:rsidP="006B254F">
      <w:pPr>
        <w:pStyle w:val="Heading3"/>
      </w:pPr>
      <w:r w:rsidRPr="008D6017">
        <w:lastRenderedPageBreak/>
        <w:t>Board strategic directions</w:t>
      </w:r>
    </w:p>
    <w:p w14:paraId="6CE39E88" w14:textId="77777777" w:rsidR="00DD24FD" w:rsidRPr="008D6017" w:rsidRDefault="00DD24FD" w:rsidP="006B254F">
      <w:pPr>
        <w:pStyle w:val="BodyText"/>
      </w:pPr>
      <w:r w:rsidRPr="008D6017">
        <w:t>Partnering and collaboration</w:t>
      </w:r>
    </w:p>
    <w:p w14:paraId="726CCE5A" w14:textId="3CCF3248" w:rsidR="004B3F04" w:rsidRPr="008D6017" w:rsidRDefault="00DD24FD" w:rsidP="006B254F">
      <w:pPr>
        <w:pStyle w:val="BodyText"/>
      </w:pPr>
      <w:r w:rsidRPr="008D6017">
        <w:t>A priority provider of solutions</w:t>
      </w:r>
    </w:p>
    <w:p w14:paraId="4453EF3F" w14:textId="47E4B905" w:rsidR="00B45FE2" w:rsidRPr="008D6017" w:rsidRDefault="00B45FE2" w:rsidP="00185004">
      <w:pPr>
        <w:pStyle w:val="Heading2"/>
        <w:spacing w:before="240"/>
      </w:pPr>
      <w:r w:rsidRPr="008D6017">
        <w:t>Connections across Victorian Government</w:t>
      </w:r>
    </w:p>
    <w:p w14:paraId="4A3331FD" w14:textId="77777777" w:rsidR="00DD24FD" w:rsidRPr="008D6017" w:rsidRDefault="00DD24FD" w:rsidP="006B254F">
      <w:pPr>
        <w:pStyle w:val="Heading3afterHeading2"/>
      </w:pPr>
      <w:r w:rsidRPr="008D6017">
        <w:t>Ministerial Statement aspiration</w:t>
      </w:r>
    </w:p>
    <w:p w14:paraId="1340E79F" w14:textId="77777777" w:rsidR="00DD24FD" w:rsidRPr="008D6017" w:rsidRDefault="00DD24FD" w:rsidP="006B254F">
      <w:pPr>
        <w:pStyle w:val="BodyText"/>
      </w:pPr>
      <w:r w:rsidRPr="008D6017">
        <w:t>All government departments understand the value of adult community education and work collaboratively with the sector to create a better state</w:t>
      </w:r>
    </w:p>
    <w:p w14:paraId="20611924" w14:textId="28425197" w:rsidR="00DD24FD" w:rsidRPr="008D6017" w:rsidRDefault="00DD24FD" w:rsidP="006B254F">
      <w:pPr>
        <w:pStyle w:val="Heading3"/>
      </w:pPr>
      <w:r w:rsidRPr="008D6017">
        <w:t>Ministerial Statement goals</w:t>
      </w:r>
    </w:p>
    <w:p w14:paraId="40E716EF" w14:textId="77777777" w:rsidR="00DD24FD" w:rsidRPr="008D6017" w:rsidRDefault="00DD24FD" w:rsidP="006B254F">
      <w:pPr>
        <w:pStyle w:val="BodyText"/>
      </w:pPr>
      <w:r w:rsidRPr="008D6017">
        <w:t>All adult community education providers are provided with training and resources to successfully refer learners to appropriate services</w:t>
      </w:r>
    </w:p>
    <w:p w14:paraId="47914DFE" w14:textId="77777777" w:rsidR="00DD24FD" w:rsidRPr="008D6017" w:rsidRDefault="00DD24FD" w:rsidP="006B254F">
      <w:pPr>
        <w:pStyle w:val="BodyText"/>
      </w:pPr>
      <w:r w:rsidRPr="008D6017">
        <w:t>Adult community education is considered part of the response to government priorities, and formal partnerships and funding are in place</w:t>
      </w:r>
    </w:p>
    <w:p w14:paraId="49CB55D6" w14:textId="2DF26820" w:rsidR="00DD24FD" w:rsidRPr="008D6017" w:rsidRDefault="00DD24FD" w:rsidP="006B254F">
      <w:pPr>
        <w:pStyle w:val="Heading3"/>
      </w:pPr>
      <w:r w:rsidRPr="008D6017">
        <w:t>Board strategic directions</w:t>
      </w:r>
    </w:p>
    <w:p w14:paraId="18A8C2B2" w14:textId="77777777" w:rsidR="00DD24FD" w:rsidRPr="008D6017" w:rsidRDefault="00DD24FD" w:rsidP="0059079A">
      <w:pPr>
        <w:pStyle w:val="BodyText"/>
      </w:pPr>
      <w:r w:rsidRPr="008D6017">
        <w:t>Partnering and collaboration</w:t>
      </w:r>
    </w:p>
    <w:p w14:paraId="3F191A8B" w14:textId="1E38E813" w:rsidR="004B3F04" w:rsidRPr="00540B4E" w:rsidRDefault="00DD24FD" w:rsidP="00540B4E">
      <w:pPr>
        <w:pStyle w:val="BodyText"/>
      </w:pPr>
      <w:r w:rsidRPr="00540B4E">
        <w:t>A priority provider of solutions</w:t>
      </w:r>
    </w:p>
    <w:p w14:paraId="7CE71833" w14:textId="77777777" w:rsidR="00B45FE2" w:rsidRPr="008D6017" w:rsidRDefault="00B45FE2" w:rsidP="00185004">
      <w:pPr>
        <w:pStyle w:val="Heading2"/>
        <w:spacing w:before="240"/>
      </w:pPr>
      <w:r w:rsidRPr="008D6017">
        <w:t>Access and inclusion</w:t>
      </w:r>
    </w:p>
    <w:p w14:paraId="225E78E1" w14:textId="77777777" w:rsidR="00DD24FD" w:rsidRPr="008D6017" w:rsidRDefault="00DD24FD" w:rsidP="0059079A">
      <w:pPr>
        <w:pStyle w:val="Heading3afterHeading2"/>
      </w:pPr>
      <w:r w:rsidRPr="008D6017">
        <w:t>Ministerial Statement aspiration</w:t>
      </w:r>
    </w:p>
    <w:p w14:paraId="0FC00157" w14:textId="77777777" w:rsidR="00DD24FD" w:rsidRPr="008D6017" w:rsidRDefault="00DD24FD" w:rsidP="0059079A">
      <w:pPr>
        <w:pStyle w:val="BodyText"/>
      </w:pPr>
      <w:r w:rsidRPr="008D6017">
        <w:t>Victorians have reasonable access to adult community education that is welcoming and inclusive, on the basis of need</w:t>
      </w:r>
    </w:p>
    <w:p w14:paraId="216FE877" w14:textId="270541F4" w:rsidR="00DD24FD" w:rsidRPr="008D6017" w:rsidRDefault="00DD24FD" w:rsidP="006B254F">
      <w:pPr>
        <w:pStyle w:val="Heading3"/>
      </w:pPr>
      <w:r w:rsidRPr="008D6017">
        <w:t>Ministerial Statement goals</w:t>
      </w:r>
    </w:p>
    <w:p w14:paraId="387484C0" w14:textId="77777777" w:rsidR="00DD24FD" w:rsidRPr="00540B4E" w:rsidRDefault="00DD24FD" w:rsidP="0059079A">
      <w:pPr>
        <w:pStyle w:val="BodyText"/>
      </w:pPr>
      <w:r w:rsidRPr="008D6017">
        <w:t>There will be adult community education provision in every local government area in Victoria, which has a strong connection with local communities</w:t>
      </w:r>
    </w:p>
    <w:p w14:paraId="69159AC8" w14:textId="77777777" w:rsidR="00DD24FD" w:rsidRPr="00540B4E" w:rsidRDefault="00DD24FD" w:rsidP="0059079A">
      <w:pPr>
        <w:pStyle w:val="BodyText"/>
      </w:pPr>
      <w:r w:rsidRPr="008D6017">
        <w:t>100 per cent of Adult, Community and Further Education Board funded training will be provided to learners identified on the basis of need</w:t>
      </w:r>
    </w:p>
    <w:p w14:paraId="7CDFCD1C" w14:textId="77777777" w:rsidR="00DD24FD" w:rsidRPr="00540B4E" w:rsidRDefault="00DD24FD" w:rsidP="0059079A">
      <w:pPr>
        <w:pStyle w:val="BodyText"/>
      </w:pPr>
      <w:r w:rsidRPr="008D6017">
        <w:t>Adult community education providers are recognised in the community for the safe and welcoming learning environment that recognises and values learner need</w:t>
      </w:r>
    </w:p>
    <w:p w14:paraId="30CC9EF0" w14:textId="77777777" w:rsidR="00DD24FD" w:rsidRPr="00540B4E" w:rsidRDefault="00DD24FD" w:rsidP="0059079A">
      <w:pPr>
        <w:pStyle w:val="BodyText"/>
      </w:pPr>
      <w:r w:rsidRPr="008D6017">
        <w:t>All adult community education courses across Victoria will embed supporting people to develop the knowledge and skills to participate in society</w:t>
      </w:r>
    </w:p>
    <w:p w14:paraId="7395AA4E" w14:textId="77777777" w:rsidR="00DD24FD" w:rsidRPr="008D6017" w:rsidRDefault="00DD24FD" w:rsidP="006B254F">
      <w:pPr>
        <w:pStyle w:val="Heading3"/>
      </w:pPr>
      <w:r w:rsidRPr="008D6017">
        <w:t>Board strategic directions</w:t>
      </w:r>
    </w:p>
    <w:p w14:paraId="7F1D9CA3" w14:textId="77777777" w:rsidR="00DD24FD" w:rsidRPr="008D6017" w:rsidRDefault="00DD24FD" w:rsidP="0059079A">
      <w:pPr>
        <w:pStyle w:val="BodyText"/>
      </w:pPr>
      <w:r w:rsidRPr="008D6017">
        <w:t>Engagement and confidence-building</w:t>
      </w:r>
    </w:p>
    <w:p w14:paraId="702268A0" w14:textId="1686FC3A" w:rsidR="004B3F04" w:rsidRPr="008D6017" w:rsidRDefault="00DD24FD" w:rsidP="0059079A">
      <w:pPr>
        <w:pStyle w:val="BodyText"/>
      </w:pPr>
      <w:r w:rsidRPr="008D6017">
        <w:t>Skills for further training, work, volunteering and life</w:t>
      </w:r>
    </w:p>
    <w:p w14:paraId="54BD3B0A" w14:textId="77777777" w:rsidR="004B3F04" w:rsidRPr="008D6017" w:rsidRDefault="00B45FE2" w:rsidP="00185004">
      <w:pPr>
        <w:pStyle w:val="Heading2"/>
        <w:spacing w:before="240"/>
      </w:pPr>
      <w:r w:rsidRPr="008D6017">
        <w:t>Promoting the adult community education sector</w:t>
      </w:r>
    </w:p>
    <w:p w14:paraId="1C9D4467" w14:textId="77777777" w:rsidR="004B3F04" w:rsidRPr="008D6017" w:rsidRDefault="00DD24FD" w:rsidP="006B254F">
      <w:pPr>
        <w:pStyle w:val="Heading3afterHeading2"/>
      </w:pPr>
      <w:r w:rsidRPr="008D6017">
        <w:t>Ministerial Statement aspiration</w:t>
      </w:r>
    </w:p>
    <w:p w14:paraId="760863FB" w14:textId="5182A914" w:rsidR="00DD24FD" w:rsidRPr="008D6017" w:rsidRDefault="00DD24FD" w:rsidP="006B254F">
      <w:pPr>
        <w:pStyle w:val="BodyText"/>
      </w:pPr>
      <w:r w:rsidRPr="008D6017">
        <w:t>Adult community education providers and the sector more broadly is well recognised and understood within local communities</w:t>
      </w:r>
    </w:p>
    <w:p w14:paraId="696C31AD" w14:textId="1A1A179B" w:rsidR="00DD24FD" w:rsidRPr="008D6017" w:rsidRDefault="00DD24FD" w:rsidP="006B254F">
      <w:pPr>
        <w:pStyle w:val="Heading3"/>
      </w:pPr>
      <w:r w:rsidRPr="008D6017">
        <w:t>Ministerial Statement goals</w:t>
      </w:r>
    </w:p>
    <w:p w14:paraId="2367353F" w14:textId="50CBFA80" w:rsidR="00DD24FD" w:rsidRPr="00540B4E" w:rsidRDefault="00DD24FD" w:rsidP="00540B4E">
      <w:pPr>
        <w:pStyle w:val="BodyText"/>
      </w:pPr>
      <w:r w:rsidRPr="00540B4E">
        <w:t>There will be a 50 per cent prompted brand recognition of adult community education provision and purpose amongst potential learners (adu</w:t>
      </w:r>
      <w:r w:rsidR="004B3F04" w:rsidRPr="00540B4E">
        <w:t xml:space="preserve">lts with low prior education), </w:t>
      </w:r>
      <w:r w:rsidRPr="00540B4E">
        <w:t>small to medium-sized businesses in relevant industries, and TAFEs</w:t>
      </w:r>
    </w:p>
    <w:p w14:paraId="15E9B03E" w14:textId="77777777" w:rsidR="006B254F" w:rsidRDefault="00DD24FD" w:rsidP="006B254F">
      <w:pPr>
        <w:pStyle w:val="BodyText"/>
      </w:pPr>
      <w:r w:rsidRPr="008D6017">
        <w:lastRenderedPageBreak/>
        <w:t>Adult community education will be recognised by the sector and its stakeholders as a crucial element of the post-secondary system</w:t>
      </w:r>
    </w:p>
    <w:p w14:paraId="06A1D6C1" w14:textId="7C8859CB" w:rsidR="00DD24FD" w:rsidRPr="008D6017" w:rsidRDefault="00DD24FD" w:rsidP="006B254F">
      <w:pPr>
        <w:pStyle w:val="Heading3"/>
        <w:rPr>
          <w:rFonts w:eastAsiaTheme="minorHAnsi"/>
        </w:rPr>
      </w:pPr>
      <w:r w:rsidRPr="008D6017">
        <w:rPr>
          <w:rFonts w:eastAsiaTheme="minorHAnsi"/>
        </w:rPr>
        <w:t>Board strategic directions</w:t>
      </w:r>
    </w:p>
    <w:p w14:paraId="7E17E610" w14:textId="77777777" w:rsidR="00B45FE2" w:rsidRPr="008D6017" w:rsidRDefault="00B45FE2" w:rsidP="006B254F">
      <w:pPr>
        <w:pStyle w:val="BodyText"/>
      </w:pPr>
      <w:r w:rsidRPr="008D6017">
        <w:t>Communicating value and impact</w:t>
      </w:r>
    </w:p>
    <w:p w14:paraId="0617AF95" w14:textId="7EB01581" w:rsidR="0016357B" w:rsidRPr="008D6017" w:rsidRDefault="00D51643" w:rsidP="002B7025">
      <w:pPr>
        <w:pStyle w:val="Heading1"/>
      </w:pPr>
      <w:r w:rsidRPr="008D6017">
        <w:lastRenderedPageBreak/>
        <w:t>Focus areas</w:t>
      </w:r>
      <w:r w:rsidR="00EC6628" w:rsidRPr="008D6017">
        <w:t xml:space="preserve"> </w:t>
      </w:r>
      <w:r w:rsidR="00B665DD">
        <w:br/>
      </w:r>
      <w:r w:rsidR="00A516A6" w:rsidRPr="008D6017">
        <w:t>for 2020 to 20</w:t>
      </w:r>
      <w:r w:rsidR="00EC6628" w:rsidRPr="008D6017">
        <w:t>25</w:t>
      </w:r>
    </w:p>
    <w:p w14:paraId="163AD518" w14:textId="1BB1C40F" w:rsidR="00FE36CF" w:rsidRPr="008D6017" w:rsidRDefault="00A516A6" w:rsidP="00365B4F">
      <w:pPr>
        <w:pStyle w:val="Highlightedparagraph"/>
      </w:pPr>
      <w:r w:rsidRPr="008D6017">
        <w:t>T</w:t>
      </w:r>
      <w:r w:rsidR="00D17560" w:rsidRPr="008D6017">
        <w:t xml:space="preserve">o achieve the </w:t>
      </w:r>
      <w:r w:rsidR="007C5B23" w:rsidRPr="008D6017">
        <w:t xml:space="preserve">goals </w:t>
      </w:r>
      <w:r w:rsidR="00BF3337" w:rsidRPr="008D6017">
        <w:t xml:space="preserve">and aspirations </w:t>
      </w:r>
      <w:r w:rsidR="007C5B23" w:rsidRPr="008D6017">
        <w:t xml:space="preserve">of the </w:t>
      </w:r>
      <w:r w:rsidR="00D17560" w:rsidRPr="008D6017">
        <w:t>M</w:t>
      </w:r>
      <w:r w:rsidR="007C5B23" w:rsidRPr="008D6017">
        <w:t xml:space="preserve">inisterial </w:t>
      </w:r>
      <w:r w:rsidR="00D17560" w:rsidRPr="008D6017">
        <w:t>S</w:t>
      </w:r>
      <w:r w:rsidR="007C5B23" w:rsidRPr="008D6017">
        <w:t>tatement</w:t>
      </w:r>
      <w:r w:rsidR="00D17560" w:rsidRPr="008D6017">
        <w:t xml:space="preserve"> through the </w:t>
      </w:r>
      <w:r w:rsidR="005B320A" w:rsidRPr="008D6017">
        <w:t>Adult, Community and Further Education Board</w:t>
      </w:r>
      <w:r w:rsidR="00D17560" w:rsidRPr="008D6017">
        <w:t xml:space="preserve"> strategy and its directions, the following major areas of focus will form the basis </w:t>
      </w:r>
      <w:r w:rsidR="00190EBF" w:rsidRPr="008D6017">
        <w:t>for</w:t>
      </w:r>
      <w:r w:rsidR="00D17560" w:rsidRPr="008D6017">
        <w:t xml:space="preserve"> t</w:t>
      </w:r>
      <w:r w:rsidR="00BE610C" w:rsidRPr="008D6017">
        <w:t xml:space="preserve">he </w:t>
      </w:r>
      <w:r w:rsidR="007C5B23" w:rsidRPr="008D6017">
        <w:t xml:space="preserve">Board’s </w:t>
      </w:r>
      <w:r w:rsidR="00BE610C" w:rsidRPr="008D6017">
        <w:t>leadership</w:t>
      </w:r>
      <w:r w:rsidRPr="008D6017">
        <w:t>, prioritisation</w:t>
      </w:r>
      <w:r w:rsidR="00BE610C" w:rsidRPr="008D6017">
        <w:t xml:space="preserve"> and </w:t>
      </w:r>
      <w:r w:rsidRPr="008D6017">
        <w:t>decision-making</w:t>
      </w:r>
      <w:r w:rsidR="00BE610C" w:rsidRPr="008D6017">
        <w:t xml:space="preserve"> </w:t>
      </w:r>
      <w:r w:rsidRPr="008D6017">
        <w:t>for</w:t>
      </w:r>
      <w:r w:rsidR="00BE610C" w:rsidRPr="008D6017">
        <w:t xml:space="preserve"> </w:t>
      </w:r>
      <w:r w:rsidR="006E54DF" w:rsidRPr="008D6017">
        <w:t xml:space="preserve">education and </w:t>
      </w:r>
      <w:r w:rsidRPr="008D6017">
        <w:t xml:space="preserve">training </w:t>
      </w:r>
      <w:r w:rsidR="00BE610C" w:rsidRPr="008D6017">
        <w:t>delivery, major projects, professional development and investment</w:t>
      </w:r>
      <w:r w:rsidR="007C5B23" w:rsidRPr="008D6017">
        <w:t>.</w:t>
      </w:r>
    </w:p>
    <w:p w14:paraId="417B89E8" w14:textId="1BD15518" w:rsidR="004B3F04" w:rsidRDefault="00BE610C" w:rsidP="00540B4E">
      <w:pPr>
        <w:pStyle w:val="BodyText"/>
      </w:pPr>
      <w:r w:rsidRPr="00540B4E">
        <w:t>E</w:t>
      </w:r>
      <w:r w:rsidR="00EC6628" w:rsidRPr="00540B4E">
        <w:t>ach year</w:t>
      </w:r>
      <w:r w:rsidR="00FE36CF" w:rsidRPr="00540B4E">
        <w:t>,</w:t>
      </w:r>
      <w:r w:rsidR="00EC6628" w:rsidRPr="00540B4E">
        <w:t xml:space="preserve"> </w:t>
      </w:r>
      <w:r w:rsidR="00E7554C" w:rsidRPr="00540B4E">
        <w:t xml:space="preserve">the </w:t>
      </w:r>
      <w:r w:rsidR="00CF6918" w:rsidRPr="00540B4E">
        <w:t xml:space="preserve">Adult, Community and Further Education Board </w:t>
      </w:r>
      <w:r w:rsidR="00EC6628" w:rsidRPr="00540B4E">
        <w:t xml:space="preserve">will </w:t>
      </w:r>
      <w:r w:rsidR="00AA4336" w:rsidRPr="00540B4E">
        <w:t>publish</w:t>
      </w:r>
      <w:r w:rsidR="003F0939" w:rsidRPr="00540B4E">
        <w:t xml:space="preserve"> </w:t>
      </w:r>
      <w:r w:rsidR="00400545" w:rsidRPr="00540B4E">
        <w:t xml:space="preserve">an </w:t>
      </w:r>
      <w:r w:rsidR="00AB17DB" w:rsidRPr="00540B4E">
        <w:t xml:space="preserve">overview of the </w:t>
      </w:r>
      <w:r w:rsidR="00400545" w:rsidRPr="00540B4E">
        <w:t xml:space="preserve">strategic focus for the coming </w:t>
      </w:r>
      <w:r w:rsidR="003A042C" w:rsidRPr="00540B4E">
        <w:t xml:space="preserve">year, in </w:t>
      </w:r>
      <w:r w:rsidR="00EC6628" w:rsidRPr="00540B4E">
        <w:t>align</w:t>
      </w:r>
      <w:r w:rsidR="003A042C" w:rsidRPr="00540B4E">
        <w:t xml:space="preserve">ment with </w:t>
      </w:r>
      <w:r w:rsidR="005A66D0" w:rsidRPr="00540B4E">
        <w:t xml:space="preserve">the Ministerial Statement, </w:t>
      </w:r>
      <w:r w:rsidR="001D0DD7" w:rsidRPr="00540B4E">
        <w:t>this Strategy</w:t>
      </w:r>
      <w:r w:rsidR="001102D0" w:rsidRPr="00540B4E">
        <w:t xml:space="preserve">, and </w:t>
      </w:r>
      <w:r w:rsidR="005A66D0" w:rsidRPr="00540B4E">
        <w:t>any Statement of Expectations that the Minister may issue for the Board to fulfil.</w:t>
      </w:r>
    </w:p>
    <w:p w14:paraId="3B666CA4" w14:textId="06A11E73" w:rsidR="004B3F04" w:rsidRPr="008D6017" w:rsidRDefault="00CB25BD" w:rsidP="00941B5F">
      <w:pPr>
        <w:pStyle w:val="Heading2"/>
      </w:pPr>
      <w:r>
        <w:t>R</w:t>
      </w:r>
      <w:r w:rsidR="004B3F04" w:rsidRPr="008D6017">
        <w:t>etaining, enhancing and communicating the Learn Local delivery model for adult community and further education</w:t>
      </w:r>
    </w:p>
    <w:p w14:paraId="63629483" w14:textId="2EC40F9D" w:rsidR="004B3F04" w:rsidRPr="00540B4E" w:rsidRDefault="004B3F04" w:rsidP="00540B4E">
      <w:pPr>
        <w:pStyle w:val="BodyText"/>
      </w:pPr>
      <w:r w:rsidRPr="00540B4E">
        <w:t>Community-based delivery models have been proven to provide effective support and learning for adult learners with core educational needs. We will retain and strengthen the model’s essence as a network of welcoming, place-based, flexible providers</w:t>
      </w:r>
    </w:p>
    <w:p w14:paraId="57E843A0" w14:textId="77777777" w:rsidR="004B3F04" w:rsidRPr="008D6017" w:rsidRDefault="004B3F04" w:rsidP="00365B4F">
      <w:pPr>
        <w:pStyle w:val="BodyText"/>
      </w:pPr>
      <w:r w:rsidRPr="008D6017">
        <w:t>We will strengthen brand awareness, including by sharing stories and achievements, and promote the value of community-based delivery for individuals, communities, education partners and employers</w:t>
      </w:r>
    </w:p>
    <w:p w14:paraId="04772965" w14:textId="5F69D13C" w:rsidR="004B3F04" w:rsidRPr="00D56EDF" w:rsidRDefault="00766F3E" w:rsidP="00365B4F">
      <w:pPr>
        <w:pStyle w:val="Heading2"/>
      </w:pPr>
      <w:r w:rsidRPr="008D6017">
        <w:t>Fo</w:t>
      </w:r>
      <w:r w:rsidR="00CB25BD">
        <w:t>c</w:t>
      </w:r>
      <w:r w:rsidR="004B3F04" w:rsidRPr="008D6017">
        <w:t>using on literacy, numeracy, English language, employability and digital skills</w:t>
      </w:r>
    </w:p>
    <w:p w14:paraId="6A7BBA1E" w14:textId="77777777" w:rsidR="004B3F04" w:rsidRPr="008D6017" w:rsidRDefault="004B3F04" w:rsidP="00365B4F">
      <w:pPr>
        <w:pStyle w:val="BodyText"/>
      </w:pPr>
      <w:r w:rsidRPr="008D6017">
        <w:t>We will focus the Victorian Government’s investment in adult community and further education on core skills in literacy, numeracy, English language, employability and digital skills</w:t>
      </w:r>
    </w:p>
    <w:p w14:paraId="279FF41B" w14:textId="77777777" w:rsidR="004B3F04" w:rsidRPr="008D6017" w:rsidRDefault="004B3F04" w:rsidP="00365B4F">
      <w:pPr>
        <w:pStyle w:val="BodyText"/>
      </w:pPr>
      <w:r w:rsidRPr="008D6017">
        <w:t>The Adult, Community and Further Education Board will lead core skills for adults across Victoria</w:t>
      </w:r>
    </w:p>
    <w:p w14:paraId="3E64762B" w14:textId="77777777" w:rsidR="004B3F04" w:rsidRPr="008D6017" w:rsidRDefault="004B3F04" w:rsidP="00365B4F">
      <w:pPr>
        <w:pStyle w:val="BodyText"/>
      </w:pPr>
      <w:r w:rsidRPr="008D6017">
        <w:t>Learn Local providers will be leaders in core skills delivery</w:t>
      </w:r>
    </w:p>
    <w:p w14:paraId="2F16189A" w14:textId="1AF8EA8B" w:rsidR="004B3F04" w:rsidRPr="00D56EDF" w:rsidRDefault="004B3F04" w:rsidP="00365B4F">
      <w:pPr>
        <w:pStyle w:val="Heading2"/>
      </w:pPr>
      <w:r w:rsidRPr="008D6017">
        <w:t>Improving access and expanding provision</w:t>
      </w:r>
    </w:p>
    <w:p w14:paraId="7DBAA2A2" w14:textId="77777777" w:rsidR="004B3F04" w:rsidRPr="008D6017" w:rsidRDefault="004B3F04" w:rsidP="00365B4F">
      <w:pPr>
        <w:pStyle w:val="BodyText"/>
      </w:pPr>
      <w:r w:rsidRPr="008D6017">
        <w:t>Access to core skills education and training is a fundamental right. We will improve and expand access to high-quality core skills education and training including through enhanced capacity, innovation, and responsive models in provision</w:t>
      </w:r>
    </w:p>
    <w:p w14:paraId="7BFE271F" w14:textId="77777777" w:rsidR="004B3F04" w:rsidRPr="008D6017" w:rsidRDefault="004B3F04" w:rsidP="00365B4F">
      <w:pPr>
        <w:pStyle w:val="BodyText"/>
      </w:pPr>
      <w:r w:rsidRPr="008D6017">
        <w:t>Learners in every local government area will have access to core skills education and training</w:t>
      </w:r>
    </w:p>
    <w:p w14:paraId="602FBD48" w14:textId="067134BA" w:rsidR="004B3F04" w:rsidRPr="00D56EDF" w:rsidRDefault="004B3F04" w:rsidP="00365B4F">
      <w:pPr>
        <w:pStyle w:val="Heading2"/>
      </w:pPr>
      <w:r w:rsidRPr="008D6017">
        <w:t>Investing in Learn Local workforce capability</w:t>
      </w:r>
    </w:p>
    <w:p w14:paraId="227D5816" w14:textId="77777777" w:rsidR="004B3F04" w:rsidRPr="008D6017" w:rsidRDefault="004B3F04" w:rsidP="00365B4F">
      <w:pPr>
        <w:pStyle w:val="BodyText"/>
      </w:pPr>
      <w:r w:rsidRPr="008D6017">
        <w:t>Adult community and further education leaders, teachers and volunteers are valued. We will professionalise the Learn Local workforce through a framework of skills recognition and professional development. This will help move us towards a consistently qualified, professional workforce delivering non-accredited training and supported by volunteers</w:t>
      </w:r>
    </w:p>
    <w:p w14:paraId="3DA9112B" w14:textId="5FEB31E7" w:rsidR="004B3F04" w:rsidRPr="00D56EDF" w:rsidRDefault="004B3F04" w:rsidP="00365B4F">
      <w:pPr>
        <w:pStyle w:val="Heading2"/>
      </w:pPr>
      <w:r w:rsidRPr="008D6017">
        <w:lastRenderedPageBreak/>
        <w:t>Building an education and training offering that has status, quality and recognition</w:t>
      </w:r>
    </w:p>
    <w:p w14:paraId="1A047BE9" w14:textId="77777777" w:rsidR="004B3F04" w:rsidRPr="008D6017" w:rsidRDefault="004B3F04" w:rsidP="00365B4F">
      <w:pPr>
        <w:pStyle w:val="BodyText"/>
      </w:pPr>
      <w:r w:rsidRPr="008D6017">
        <w:t>While maintaining the strengths and responsiveness of existing Learn Local education and training products, we will focus on reviewing, developing and enhancing the Learn Local sector’s non-accredited education and training offering and the Pre-accredited Quality Framework to ensure the sector can fulfil its broader roles established by this Strategy and the Ministerial Statement on the Future of Adult Community Education in Victoria 2020–25</w:t>
      </w:r>
    </w:p>
    <w:p w14:paraId="39125297" w14:textId="29408AEF" w:rsidR="004B3F04" w:rsidRPr="00D56EDF" w:rsidRDefault="004B3F04" w:rsidP="00365B4F">
      <w:pPr>
        <w:pStyle w:val="Heading2"/>
      </w:pPr>
      <w:r w:rsidRPr="008D6017">
        <w:t>Investing in course development and best practice learning resources</w:t>
      </w:r>
    </w:p>
    <w:p w14:paraId="0EF7467F" w14:textId="77777777" w:rsidR="004B3F04" w:rsidRPr="008D6017" w:rsidRDefault="004B3F04" w:rsidP="00365B4F">
      <w:pPr>
        <w:pStyle w:val="BodyText"/>
      </w:pPr>
      <w:r w:rsidRPr="008D6017">
        <w:t>We will invest in a core set of up-to-date, best practice curriculum, learning resources, and non-exam/test-based assessment tools, developed with experts in the Learn Local sector for the Learn Local sector</w:t>
      </w:r>
    </w:p>
    <w:p w14:paraId="3F582F3C" w14:textId="68925BB1" w:rsidR="004B3F04" w:rsidRPr="00D56EDF" w:rsidRDefault="004B3F04" w:rsidP="00365B4F">
      <w:pPr>
        <w:pStyle w:val="Heading2"/>
      </w:pPr>
      <w:r w:rsidRPr="008D6017">
        <w:t>Strong and expanded partnering</w:t>
      </w:r>
    </w:p>
    <w:p w14:paraId="3518D402" w14:textId="77777777" w:rsidR="004B3F04" w:rsidRPr="008D6017" w:rsidRDefault="004B3F04" w:rsidP="00365B4F">
      <w:pPr>
        <w:pStyle w:val="BodyText"/>
      </w:pPr>
      <w:r w:rsidRPr="008D6017">
        <w:t>In the interests of building a thriving eco-system of adult community education and training, we will expand collaboration and connection within the Learn Local sector itself and between the Learn Local sector and TAFEs, universities, employers, and health and community services partners, for the benefit of adult learners seeking to develop their educational capacity and core skills, across communities in Victoria</w:t>
      </w:r>
    </w:p>
    <w:p w14:paraId="34EC7F48" w14:textId="2E71D77F" w:rsidR="00517C7B" w:rsidRPr="008D6017" w:rsidRDefault="00517C7B" w:rsidP="002B7025">
      <w:pPr>
        <w:pStyle w:val="Heading1"/>
      </w:pPr>
      <w:bookmarkStart w:id="8" w:name="_Ref18675983"/>
      <w:r w:rsidRPr="008D6017">
        <w:lastRenderedPageBreak/>
        <w:t xml:space="preserve">What does success </w:t>
      </w:r>
      <w:r w:rsidR="00B665DD">
        <w:br/>
      </w:r>
      <w:r w:rsidRPr="008D6017">
        <w:t>look like in 2025?</w:t>
      </w:r>
    </w:p>
    <w:p w14:paraId="6D1EE718" w14:textId="77777777" w:rsidR="00F2404E" w:rsidRPr="008D6017" w:rsidRDefault="00F2404E" w:rsidP="008312D1">
      <w:pPr>
        <w:pStyle w:val="Highlightedparagraph"/>
      </w:pPr>
      <w:r w:rsidRPr="008D6017">
        <w:t>Success will be measured according to the way in which the Board contributes to achievement of the Ministerial Statement on the Future of Adult Community Education in Victoria 2020–25 and specifically its aspirations and goals.</w:t>
      </w:r>
    </w:p>
    <w:p w14:paraId="27BEB1B2" w14:textId="392099E6" w:rsidR="00766F3E" w:rsidRPr="008D6017" w:rsidRDefault="00F2404E" w:rsidP="008312D1">
      <w:pPr>
        <w:pStyle w:val="BodyText"/>
      </w:pPr>
      <w:r w:rsidRPr="008D6017">
        <w:t>Congruent with those aspirations and goals, the Board’s desired outcomes for the key system participants are shown below, which are underpinned by performance and accountability data and measures.</w:t>
      </w:r>
    </w:p>
    <w:p w14:paraId="1AAFC370" w14:textId="77777777" w:rsidR="00766F3E" w:rsidRPr="008D6017" w:rsidRDefault="00766F3E" w:rsidP="00941B5F">
      <w:pPr>
        <w:pStyle w:val="Heading2"/>
      </w:pPr>
      <w:r w:rsidRPr="008D6017">
        <w:t>Learners</w:t>
      </w:r>
    </w:p>
    <w:p w14:paraId="63E953FC" w14:textId="77777777" w:rsidR="00766F3E" w:rsidRPr="008D6017" w:rsidRDefault="00766F3E" w:rsidP="008312D1">
      <w:pPr>
        <w:pStyle w:val="BodyText"/>
      </w:pPr>
      <w:r w:rsidRPr="008D6017">
        <w:t>Adult learners’ needs for core skills are met, so that all Victorians have the necessary core skills for study, work and life</w:t>
      </w:r>
    </w:p>
    <w:p w14:paraId="0947E283" w14:textId="77777777" w:rsidR="00766F3E" w:rsidRPr="008D6017" w:rsidRDefault="00766F3E" w:rsidP="008312D1">
      <w:pPr>
        <w:pStyle w:val="BodyText"/>
      </w:pPr>
      <w:r w:rsidRPr="008D6017">
        <w:t>Learners in every Victorian LGA have access to core skills education and training in place-based or workplace settings</w:t>
      </w:r>
    </w:p>
    <w:p w14:paraId="25C967A6" w14:textId="77777777" w:rsidR="00766F3E" w:rsidRPr="008D6017" w:rsidRDefault="00766F3E" w:rsidP="00941B5F">
      <w:pPr>
        <w:pStyle w:val="Heading2"/>
      </w:pPr>
      <w:r w:rsidRPr="008D6017">
        <w:t>Minister</w:t>
      </w:r>
    </w:p>
    <w:p w14:paraId="3A9A1DA7" w14:textId="77777777" w:rsidR="00766F3E" w:rsidRPr="008D6017" w:rsidRDefault="00766F3E" w:rsidP="008312D1">
      <w:pPr>
        <w:pStyle w:val="BodyText"/>
      </w:pPr>
      <w:r w:rsidRPr="008D6017">
        <w:t>The goals and aspirations in the Ministerial Statement on Adult Community Education 2020–25 are realised</w:t>
      </w:r>
    </w:p>
    <w:p w14:paraId="45705B0C" w14:textId="77777777" w:rsidR="00766F3E" w:rsidRPr="008D6017" w:rsidRDefault="00766F3E" w:rsidP="00941B5F">
      <w:pPr>
        <w:pStyle w:val="Heading2"/>
      </w:pPr>
      <w:r w:rsidRPr="008D6017">
        <w:t>Board</w:t>
      </w:r>
    </w:p>
    <w:p w14:paraId="0261AADD" w14:textId="77777777" w:rsidR="00766F3E" w:rsidRPr="008D6017" w:rsidRDefault="00766F3E" w:rsidP="008312D1">
      <w:pPr>
        <w:pStyle w:val="BodyText"/>
      </w:pPr>
      <w:r w:rsidRPr="008D6017">
        <w:t>The Adult, Community and Further Education Board has achieved its strategic directions in order to support achievement of the goals and aspirations in the Ministerial Statement</w:t>
      </w:r>
    </w:p>
    <w:p w14:paraId="77E4890B" w14:textId="77777777" w:rsidR="00766F3E" w:rsidRPr="008D6017" w:rsidRDefault="00766F3E" w:rsidP="008312D1">
      <w:pPr>
        <w:pStyle w:val="BodyText"/>
      </w:pPr>
      <w:r w:rsidRPr="008D6017">
        <w:t>The Board demonstrates high standards of probity, integrity and transparency of decision-making</w:t>
      </w:r>
    </w:p>
    <w:p w14:paraId="156A6403" w14:textId="77777777" w:rsidR="00766F3E" w:rsidRPr="008D6017" w:rsidRDefault="00766F3E" w:rsidP="008312D1">
      <w:pPr>
        <w:pStyle w:val="BodyText"/>
      </w:pPr>
      <w:r w:rsidRPr="008D6017">
        <w:t>The Board demonstrates good governance and provides strategic direction to projects</w:t>
      </w:r>
    </w:p>
    <w:p w14:paraId="2D8B789E" w14:textId="77777777" w:rsidR="00766F3E" w:rsidRPr="008D6017" w:rsidRDefault="00766F3E" w:rsidP="00941B5F">
      <w:pPr>
        <w:pStyle w:val="Heading2"/>
      </w:pPr>
      <w:r w:rsidRPr="008D6017">
        <w:t>Providers</w:t>
      </w:r>
    </w:p>
    <w:p w14:paraId="5A9F21B5" w14:textId="77777777" w:rsidR="00766F3E" w:rsidRPr="008D6017" w:rsidRDefault="00766F3E" w:rsidP="008312D1">
      <w:pPr>
        <w:pStyle w:val="BodyText"/>
      </w:pPr>
      <w:r w:rsidRPr="008D6017">
        <w:t>There is a consistently high standard of core education and training provision which is efficient and sustainable</w:t>
      </w:r>
    </w:p>
    <w:p w14:paraId="25DD1491" w14:textId="77777777" w:rsidR="00766F3E" w:rsidRPr="008D6017" w:rsidRDefault="00766F3E" w:rsidP="008312D1">
      <w:pPr>
        <w:pStyle w:val="BodyText"/>
      </w:pPr>
      <w:r w:rsidRPr="008D6017">
        <w:t>Learn Local providers continue to offer a welcoming, flexible entry point to core skills education and training</w:t>
      </w:r>
    </w:p>
    <w:p w14:paraId="2D6AC329" w14:textId="77777777" w:rsidR="00766F3E" w:rsidRPr="008D6017" w:rsidRDefault="00766F3E" w:rsidP="00941B5F">
      <w:pPr>
        <w:pStyle w:val="Heading2"/>
      </w:pPr>
      <w:r w:rsidRPr="008D6017">
        <w:t>Department</w:t>
      </w:r>
    </w:p>
    <w:p w14:paraId="73CDD67B" w14:textId="77777777" w:rsidR="00766F3E" w:rsidRPr="008D6017" w:rsidRDefault="00766F3E" w:rsidP="008312D1">
      <w:pPr>
        <w:pStyle w:val="BodyText"/>
      </w:pPr>
      <w:r w:rsidRPr="008D6017">
        <w:t>The Department of Education and Training provides quality resources and effective support and input to the Board in the fulfilment of its strategic directions</w:t>
      </w:r>
    </w:p>
    <w:p w14:paraId="3AAA1DAD" w14:textId="77777777" w:rsidR="00766F3E" w:rsidRPr="008D6017" w:rsidRDefault="00766F3E" w:rsidP="00941B5F">
      <w:pPr>
        <w:pStyle w:val="Heading2"/>
      </w:pPr>
      <w:r w:rsidRPr="008D6017">
        <w:t>The wider education and social services system</w:t>
      </w:r>
    </w:p>
    <w:p w14:paraId="2B414C64" w14:textId="77777777" w:rsidR="00766F3E" w:rsidRPr="008D6017" w:rsidRDefault="00766F3E" w:rsidP="008312D1">
      <w:pPr>
        <w:pStyle w:val="BodyText"/>
      </w:pPr>
      <w:r w:rsidRPr="008D6017">
        <w:t>Departments, agencies and other organisations operate in a coordinated, ‘joined up’ way to meet learners’ wider needs, including for effective educational pathways and wrap-around services</w:t>
      </w:r>
      <w:bookmarkEnd w:id="8"/>
    </w:p>
    <w:sectPr w:rsidR="00766F3E" w:rsidRPr="008D6017" w:rsidSect="00373C02">
      <w:headerReference w:type="default" r:id="rId19"/>
      <w:footerReference w:type="default" r:id="rId20"/>
      <w:type w:val="continuous"/>
      <w:pgSz w:w="11906" w:h="16838"/>
      <w:pgMar w:top="1134" w:right="794" w:bottom="1134" w:left="794" w:header="709" w:footer="567" w:gutter="17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EE83C8" w14:textId="77777777" w:rsidR="00BD686E" w:rsidRDefault="00BD686E" w:rsidP="001B24DD">
      <w:pPr>
        <w:spacing w:after="0"/>
      </w:pPr>
      <w:r>
        <w:separator/>
      </w:r>
    </w:p>
  </w:endnote>
  <w:endnote w:type="continuationSeparator" w:id="0">
    <w:p w14:paraId="23AB0C43" w14:textId="77777777" w:rsidR="00BD686E" w:rsidRDefault="00BD686E" w:rsidP="001B24DD">
      <w:pPr>
        <w:spacing w:after="0"/>
      </w:pPr>
      <w:r>
        <w:continuationSeparator/>
      </w:r>
    </w:p>
  </w:endnote>
  <w:endnote w:type="continuationNotice" w:id="1">
    <w:p w14:paraId="1090EDFF" w14:textId="77777777" w:rsidR="00BD686E" w:rsidRDefault="00BD686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FDFE69" w14:textId="62FFC83D" w:rsidR="00240BF8" w:rsidRDefault="00ED4867">
    <w:pPr>
      <w:pStyle w:val="Footer"/>
    </w:pPr>
    <w:r>
      <w:rPr>
        <w:noProof/>
      </w:rPr>
      <mc:AlternateContent>
        <mc:Choice Requires="wps">
          <w:drawing>
            <wp:anchor distT="0" distB="0" distL="114300" distR="114300" simplePos="1" relativeHeight="251660288" behindDoc="0" locked="0" layoutInCell="0" allowOverlap="1" wp14:anchorId="09B1C194" wp14:editId="479A50CC">
              <wp:simplePos x="0" y="10234930"/>
              <wp:positionH relativeFrom="page">
                <wp:posOffset>0</wp:posOffset>
              </wp:positionH>
              <wp:positionV relativeFrom="page">
                <wp:posOffset>10234930</wp:posOffset>
              </wp:positionV>
              <wp:extent cx="7560310" cy="266700"/>
              <wp:effectExtent l="0" t="0" r="0" b="0"/>
              <wp:wrapNone/>
              <wp:docPr id="3" name="MSIPCM75ef46fc892f0c9b21ef081f" descr="{&quot;HashCode&quot;:-1267603503,&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008C437" w14:textId="126251A1" w:rsidR="00ED4867" w:rsidRPr="00ED4867" w:rsidRDefault="00ED4867" w:rsidP="00ED4867">
                          <w:pPr>
                            <w:spacing w:after="0"/>
                            <w:rPr>
                              <w:rFonts w:ascii="Calibri" w:hAnsi="Calibri" w:cs="Calibri"/>
                              <w:color w:val="000000"/>
                            </w:rPr>
                          </w:pPr>
                          <w:r w:rsidRPr="00ED4867">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9B1C194" id="_x0000_t202" coordsize="21600,21600" o:spt="202" path="m,l,21600r21600,l21600,xe">
              <v:stroke joinstyle="miter"/>
              <v:path gradientshapeok="t" o:connecttype="rect"/>
            </v:shapetype>
            <v:shape id="MSIPCM75ef46fc892f0c9b21ef081f" o:spid="_x0000_s1026" type="#_x0000_t202" alt="{&quot;HashCode&quot;:-1267603503,&quot;Height&quot;:841.0,&quot;Width&quot;:595.0,&quot;Placement&quot;:&quot;Footer&quot;,&quot;Index&quot;:&quot;OddAndEven&quot;,&quot;Section&quot;:1,&quot;Top&quot;:0.0,&quot;Left&quot;:0.0}" style="position:absolute;margin-left:0;margin-top:805.9pt;width:595.3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" o:allowincell="f" filled="f" stroked="f" strokeweight=".5pt">
              <v:fill o:detectmouseclick="t"/>
              <v:textbox inset="20pt,0,,0">
                <w:txbxContent>
                  <w:p w14:paraId="6008C437" w14:textId="126251A1" w:rsidR="00ED4867" w:rsidRPr="00ED4867" w:rsidRDefault="00ED4867" w:rsidP="00ED4867">
                    <w:pPr>
                      <w:spacing w:after="0"/>
                      <w:rPr>
                        <w:rFonts w:ascii="Calibri" w:hAnsi="Calibri" w:cs="Calibri"/>
                        <w:color w:val="000000"/>
                      </w:rPr>
                    </w:pPr>
                    <w:r w:rsidRPr="00ED4867">
                      <w:rPr>
                        <w:rFonts w:ascii="Calibri" w:hAnsi="Calibri" w:cs="Calibri"/>
                        <w:color w:val="000000"/>
                      </w:rPr>
                      <w:t>OFFICIAL</w:t>
                    </w:r>
                  </w:p>
                </w:txbxContent>
              </v:textbox>
              <w10:wrap anchorx="page" anchory="page"/>
            </v:shape>
          </w:pict>
        </mc:Fallback>
      </mc:AlternateContent>
    </w:r>
    <w:r w:rsidR="00240BF8">
      <w:t>ACFEB STRATEGY 2020–25</w:t>
    </w:r>
  </w:p>
  <w:p w14:paraId="53E1E717" w14:textId="2D24774C" w:rsidR="00DA0DDE" w:rsidRPr="00DA0DDE" w:rsidRDefault="00DA0DDE" w:rsidP="00DA0DDE">
    <w:pPr>
      <w:pStyle w:val="Footer"/>
      <w:jc w:val="right"/>
      <w:rPr>
        <w:color w:val="808080" w:themeColor="background1" w:themeShade="80"/>
        <w:sz w:val="48"/>
        <w:szCs w:val="48"/>
      </w:rPr>
    </w:pPr>
    <w:r w:rsidRPr="0050206E">
      <w:rPr>
        <w:color w:val="808080" w:themeColor="background1" w:themeShade="80"/>
        <w:sz w:val="48"/>
        <w:szCs w:val="48"/>
      </w:rPr>
      <w:fldChar w:fldCharType="begin"/>
    </w:r>
    <w:r w:rsidRPr="0050206E">
      <w:rPr>
        <w:color w:val="808080" w:themeColor="background1" w:themeShade="80"/>
        <w:sz w:val="48"/>
        <w:szCs w:val="48"/>
      </w:rPr>
      <w:instrText xml:space="preserve"> PAGE   \* MERGEFORMAT </w:instrText>
    </w:r>
    <w:r w:rsidRPr="0050206E">
      <w:rPr>
        <w:color w:val="808080" w:themeColor="background1" w:themeShade="80"/>
        <w:sz w:val="48"/>
        <w:szCs w:val="48"/>
      </w:rPr>
      <w:fldChar w:fldCharType="separate"/>
    </w:r>
    <w:r>
      <w:rPr>
        <w:noProof/>
        <w:color w:val="808080" w:themeColor="background1" w:themeShade="80"/>
        <w:sz w:val="48"/>
        <w:szCs w:val="48"/>
      </w:rPr>
      <w:t>2</w:t>
    </w:r>
    <w:r w:rsidRPr="0050206E">
      <w:rPr>
        <w:noProof/>
        <w:color w:val="808080" w:themeColor="background1" w:themeShade="80"/>
        <w:sz w:val="48"/>
        <w:szCs w:val="4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DDF397" w14:textId="62A5F02F" w:rsidR="00240BF8" w:rsidRPr="0050206E" w:rsidRDefault="00ED4867" w:rsidP="00240BF8">
    <w:pPr>
      <w:pStyle w:val="Footer"/>
      <w:jc w:val="right"/>
      <w:rPr>
        <w:color w:val="808080" w:themeColor="background1" w:themeShade="80"/>
        <w:sz w:val="48"/>
        <w:szCs w:val="48"/>
      </w:rPr>
    </w:pPr>
    <w:r>
      <w:rPr>
        <w:noProof/>
        <w:color w:val="808080" w:themeColor="background1" w:themeShade="80"/>
        <w:sz w:val="48"/>
        <w:szCs w:val="48"/>
      </w:rPr>
      <mc:AlternateContent>
        <mc:Choice Requires="wps">
          <w:drawing>
            <wp:anchor distT="0" distB="0" distL="114300" distR="114300" simplePos="0" relativeHeight="251659264" behindDoc="0" locked="0" layoutInCell="0" allowOverlap="1" wp14:anchorId="12FC15E4" wp14:editId="39FCCB83">
              <wp:simplePos x="0" y="0"/>
              <wp:positionH relativeFrom="page">
                <wp:posOffset>0</wp:posOffset>
              </wp:positionH>
              <wp:positionV relativeFrom="page">
                <wp:posOffset>10234930</wp:posOffset>
              </wp:positionV>
              <wp:extent cx="7560310" cy="266700"/>
              <wp:effectExtent l="0" t="0" r="0" b="0"/>
              <wp:wrapNone/>
              <wp:docPr id="2" name="MSIPCM1d4c4dbcb89a580d9fecf779"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4FC3746" w14:textId="20D62594" w:rsidR="00ED4867" w:rsidRPr="00ED4867" w:rsidRDefault="00ED4867" w:rsidP="00ED4867">
                          <w:pPr>
                            <w:spacing w:after="0"/>
                            <w:rPr>
                              <w:rFonts w:ascii="Calibri" w:hAnsi="Calibri" w:cs="Calibri"/>
                              <w:color w:val="000000"/>
                            </w:rPr>
                          </w:pPr>
                          <w:r w:rsidRPr="00ED4867">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2FC15E4" id="_x0000_t202" coordsize="21600,21600" o:spt="202" path="m,l,21600r21600,l21600,xe">
              <v:stroke joinstyle="miter"/>
              <v:path gradientshapeok="t" o:connecttype="rect"/>
            </v:shapetype>
            <v:shape id="MSIPCM1d4c4dbcb89a580d9fecf779" o:spid="_x0000_s1027" type="#_x0000_t202" alt="{&quot;HashCode&quot;:-1267603503,&quot;Height&quot;:841.0,&quot;Width&quot;:595.0,&quot;Placement&quot;:&quot;Footer&quot;,&quot;Index&quot;:&quot;Primary&quot;,&quot;Section&quot;:1,&quot;Top&quot;:0.0,&quot;Left&quot;:0.0}" style="position:absolute;left:0;text-align:left;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" o:allowincell="f" filled="f" stroked="f" strokeweight=".5pt">
              <v:fill o:detectmouseclick="t"/>
              <v:textbox inset="20pt,0,,0">
                <w:txbxContent>
                  <w:p w14:paraId="64FC3746" w14:textId="20D62594" w:rsidR="00ED4867" w:rsidRPr="00ED4867" w:rsidRDefault="00ED4867" w:rsidP="00ED4867">
                    <w:pPr>
                      <w:spacing w:after="0"/>
                      <w:rPr>
                        <w:rFonts w:ascii="Calibri" w:hAnsi="Calibri" w:cs="Calibri"/>
                        <w:color w:val="000000"/>
                      </w:rPr>
                    </w:pPr>
                    <w:r w:rsidRPr="00ED4867">
                      <w:rPr>
                        <w:rFonts w:ascii="Calibri" w:hAnsi="Calibri" w:cs="Calibri"/>
                        <w:color w:val="00000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0132B7" w14:textId="122F4513" w:rsidR="000F48C4" w:rsidRPr="003964FB" w:rsidRDefault="000F48C4" w:rsidP="001468D3">
    <w:pPr>
      <w:pStyle w:val="Footer"/>
      <w:jc w:val="right"/>
    </w:pPr>
    <w:r>
      <w:t xml:space="preserve">Page </w:t>
    </w:r>
    <w:sdt>
      <w:sdtPr>
        <w:id w:val="5359176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9</w:t>
        </w:r>
        <w:r>
          <w:rPr>
            <w:noProof/>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24273" w14:textId="41318987" w:rsidR="00DA0DDE" w:rsidRDefault="00ED4867">
    <w:pPr>
      <w:pStyle w:val="Footer"/>
    </w:pPr>
    <w:r>
      <w:rPr>
        <w:noProof/>
      </w:rPr>
      <mc:AlternateContent>
        <mc:Choice Requires="wps">
          <w:drawing>
            <wp:anchor distT="0" distB="0" distL="114300" distR="114300" simplePos="0" relativeHeight="251661312" behindDoc="0" locked="0" layoutInCell="0" allowOverlap="1" wp14:anchorId="2475D277" wp14:editId="1792CA21">
              <wp:simplePos x="0" y="0"/>
              <wp:positionH relativeFrom="page">
                <wp:posOffset>0</wp:posOffset>
              </wp:positionH>
              <wp:positionV relativeFrom="page">
                <wp:posOffset>10234930</wp:posOffset>
              </wp:positionV>
              <wp:extent cx="7560310" cy="266700"/>
              <wp:effectExtent l="0" t="0" r="0" b="0"/>
              <wp:wrapNone/>
              <wp:docPr id="4" name="MSIPCM23474f1ebdaeff8e53711bba" descr="{&quot;HashCode&quot;:-1267603503,&quot;Height&quot;:841.0,&quot;Width&quot;:595.0,&quot;Placement&quot;:&quot;Footer&quot;,&quot;Index&quot;:&quot;OddAndEven&quot;,&quot;Section&quot;:2,&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57608F2" w14:textId="2F3DD4F7" w:rsidR="00ED4867" w:rsidRPr="00ED4867" w:rsidRDefault="00ED4867" w:rsidP="00ED4867">
                          <w:pPr>
                            <w:spacing w:after="0"/>
                            <w:rPr>
                              <w:rFonts w:ascii="Calibri" w:hAnsi="Calibri" w:cs="Calibri"/>
                              <w:color w:val="000000"/>
                            </w:rPr>
                          </w:pPr>
                          <w:r w:rsidRPr="00ED4867">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475D277" id="_x0000_t202" coordsize="21600,21600" o:spt="202" path="m,l,21600r21600,l21600,xe">
              <v:stroke joinstyle="miter"/>
              <v:path gradientshapeok="t" o:connecttype="rect"/>
            </v:shapetype>
            <v:shape id="MSIPCM23474f1ebdaeff8e53711bba" o:spid="_x0000_s1028" type="#_x0000_t202" alt="{&quot;HashCode&quot;:-1267603503,&quot;Height&quot;:841.0,&quot;Width&quot;:595.0,&quot;Placement&quot;:&quot;Footer&quot;,&quot;Index&quot;:&quot;OddAndEven&quot;,&quot;Section&quot;:2,&quot;Top&quot;:0.0,&quot;Left&quot;:0.0}" style="position:absolute;margin-left:0;margin-top:805.9pt;width:595.3pt;height:21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" o:allowincell="f" filled="f" stroked="f" strokeweight=".5pt">
              <v:fill o:detectmouseclick="t"/>
              <v:textbox inset="20pt,0,,0">
                <w:txbxContent>
                  <w:p w14:paraId="057608F2" w14:textId="2F3DD4F7" w:rsidR="00ED4867" w:rsidRPr="00ED4867" w:rsidRDefault="00ED4867" w:rsidP="00ED4867">
                    <w:pPr>
                      <w:spacing w:after="0"/>
                      <w:rPr>
                        <w:rFonts w:ascii="Calibri" w:hAnsi="Calibri" w:cs="Calibri"/>
                        <w:color w:val="000000"/>
                      </w:rPr>
                    </w:pPr>
                    <w:r w:rsidRPr="00ED4867">
                      <w:rPr>
                        <w:rFonts w:ascii="Calibri" w:hAnsi="Calibri" w:cs="Calibri"/>
                        <w:color w:val="000000"/>
                      </w:rPr>
                      <w:t>OFFICIAL</w:t>
                    </w:r>
                  </w:p>
                </w:txbxContent>
              </v:textbox>
              <w10:wrap anchorx="page" anchory="page"/>
            </v:shape>
          </w:pict>
        </mc:Fallback>
      </mc:AlternateContent>
    </w:r>
    <w:r w:rsidR="00DA0DDE">
      <w:t>ACFEB STRATEGY 2020–25</w:t>
    </w:r>
  </w:p>
  <w:p w14:paraId="2F2C1FF4" w14:textId="65EA1201" w:rsidR="00DA0DDE" w:rsidRPr="00DA0DDE" w:rsidRDefault="00DA0DDE" w:rsidP="00DA0DDE">
    <w:pPr>
      <w:pStyle w:val="Footer"/>
      <w:jc w:val="right"/>
      <w:rPr>
        <w:color w:val="808080" w:themeColor="background1" w:themeShade="80"/>
        <w:sz w:val="48"/>
        <w:szCs w:val="4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51C35" w14:textId="2542FF18" w:rsidR="00DA0DDE" w:rsidRPr="0050206E" w:rsidRDefault="00ED4867" w:rsidP="00373C02">
    <w:pPr>
      <w:pStyle w:val="Footer"/>
      <w:rPr>
        <w:color w:val="808080" w:themeColor="background1" w:themeShade="80"/>
        <w:sz w:val="48"/>
        <w:szCs w:val="48"/>
      </w:rPr>
    </w:pPr>
    <w:r>
      <w:rPr>
        <w:noProof/>
      </w:rPr>
      <mc:AlternateContent>
        <mc:Choice Requires="wps">
          <w:drawing>
            <wp:anchor distT="0" distB="0" distL="114300" distR="114300" simplePos="0" relativeHeight="251662336" behindDoc="0" locked="0" layoutInCell="0" allowOverlap="1" wp14:anchorId="16411376" wp14:editId="6314B90F">
              <wp:simplePos x="0" y="0"/>
              <wp:positionH relativeFrom="page">
                <wp:posOffset>0</wp:posOffset>
              </wp:positionH>
              <wp:positionV relativeFrom="page">
                <wp:posOffset>10234930</wp:posOffset>
              </wp:positionV>
              <wp:extent cx="7560310" cy="266700"/>
              <wp:effectExtent l="0" t="0" r="0" b="0"/>
              <wp:wrapNone/>
              <wp:docPr id="5" name="MSIPCMb73946f2b6d6411a42ff032a" descr="{&quot;HashCode&quot;:-1267603503,&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ACE99B7" w14:textId="340D6631" w:rsidR="00ED4867" w:rsidRPr="00ED4867" w:rsidRDefault="00ED4867" w:rsidP="00ED4867">
                          <w:pPr>
                            <w:spacing w:after="0"/>
                            <w:rPr>
                              <w:rFonts w:ascii="Calibri" w:hAnsi="Calibri" w:cs="Calibri"/>
                              <w:color w:val="000000"/>
                            </w:rPr>
                          </w:pPr>
                          <w:r w:rsidRPr="00ED4867">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6411376" id="_x0000_t202" coordsize="21600,21600" o:spt="202" path="m,l,21600r21600,l21600,xe">
              <v:stroke joinstyle="miter"/>
              <v:path gradientshapeok="t" o:connecttype="rect"/>
            </v:shapetype>
            <v:shape id="MSIPCMb73946f2b6d6411a42ff032a" o:spid="_x0000_s1029" type="#_x0000_t202" alt="{&quot;HashCode&quot;:-1267603503,&quot;Height&quot;:841.0,&quot;Width&quot;:595.0,&quot;Placement&quot;:&quot;Footer&quot;,&quot;Index&quot;:&quot;Primary&quot;,&quot;Section&quot;:3,&quot;Top&quot;:0.0,&quot;Left&quot;:0.0}" style="position:absolute;margin-left:0;margin-top:805.9pt;width:595.3pt;height:21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" o:allowincell="f" filled="f" stroked="f" strokeweight=".5pt">
              <v:fill o:detectmouseclick="t"/>
              <v:textbox inset="20pt,0,,0">
                <w:txbxContent>
                  <w:p w14:paraId="3ACE99B7" w14:textId="340D6631" w:rsidR="00ED4867" w:rsidRPr="00ED4867" w:rsidRDefault="00ED4867" w:rsidP="00ED4867">
                    <w:pPr>
                      <w:spacing w:after="0"/>
                      <w:rPr>
                        <w:rFonts w:ascii="Calibri" w:hAnsi="Calibri" w:cs="Calibri"/>
                        <w:color w:val="000000"/>
                      </w:rPr>
                    </w:pPr>
                    <w:r w:rsidRPr="00ED4867">
                      <w:rPr>
                        <w:rFonts w:ascii="Calibri" w:hAnsi="Calibri" w:cs="Calibri"/>
                        <w:color w:val="000000"/>
                      </w:rPr>
                      <w:t>OFFICIAL</w:t>
                    </w:r>
                  </w:p>
                </w:txbxContent>
              </v:textbox>
              <w10:wrap anchorx="page" anchory="page"/>
            </v:shape>
          </w:pict>
        </mc:Fallback>
      </mc:AlternateContent>
    </w:r>
    <w:r w:rsidR="00DA0DDE">
      <w:t>ACFEB STRATEGY 2020–25</w:t>
    </w:r>
    <w:r w:rsidR="00373C02">
      <w:t xml:space="preserve"> </w:t>
    </w:r>
    <w:r w:rsidR="00373C02">
      <w:tab/>
    </w:r>
    <w:r w:rsidR="00373C02">
      <w:tab/>
    </w:r>
    <w:r w:rsidR="00373C02">
      <w:tab/>
      <w:t xml:space="preserve">  </w:t>
    </w:r>
    <w:r w:rsidR="00DA0DDE" w:rsidRPr="0050206E">
      <w:rPr>
        <w:color w:val="808080" w:themeColor="background1" w:themeShade="80"/>
        <w:sz w:val="48"/>
        <w:szCs w:val="48"/>
      </w:rPr>
      <w:fldChar w:fldCharType="begin"/>
    </w:r>
    <w:r w:rsidR="00DA0DDE" w:rsidRPr="0050206E">
      <w:rPr>
        <w:color w:val="808080" w:themeColor="background1" w:themeShade="80"/>
        <w:sz w:val="48"/>
        <w:szCs w:val="48"/>
      </w:rPr>
      <w:instrText xml:space="preserve"> PAGE   \* MERGEFORMAT </w:instrText>
    </w:r>
    <w:r w:rsidR="00DA0DDE" w:rsidRPr="0050206E">
      <w:rPr>
        <w:color w:val="808080" w:themeColor="background1" w:themeShade="80"/>
        <w:sz w:val="48"/>
        <w:szCs w:val="48"/>
      </w:rPr>
      <w:fldChar w:fldCharType="separate"/>
    </w:r>
    <w:r w:rsidR="00373C02">
      <w:rPr>
        <w:noProof/>
        <w:color w:val="808080" w:themeColor="background1" w:themeShade="80"/>
        <w:sz w:val="48"/>
        <w:szCs w:val="48"/>
      </w:rPr>
      <w:t>9</w:t>
    </w:r>
    <w:r w:rsidR="00DA0DDE" w:rsidRPr="0050206E">
      <w:rPr>
        <w:noProof/>
        <w:color w:val="808080" w:themeColor="background1" w:themeShade="80"/>
        <w:sz w:val="48"/>
        <w:szCs w:val="4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93B9E9" w14:textId="77777777" w:rsidR="00BD686E" w:rsidRDefault="00BD686E" w:rsidP="001B24DD">
      <w:pPr>
        <w:spacing w:after="0"/>
      </w:pPr>
      <w:r>
        <w:separator/>
      </w:r>
    </w:p>
  </w:footnote>
  <w:footnote w:type="continuationSeparator" w:id="0">
    <w:p w14:paraId="3A37D45D" w14:textId="77777777" w:rsidR="00BD686E" w:rsidRDefault="00BD686E" w:rsidP="001B24DD">
      <w:pPr>
        <w:spacing w:after="0"/>
      </w:pPr>
      <w:r>
        <w:continuationSeparator/>
      </w:r>
    </w:p>
  </w:footnote>
  <w:footnote w:type="continuationNotice" w:id="1">
    <w:p w14:paraId="0748C237" w14:textId="77777777" w:rsidR="00BD686E" w:rsidRDefault="00BD686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F93247" w14:textId="77777777" w:rsidR="00ED4867" w:rsidRDefault="00ED48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22F005" w14:textId="36907C13" w:rsidR="00DA0DDE" w:rsidRPr="00DA0DDE" w:rsidRDefault="00DA0DDE" w:rsidP="00DA0DDE">
    <w:pPr>
      <w:pStyle w:val="Header"/>
    </w:pPr>
    <w:r>
      <w:rPr>
        <w:noProof/>
        <w:lang w:eastAsia="en-AU"/>
      </w:rPr>
      <w:drawing>
        <wp:anchor distT="0" distB="0" distL="114300" distR="114300" simplePos="0" relativeHeight="251658240" behindDoc="1" locked="0" layoutInCell="1" allowOverlap="1" wp14:anchorId="7637B3BC" wp14:editId="5B3A9F7B">
          <wp:simplePos x="0" y="0"/>
          <wp:positionH relativeFrom="page">
            <wp:align>left</wp:align>
          </wp:positionH>
          <wp:positionV relativeFrom="paragraph">
            <wp:posOffset>-440691</wp:posOffset>
          </wp:positionV>
          <wp:extent cx="7572375" cy="10697659"/>
          <wp:effectExtent l="0" t="0" r="0" b="8890"/>
          <wp:wrapNone/>
          <wp:docPr id="1" name="Picture 1" descr="C:\Users\09373000\AppData\Local\Microsoft\Windows\INetCache\Content.Word\LLAcov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09373000\AppData\Local\Microsoft\Windows\INetCache\Content.Word\LLAcov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2375" cy="1069765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26B400" w14:textId="77777777" w:rsidR="00ED4867" w:rsidRDefault="00ED486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4411F" w14:textId="77777777" w:rsidR="00DA0DDE" w:rsidRDefault="00DA0D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E2E1C0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4703EB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944314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032D82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42A5F9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4AB2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8A86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5622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0140C2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366DB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775117"/>
    <w:multiLevelType w:val="hybridMultilevel"/>
    <w:tmpl w:val="2E861C66"/>
    <w:lvl w:ilvl="0" w:tplc="DF8CA092">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6CE4D92"/>
    <w:multiLevelType w:val="hybridMultilevel"/>
    <w:tmpl w:val="22DE19C8"/>
    <w:lvl w:ilvl="0" w:tplc="7C0C7442">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9EA0B55"/>
    <w:multiLevelType w:val="multilevel"/>
    <w:tmpl w:val="DD2C65CE"/>
    <w:lvl w:ilvl="0">
      <w:start w:val="1"/>
      <w:numFmt w:val="bullet"/>
      <w:lvlText w:val=""/>
      <w:lvlJc w:val="left"/>
      <w:pPr>
        <w:ind w:left="425" w:hanging="425"/>
      </w:pPr>
      <w:rPr>
        <w:rFonts w:ascii="Symbol" w:hAnsi="Symbol" w:hint="default"/>
      </w:rPr>
    </w:lvl>
    <w:lvl w:ilvl="1">
      <w:start w:val="1"/>
      <w:numFmt w:val="lowerLetter"/>
      <w:lvlText w:val="%2."/>
      <w:lvlJc w:val="left"/>
      <w:pPr>
        <w:ind w:left="851" w:hanging="426"/>
      </w:pPr>
      <w:rPr>
        <w:rFonts w:hint="default"/>
        <w:color w:val="auto"/>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3" w15:restartNumberingAfterBreak="0">
    <w:nsid w:val="0DB05BB8"/>
    <w:multiLevelType w:val="hybridMultilevel"/>
    <w:tmpl w:val="2E8C2A8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1AF07FA"/>
    <w:multiLevelType w:val="hybridMultilevel"/>
    <w:tmpl w:val="5672D620"/>
    <w:lvl w:ilvl="0" w:tplc="42BA4D7E">
      <w:start w:val="1"/>
      <w:numFmt w:val="bullet"/>
      <w:lvlText w:val="•"/>
      <w:lvlJc w:val="left"/>
      <w:pPr>
        <w:tabs>
          <w:tab w:val="num" w:pos="504"/>
        </w:tabs>
        <w:ind w:left="504" w:hanging="360"/>
      </w:pPr>
      <w:rPr>
        <w:rFonts w:ascii="Arial" w:hAnsi="Arial" w:hint="default"/>
      </w:rPr>
    </w:lvl>
    <w:lvl w:ilvl="1" w:tplc="3F7E356C" w:tentative="1">
      <w:start w:val="1"/>
      <w:numFmt w:val="bullet"/>
      <w:lvlText w:val="•"/>
      <w:lvlJc w:val="left"/>
      <w:pPr>
        <w:tabs>
          <w:tab w:val="num" w:pos="1224"/>
        </w:tabs>
        <w:ind w:left="1224" w:hanging="360"/>
      </w:pPr>
      <w:rPr>
        <w:rFonts w:ascii="Arial" w:hAnsi="Arial" w:hint="default"/>
      </w:rPr>
    </w:lvl>
    <w:lvl w:ilvl="2" w:tplc="EBE41B2A" w:tentative="1">
      <w:start w:val="1"/>
      <w:numFmt w:val="bullet"/>
      <w:lvlText w:val="•"/>
      <w:lvlJc w:val="left"/>
      <w:pPr>
        <w:tabs>
          <w:tab w:val="num" w:pos="1944"/>
        </w:tabs>
        <w:ind w:left="1944" w:hanging="360"/>
      </w:pPr>
      <w:rPr>
        <w:rFonts w:ascii="Arial" w:hAnsi="Arial" w:hint="default"/>
      </w:rPr>
    </w:lvl>
    <w:lvl w:ilvl="3" w:tplc="6EFA02E6" w:tentative="1">
      <w:start w:val="1"/>
      <w:numFmt w:val="bullet"/>
      <w:lvlText w:val="•"/>
      <w:lvlJc w:val="left"/>
      <w:pPr>
        <w:tabs>
          <w:tab w:val="num" w:pos="2664"/>
        </w:tabs>
        <w:ind w:left="2664" w:hanging="360"/>
      </w:pPr>
      <w:rPr>
        <w:rFonts w:ascii="Arial" w:hAnsi="Arial" w:hint="default"/>
      </w:rPr>
    </w:lvl>
    <w:lvl w:ilvl="4" w:tplc="7CFE97D4" w:tentative="1">
      <w:start w:val="1"/>
      <w:numFmt w:val="bullet"/>
      <w:lvlText w:val="•"/>
      <w:lvlJc w:val="left"/>
      <w:pPr>
        <w:tabs>
          <w:tab w:val="num" w:pos="3384"/>
        </w:tabs>
        <w:ind w:left="3384" w:hanging="360"/>
      </w:pPr>
      <w:rPr>
        <w:rFonts w:ascii="Arial" w:hAnsi="Arial" w:hint="default"/>
      </w:rPr>
    </w:lvl>
    <w:lvl w:ilvl="5" w:tplc="2B0E3CB4" w:tentative="1">
      <w:start w:val="1"/>
      <w:numFmt w:val="bullet"/>
      <w:lvlText w:val="•"/>
      <w:lvlJc w:val="left"/>
      <w:pPr>
        <w:tabs>
          <w:tab w:val="num" w:pos="4104"/>
        </w:tabs>
        <w:ind w:left="4104" w:hanging="360"/>
      </w:pPr>
      <w:rPr>
        <w:rFonts w:ascii="Arial" w:hAnsi="Arial" w:hint="default"/>
      </w:rPr>
    </w:lvl>
    <w:lvl w:ilvl="6" w:tplc="5796880E" w:tentative="1">
      <w:start w:val="1"/>
      <w:numFmt w:val="bullet"/>
      <w:lvlText w:val="•"/>
      <w:lvlJc w:val="left"/>
      <w:pPr>
        <w:tabs>
          <w:tab w:val="num" w:pos="4824"/>
        </w:tabs>
        <w:ind w:left="4824" w:hanging="360"/>
      </w:pPr>
      <w:rPr>
        <w:rFonts w:ascii="Arial" w:hAnsi="Arial" w:hint="default"/>
      </w:rPr>
    </w:lvl>
    <w:lvl w:ilvl="7" w:tplc="1E5C3728" w:tentative="1">
      <w:start w:val="1"/>
      <w:numFmt w:val="bullet"/>
      <w:lvlText w:val="•"/>
      <w:lvlJc w:val="left"/>
      <w:pPr>
        <w:tabs>
          <w:tab w:val="num" w:pos="5544"/>
        </w:tabs>
        <w:ind w:left="5544" w:hanging="360"/>
      </w:pPr>
      <w:rPr>
        <w:rFonts w:ascii="Arial" w:hAnsi="Arial" w:hint="default"/>
      </w:rPr>
    </w:lvl>
    <w:lvl w:ilvl="8" w:tplc="886AB596" w:tentative="1">
      <w:start w:val="1"/>
      <w:numFmt w:val="bullet"/>
      <w:lvlText w:val="•"/>
      <w:lvlJc w:val="left"/>
      <w:pPr>
        <w:tabs>
          <w:tab w:val="num" w:pos="6264"/>
        </w:tabs>
        <w:ind w:left="6264" w:hanging="360"/>
      </w:pPr>
      <w:rPr>
        <w:rFonts w:ascii="Arial" w:hAnsi="Arial" w:hint="default"/>
      </w:rPr>
    </w:lvl>
  </w:abstractNum>
  <w:abstractNum w:abstractNumId="15" w15:restartNumberingAfterBreak="0">
    <w:nsid w:val="1689308A"/>
    <w:multiLevelType w:val="hybridMultilevel"/>
    <w:tmpl w:val="CA0CD6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8401236"/>
    <w:multiLevelType w:val="hybridMultilevel"/>
    <w:tmpl w:val="CCF44B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84533E4"/>
    <w:multiLevelType w:val="hybridMultilevel"/>
    <w:tmpl w:val="C428EC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185C2B28"/>
    <w:multiLevelType w:val="hybridMultilevel"/>
    <w:tmpl w:val="9CC496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1AFC633A"/>
    <w:multiLevelType w:val="hybridMultilevel"/>
    <w:tmpl w:val="D368E4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1E0D7DA2"/>
    <w:multiLevelType w:val="multilevel"/>
    <w:tmpl w:val="096840DC"/>
    <w:lvl w:ilvl="0">
      <w:start w:val="1"/>
      <w:numFmt w:val="decimal"/>
      <w:pStyle w:val="Tablenumberedparagraph"/>
      <w:lvlText w:val="%1."/>
      <w:lvlJc w:val="left"/>
      <w:pPr>
        <w:ind w:left="425" w:hanging="425"/>
      </w:pPr>
      <w:rPr>
        <w:rFonts w:hint="default"/>
      </w:rPr>
    </w:lvl>
    <w:lvl w:ilvl="1">
      <w:start w:val="1"/>
      <w:numFmt w:val="lowerLetter"/>
      <w:lvlText w:val="%2."/>
      <w:lvlJc w:val="left"/>
      <w:pPr>
        <w:ind w:left="851" w:hanging="426"/>
      </w:pPr>
      <w:rPr>
        <w:rFonts w:hint="default"/>
        <w:color w:val="auto"/>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1" w15:restartNumberingAfterBreak="0">
    <w:nsid w:val="212E0EAA"/>
    <w:multiLevelType w:val="hybridMultilevel"/>
    <w:tmpl w:val="8CF8A624"/>
    <w:lvl w:ilvl="0" w:tplc="56B4B492">
      <w:start w:val="1"/>
      <w:numFmt w:val="bullet"/>
      <w:lvlText w:val="•"/>
      <w:lvlJc w:val="left"/>
      <w:pPr>
        <w:tabs>
          <w:tab w:val="num" w:pos="720"/>
        </w:tabs>
        <w:ind w:left="720" w:hanging="360"/>
      </w:pPr>
      <w:rPr>
        <w:rFonts w:ascii="Arial" w:hAnsi="Arial" w:hint="default"/>
      </w:rPr>
    </w:lvl>
    <w:lvl w:ilvl="1" w:tplc="C0FC3B02" w:tentative="1">
      <w:start w:val="1"/>
      <w:numFmt w:val="bullet"/>
      <w:lvlText w:val="•"/>
      <w:lvlJc w:val="left"/>
      <w:pPr>
        <w:tabs>
          <w:tab w:val="num" w:pos="1440"/>
        </w:tabs>
        <w:ind w:left="1440" w:hanging="360"/>
      </w:pPr>
      <w:rPr>
        <w:rFonts w:ascii="Arial" w:hAnsi="Arial" w:hint="default"/>
      </w:rPr>
    </w:lvl>
    <w:lvl w:ilvl="2" w:tplc="25F816F6" w:tentative="1">
      <w:start w:val="1"/>
      <w:numFmt w:val="bullet"/>
      <w:lvlText w:val="•"/>
      <w:lvlJc w:val="left"/>
      <w:pPr>
        <w:tabs>
          <w:tab w:val="num" w:pos="2160"/>
        </w:tabs>
        <w:ind w:left="2160" w:hanging="360"/>
      </w:pPr>
      <w:rPr>
        <w:rFonts w:ascii="Arial" w:hAnsi="Arial" w:hint="default"/>
      </w:rPr>
    </w:lvl>
    <w:lvl w:ilvl="3" w:tplc="54A4AAC6" w:tentative="1">
      <w:start w:val="1"/>
      <w:numFmt w:val="bullet"/>
      <w:lvlText w:val="•"/>
      <w:lvlJc w:val="left"/>
      <w:pPr>
        <w:tabs>
          <w:tab w:val="num" w:pos="2880"/>
        </w:tabs>
        <w:ind w:left="2880" w:hanging="360"/>
      </w:pPr>
      <w:rPr>
        <w:rFonts w:ascii="Arial" w:hAnsi="Arial" w:hint="default"/>
      </w:rPr>
    </w:lvl>
    <w:lvl w:ilvl="4" w:tplc="06AE9890" w:tentative="1">
      <w:start w:val="1"/>
      <w:numFmt w:val="bullet"/>
      <w:lvlText w:val="•"/>
      <w:lvlJc w:val="left"/>
      <w:pPr>
        <w:tabs>
          <w:tab w:val="num" w:pos="3600"/>
        </w:tabs>
        <w:ind w:left="3600" w:hanging="360"/>
      </w:pPr>
      <w:rPr>
        <w:rFonts w:ascii="Arial" w:hAnsi="Arial" w:hint="default"/>
      </w:rPr>
    </w:lvl>
    <w:lvl w:ilvl="5" w:tplc="69BE305C" w:tentative="1">
      <w:start w:val="1"/>
      <w:numFmt w:val="bullet"/>
      <w:lvlText w:val="•"/>
      <w:lvlJc w:val="left"/>
      <w:pPr>
        <w:tabs>
          <w:tab w:val="num" w:pos="4320"/>
        </w:tabs>
        <w:ind w:left="4320" w:hanging="360"/>
      </w:pPr>
      <w:rPr>
        <w:rFonts w:ascii="Arial" w:hAnsi="Arial" w:hint="default"/>
      </w:rPr>
    </w:lvl>
    <w:lvl w:ilvl="6" w:tplc="B47A5280" w:tentative="1">
      <w:start w:val="1"/>
      <w:numFmt w:val="bullet"/>
      <w:lvlText w:val="•"/>
      <w:lvlJc w:val="left"/>
      <w:pPr>
        <w:tabs>
          <w:tab w:val="num" w:pos="5040"/>
        </w:tabs>
        <w:ind w:left="5040" w:hanging="360"/>
      </w:pPr>
      <w:rPr>
        <w:rFonts w:ascii="Arial" w:hAnsi="Arial" w:hint="default"/>
      </w:rPr>
    </w:lvl>
    <w:lvl w:ilvl="7" w:tplc="5B3EC79C" w:tentative="1">
      <w:start w:val="1"/>
      <w:numFmt w:val="bullet"/>
      <w:lvlText w:val="•"/>
      <w:lvlJc w:val="left"/>
      <w:pPr>
        <w:tabs>
          <w:tab w:val="num" w:pos="5760"/>
        </w:tabs>
        <w:ind w:left="5760" w:hanging="360"/>
      </w:pPr>
      <w:rPr>
        <w:rFonts w:ascii="Arial" w:hAnsi="Arial" w:hint="default"/>
      </w:rPr>
    </w:lvl>
    <w:lvl w:ilvl="8" w:tplc="262496A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27E94C39"/>
    <w:multiLevelType w:val="hybridMultilevel"/>
    <w:tmpl w:val="CE6CA208"/>
    <w:lvl w:ilvl="0" w:tplc="BC905CFC">
      <w:start w:val="1"/>
      <w:numFmt w:val="bullet"/>
      <w:lvlText w:val="•"/>
      <w:lvlJc w:val="left"/>
      <w:pPr>
        <w:tabs>
          <w:tab w:val="num" w:pos="720"/>
        </w:tabs>
        <w:ind w:left="720" w:hanging="360"/>
      </w:pPr>
      <w:rPr>
        <w:rFonts w:ascii="Arial" w:hAnsi="Arial" w:hint="default"/>
      </w:rPr>
    </w:lvl>
    <w:lvl w:ilvl="1" w:tplc="BD0896D4" w:tentative="1">
      <w:start w:val="1"/>
      <w:numFmt w:val="bullet"/>
      <w:lvlText w:val="•"/>
      <w:lvlJc w:val="left"/>
      <w:pPr>
        <w:tabs>
          <w:tab w:val="num" w:pos="1440"/>
        </w:tabs>
        <w:ind w:left="1440" w:hanging="360"/>
      </w:pPr>
      <w:rPr>
        <w:rFonts w:ascii="Arial" w:hAnsi="Arial" w:hint="default"/>
      </w:rPr>
    </w:lvl>
    <w:lvl w:ilvl="2" w:tplc="C53E5EA4" w:tentative="1">
      <w:start w:val="1"/>
      <w:numFmt w:val="bullet"/>
      <w:lvlText w:val="•"/>
      <w:lvlJc w:val="left"/>
      <w:pPr>
        <w:tabs>
          <w:tab w:val="num" w:pos="2160"/>
        </w:tabs>
        <w:ind w:left="2160" w:hanging="360"/>
      </w:pPr>
      <w:rPr>
        <w:rFonts w:ascii="Arial" w:hAnsi="Arial" w:hint="default"/>
      </w:rPr>
    </w:lvl>
    <w:lvl w:ilvl="3" w:tplc="486E3A4E" w:tentative="1">
      <w:start w:val="1"/>
      <w:numFmt w:val="bullet"/>
      <w:lvlText w:val="•"/>
      <w:lvlJc w:val="left"/>
      <w:pPr>
        <w:tabs>
          <w:tab w:val="num" w:pos="2880"/>
        </w:tabs>
        <w:ind w:left="2880" w:hanging="360"/>
      </w:pPr>
      <w:rPr>
        <w:rFonts w:ascii="Arial" w:hAnsi="Arial" w:hint="default"/>
      </w:rPr>
    </w:lvl>
    <w:lvl w:ilvl="4" w:tplc="0CD8331E" w:tentative="1">
      <w:start w:val="1"/>
      <w:numFmt w:val="bullet"/>
      <w:lvlText w:val="•"/>
      <w:lvlJc w:val="left"/>
      <w:pPr>
        <w:tabs>
          <w:tab w:val="num" w:pos="3600"/>
        </w:tabs>
        <w:ind w:left="3600" w:hanging="360"/>
      </w:pPr>
      <w:rPr>
        <w:rFonts w:ascii="Arial" w:hAnsi="Arial" w:hint="default"/>
      </w:rPr>
    </w:lvl>
    <w:lvl w:ilvl="5" w:tplc="7102FAA0" w:tentative="1">
      <w:start w:val="1"/>
      <w:numFmt w:val="bullet"/>
      <w:lvlText w:val="•"/>
      <w:lvlJc w:val="left"/>
      <w:pPr>
        <w:tabs>
          <w:tab w:val="num" w:pos="4320"/>
        </w:tabs>
        <w:ind w:left="4320" w:hanging="360"/>
      </w:pPr>
      <w:rPr>
        <w:rFonts w:ascii="Arial" w:hAnsi="Arial" w:hint="default"/>
      </w:rPr>
    </w:lvl>
    <w:lvl w:ilvl="6" w:tplc="985EB488" w:tentative="1">
      <w:start w:val="1"/>
      <w:numFmt w:val="bullet"/>
      <w:lvlText w:val="•"/>
      <w:lvlJc w:val="left"/>
      <w:pPr>
        <w:tabs>
          <w:tab w:val="num" w:pos="5040"/>
        </w:tabs>
        <w:ind w:left="5040" w:hanging="360"/>
      </w:pPr>
      <w:rPr>
        <w:rFonts w:ascii="Arial" w:hAnsi="Arial" w:hint="default"/>
      </w:rPr>
    </w:lvl>
    <w:lvl w:ilvl="7" w:tplc="33080054" w:tentative="1">
      <w:start w:val="1"/>
      <w:numFmt w:val="bullet"/>
      <w:lvlText w:val="•"/>
      <w:lvlJc w:val="left"/>
      <w:pPr>
        <w:tabs>
          <w:tab w:val="num" w:pos="5760"/>
        </w:tabs>
        <w:ind w:left="5760" w:hanging="360"/>
      </w:pPr>
      <w:rPr>
        <w:rFonts w:ascii="Arial" w:hAnsi="Arial" w:hint="default"/>
      </w:rPr>
    </w:lvl>
    <w:lvl w:ilvl="8" w:tplc="0400F7C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2EB515E3"/>
    <w:multiLevelType w:val="hybridMultilevel"/>
    <w:tmpl w:val="B12800BA"/>
    <w:lvl w:ilvl="0" w:tplc="28ACA69C">
      <w:start w:val="1"/>
      <w:numFmt w:val="bullet"/>
      <w:lvlText w:val="•"/>
      <w:lvlJc w:val="left"/>
      <w:pPr>
        <w:tabs>
          <w:tab w:val="num" w:pos="720"/>
        </w:tabs>
        <w:ind w:left="720" w:hanging="360"/>
      </w:pPr>
      <w:rPr>
        <w:rFonts w:ascii="Arial" w:hAnsi="Arial" w:hint="default"/>
      </w:rPr>
    </w:lvl>
    <w:lvl w:ilvl="1" w:tplc="5FA81B74" w:tentative="1">
      <w:start w:val="1"/>
      <w:numFmt w:val="bullet"/>
      <w:lvlText w:val="•"/>
      <w:lvlJc w:val="left"/>
      <w:pPr>
        <w:tabs>
          <w:tab w:val="num" w:pos="1440"/>
        </w:tabs>
        <w:ind w:left="1440" w:hanging="360"/>
      </w:pPr>
      <w:rPr>
        <w:rFonts w:ascii="Arial" w:hAnsi="Arial" w:hint="default"/>
      </w:rPr>
    </w:lvl>
    <w:lvl w:ilvl="2" w:tplc="984ABBF2" w:tentative="1">
      <w:start w:val="1"/>
      <w:numFmt w:val="bullet"/>
      <w:lvlText w:val="•"/>
      <w:lvlJc w:val="left"/>
      <w:pPr>
        <w:tabs>
          <w:tab w:val="num" w:pos="2160"/>
        </w:tabs>
        <w:ind w:left="2160" w:hanging="360"/>
      </w:pPr>
      <w:rPr>
        <w:rFonts w:ascii="Arial" w:hAnsi="Arial" w:hint="default"/>
      </w:rPr>
    </w:lvl>
    <w:lvl w:ilvl="3" w:tplc="A886871C" w:tentative="1">
      <w:start w:val="1"/>
      <w:numFmt w:val="bullet"/>
      <w:lvlText w:val="•"/>
      <w:lvlJc w:val="left"/>
      <w:pPr>
        <w:tabs>
          <w:tab w:val="num" w:pos="2880"/>
        </w:tabs>
        <w:ind w:left="2880" w:hanging="360"/>
      </w:pPr>
      <w:rPr>
        <w:rFonts w:ascii="Arial" w:hAnsi="Arial" w:hint="default"/>
      </w:rPr>
    </w:lvl>
    <w:lvl w:ilvl="4" w:tplc="B2283386" w:tentative="1">
      <w:start w:val="1"/>
      <w:numFmt w:val="bullet"/>
      <w:lvlText w:val="•"/>
      <w:lvlJc w:val="left"/>
      <w:pPr>
        <w:tabs>
          <w:tab w:val="num" w:pos="3600"/>
        </w:tabs>
        <w:ind w:left="3600" w:hanging="360"/>
      </w:pPr>
      <w:rPr>
        <w:rFonts w:ascii="Arial" w:hAnsi="Arial" w:hint="default"/>
      </w:rPr>
    </w:lvl>
    <w:lvl w:ilvl="5" w:tplc="181EA5CE" w:tentative="1">
      <w:start w:val="1"/>
      <w:numFmt w:val="bullet"/>
      <w:lvlText w:val="•"/>
      <w:lvlJc w:val="left"/>
      <w:pPr>
        <w:tabs>
          <w:tab w:val="num" w:pos="4320"/>
        </w:tabs>
        <w:ind w:left="4320" w:hanging="360"/>
      </w:pPr>
      <w:rPr>
        <w:rFonts w:ascii="Arial" w:hAnsi="Arial" w:hint="default"/>
      </w:rPr>
    </w:lvl>
    <w:lvl w:ilvl="6" w:tplc="3B92C4FE" w:tentative="1">
      <w:start w:val="1"/>
      <w:numFmt w:val="bullet"/>
      <w:lvlText w:val="•"/>
      <w:lvlJc w:val="left"/>
      <w:pPr>
        <w:tabs>
          <w:tab w:val="num" w:pos="5040"/>
        </w:tabs>
        <w:ind w:left="5040" w:hanging="360"/>
      </w:pPr>
      <w:rPr>
        <w:rFonts w:ascii="Arial" w:hAnsi="Arial" w:hint="default"/>
      </w:rPr>
    </w:lvl>
    <w:lvl w:ilvl="7" w:tplc="ECC266F4" w:tentative="1">
      <w:start w:val="1"/>
      <w:numFmt w:val="bullet"/>
      <w:lvlText w:val="•"/>
      <w:lvlJc w:val="left"/>
      <w:pPr>
        <w:tabs>
          <w:tab w:val="num" w:pos="5760"/>
        </w:tabs>
        <w:ind w:left="5760" w:hanging="360"/>
      </w:pPr>
      <w:rPr>
        <w:rFonts w:ascii="Arial" w:hAnsi="Arial" w:hint="default"/>
      </w:rPr>
    </w:lvl>
    <w:lvl w:ilvl="8" w:tplc="2950466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2EC85EB5"/>
    <w:multiLevelType w:val="hybridMultilevel"/>
    <w:tmpl w:val="3C5CF3D8"/>
    <w:lvl w:ilvl="0" w:tplc="57A4CB16">
      <w:start w:val="1"/>
      <w:numFmt w:val="bullet"/>
      <w:lvlText w:val="•"/>
      <w:lvlJc w:val="left"/>
      <w:pPr>
        <w:tabs>
          <w:tab w:val="num" w:pos="720"/>
        </w:tabs>
        <w:ind w:left="720" w:hanging="360"/>
      </w:pPr>
      <w:rPr>
        <w:rFonts w:ascii="Arial" w:hAnsi="Arial" w:hint="default"/>
      </w:rPr>
    </w:lvl>
    <w:lvl w:ilvl="1" w:tplc="A31E3D68" w:tentative="1">
      <w:start w:val="1"/>
      <w:numFmt w:val="bullet"/>
      <w:lvlText w:val="•"/>
      <w:lvlJc w:val="left"/>
      <w:pPr>
        <w:tabs>
          <w:tab w:val="num" w:pos="1440"/>
        </w:tabs>
        <w:ind w:left="1440" w:hanging="360"/>
      </w:pPr>
      <w:rPr>
        <w:rFonts w:ascii="Arial" w:hAnsi="Arial" w:hint="default"/>
      </w:rPr>
    </w:lvl>
    <w:lvl w:ilvl="2" w:tplc="0F38526C" w:tentative="1">
      <w:start w:val="1"/>
      <w:numFmt w:val="bullet"/>
      <w:lvlText w:val="•"/>
      <w:lvlJc w:val="left"/>
      <w:pPr>
        <w:tabs>
          <w:tab w:val="num" w:pos="2160"/>
        </w:tabs>
        <w:ind w:left="2160" w:hanging="360"/>
      </w:pPr>
      <w:rPr>
        <w:rFonts w:ascii="Arial" w:hAnsi="Arial" w:hint="default"/>
      </w:rPr>
    </w:lvl>
    <w:lvl w:ilvl="3" w:tplc="842C2CDA" w:tentative="1">
      <w:start w:val="1"/>
      <w:numFmt w:val="bullet"/>
      <w:lvlText w:val="•"/>
      <w:lvlJc w:val="left"/>
      <w:pPr>
        <w:tabs>
          <w:tab w:val="num" w:pos="2880"/>
        </w:tabs>
        <w:ind w:left="2880" w:hanging="360"/>
      </w:pPr>
      <w:rPr>
        <w:rFonts w:ascii="Arial" w:hAnsi="Arial" w:hint="default"/>
      </w:rPr>
    </w:lvl>
    <w:lvl w:ilvl="4" w:tplc="1710FF74" w:tentative="1">
      <w:start w:val="1"/>
      <w:numFmt w:val="bullet"/>
      <w:lvlText w:val="•"/>
      <w:lvlJc w:val="left"/>
      <w:pPr>
        <w:tabs>
          <w:tab w:val="num" w:pos="3600"/>
        </w:tabs>
        <w:ind w:left="3600" w:hanging="360"/>
      </w:pPr>
      <w:rPr>
        <w:rFonts w:ascii="Arial" w:hAnsi="Arial" w:hint="default"/>
      </w:rPr>
    </w:lvl>
    <w:lvl w:ilvl="5" w:tplc="9DECE058" w:tentative="1">
      <w:start w:val="1"/>
      <w:numFmt w:val="bullet"/>
      <w:lvlText w:val="•"/>
      <w:lvlJc w:val="left"/>
      <w:pPr>
        <w:tabs>
          <w:tab w:val="num" w:pos="4320"/>
        </w:tabs>
        <w:ind w:left="4320" w:hanging="360"/>
      </w:pPr>
      <w:rPr>
        <w:rFonts w:ascii="Arial" w:hAnsi="Arial" w:hint="default"/>
      </w:rPr>
    </w:lvl>
    <w:lvl w:ilvl="6" w:tplc="46687EF2" w:tentative="1">
      <w:start w:val="1"/>
      <w:numFmt w:val="bullet"/>
      <w:lvlText w:val="•"/>
      <w:lvlJc w:val="left"/>
      <w:pPr>
        <w:tabs>
          <w:tab w:val="num" w:pos="5040"/>
        </w:tabs>
        <w:ind w:left="5040" w:hanging="360"/>
      </w:pPr>
      <w:rPr>
        <w:rFonts w:ascii="Arial" w:hAnsi="Arial" w:hint="default"/>
      </w:rPr>
    </w:lvl>
    <w:lvl w:ilvl="7" w:tplc="A0A8B43E" w:tentative="1">
      <w:start w:val="1"/>
      <w:numFmt w:val="bullet"/>
      <w:lvlText w:val="•"/>
      <w:lvlJc w:val="left"/>
      <w:pPr>
        <w:tabs>
          <w:tab w:val="num" w:pos="5760"/>
        </w:tabs>
        <w:ind w:left="5760" w:hanging="360"/>
      </w:pPr>
      <w:rPr>
        <w:rFonts w:ascii="Arial" w:hAnsi="Arial" w:hint="default"/>
      </w:rPr>
    </w:lvl>
    <w:lvl w:ilvl="8" w:tplc="5D24B45C"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2F965289"/>
    <w:multiLevelType w:val="hybridMultilevel"/>
    <w:tmpl w:val="E012C0CE"/>
    <w:lvl w:ilvl="0" w:tplc="0C090001">
      <w:start w:val="1"/>
      <w:numFmt w:val="bullet"/>
      <w:lvlText w:val=""/>
      <w:lvlJc w:val="left"/>
      <w:pPr>
        <w:ind w:left="757" w:hanging="360"/>
      </w:pPr>
      <w:rPr>
        <w:rFonts w:ascii="Symbol" w:hAnsi="Symbol" w:hint="default"/>
      </w:rPr>
    </w:lvl>
    <w:lvl w:ilvl="1" w:tplc="0C090003" w:tentative="1">
      <w:start w:val="1"/>
      <w:numFmt w:val="bullet"/>
      <w:lvlText w:val="o"/>
      <w:lvlJc w:val="left"/>
      <w:pPr>
        <w:ind w:left="1477" w:hanging="360"/>
      </w:pPr>
      <w:rPr>
        <w:rFonts w:ascii="Courier New" w:hAnsi="Courier New" w:cs="Courier New" w:hint="default"/>
      </w:rPr>
    </w:lvl>
    <w:lvl w:ilvl="2" w:tplc="0C090005" w:tentative="1">
      <w:start w:val="1"/>
      <w:numFmt w:val="bullet"/>
      <w:lvlText w:val=""/>
      <w:lvlJc w:val="left"/>
      <w:pPr>
        <w:ind w:left="2197" w:hanging="360"/>
      </w:pPr>
      <w:rPr>
        <w:rFonts w:ascii="Wingdings" w:hAnsi="Wingdings" w:hint="default"/>
      </w:rPr>
    </w:lvl>
    <w:lvl w:ilvl="3" w:tplc="0C090001" w:tentative="1">
      <w:start w:val="1"/>
      <w:numFmt w:val="bullet"/>
      <w:lvlText w:val=""/>
      <w:lvlJc w:val="left"/>
      <w:pPr>
        <w:ind w:left="2917" w:hanging="360"/>
      </w:pPr>
      <w:rPr>
        <w:rFonts w:ascii="Symbol" w:hAnsi="Symbol" w:hint="default"/>
      </w:rPr>
    </w:lvl>
    <w:lvl w:ilvl="4" w:tplc="0C090003" w:tentative="1">
      <w:start w:val="1"/>
      <w:numFmt w:val="bullet"/>
      <w:lvlText w:val="o"/>
      <w:lvlJc w:val="left"/>
      <w:pPr>
        <w:ind w:left="3637" w:hanging="360"/>
      </w:pPr>
      <w:rPr>
        <w:rFonts w:ascii="Courier New" w:hAnsi="Courier New" w:cs="Courier New" w:hint="default"/>
      </w:rPr>
    </w:lvl>
    <w:lvl w:ilvl="5" w:tplc="0C090005" w:tentative="1">
      <w:start w:val="1"/>
      <w:numFmt w:val="bullet"/>
      <w:lvlText w:val=""/>
      <w:lvlJc w:val="left"/>
      <w:pPr>
        <w:ind w:left="4357" w:hanging="360"/>
      </w:pPr>
      <w:rPr>
        <w:rFonts w:ascii="Wingdings" w:hAnsi="Wingdings" w:hint="default"/>
      </w:rPr>
    </w:lvl>
    <w:lvl w:ilvl="6" w:tplc="0C090001" w:tentative="1">
      <w:start w:val="1"/>
      <w:numFmt w:val="bullet"/>
      <w:lvlText w:val=""/>
      <w:lvlJc w:val="left"/>
      <w:pPr>
        <w:ind w:left="5077" w:hanging="360"/>
      </w:pPr>
      <w:rPr>
        <w:rFonts w:ascii="Symbol" w:hAnsi="Symbol" w:hint="default"/>
      </w:rPr>
    </w:lvl>
    <w:lvl w:ilvl="7" w:tplc="0C090003" w:tentative="1">
      <w:start w:val="1"/>
      <w:numFmt w:val="bullet"/>
      <w:lvlText w:val="o"/>
      <w:lvlJc w:val="left"/>
      <w:pPr>
        <w:ind w:left="5797" w:hanging="360"/>
      </w:pPr>
      <w:rPr>
        <w:rFonts w:ascii="Courier New" w:hAnsi="Courier New" w:cs="Courier New" w:hint="default"/>
      </w:rPr>
    </w:lvl>
    <w:lvl w:ilvl="8" w:tplc="0C090005" w:tentative="1">
      <w:start w:val="1"/>
      <w:numFmt w:val="bullet"/>
      <w:lvlText w:val=""/>
      <w:lvlJc w:val="left"/>
      <w:pPr>
        <w:ind w:left="6517" w:hanging="360"/>
      </w:pPr>
      <w:rPr>
        <w:rFonts w:ascii="Wingdings" w:hAnsi="Wingdings" w:hint="default"/>
      </w:rPr>
    </w:lvl>
  </w:abstractNum>
  <w:abstractNum w:abstractNumId="26" w15:restartNumberingAfterBreak="0">
    <w:nsid w:val="33446D45"/>
    <w:multiLevelType w:val="hybridMultilevel"/>
    <w:tmpl w:val="8D1AAB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36B44363"/>
    <w:multiLevelType w:val="hybridMultilevel"/>
    <w:tmpl w:val="312CAECC"/>
    <w:lvl w:ilvl="0" w:tplc="6F186F7A">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8D61BF0"/>
    <w:multiLevelType w:val="hybridMultilevel"/>
    <w:tmpl w:val="1EC6FE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3F3E6E2B"/>
    <w:multiLevelType w:val="hybridMultilevel"/>
    <w:tmpl w:val="6A361B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4733211F"/>
    <w:multiLevelType w:val="hybridMultilevel"/>
    <w:tmpl w:val="D3807694"/>
    <w:lvl w:ilvl="0" w:tplc="ADECD690">
      <w:start w:val="1"/>
      <w:numFmt w:val="bullet"/>
      <w:lvlText w:val="•"/>
      <w:lvlJc w:val="left"/>
      <w:pPr>
        <w:tabs>
          <w:tab w:val="num" w:pos="720"/>
        </w:tabs>
        <w:ind w:left="720" w:hanging="360"/>
      </w:pPr>
      <w:rPr>
        <w:rFonts w:ascii="Arial" w:hAnsi="Arial" w:hint="default"/>
      </w:rPr>
    </w:lvl>
    <w:lvl w:ilvl="1" w:tplc="CB04EC24" w:tentative="1">
      <w:start w:val="1"/>
      <w:numFmt w:val="bullet"/>
      <w:lvlText w:val="•"/>
      <w:lvlJc w:val="left"/>
      <w:pPr>
        <w:tabs>
          <w:tab w:val="num" w:pos="1440"/>
        </w:tabs>
        <w:ind w:left="1440" w:hanging="360"/>
      </w:pPr>
      <w:rPr>
        <w:rFonts w:ascii="Arial" w:hAnsi="Arial" w:hint="default"/>
      </w:rPr>
    </w:lvl>
    <w:lvl w:ilvl="2" w:tplc="A5AAD2AC" w:tentative="1">
      <w:start w:val="1"/>
      <w:numFmt w:val="bullet"/>
      <w:lvlText w:val="•"/>
      <w:lvlJc w:val="left"/>
      <w:pPr>
        <w:tabs>
          <w:tab w:val="num" w:pos="2160"/>
        </w:tabs>
        <w:ind w:left="2160" w:hanging="360"/>
      </w:pPr>
      <w:rPr>
        <w:rFonts w:ascii="Arial" w:hAnsi="Arial" w:hint="default"/>
      </w:rPr>
    </w:lvl>
    <w:lvl w:ilvl="3" w:tplc="A7ECB024" w:tentative="1">
      <w:start w:val="1"/>
      <w:numFmt w:val="bullet"/>
      <w:lvlText w:val="•"/>
      <w:lvlJc w:val="left"/>
      <w:pPr>
        <w:tabs>
          <w:tab w:val="num" w:pos="2880"/>
        </w:tabs>
        <w:ind w:left="2880" w:hanging="360"/>
      </w:pPr>
      <w:rPr>
        <w:rFonts w:ascii="Arial" w:hAnsi="Arial" w:hint="default"/>
      </w:rPr>
    </w:lvl>
    <w:lvl w:ilvl="4" w:tplc="FF4487B8" w:tentative="1">
      <w:start w:val="1"/>
      <w:numFmt w:val="bullet"/>
      <w:lvlText w:val="•"/>
      <w:lvlJc w:val="left"/>
      <w:pPr>
        <w:tabs>
          <w:tab w:val="num" w:pos="3600"/>
        </w:tabs>
        <w:ind w:left="3600" w:hanging="360"/>
      </w:pPr>
      <w:rPr>
        <w:rFonts w:ascii="Arial" w:hAnsi="Arial" w:hint="default"/>
      </w:rPr>
    </w:lvl>
    <w:lvl w:ilvl="5" w:tplc="01486EA6" w:tentative="1">
      <w:start w:val="1"/>
      <w:numFmt w:val="bullet"/>
      <w:lvlText w:val="•"/>
      <w:lvlJc w:val="left"/>
      <w:pPr>
        <w:tabs>
          <w:tab w:val="num" w:pos="4320"/>
        </w:tabs>
        <w:ind w:left="4320" w:hanging="360"/>
      </w:pPr>
      <w:rPr>
        <w:rFonts w:ascii="Arial" w:hAnsi="Arial" w:hint="default"/>
      </w:rPr>
    </w:lvl>
    <w:lvl w:ilvl="6" w:tplc="6DE4450E" w:tentative="1">
      <w:start w:val="1"/>
      <w:numFmt w:val="bullet"/>
      <w:lvlText w:val="•"/>
      <w:lvlJc w:val="left"/>
      <w:pPr>
        <w:tabs>
          <w:tab w:val="num" w:pos="5040"/>
        </w:tabs>
        <w:ind w:left="5040" w:hanging="360"/>
      </w:pPr>
      <w:rPr>
        <w:rFonts w:ascii="Arial" w:hAnsi="Arial" w:hint="default"/>
      </w:rPr>
    </w:lvl>
    <w:lvl w:ilvl="7" w:tplc="9992179E" w:tentative="1">
      <w:start w:val="1"/>
      <w:numFmt w:val="bullet"/>
      <w:lvlText w:val="•"/>
      <w:lvlJc w:val="left"/>
      <w:pPr>
        <w:tabs>
          <w:tab w:val="num" w:pos="5760"/>
        </w:tabs>
        <w:ind w:left="5760" w:hanging="360"/>
      </w:pPr>
      <w:rPr>
        <w:rFonts w:ascii="Arial" w:hAnsi="Arial" w:hint="default"/>
      </w:rPr>
    </w:lvl>
    <w:lvl w:ilvl="8" w:tplc="6F2C6DD4"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47B77BC2"/>
    <w:multiLevelType w:val="hybridMultilevel"/>
    <w:tmpl w:val="9E9AEF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3313425"/>
    <w:multiLevelType w:val="hybridMultilevel"/>
    <w:tmpl w:val="6B96E5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596303B6"/>
    <w:multiLevelType w:val="hybridMultilevel"/>
    <w:tmpl w:val="008441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B1F73C9"/>
    <w:multiLevelType w:val="hybridMultilevel"/>
    <w:tmpl w:val="678E28FE"/>
    <w:lvl w:ilvl="0" w:tplc="E3303CAE">
      <w:start w:val="1"/>
      <w:numFmt w:val="bullet"/>
      <w:lvlText w:val="•"/>
      <w:lvlJc w:val="left"/>
      <w:pPr>
        <w:tabs>
          <w:tab w:val="num" w:pos="720"/>
        </w:tabs>
        <w:ind w:left="720" w:hanging="360"/>
      </w:pPr>
      <w:rPr>
        <w:rFonts w:ascii="Arial" w:hAnsi="Arial" w:hint="default"/>
      </w:rPr>
    </w:lvl>
    <w:lvl w:ilvl="1" w:tplc="541C0F54" w:tentative="1">
      <w:start w:val="1"/>
      <w:numFmt w:val="bullet"/>
      <w:lvlText w:val="•"/>
      <w:lvlJc w:val="left"/>
      <w:pPr>
        <w:tabs>
          <w:tab w:val="num" w:pos="1440"/>
        </w:tabs>
        <w:ind w:left="1440" w:hanging="360"/>
      </w:pPr>
      <w:rPr>
        <w:rFonts w:ascii="Arial" w:hAnsi="Arial" w:hint="default"/>
      </w:rPr>
    </w:lvl>
    <w:lvl w:ilvl="2" w:tplc="54A01224" w:tentative="1">
      <w:start w:val="1"/>
      <w:numFmt w:val="bullet"/>
      <w:lvlText w:val="•"/>
      <w:lvlJc w:val="left"/>
      <w:pPr>
        <w:tabs>
          <w:tab w:val="num" w:pos="2160"/>
        </w:tabs>
        <w:ind w:left="2160" w:hanging="360"/>
      </w:pPr>
      <w:rPr>
        <w:rFonts w:ascii="Arial" w:hAnsi="Arial" w:hint="default"/>
      </w:rPr>
    </w:lvl>
    <w:lvl w:ilvl="3" w:tplc="75A249C4" w:tentative="1">
      <w:start w:val="1"/>
      <w:numFmt w:val="bullet"/>
      <w:lvlText w:val="•"/>
      <w:lvlJc w:val="left"/>
      <w:pPr>
        <w:tabs>
          <w:tab w:val="num" w:pos="2880"/>
        </w:tabs>
        <w:ind w:left="2880" w:hanging="360"/>
      </w:pPr>
      <w:rPr>
        <w:rFonts w:ascii="Arial" w:hAnsi="Arial" w:hint="default"/>
      </w:rPr>
    </w:lvl>
    <w:lvl w:ilvl="4" w:tplc="6F464170" w:tentative="1">
      <w:start w:val="1"/>
      <w:numFmt w:val="bullet"/>
      <w:lvlText w:val="•"/>
      <w:lvlJc w:val="left"/>
      <w:pPr>
        <w:tabs>
          <w:tab w:val="num" w:pos="3600"/>
        </w:tabs>
        <w:ind w:left="3600" w:hanging="360"/>
      </w:pPr>
      <w:rPr>
        <w:rFonts w:ascii="Arial" w:hAnsi="Arial" w:hint="default"/>
      </w:rPr>
    </w:lvl>
    <w:lvl w:ilvl="5" w:tplc="CAC8FE26" w:tentative="1">
      <w:start w:val="1"/>
      <w:numFmt w:val="bullet"/>
      <w:lvlText w:val="•"/>
      <w:lvlJc w:val="left"/>
      <w:pPr>
        <w:tabs>
          <w:tab w:val="num" w:pos="4320"/>
        </w:tabs>
        <w:ind w:left="4320" w:hanging="360"/>
      </w:pPr>
      <w:rPr>
        <w:rFonts w:ascii="Arial" w:hAnsi="Arial" w:hint="default"/>
      </w:rPr>
    </w:lvl>
    <w:lvl w:ilvl="6" w:tplc="90E29424" w:tentative="1">
      <w:start w:val="1"/>
      <w:numFmt w:val="bullet"/>
      <w:lvlText w:val="•"/>
      <w:lvlJc w:val="left"/>
      <w:pPr>
        <w:tabs>
          <w:tab w:val="num" w:pos="5040"/>
        </w:tabs>
        <w:ind w:left="5040" w:hanging="360"/>
      </w:pPr>
      <w:rPr>
        <w:rFonts w:ascii="Arial" w:hAnsi="Arial" w:hint="default"/>
      </w:rPr>
    </w:lvl>
    <w:lvl w:ilvl="7" w:tplc="910CFEC2" w:tentative="1">
      <w:start w:val="1"/>
      <w:numFmt w:val="bullet"/>
      <w:lvlText w:val="•"/>
      <w:lvlJc w:val="left"/>
      <w:pPr>
        <w:tabs>
          <w:tab w:val="num" w:pos="5760"/>
        </w:tabs>
        <w:ind w:left="5760" w:hanging="360"/>
      </w:pPr>
      <w:rPr>
        <w:rFonts w:ascii="Arial" w:hAnsi="Arial" w:hint="default"/>
      </w:rPr>
    </w:lvl>
    <w:lvl w:ilvl="8" w:tplc="0F2450CA"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B7B4F6C"/>
    <w:multiLevelType w:val="multilevel"/>
    <w:tmpl w:val="051C6436"/>
    <w:lvl w:ilvl="0">
      <w:start w:val="1"/>
      <w:numFmt w:val="bullet"/>
      <w:pStyle w:val="Bulletedlist"/>
      <w:lvlText w:val=""/>
      <w:lvlJc w:val="left"/>
      <w:pPr>
        <w:ind w:left="-285" w:hanging="283"/>
      </w:pPr>
      <w:rPr>
        <w:rFonts w:ascii="Symbol" w:hAnsi="Symbol" w:hint="default"/>
      </w:rPr>
    </w:lvl>
    <w:lvl w:ilvl="1">
      <w:start w:val="1"/>
      <w:numFmt w:val="bullet"/>
      <w:lvlText w:val=""/>
      <w:lvlJc w:val="left"/>
      <w:pPr>
        <w:ind w:left="140" w:hanging="283"/>
      </w:pPr>
      <w:rPr>
        <w:rFonts w:ascii="Symbol" w:hAnsi="Symbol" w:hint="default"/>
      </w:rPr>
    </w:lvl>
    <w:lvl w:ilvl="2">
      <w:start w:val="1"/>
      <w:numFmt w:val="bullet"/>
      <w:lvlText w:val=""/>
      <w:lvlJc w:val="left"/>
      <w:pPr>
        <w:ind w:left="565" w:hanging="283"/>
      </w:pPr>
      <w:rPr>
        <w:rFonts w:ascii="Symbol" w:hAnsi="Symbol" w:hint="default"/>
      </w:rPr>
    </w:lvl>
    <w:lvl w:ilvl="3">
      <w:start w:val="1"/>
      <w:numFmt w:val="bullet"/>
      <w:lvlText w:val=""/>
      <w:lvlJc w:val="left"/>
      <w:pPr>
        <w:ind w:left="990" w:hanging="283"/>
      </w:pPr>
      <w:rPr>
        <w:rFonts w:ascii="Symbol" w:hAnsi="Symbol" w:hint="default"/>
      </w:rPr>
    </w:lvl>
    <w:lvl w:ilvl="4">
      <w:start w:val="1"/>
      <w:numFmt w:val="bullet"/>
      <w:lvlText w:val="o"/>
      <w:lvlJc w:val="left"/>
      <w:pPr>
        <w:ind w:left="1415" w:hanging="283"/>
      </w:pPr>
      <w:rPr>
        <w:rFonts w:ascii="Courier New" w:hAnsi="Courier New" w:cs="Courier New" w:hint="default"/>
      </w:rPr>
    </w:lvl>
    <w:lvl w:ilvl="5">
      <w:start w:val="1"/>
      <w:numFmt w:val="bullet"/>
      <w:lvlText w:val=""/>
      <w:lvlJc w:val="left"/>
      <w:pPr>
        <w:ind w:left="1840" w:hanging="283"/>
      </w:pPr>
      <w:rPr>
        <w:rFonts w:ascii="Wingdings" w:hAnsi="Wingdings" w:hint="default"/>
      </w:rPr>
    </w:lvl>
    <w:lvl w:ilvl="6">
      <w:start w:val="1"/>
      <w:numFmt w:val="bullet"/>
      <w:lvlText w:val=""/>
      <w:lvlJc w:val="left"/>
      <w:pPr>
        <w:ind w:left="2265" w:hanging="283"/>
      </w:pPr>
      <w:rPr>
        <w:rFonts w:ascii="Symbol" w:hAnsi="Symbol" w:hint="default"/>
      </w:rPr>
    </w:lvl>
    <w:lvl w:ilvl="7">
      <w:start w:val="1"/>
      <w:numFmt w:val="bullet"/>
      <w:lvlText w:val="o"/>
      <w:lvlJc w:val="left"/>
      <w:pPr>
        <w:ind w:left="2690" w:hanging="283"/>
      </w:pPr>
      <w:rPr>
        <w:rFonts w:ascii="Courier New" w:hAnsi="Courier New" w:cs="Courier New" w:hint="default"/>
      </w:rPr>
    </w:lvl>
    <w:lvl w:ilvl="8">
      <w:start w:val="1"/>
      <w:numFmt w:val="bullet"/>
      <w:lvlText w:val=""/>
      <w:lvlJc w:val="left"/>
      <w:pPr>
        <w:ind w:left="3115" w:hanging="283"/>
      </w:pPr>
      <w:rPr>
        <w:rFonts w:ascii="Wingdings" w:hAnsi="Wingdings" w:hint="default"/>
      </w:rPr>
    </w:lvl>
  </w:abstractNum>
  <w:abstractNum w:abstractNumId="36" w15:restartNumberingAfterBreak="0">
    <w:nsid w:val="5E066571"/>
    <w:multiLevelType w:val="hybridMultilevel"/>
    <w:tmpl w:val="4524CB48"/>
    <w:lvl w:ilvl="0" w:tplc="6C9071D4">
      <w:numFmt w:val="bullet"/>
      <w:lvlText w:val="-"/>
      <w:lvlJc w:val="left"/>
      <w:pPr>
        <w:ind w:left="720" w:hanging="360"/>
      </w:pPr>
      <w:rPr>
        <w:rFonts w:ascii="Calibri" w:eastAsia="Times New Roman" w:hAnsi="Calibri" w:cs="Calibri"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7156EC8"/>
    <w:multiLevelType w:val="hybridMultilevel"/>
    <w:tmpl w:val="CBFE8BC2"/>
    <w:lvl w:ilvl="0" w:tplc="F36298A2">
      <w:start w:val="1"/>
      <w:numFmt w:val="decimal"/>
      <w:lvlText w:val="Appendix %1"/>
      <w:lvlJc w:val="left"/>
      <w:pPr>
        <w:tabs>
          <w:tab w:val="num" w:pos="1304"/>
        </w:tabs>
        <w:ind w:left="1304" w:hanging="1304"/>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8D909C9"/>
    <w:multiLevelType w:val="hybridMultilevel"/>
    <w:tmpl w:val="35CAF20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36257CB"/>
    <w:multiLevelType w:val="hybridMultilevel"/>
    <w:tmpl w:val="7EBC70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3916389"/>
    <w:multiLevelType w:val="hybridMultilevel"/>
    <w:tmpl w:val="AA9CD130"/>
    <w:lvl w:ilvl="0" w:tplc="D6BEF6AC">
      <w:start w:val="1"/>
      <w:numFmt w:val="bullet"/>
      <w:lvlText w:val="•"/>
      <w:lvlJc w:val="left"/>
      <w:pPr>
        <w:tabs>
          <w:tab w:val="num" w:pos="720"/>
        </w:tabs>
        <w:ind w:left="720" w:hanging="360"/>
      </w:pPr>
      <w:rPr>
        <w:rFonts w:ascii="Arial" w:hAnsi="Arial" w:hint="default"/>
      </w:rPr>
    </w:lvl>
    <w:lvl w:ilvl="1" w:tplc="AD7C1738" w:tentative="1">
      <w:start w:val="1"/>
      <w:numFmt w:val="bullet"/>
      <w:lvlText w:val="•"/>
      <w:lvlJc w:val="left"/>
      <w:pPr>
        <w:tabs>
          <w:tab w:val="num" w:pos="1440"/>
        </w:tabs>
        <w:ind w:left="1440" w:hanging="360"/>
      </w:pPr>
      <w:rPr>
        <w:rFonts w:ascii="Arial" w:hAnsi="Arial" w:hint="default"/>
      </w:rPr>
    </w:lvl>
    <w:lvl w:ilvl="2" w:tplc="4142EE7E" w:tentative="1">
      <w:start w:val="1"/>
      <w:numFmt w:val="bullet"/>
      <w:lvlText w:val="•"/>
      <w:lvlJc w:val="left"/>
      <w:pPr>
        <w:tabs>
          <w:tab w:val="num" w:pos="2160"/>
        </w:tabs>
        <w:ind w:left="2160" w:hanging="360"/>
      </w:pPr>
      <w:rPr>
        <w:rFonts w:ascii="Arial" w:hAnsi="Arial" w:hint="default"/>
      </w:rPr>
    </w:lvl>
    <w:lvl w:ilvl="3" w:tplc="D56C27A6" w:tentative="1">
      <w:start w:val="1"/>
      <w:numFmt w:val="bullet"/>
      <w:lvlText w:val="•"/>
      <w:lvlJc w:val="left"/>
      <w:pPr>
        <w:tabs>
          <w:tab w:val="num" w:pos="2880"/>
        </w:tabs>
        <w:ind w:left="2880" w:hanging="360"/>
      </w:pPr>
      <w:rPr>
        <w:rFonts w:ascii="Arial" w:hAnsi="Arial" w:hint="default"/>
      </w:rPr>
    </w:lvl>
    <w:lvl w:ilvl="4" w:tplc="985EDD26" w:tentative="1">
      <w:start w:val="1"/>
      <w:numFmt w:val="bullet"/>
      <w:lvlText w:val="•"/>
      <w:lvlJc w:val="left"/>
      <w:pPr>
        <w:tabs>
          <w:tab w:val="num" w:pos="3600"/>
        </w:tabs>
        <w:ind w:left="3600" w:hanging="360"/>
      </w:pPr>
      <w:rPr>
        <w:rFonts w:ascii="Arial" w:hAnsi="Arial" w:hint="default"/>
      </w:rPr>
    </w:lvl>
    <w:lvl w:ilvl="5" w:tplc="B21A0734" w:tentative="1">
      <w:start w:val="1"/>
      <w:numFmt w:val="bullet"/>
      <w:lvlText w:val="•"/>
      <w:lvlJc w:val="left"/>
      <w:pPr>
        <w:tabs>
          <w:tab w:val="num" w:pos="4320"/>
        </w:tabs>
        <w:ind w:left="4320" w:hanging="360"/>
      </w:pPr>
      <w:rPr>
        <w:rFonts w:ascii="Arial" w:hAnsi="Arial" w:hint="default"/>
      </w:rPr>
    </w:lvl>
    <w:lvl w:ilvl="6" w:tplc="9D5A0544" w:tentative="1">
      <w:start w:val="1"/>
      <w:numFmt w:val="bullet"/>
      <w:lvlText w:val="•"/>
      <w:lvlJc w:val="left"/>
      <w:pPr>
        <w:tabs>
          <w:tab w:val="num" w:pos="5040"/>
        </w:tabs>
        <w:ind w:left="5040" w:hanging="360"/>
      </w:pPr>
      <w:rPr>
        <w:rFonts w:ascii="Arial" w:hAnsi="Arial" w:hint="default"/>
      </w:rPr>
    </w:lvl>
    <w:lvl w:ilvl="7" w:tplc="584CAE3E" w:tentative="1">
      <w:start w:val="1"/>
      <w:numFmt w:val="bullet"/>
      <w:lvlText w:val="•"/>
      <w:lvlJc w:val="left"/>
      <w:pPr>
        <w:tabs>
          <w:tab w:val="num" w:pos="5760"/>
        </w:tabs>
        <w:ind w:left="5760" w:hanging="360"/>
      </w:pPr>
      <w:rPr>
        <w:rFonts w:ascii="Arial" w:hAnsi="Arial" w:hint="default"/>
      </w:rPr>
    </w:lvl>
    <w:lvl w:ilvl="8" w:tplc="FE14DC0E"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6183AC1"/>
    <w:multiLevelType w:val="hybridMultilevel"/>
    <w:tmpl w:val="560C7D38"/>
    <w:lvl w:ilvl="0" w:tplc="6C9071D4">
      <w:numFmt w:val="bullet"/>
      <w:lvlText w:val="-"/>
      <w:lvlJc w:val="left"/>
      <w:pPr>
        <w:ind w:left="360" w:hanging="360"/>
      </w:pPr>
      <w:rPr>
        <w:rFonts w:ascii="Calibri" w:eastAsia="Times New Roman" w:hAnsi="Calibri" w:cs="Calibri" w:hint="default"/>
        <w:sz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79D37303"/>
    <w:multiLevelType w:val="hybridMultilevel"/>
    <w:tmpl w:val="317A78D0"/>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43" w15:restartNumberingAfterBreak="0">
    <w:nsid w:val="7C51055B"/>
    <w:multiLevelType w:val="hybridMultilevel"/>
    <w:tmpl w:val="25B4E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8"/>
  </w:num>
  <w:num w:numId="2">
    <w:abstractNumId w:val="31"/>
  </w:num>
  <w:num w:numId="3">
    <w:abstractNumId w:val="32"/>
  </w:num>
  <w:num w:numId="4">
    <w:abstractNumId w:val="15"/>
  </w:num>
  <w:num w:numId="5">
    <w:abstractNumId w:val="19"/>
  </w:num>
  <w:num w:numId="6">
    <w:abstractNumId w:val="29"/>
  </w:num>
  <w:num w:numId="7">
    <w:abstractNumId w:val="18"/>
  </w:num>
  <w:num w:numId="8">
    <w:abstractNumId w:val="33"/>
  </w:num>
  <w:num w:numId="9">
    <w:abstractNumId w:val="39"/>
  </w:num>
  <w:num w:numId="10">
    <w:abstractNumId w:val="36"/>
  </w:num>
  <w:num w:numId="11">
    <w:abstractNumId w:val="41"/>
  </w:num>
  <w:num w:numId="12">
    <w:abstractNumId w:val="20"/>
  </w:num>
  <w:num w:numId="13">
    <w:abstractNumId w:val="35"/>
  </w:num>
  <w:num w:numId="14">
    <w:abstractNumId w:val="14"/>
  </w:num>
  <w:num w:numId="15">
    <w:abstractNumId w:val="21"/>
  </w:num>
  <w:num w:numId="16">
    <w:abstractNumId w:val="34"/>
  </w:num>
  <w:num w:numId="17">
    <w:abstractNumId w:val="40"/>
  </w:num>
  <w:num w:numId="18">
    <w:abstractNumId w:val="24"/>
  </w:num>
  <w:num w:numId="19">
    <w:abstractNumId w:val="23"/>
  </w:num>
  <w:num w:numId="20">
    <w:abstractNumId w:val="30"/>
  </w:num>
  <w:num w:numId="21">
    <w:abstractNumId w:val="22"/>
  </w:num>
  <w:num w:numId="22">
    <w:abstractNumId w:val="37"/>
  </w:num>
  <w:num w:numId="23">
    <w:abstractNumId w:val="12"/>
  </w:num>
  <w:num w:numId="24">
    <w:abstractNumId w:val="27"/>
  </w:num>
  <w:num w:numId="25">
    <w:abstractNumId w:val="10"/>
  </w:num>
  <w:num w:numId="26">
    <w:abstractNumId w:val="35"/>
  </w:num>
  <w:num w:numId="27">
    <w:abstractNumId w:val="35"/>
  </w:num>
  <w:num w:numId="28">
    <w:abstractNumId w:val="25"/>
  </w:num>
  <w:num w:numId="29">
    <w:abstractNumId w:val="11"/>
  </w:num>
  <w:num w:numId="30">
    <w:abstractNumId w:val="13"/>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 w:numId="41">
    <w:abstractNumId w:val="42"/>
  </w:num>
  <w:num w:numId="42">
    <w:abstractNumId w:val="16"/>
  </w:num>
  <w:num w:numId="43">
    <w:abstractNumId w:val="38"/>
  </w:num>
  <w:num w:numId="44">
    <w:abstractNumId w:val="26"/>
  </w:num>
  <w:num w:numId="45">
    <w:abstractNumId w:val="43"/>
  </w:num>
  <w:num w:numId="4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evenAndOddHeaders/>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63B"/>
    <w:rsid w:val="00001581"/>
    <w:rsid w:val="00003568"/>
    <w:rsid w:val="00004ADC"/>
    <w:rsid w:val="00005B84"/>
    <w:rsid w:val="00006FDA"/>
    <w:rsid w:val="00007685"/>
    <w:rsid w:val="00010989"/>
    <w:rsid w:val="00016273"/>
    <w:rsid w:val="00017600"/>
    <w:rsid w:val="000178A2"/>
    <w:rsid w:val="00017FAD"/>
    <w:rsid w:val="00020C4A"/>
    <w:rsid w:val="00022927"/>
    <w:rsid w:val="0002541E"/>
    <w:rsid w:val="00026133"/>
    <w:rsid w:val="000269E3"/>
    <w:rsid w:val="00033475"/>
    <w:rsid w:val="00034A6E"/>
    <w:rsid w:val="00034EF3"/>
    <w:rsid w:val="00036727"/>
    <w:rsid w:val="000379F8"/>
    <w:rsid w:val="000407DE"/>
    <w:rsid w:val="0004469D"/>
    <w:rsid w:val="0004562A"/>
    <w:rsid w:val="00050043"/>
    <w:rsid w:val="00052717"/>
    <w:rsid w:val="00053FC9"/>
    <w:rsid w:val="0005422E"/>
    <w:rsid w:val="00055A08"/>
    <w:rsid w:val="00055E13"/>
    <w:rsid w:val="00060585"/>
    <w:rsid w:val="00060780"/>
    <w:rsid w:val="00061373"/>
    <w:rsid w:val="000619E7"/>
    <w:rsid w:val="00061D85"/>
    <w:rsid w:val="00062247"/>
    <w:rsid w:val="00064193"/>
    <w:rsid w:val="00064FD0"/>
    <w:rsid w:val="00065071"/>
    <w:rsid w:val="000673F4"/>
    <w:rsid w:val="00067736"/>
    <w:rsid w:val="0007284E"/>
    <w:rsid w:val="00072DC6"/>
    <w:rsid w:val="000743FF"/>
    <w:rsid w:val="000801FA"/>
    <w:rsid w:val="00082249"/>
    <w:rsid w:val="000846ED"/>
    <w:rsid w:val="000863F9"/>
    <w:rsid w:val="00090512"/>
    <w:rsid w:val="00092C91"/>
    <w:rsid w:val="00093A8D"/>
    <w:rsid w:val="000942E9"/>
    <w:rsid w:val="000943A6"/>
    <w:rsid w:val="000958D8"/>
    <w:rsid w:val="00095EBD"/>
    <w:rsid w:val="00096788"/>
    <w:rsid w:val="00097C01"/>
    <w:rsid w:val="000A0540"/>
    <w:rsid w:val="000A0F51"/>
    <w:rsid w:val="000A21DF"/>
    <w:rsid w:val="000A2F6F"/>
    <w:rsid w:val="000A3003"/>
    <w:rsid w:val="000A32A8"/>
    <w:rsid w:val="000A4E47"/>
    <w:rsid w:val="000A7260"/>
    <w:rsid w:val="000A7C05"/>
    <w:rsid w:val="000B36C5"/>
    <w:rsid w:val="000B3812"/>
    <w:rsid w:val="000B5035"/>
    <w:rsid w:val="000B74DF"/>
    <w:rsid w:val="000B795E"/>
    <w:rsid w:val="000C1E8C"/>
    <w:rsid w:val="000C1F7B"/>
    <w:rsid w:val="000C22F5"/>
    <w:rsid w:val="000C2ABB"/>
    <w:rsid w:val="000C2B57"/>
    <w:rsid w:val="000C51D2"/>
    <w:rsid w:val="000C55A8"/>
    <w:rsid w:val="000C60E8"/>
    <w:rsid w:val="000C6926"/>
    <w:rsid w:val="000C7882"/>
    <w:rsid w:val="000C7A22"/>
    <w:rsid w:val="000D0C4B"/>
    <w:rsid w:val="000D25BF"/>
    <w:rsid w:val="000D3A5A"/>
    <w:rsid w:val="000D3F6F"/>
    <w:rsid w:val="000D535E"/>
    <w:rsid w:val="000D5A9E"/>
    <w:rsid w:val="000D5B39"/>
    <w:rsid w:val="000D5C41"/>
    <w:rsid w:val="000E1E9D"/>
    <w:rsid w:val="000E241C"/>
    <w:rsid w:val="000E2816"/>
    <w:rsid w:val="000E38FA"/>
    <w:rsid w:val="000E4607"/>
    <w:rsid w:val="000E4947"/>
    <w:rsid w:val="000E67FE"/>
    <w:rsid w:val="000E6844"/>
    <w:rsid w:val="000E731B"/>
    <w:rsid w:val="000F098F"/>
    <w:rsid w:val="000F1671"/>
    <w:rsid w:val="000F1A44"/>
    <w:rsid w:val="000F44A5"/>
    <w:rsid w:val="000F48C4"/>
    <w:rsid w:val="000F59CF"/>
    <w:rsid w:val="000F5A9D"/>
    <w:rsid w:val="000F6609"/>
    <w:rsid w:val="000F70D1"/>
    <w:rsid w:val="00102EBC"/>
    <w:rsid w:val="00104716"/>
    <w:rsid w:val="00105129"/>
    <w:rsid w:val="001074D3"/>
    <w:rsid w:val="001102D0"/>
    <w:rsid w:val="00111100"/>
    <w:rsid w:val="001126BC"/>
    <w:rsid w:val="00113B69"/>
    <w:rsid w:val="00114326"/>
    <w:rsid w:val="00115FD7"/>
    <w:rsid w:val="00120D3B"/>
    <w:rsid w:val="0012476B"/>
    <w:rsid w:val="001303B2"/>
    <w:rsid w:val="00130909"/>
    <w:rsid w:val="00135809"/>
    <w:rsid w:val="00135B2A"/>
    <w:rsid w:val="001410E8"/>
    <w:rsid w:val="001428D2"/>
    <w:rsid w:val="00144C45"/>
    <w:rsid w:val="00146318"/>
    <w:rsid w:val="001468D3"/>
    <w:rsid w:val="00146933"/>
    <w:rsid w:val="001474D4"/>
    <w:rsid w:val="0015444C"/>
    <w:rsid w:val="00154696"/>
    <w:rsid w:val="0015682B"/>
    <w:rsid w:val="00156E90"/>
    <w:rsid w:val="00161B7D"/>
    <w:rsid w:val="001624ED"/>
    <w:rsid w:val="0016357B"/>
    <w:rsid w:val="001673C9"/>
    <w:rsid w:val="001673D9"/>
    <w:rsid w:val="00167E23"/>
    <w:rsid w:val="00170516"/>
    <w:rsid w:val="001713C1"/>
    <w:rsid w:val="0017249F"/>
    <w:rsid w:val="001762EC"/>
    <w:rsid w:val="001770E1"/>
    <w:rsid w:val="00177872"/>
    <w:rsid w:val="001816FD"/>
    <w:rsid w:val="00185004"/>
    <w:rsid w:val="00185212"/>
    <w:rsid w:val="0018556A"/>
    <w:rsid w:val="00190EBF"/>
    <w:rsid w:val="00191CB3"/>
    <w:rsid w:val="00192C1A"/>
    <w:rsid w:val="001A08BA"/>
    <w:rsid w:val="001A3194"/>
    <w:rsid w:val="001A4D65"/>
    <w:rsid w:val="001B00E2"/>
    <w:rsid w:val="001B0F88"/>
    <w:rsid w:val="001B1115"/>
    <w:rsid w:val="001B1B55"/>
    <w:rsid w:val="001B24DD"/>
    <w:rsid w:val="001B368D"/>
    <w:rsid w:val="001B5460"/>
    <w:rsid w:val="001B6798"/>
    <w:rsid w:val="001B6FEB"/>
    <w:rsid w:val="001C118F"/>
    <w:rsid w:val="001C1ABD"/>
    <w:rsid w:val="001C27D4"/>
    <w:rsid w:val="001C522F"/>
    <w:rsid w:val="001C52C3"/>
    <w:rsid w:val="001C797C"/>
    <w:rsid w:val="001D0A95"/>
    <w:rsid w:val="001D0D4B"/>
    <w:rsid w:val="001D0DD7"/>
    <w:rsid w:val="001D164A"/>
    <w:rsid w:val="001D29A1"/>
    <w:rsid w:val="001D5046"/>
    <w:rsid w:val="001D5209"/>
    <w:rsid w:val="001D53DB"/>
    <w:rsid w:val="001D60AD"/>
    <w:rsid w:val="001D78F8"/>
    <w:rsid w:val="001D7E45"/>
    <w:rsid w:val="001D7EF8"/>
    <w:rsid w:val="001E10F2"/>
    <w:rsid w:val="001E1B6B"/>
    <w:rsid w:val="001E23EE"/>
    <w:rsid w:val="001E30CA"/>
    <w:rsid w:val="001E39D8"/>
    <w:rsid w:val="001E3A31"/>
    <w:rsid w:val="001E3AA2"/>
    <w:rsid w:val="001E510F"/>
    <w:rsid w:val="001F181A"/>
    <w:rsid w:val="001F1A65"/>
    <w:rsid w:val="001F2869"/>
    <w:rsid w:val="001F3DB6"/>
    <w:rsid w:val="001F5073"/>
    <w:rsid w:val="001F6CCD"/>
    <w:rsid w:val="001F785C"/>
    <w:rsid w:val="00202793"/>
    <w:rsid w:val="002051C4"/>
    <w:rsid w:val="00205CD0"/>
    <w:rsid w:val="00206491"/>
    <w:rsid w:val="002115B2"/>
    <w:rsid w:val="00212410"/>
    <w:rsid w:val="00214D19"/>
    <w:rsid w:val="00215D20"/>
    <w:rsid w:val="00216092"/>
    <w:rsid w:val="00216EE5"/>
    <w:rsid w:val="0022342B"/>
    <w:rsid w:val="00224082"/>
    <w:rsid w:val="002270AE"/>
    <w:rsid w:val="0022712F"/>
    <w:rsid w:val="00232A7F"/>
    <w:rsid w:val="0023316D"/>
    <w:rsid w:val="002336ED"/>
    <w:rsid w:val="00234A53"/>
    <w:rsid w:val="0023733D"/>
    <w:rsid w:val="00240BF8"/>
    <w:rsid w:val="00241CB0"/>
    <w:rsid w:val="00243A60"/>
    <w:rsid w:val="0024400E"/>
    <w:rsid w:val="00245D7F"/>
    <w:rsid w:val="0025254E"/>
    <w:rsid w:val="00252DD8"/>
    <w:rsid w:val="0025346F"/>
    <w:rsid w:val="00255468"/>
    <w:rsid w:val="002554E0"/>
    <w:rsid w:val="00256293"/>
    <w:rsid w:val="00257C67"/>
    <w:rsid w:val="002615FB"/>
    <w:rsid w:val="00261F67"/>
    <w:rsid w:val="002630F4"/>
    <w:rsid w:val="0026505E"/>
    <w:rsid w:val="00266D32"/>
    <w:rsid w:val="0027154E"/>
    <w:rsid w:val="00274C7D"/>
    <w:rsid w:val="00277356"/>
    <w:rsid w:val="002777E7"/>
    <w:rsid w:val="00277BE8"/>
    <w:rsid w:val="002800AB"/>
    <w:rsid w:val="00280215"/>
    <w:rsid w:val="00280D8B"/>
    <w:rsid w:val="00281BA9"/>
    <w:rsid w:val="00281D54"/>
    <w:rsid w:val="00281E76"/>
    <w:rsid w:val="00282286"/>
    <w:rsid w:val="00282F7A"/>
    <w:rsid w:val="00283FF6"/>
    <w:rsid w:val="00285F45"/>
    <w:rsid w:val="00286C50"/>
    <w:rsid w:val="0029205F"/>
    <w:rsid w:val="002A10E5"/>
    <w:rsid w:val="002A510D"/>
    <w:rsid w:val="002A6D3E"/>
    <w:rsid w:val="002B089D"/>
    <w:rsid w:val="002B1685"/>
    <w:rsid w:val="002B3E23"/>
    <w:rsid w:val="002B6326"/>
    <w:rsid w:val="002B657A"/>
    <w:rsid w:val="002B6DCA"/>
    <w:rsid w:val="002B7025"/>
    <w:rsid w:val="002B7439"/>
    <w:rsid w:val="002B764E"/>
    <w:rsid w:val="002C2102"/>
    <w:rsid w:val="002C216C"/>
    <w:rsid w:val="002C3652"/>
    <w:rsid w:val="002C46DB"/>
    <w:rsid w:val="002C5DD0"/>
    <w:rsid w:val="002C7AED"/>
    <w:rsid w:val="002D023A"/>
    <w:rsid w:val="002D2E0B"/>
    <w:rsid w:val="002D413B"/>
    <w:rsid w:val="002D4701"/>
    <w:rsid w:val="002D55CA"/>
    <w:rsid w:val="002E0739"/>
    <w:rsid w:val="002E146F"/>
    <w:rsid w:val="002E1984"/>
    <w:rsid w:val="002E3472"/>
    <w:rsid w:val="002E3730"/>
    <w:rsid w:val="002F2EFC"/>
    <w:rsid w:val="002F42B5"/>
    <w:rsid w:val="00301F4F"/>
    <w:rsid w:val="0030218A"/>
    <w:rsid w:val="00304A07"/>
    <w:rsid w:val="00304E49"/>
    <w:rsid w:val="00305443"/>
    <w:rsid w:val="00314278"/>
    <w:rsid w:val="00314303"/>
    <w:rsid w:val="003147A0"/>
    <w:rsid w:val="00314B05"/>
    <w:rsid w:val="00315A33"/>
    <w:rsid w:val="00316796"/>
    <w:rsid w:val="0031799D"/>
    <w:rsid w:val="003203C6"/>
    <w:rsid w:val="00323068"/>
    <w:rsid w:val="003332F8"/>
    <w:rsid w:val="003355A7"/>
    <w:rsid w:val="003360B4"/>
    <w:rsid w:val="00336599"/>
    <w:rsid w:val="003374FA"/>
    <w:rsid w:val="00341D47"/>
    <w:rsid w:val="00344112"/>
    <w:rsid w:val="00350FFB"/>
    <w:rsid w:val="0035196C"/>
    <w:rsid w:val="00353765"/>
    <w:rsid w:val="00353D9D"/>
    <w:rsid w:val="00354DD5"/>
    <w:rsid w:val="00357716"/>
    <w:rsid w:val="00362784"/>
    <w:rsid w:val="00362FF1"/>
    <w:rsid w:val="00364940"/>
    <w:rsid w:val="00365B4F"/>
    <w:rsid w:val="003660DD"/>
    <w:rsid w:val="003675E4"/>
    <w:rsid w:val="0037024F"/>
    <w:rsid w:val="00372710"/>
    <w:rsid w:val="00373C02"/>
    <w:rsid w:val="003759D1"/>
    <w:rsid w:val="00376712"/>
    <w:rsid w:val="00376FDA"/>
    <w:rsid w:val="00377DFD"/>
    <w:rsid w:val="003800DB"/>
    <w:rsid w:val="0038518A"/>
    <w:rsid w:val="003858F4"/>
    <w:rsid w:val="003860D1"/>
    <w:rsid w:val="00386483"/>
    <w:rsid w:val="00386DF0"/>
    <w:rsid w:val="003870E9"/>
    <w:rsid w:val="00390006"/>
    <w:rsid w:val="0039000B"/>
    <w:rsid w:val="00390158"/>
    <w:rsid w:val="0039091D"/>
    <w:rsid w:val="0039139A"/>
    <w:rsid w:val="00391B23"/>
    <w:rsid w:val="00392236"/>
    <w:rsid w:val="00392E1C"/>
    <w:rsid w:val="0039321D"/>
    <w:rsid w:val="003935C4"/>
    <w:rsid w:val="00393E1F"/>
    <w:rsid w:val="003940E2"/>
    <w:rsid w:val="00394185"/>
    <w:rsid w:val="00394A26"/>
    <w:rsid w:val="00395986"/>
    <w:rsid w:val="003963C4"/>
    <w:rsid w:val="003964FB"/>
    <w:rsid w:val="0039693D"/>
    <w:rsid w:val="003A042C"/>
    <w:rsid w:val="003A0AED"/>
    <w:rsid w:val="003A1969"/>
    <w:rsid w:val="003A1F23"/>
    <w:rsid w:val="003A47A1"/>
    <w:rsid w:val="003A4995"/>
    <w:rsid w:val="003A6913"/>
    <w:rsid w:val="003B1066"/>
    <w:rsid w:val="003B15EA"/>
    <w:rsid w:val="003B285E"/>
    <w:rsid w:val="003B49B5"/>
    <w:rsid w:val="003B66CB"/>
    <w:rsid w:val="003B70F1"/>
    <w:rsid w:val="003B7105"/>
    <w:rsid w:val="003B7FFE"/>
    <w:rsid w:val="003C2F9E"/>
    <w:rsid w:val="003C3A7C"/>
    <w:rsid w:val="003C57E2"/>
    <w:rsid w:val="003C5887"/>
    <w:rsid w:val="003C7308"/>
    <w:rsid w:val="003D0DD5"/>
    <w:rsid w:val="003D279A"/>
    <w:rsid w:val="003D2B9C"/>
    <w:rsid w:val="003D2F04"/>
    <w:rsid w:val="003D3553"/>
    <w:rsid w:val="003D4502"/>
    <w:rsid w:val="003D50FB"/>
    <w:rsid w:val="003D5564"/>
    <w:rsid w:val="003D5B76"/>
    <w:rsid w:val="003D76E0"/>
    <w:rsid w:val="003E1BB9"/>
    <w:rsid w:val="003E4B4C"/>
    <w:rsid w:val="003E6822"/>
    <w:rsid w:val="003E6947"/>
    <w:rsid w:val="003E6A09"/>
    <w:rsid w:val="003E7CE9"/>
    <w:rsid w:val="003F0939"/>
    <w:rsid w:val="003F15A5"/>
    <w:rsid w:val="003F5672"/>
    <w:rsid w:val="003F62E1"/>
    <w:rsid w:val="003F62E4"/>
    <w:rsid w:val="003F67EF"/>
    <w:rsid w:val="003F7B43"/>
    <w:rsid w:val="00400545"/>
    <w:rsid w:val="00400899"/>
    <w:rsid w:val="00403971"/>
    <w:rsid w:val="00404F91"/>
    <w:rsid w:val="00406D02"/>
    <w:rsid w:val="00407333"/>
    <w:rsid w:val="00407B65"/>
    <w:rsid w:val="00410215"/>
    <w:rsid w:val="004126C7"/>
    <w:rsid w:val="0041295F"/>
    <w:rsid w:val="00415F06"/>
    <w:rsid w:val="004161F4"/>
    <w:rsid w:val="004208F9"/>
    <w:rsid w:val="004220E3"/>
    <w:rsid w:val="00422A5A"/>
    <w:rsid w:val="004236EA"/>
    <w:rsid w:val="0043299A"/>
    <w:rsid w:val="004339DA"/>
    <w:rsid w:val="0043452D"/>
    <w:rsid w:val="0043474D"/>
    <w:rsid w:val="0043678F"/>
    <w:rsid w:val="00437573"/>
    <w:rsid w:val="00442660"/>
    <w:rsid w:val="00442BD9"/>
    <w:rsid w:val="00444670"/>
    <w:rsid w:val="004447C2"/>
    <w:rsid w:val="004478CA"/>
    <w:rsid w:val="00450404"/>
    <w:rsid w:val="004508B7"/>
    <w:rsid w:val="00452B48"/>
    <w:rsid w:val="004535F8"/>
    <w:rsid w:val="0045493A"/>
    <w:rsid w:val="00454EB2"/>
    <w:rsid w:val="00455DE9"/>
    <w:rsid w:val="00455F8A"/>
    <w:rsid w:val="0046062C"/>
    <w:rsid w:val="00460E31"/>
    <w:rsid w:val="0046175D"/>
    <w:rsid w:val="00461B41"/>
    <w:rsid w:val="004622B7"/>
    <w:rsid w:val="0046259C"/>
    <w:rsid w:val="0046589E"/>
    <w:rsid w:val="0047026B"/>
    <w:rsid w:val="00470535"/>
    <w:rsid w:val="00475BD0"/>
    <w:rsid w:val="0047640C"/>
    <w:rsid w:val="00476B19"/>
    <w:rsid w:val="00477E01"/>
    <w:rsid w:val="00481928"/>
    <w:rsid w:val="00481E75"/>
    <w:rsid w:val="0048497C"/>
    <w:rsid w:val="00484A7F"/>
    <w:rsid w:val="004904E7"/>
    <w:rsid w:val="0049084F"/>
    <w:rsid w:val="00490CEC"/>
    <w:rsid w:val="00490F03"/>
    <w:rsid w:val="00490F0C"/>
    <w:rsid w:val="00491357"/>
    <w:rsid w:val="0049277A"/>
    <w:rsid w:val="00494D32"/>
    <w:rsid w:val="00496115"/>
    <w:rsid w:val="00496D2C"/>
    <w:rsid w:val="004A2A0C"/>
    <w:rsid w:val="004A2A49"/>
    <w:rsid w:val="004A3A33"/>
    <w:rsid w:val="004A3D07"/>
    <w:rsid w:val="004A45F6"/>
    <w:rsid w:val="004A669F"/>
    <w:rsid w:val="004A68F4"/>
    <w:rsid w:val="004B0970"/>
    <w:rsid w:val="004B3F04"/>
    <w:rsid w:val="004B7923"/>
    <w:rsid w:val="004C21F7"/>
    <w:rsid w:val="004C35AC"/>
    <w:rsid w:val="004D1DEB"/>
    <w:rsid w:val="004D24DC"/>
    <w:rsid w:val="004D2A53"/>
    <w:rsid w:val="004D4010"/>
    <w:rsid w:val="004D4C0C"/>
    <w:rsid w:val="004D4EBF"/>
    <w:rsid w:val="004D6D22"/>
    <w:rsid w:val="004D7AD7"/>
    <w:rsid w:val="004E1BE5"/>
    <w:rsid w:val="004E1E6B"/>
    <w:rsid w:val="004E2C75"/>
    <w:rsid w:val="004E2F3E"/>
    <w:rsid w:val="004E3B55"/>
    <w:rsid w:val="004E4722"/>
    <w:rsid w:val="004E4A5B"/>
    <w:rsid w:val="004E5EC7"/>
    <w:rsid w:val="004E712E"/>
    <w:rsid w:val="004E72C8"/>
    <w:rsid w:val="004E7F35"/>
    <w:rsid w:val="004F15DD"/>
    <w:rsid w:val="004F3F94"/>
    <w:rsid w:val="004F4531"/>
    <w:rsid w:val="004F583F"/>
    <w:rsid w:val="004F775A"/>
    <w:rsid w:val="004F786B"/>
    <w:rsid w:val="00500041"/>
    <w:rsid w:val="00500959"/>
    <w:rsid w:val="00500BEE"/>
    <w:rsid w:val="0050109E"/>
    <w:rsid w:val="005014B3"/>
    <w:rsid w:val="00501D2E"/>
    <w:rsid w:val="00501F64"/>
    <w:rsid w:val="0050206E"/>
    <w:rsid w:val="00504B2B"/>
    <w:rsid w:val="00504F66"/>
    <w:rsid w:val="00505D5F"/>
    <w:rsid w:val="00507591"/>
    <w:rsid w:val="0051001D"/>
    <w:rsid w:val="00510860"/>
    <w:rsid w:val="005109FF"/>
    <w:rsid w:val="00510C46"/>
    <w:rsid w:val="00511381"/>
    <w:rsid w:val="00511DCA"/>
    <w:rsid w:val="00512817"/>
    <w:rsid w:val="00512F6D"/>
    <w:rsid w:val="005136AB"/>
    <w:rsid w:val="00514FE9"/>
    <w:rsid w:val="00517C7B"/>
    <w:rsid w:val="0052083C"/>
    <w:rsid w:val="0052088B"/>
    <w:rsid w:val="005215A5"/>
    <w:rsid w:val="00521C15"/>
    <w:rsid w:val="00521EE2"/>
    <w:rsid w:val="00523DDD"/>
    <w:rsid w:val="005258AB"/>
    <w:rsid w:val="00525C78"/>
    <w:rsid w:val="00532236"/>
    <w:rsid w:val="00534BD2"/>
    <w:rsid w:val="00536E5B"/>
    <w:rsid w:val="005374CB"/>
    <w:rsid w:val="00540B4E"/>
    <w:rsid w:val="00550B95"/>
    <w:rsid w:val="00550E9E"/>
    <w:rsid w:val="00552099"/>
    <w:rsid w:val="005525CD"/>
    <w:rsid w:val="00552B4F"/>
    <w:rsid w:val="00555A78"/>
    <w:rsid w:val="00555D30"/>
    <w:rsid w:val="00555E18"/>
    <w:rsid w:val="00566870"/>
    <w:rsid w:val="00570998"/>
    <w:rsid w:val="00573660"/>
    <w:rsid w:val="00573E57"/>
    <w:rsid w:val="00574065"/>
    <w:rsid w:val="0057439B"/>
    <w:rsid w:val="00574552"/>
    <w:rsid w:val="005768B8"/>
    <w:rsid w:val="00576B3A"/>
    <w:rsid w:val="00581E2F"/>
    <w:rsid w:val="00581F24"/>
    <w:rsid w:val="00584ECD"/>
    <w:rsid w:val="00585681"/>
    <w:rsid w:val="0059079A"/>
    <w:rsid w:val="005936BD"/>
    <w:rsid w:val="0059497B"/>
    <w:rsid w:val="00594A7B"/>
    <w:rsid w:val="00597685"/>
    <w:rsid w:val="005A03D8"/>
    <w:rsid w:val="005A0CCF"/>
    <w:rsid w:val="005A118D"/>
    <w:rsid w:val="005A3F65"/>
    <w:rsid w:val="005A4639"/>
    <w:rsid w:val="005A5C17"/>
    <w:rsid w:val="005A66D0"/>
    <w:rsid w:val="005A679B"/>
    <w:rsid w:val="005B01A5"/>
    <w:rsid w:val="005B2313"/>
    <w:rsid w:val="005B29B3"/>
    <w:rsid w:val="005B2FDA"/>
    <w:rsid w:val="005B320A"/>
    <w:rsid w:val="005B6300"/>
    <w:rsid w:val="005C00F3"/>
    <w:rsid w:val="005C081B"/>
    <w:rsid w:val="005C2329"/>
    <w:rsid w:val="005C2449"/>
    <w:rsid w:val="005C46D7"/>
    <w:rsid w:val="005C48BC"/>
    <w:rsid w:val="005C5261"/>
    <w:rsid w:val="005C64E1"/>
    <w:rsid w:val="005C711B"/>
    <w:rsid w:val="005D0DBC"/>
    <w:rsid w:val="005D2097"/>
    <w:rsid w:val="005D34E7"/>
    <w:rsid w:val="005D3999"/>
    <w:rsid w:val="005D44D8"/>
    <w:rsid w:val="005D5EC2"/>
    <w:rsid w:val="005D72D7"/>
    <w:rsid w:val="005E2DE7"/>
    <w:rsid w:val="005E2F77"/>
    <w:rsid w:val="005E3C44"/>
    <w:rsid w:val="005E450B"/>
    <w:rsid w:val="005E529D"/>
    <w:rsid w:val="005E5C62"/>
    <w:rsid w:val="005F13D0"/>
    <w:rsid w:val="005F27C9"/>
    <w:rsid w:val="005F3F24"/>
    <w:rsid w:val="005F3F9B"/>
    <w:rsid w:val="005F68A9"/>
    <w:rsid w:val="005F71FE"/>
    <w:rsid w:val="00601019"/>
    <w:rsid w:val="006017B5"/>
    <w:rsid w:val="0060207B"/>
    <w:rsid w:val="00602228"/>
    <w:rsid w:val="00602DC0"/>
    <w:rsid w:val="006051C4"/>
    <w:rsid w:val="00605A09"/>
    <w:rsid w:val="00605F38"/>
    <w:rsid w:val="00610324"/>
    <w:rsid w:val="00610853"/>
    <w:rsid w:val="00611372"/>
    <w:rsid w:val="00612171"/>
    <w:rsid w:val="006129C6"/>
    <w:rsid w:val="00612B54"/>
    <w:rsid w:val="00612CE8"/>
    <w:rsid w:val="00613647"/>
    <w:rsid w:val="00614538"/>
    <w:rsid w:val="00615B6E"/>
    <w:rsid w:val="00616A78"/>
    <w:rsid w:val="00621325"/>
    <w:rsid w:val="006214B3"/>
    <w:rsid w:val="00621A76"/>
    <w:rsid w:val="00622201"/>
    <w:rsid w:val="00622312"/>
    <w:rsid w:val="00622C15"/>
    <w:rsid w:val="0062420F"/>
    <w:rsid w:val="0062445E"/>
    <w:rsid w:val="00624721"/>
    <w:rsid w:val="00624AE4"/>
    <w:rsid w:val="006266B0"/>
    <w:rsid w:val="0062734D"/>
    <w:rsid w:val="006315A7"/>
    <w:rsid w:val="00632123"/>
    <w:rsid w:val="00632F24"/>
    <w:rsid w:val="0063719A"/>
    <w:rsid w:val="00637730"/>
    <w:rsid w:val="00640494"/>
    <w:rsid w:val="00640F24"/>
    <w:rsid w:val="0064143E"/>
    <w:rsid w:val="00641EC7"/>
    <w:rsid w:val="00643EAA"/>
    <w:rsid w:val="00645CFF"/>
    <w:rsid w:val="0065232E"/>
    <w:rsid w:val="00653289"/>
    <w:rsid w:val="00654092"/>
    <w:rsid w:val="00654BAE"/>
    <w:rsid w:val="00654E8E"/>
    <w:rsid w:val="00655105"/>
    <w:rsid w:val="00655143"/>
    <w:rsid w:val="0065585B"/>
    <w:rsid w:val="00656BB9"/>
    <w:rsid w:val="00657097"/>
    <w:rsid w:val="0065759E"/>
    <w:rsid w:val="00657FC2"/>
    <w:rsid w:val="00661399"/>
    <w:rsid w:val="0066619B"/>
    <w:rsid w:val="00667175"/>
    <w:rsid w:val="00672977"/>
    <w:rsid w:val="006777ED"/>
    <w:rsid w:val="00681D8B"/>
    <w:rsid w:val="00686CBF"/>
    <w:rsid w:val="00687EAE"/>
    <w:rsid w:val="00692CF6"/>
    <w:rsid w:val="0069369E"/>
    <w:rsid w:val="00696A7E"/>
    <w:rsid w:val="006975F2"/>
    <w:rsid w:val="006977B8"/>
    <w:rsid w:val="006A0264"/>
    <w:rsid w:val="006A204A"/>
    <w:rsid w:val="006A3961"/>
    <w:rsid w:val="006A4C4D"/>
    <w:rsid w:val="006A6D9A"/>
    <w:rsid w:val="006A7040"/>
    <w:rsid w:val="006B04CA"/>
    <w:rsid w:val="006B12A5"/>
    <w:rsid w:val="006B254F"/>
    <w:rsid w:val="006B3E40"/>
    <w:rsid w:val="006B4284"/>
    <w:rsid w:val="006B56F4"/>
    <w:rsid w:val="006B5864"/>
    <w:rsid w:val="006B5A2A"/>
    <w:rsid w:val="006C318B"/>
    <w:rsid w:val="006C410D"/>
    <w:rsid w:val="006C4FE8"/>
    <w:rsid w:val="006C5D0B"/>
    <w:rsid w:val="006C5D8E"/>
    <w:rsid w:val="006D0193"/>
    <w:rsid w:val="006D4C24"/>
    <w:rsid w:val="006D55BE"/>
    <w:rsid w:val="006D6059"/>
    <w:rsid w:val="006D6761"/>
    <w:rsid w:val="006D6FF4"/>
    <w:rsid w:val="006E3851"/>
    <w:rsid w:val="006E3B74"/>
    <w:rsid w:val="006E407C"/>
    <w:rsid w:val="006E54DF"/>
    <w:rsid w:val="006E54E6"/>
    <w:rsid w:val="006F07B7"/>
    <w:rsid w:val="006F0AFB"/>
    <w:rsid w:val="006F29BA"/>
    <w:rsid w:val="006F6D2F"/>
    <w:rsid w:val="006F77CC"/>
    <w:rsid w:val="0070120E"/>
    <w:rsid w:val="00702751"/>
    <w:rsid w:val="00703DBF"/>
    <w:rsid w:val="007044A4"/>
    <w:rsid w:val="007044DE"/>
    <w:rsid w:val="00706C8E"/>
    <w:rsid w:val="00707F9E"/>
    <w:rsid w:val="00712F31"/>
    <w:rsid w:val="00715DB1"/>
    <w:rsid w:val="00720831"/>
    <w:rsid w:val="007210DB"/>
    <w:rsid w:val="00723F0A"/>
    <w:rsid w:val="00727B2E"/>
    <w:rsid w:val="0073108B"/>
    <w:rsid w:val="00731D46"/>
    <w:rsid w:val="00731EEF"/>
    <w:rsid w:val="00733271"/>
    <w:rsid w:val="007352E6"/>
    <w:rsid w:val="00742BB5"/>
    <w:rsid w:val="00746227"/>
    <w:rsid w:val="007465BB"/>
    <w:rsid w:val="00747196"/>
    <w:rsid w:val="00747D58"/>
    <w:rsid w:val="00750112"/>
    <w:rsid w:val="00753983"/>
    <w:rsid w:val="00754248"/>
    <w:rsid w:val="00754C9F"/>
    <w:rsid w:val="007553EF"/>
    <w:rsid w:val="0075751A"/>
    <w:rsid w:val="00760A6A"/>
    <w:rsid w:val="00763B31"/>
    <w:rsid w:val="00765082"/>
    <w:rsid w:val="0076615F"/>
    <w:rsid w:val="00766F3E"/>
    <w:rsid w:val="00767419"/>
    <w:rsid w:val="00770ECD"/>
    <w:rsid w:val="00773AD9"/>
    <w:rsid w:val="00774309"/>
    <w:rsid w:val="0077430C"/>
    <w:rsid w:val="00774841"/>
    <w:rsid w:val="0077558B"/>
    <w:rsid w:val="007800E9"/>
    <w:rsid w:val="00780195"/>
    <w:rsid w:val="00780A4B"/>
    <w:rsid w:val="007819E5"/>
    <w:rsid w:val="00785157"/>
    <w:rsid w:val="00790F88"/>
    <w:rsid w:val="00792069"/>
    <w:rsid w:val="00794161"/>
    <w:rsid w:val="007948E9"/>
    <w:rsid w:val="00794AD3"/>
    <w:rsid w:val="007957A9"/>
    <w:rsid w:val="00796251"/>
    <w:rsid w:val="0079788C"/>
    <w:rsid w:val="007A41D5"/>
    <w:rsid w:val="007A4AFD"/>
    <w:rsid w:val="007A6B4B"/>
    <w:rsid w:val="007A7336"/>
    <w:rsid w:val="007A7C19"/>
    <w:rsid w:val="007B057A"/>
    <w:rsid w:val="007B196D"/>
    <w:rsid w:val="007B253D"/>
    <w:rsid w:val="007B4A78"/>
    <w:rsid w:val="007B56C1"/>
    <w:rsid w:val="007C0B9B"/>
    <w:rsid w:val="007C1863"/>
    <w:rsid w:val="007C1A02"/>
    <w:rsid w:val="007C1E30"/>
    <w:rsid w:val="007C217F"/>
    <w:rsid w:val="007C3FE2"/>
    <w:rsid w:val="007C4325"/>
    <w:rsid w:val="007C515D"/>
    <w:rsid w:val="007C5B23"/>
    <w:rsid w:val="007C5B3D"/>
    <w:rsid w:val="007C6A29"/>
    <w:rsid w:val="007D0E69"/>
    <w:rsid w:val="007D1928"/>
    <w:rsid w:val="007D2D2D"/>
    <w:rsid w:val="007D318B"/>
    <w:rsid w:val="007D407E"/>
    <w:rsid w:val="007D40F9"/>
    <w:rsid w:val="007D485C"/>
    <w:rsid w:val="007D57C6"/>
    <w:rsid w:val="007D5A4A"/>
    <w:rsid w:val="007E0D5C"/>
    <w:rsid w:val="007E0FC2"/>
    <w:rsid w:val="007E1AB1"/>
    <w:rsid w:val="007E28C9"/>
    <w:rsid w:val="007E4550"/>
    <w:rsid w:val="007E6CF9"/>
    <w:rsid w:val="007E75EF"/>
    <w:rsid w:val="007F0688"/>
    <w:rsid w:val="007F0AF7"/>
    <w:rsid w:val="007F1688"/>
    <w:rsid w:val="007F18FA"/>
    <w:rsid w:val="007F1E60"/>
    <w:rsid w:val="007F201F"/>
    <w:rsid w:val="007F4A1E"/>
    <w:rsid w:val="007F7224"/>
    <w:rsid w:val="00800190"/>
    <w:rsid w:val="008007E2"/>
    <w:rsid w:val="00801920"/>
    <w:rsid w:val="00803434"/>
    <w:rsid w:val="00803E51"/>
    <w:rsid w:val="00804190"/>
    <w:rsid w:val="00805EC6"/>
    <w:rsid w:val="0080663F"/>
    <w:rsid w:val="00810D8D"/>
    <w:rsid w:val="00811978"/>
    <w:rsid w:val="008124A4"/>
    <w:rsid w:val="008135C3"/>
    <w:rsid w:val="00814A2E"/>
    <w:rsid w:val="00814ABC"/>
    <w:rsid w:val="0081532D"/>
    <w:rsid w:val="00817E40"/>
    <w:rsid w:val="008205AD"/>
    <w:rsid w:val="008208B6"/>
    <w:rsid w:val="0082117E"/>
    <w:rsid w:val="0082448A"/>
    <w:rsid w:val="008247B6"/>
    <w:rsid w:val="0082573C"/>
    <w:rsid w:val="008307A8"/>
    <w:rsid w:val="008312D1"/>
    <w:rsid w:val="0083173B"/>
    <w:rsid w:val="0083365F"/>
    <w:rsid w:val="00833D0A"/>
    <w:rsid w:val="008343C8"/>
    <w:rsid w:val="008352C6"/>
    <w:rsid w:val="00835A70"/>
    <w:rsid w:val="00835AAD"/>
    <w:rsid w:val="00840A28"/>
    <w:rsid w:val="008416B2"/>
    <w:rsid w:val="00841F95"/>
    <w:rsid w:val="00842E79"/>
    <w:rsid w:val="00843E91"/>
    <w:rsid w:val="00846D9D"/>
    <w:rsid w:val="00847B39"/>
    <w:rsid w:val="00850AF4"/>
    <w:rsid w:val="008513B2"/>
    <w:rsid w:val="008553E9"/>
    <w:rsid w:val="00856B09"/>
    <w:rsid w:val="00860202"/>
    <w:rsid w:val="00861673"/>
    <w:rsid w:val="00862838"/>
    <w:rsid w:val="0086353F"/>
    <w:rsid w:val="0086417B"/>
    <w:rsid w:val="00864665"/>
    <w:rsid w:val="008658B9"/>
    <w:rsid w:val="00866715"/>
    <w:rsid w:val="00866987"/>
    <w:rsid w:val="00867CE9"/>
    <w:rsid w:val="00870337"/>
    <w:rsid w:val="00870BEF"/>
    <w:rsid w:val="00870F76"/>
    <w:rsid w:val="00871180"/>
    <w:rsid w:val="00871AC8"/>
    <w:rsid w:val="008725C0"/>
    <w:rsid w:val="00872814"/>
    <w:rsid w:val="008728EB"/>
    <w:rsid w:val="00876450"/>
    <w:rsid w:val="00876A54"/>
    <w:rsid w:val="00877075"/>
    <w:rsid w:val="008771ED"/>
    <w:rsid w:val="00877927"/>
    <w:rsid w:val="008825B8"/>
    <w:rsid w:val="00882BF0"/>
    <w:rsid w:val="008832CE"/>
    <w:rsid w:val="00885905"/>
    <w:rsid w:val="00886BAB"/>
    <w:rsid w:val="00892A10"/>
    <w:rsid w:val="00893CBB"/>
    <w:rsid w:val="00895368"/>
    <w:rsid w:val="008965A7"/>
    <w:rsid w:val="008A14BC"/>
    <w:rsid w:val="008A2957"/>
    <w:rsid w:val="008A5D63"/>
    <w:rsid w:val="008A66DD"/>
    <w:rsid w:val="008B0A42"/>
    <w:rsid w:val="008B3FC8"/>
    <w:rsid w:val="008B50F7"/>
    <w:rsid w:val="008B5A79"/>
    <w:rsid w:val="008B649D"/>
    <w:rsid w:val="008B69B3"/>
    <w:rsid w:val="008C39EE"/>
    <w:rsid w:val="008C5274"/>
    <w:rsid w:val="008C5EA6"/>
    <w:rsid w:val="008C64B7"/>
    <w:rsid w:val="008C6ADA"/>
    <w:rsid w:val="008C7838"/>
    <w:rsid w:val="008D1345"/>
    <w:rsid w:val="008D4C6B"/>
    <w:rsid w:val="008D52E5"/>
    <w:rsid w:val="008D54EE"/>
    <w:rsid w:val="008D6017"/>
    <w:rsid w:val="008E074D"/>
    <w:rsid w:val="008E11B3"/>
    <w:rsid w:val="008E1380"/>
    <w:rsid w:val="008E39C5"/>
    <w:rsid w:val="008E453D"/>
    <w:rsid w:val="008F1EB8"/>
    <w:rsid w:val="008F30BF"/>
    <w:rsid w:val="008F4365"/>
    <w:rsid w:val="008F61B9"/>
    <w:rsid w:val="00900599"/>
    <w:rsid w:val="00903854"/>
    <w:rsid w:val="00906267"/>
    <w:rsid w:val="00906B1B"/>
    <w:rsid w:val="00907AD3"/>
    <w:rsid w:val="00910026"/>
    <w:rsid w:val="00910836"/>
    <w:rsid w:val="009109C2"/>
    <w:rsid w:val="00913BA7"/>
    <w:rsid w:val="00915C17"/>
    <w:rsid w:val="00920D8F"/>
    <w:rsid w:val="00921040"/>
    <w:rsid w:val="0092198E"/>
    <w:rsid w:val="00921B99"/>
    <w:rsid w:val="00925876"/>
    <w:rsid w:val="00925A4F"/>
    <w:rsid w:val="009262E6"/>
    <w:rsid w:val="00926E57"/>
    <w:rsid w:val="00927ADA"/>
    <w:rsid w:val="0093172B"/>
    <w:rsid w:val="00931C47"/>
    <w:rsid w:val="00933C29"/>
    <w:rsid w:val="0093410E"/>
    <w:rsid w:val="0093414F"/>
    <w:rsid w:val="0093574F"/>
    <w:rsid w:val="00941B5F"/>
    <w:rsid w:val="00941B7B"/>
    <w:rsid w:val="0094432D"/>
    <w:rsid w:val="00944F75"/>
    <w:rsid w:val="0094515E"/>
    <w:rsid w:val="00946949"/>
    <w:rsid w:val="009472C2"/>
    <w:rsid w:val="00951BF6"/>
    <w:rsid w:val="00952AEF"/>
    <w:rsid w:val="00952CCE"/>
    <w:rsid w:val="0095350B"/>
    <w:rsid w:val="00954470"/>
    <w:rsid w:val="00954D26"/>
    <w:rsid w:val="009558B0"/>
    <w:rsid w:val="009600C2"/>
    <w:rsid w:val="009630DF"/>
    <w:rsid w:val="009636BE"/>
    <w:rsid w:val="00963789"/>
    <w:rsid w:val="00970B5B"/>
    <w:rsid w:val="00973AE6"/>
    <w:rsid w:val="00974D13"/>
    <w:rsid w:val="00975771"/>
    <w:rsid w:val="0097624B"/>
    <w:rsid w:val="00977B1B"/>
    <w:rsid w:val="00981472"/>
    <w:rsid w:val="00982408"/>
    <w:rsid w:val="00984EC5"/>
    <w:rsid w:val="00985825"/>
    <w:rsid w:val="009903FF"/>
    <w:rsid w:val="00991763"/>
    <w:rsid w:val="00994852"/>
    <w:rsid w:val="00994E8F"/>
    <w:rsid w:val="00995002"/>
    <w:rsid w:val="00996B62"/>
    <w:rsid w:val="00996F2A"/>
    <w:rsid w:val="009A1065"/>
    <w:rsid w:val="009A1B75"/>
    <w:rsid w:val="009A207B"/>
    <w:rsid w:val="009A3830"/>
    <w:rsid w:val="009A3AC8"/>
    <w:rsid w:val="009A3DD6"/>
    <w:rsid w:val="009A5EAF"/>
    <w:rsid w:val="009A6A2B"/>
    <w:rsid w:val="009A6C58"/>
    <w:rsid w:val="009A791C"/>
    <w:rsid w:val="009B1095"/>
    <w:rsid w:val="009B50EE"/>
    <w:rsid w:val="009B6711"/>
    <w:rsid w:val="009B725E"/>
    <w:rsid w:val="009C151A"/>
    <w:rsid w:val="009C2313"/>
    <w:rsid w:val="009C2D6C"/>
    <w:rsid w:val="009C6888"/>
    <w:rsid w:val="009D03A2"/>
    <w:rsid w:val="009D08A6"/>
    <w:rsid w:val="009D46CF"/>
    <w:rsid w:val="009D5391"/>
    <w:rsid w:val="009E54E1"/>
    <w:rsid w:val="009E5AC4"/>
    <w:rsid w:val="009E61DA"/>
    <w:rsid w:val="009E68BC"/>
    <w:rsid w:val="009E76AF"/>
    <w:rsid w:val="009F2C5F"/>
    <w:rsid w:val="009F5449"/>
    <w:rsid w:val="009F6518"/>
    <w:rsid w:val="009F6CD7"/>
    <w:rsid w:val="00A03899"/>
    <w:rsid w:val="00A04986"/>
    <w:rsid w:val="00A06107"/>
    <w:rsid w:val="00A07C49"/>
    <w:rsid w:val="00A10527"/>
    <w:rsid w:val="00A105E5"/>
    <w:rsid w:val="00A10636"/>
    <w:rsid w:val="00A114D2"/>
    <w:rsid w:val="00A151D9"/>
    <w:rsid w:val="00A15FBC"/>
    <w:rsid w:val="00A1652F"/>
    <w:rsid w:val="00A1672C"/>
    <w:rsid w:val="00A17095"/>
    <w:rsid w:val="00A20B1B"/>
    <w:rsid w:val="00A20BB2"/>
    <w:rsid w:val="00A2100C"/>
    <w:rsid w:val="00A2184C"/>
    <w:rsid w:val="00A223B1"/>
    <w:rsid w:val="00A25EFF"/>
    <w:rsid w:val="00A27909"/>
    <w:rsid w:val="00A307FC"/>
    <w:rsid w:val="00A313CA"/>
    <w:rsid w:val="00A32271"/>
    <w:rsid w:val="00A3313E"/>
    <w:rsid w:val="00A334B5"/>
    <w:rsid w:val="00A3463D"/>
    <w:rsid w:val="00A45E40"/>
    <w:rsid w:val="00A461A0"/>
    <w:rsid w:val="00A468AD"/>
    <w:rsid w:val="00A5002C"/>
    <w:rsid w:val="00A516A6"/>
    <w:rsid w:val="00A51728"/>
    <w:rsid w:val="00A51C0B"/>
    <w:rsid w:val="00A53348"/>
    <w:rsid w:val="00A6111C"/>
    <w:rsid w:val="00A622CE"/>
    <w:rsid w:val="00A63B77"/>
    <w:rsid w:val="00A64095"/>
    <w:rsid w:val="00A6516C"/>
    <w:rsid w:val="00A66801"/>
    <w:rsid w:val="00A71ACB"/>
    <w:rsid w:val="00A71BCD"/>
    <w:rsid w:val="00A74D75"/>
    <w:rsid w:val="00A76CB3"/>
    <w:rsid w:val="00A77194"/>
    <w:rsid w:val="00A81621"/>
    <w:rsid w:val="00A8224C"/>
    <w:rsid w:val="00A828EF"/>
    <w:rsid w:val="00A8316C"/>
    <w:rsid w:val="00A83FB7"/>
    <w:rsid w:val="00A84D1D"/>
    <w:rsid w:val="00A84D8E"/>
    <w:rsid w:val="00A862FA"/>
    <w:rsid w:val="00A86315"/>
    <w:rsid w:val="00A87F34"/>
    <w:rsid w:val="00A91B06"/>
    <w:rsid w:val="00A91C7B"/>
    <w:rsid w:val="00A92702"/>
    <w:rsid w:val="00A939CF"/>
    <w:rsid w:val="00A948A3"/>
    <w:rsid w:val="00A948CA"/>
    <w:rsid w:val="00A94D61"/>
    <w:rsid w:val="00AA23A9"/>
    <w:rsid w:val="00AA2630"/>
    <w:rsid w:val="00AA2D82"/>
    <w:rsid w:val="00AA389D"/>
    <w:rsid w:val="00AA4336"/>
    <w:rsid w:val="00AA5197"/>
    <w:rsid w:val="00AA5492"/>
    <w:rsid w:val="00AA5B82"/>
    <w:rsid w:val="00AA648D"/>
    <w:rsid w:val="00AB0BF5"/>
    <w:rsid w:val="00AB17DB"/>
    <w:rsid w:val="00AB2718"/>
    <w:rsid w:val="00AB297F"/>
    <w:rsid w:val="00AB4D31"/>
    <w:rsid w:val="00AB4E78"/>
    <w:rsid w:val="00AB7062"/>
    <w:rsid w:val="00AB7A33"/>
    <w:rsid w:val="00AC1262"/>
    <w:rsid w:val="00AC18B7"/>
    <w:rsid w:val="00AC1D85"/>
    <w:rsid w:val="00AC317C"/>
    <w:rsid w:val="00AC42DD"/>
    <w:rsid w:val="00AC4932"/>
    <w:rsid w:val="00AC76B3"/>
    <w:rsid w:val="00AC7894"/>
    <w:rsid w:val="00AD09EB"/>
    <w:rsid w:val="00AD1E72"/>
    <w:rsid w:val="00AD2C57"/>
    <w:rsid w:val="00AD357F"/>
    <w:rsid w:val="00AD3594"/>
    <w:rsid w:val="00AD40DF"/>
    <w:rsid w:val="00AD42E6"/>
    <w:rsid w:val="00AD5557"/>
    <w:rsid w:val="00AD55DE"/>
    <w:rsid w:val="00AD5F16"/>
    <w:rsid w:val="00AD76A9"/>
    <w:rsid w:val="00AE03A6"/>
    <w:rsid w:val="00AE2F2E"/>
    <w:rsid w:val="00AE3EB6"/>
    <w:rsid w:val="00AE5F51"/>
    <w:rsid w:val="00AE71A4"/>
    <w:rsid w:val="00AF0ADD"/>
    <w:rsid w:val="00AF4270"/>
    <w:rsid w:val="00B057E0"/>
    <w:rsid w:val="00B058F7"/>
    <w:rsid w:val="00B07013"/>
    <w:rsid w:val="00B108CC"/>
    <w:rsid w:val="00B1359F"/>
    <w:rsid w:val="00B15B3D"/>
    <w:rsid w:val="00B15B70"/>
    <w:rsid w:val="00B167E2"/>
    <w:rsid w:val="00B211C8"/>
    <w:rsid w:val="00B22296"/>
    <w:rsid w:val="00B22D9F"/>
    <w:rsid w:val="00B256A9"/>
    <w:rsid w:val="00B27421"/>
    <w:rsid w:val="00B30878"/>
    <w:rsid w:val="00B31E24"/>
    <w:rsid w:val="00B3306E"/>
    <w:rsid w:val="00B342F7"/>
    <w:rsid w:val="00B34894"/>
    <w:rsid w:val="00B37B8D"/>
    <w:rsid w:val="00B42E8D"/>
    <w:rsid w:val="00B45F4A"/>
    <w:rsid w:val="00B45FE2"/>
    <w:rsid w:val="00B517D3"/>
    <w:rsid w:val="00B52859"/>
    <w:rsid w:val="00B52E10"/>
    <w:rsid w:val="00B53E3D"/>
    <w:rsid w:val="00B54135"/>
    <w:rsid w:val="00B5489F"/>
    <w:rsid w:val="00B557DF"/>
    <w:rsid w:val="00B55DEE"/>
    <w:rsid w:val="00B57DD9"/>
    <w:rsid w:val="00B613EA"/>
    <w:rsid w:val="00B62F8C"/>
    <w:rsid w:val="00B63615"/>
    <w:rsid w:val="00B63C31"/>
    <w:rsid w:val="00B66366"/>
    <w:rsid w:val="00B665DD"/>
    <w:rsid w:val="00B70294"/>
    <w:rsid w:val="00B70331"/>
    <w:rsid w:val="00B70BF2"/>
    <w:rsid w:val="00B70C86"/>
    <w:rsid w:val="00B71AB2"/>
    <w:rsid w:val="00B76718"/>
    <w:rsid w:val="00B76DFC"/>
    <w:rsid w:val="00B76EEC"/>
    <w:rsid w:val="00B807DB"/>
    <w:rsid w:val="00B809E1"/>
    <w:rsid w:val="00B861B5"/>
    <w:rsid w:val="00B9005A"/>
    <w:rsid w:val="00B9136D"/>
    <w:rsid w:val="00B91CD4"/>
    <w:rsid w:val="00B932E5"/>
    <w:rsid w:val="00B94267"/>
    <w:rsid w:val="00B949FF"/>
    <w:rsid w:val="00B95305"/>
    <w:rsid w:val="00B9548F"/>
    <w:rsid w:val="00B9569E"/>
    <w:rsid w:val="00BA0D48"/>
    <w:rsid w:val="00BA16AE"/>
    <w:rsid w:val="00BA1C16"/>
    <w:rsid w:val="00BA3B9A"/>
    <w:rsid w:val="00BA3BB6"/>
    <w:rsid w:val="00BA72EC"/>
    <w:rsid w:val="00BA789A"/>
    <w:rsid w:val="00BB22FF"/>
    <w:rsid w:val="00BB3D69"/>
    <w:rsid w:val="00BB4A8D"/>
    <w:rsid w:val="00BB51B2"/>
    <w:rsid w:val="00BB6C1D"/>
    <w:rsid w:val="00BB6E48"/>
    <w:rsid w:val="00BC0441"/>
    <w:rsid w:val="00BC4A95"/>
    <w:rsid w:val="00BC5C86"/>
    <w:rsid w:val="00BC7C74"/>
    <w:rsid w:val="00BD017E"/>
    <w:rsid w:val="00BD03C7"/>
    <w:rsid w:val="00BD2CA6"/>
    <w:rsid w:val="00BD2FE4"/>
    <w:rsid w:val="00BD64D6"/>
    <w:rsid w:val="00BD686E"/>
    <w:rsid w:val="00BD7AA0"/>
    <w:rsid w:val="00BD7AE2"/>
    <w:rsid w:val="00BE0E79"/>
    <w:rsid w:val="00BE329B"/>
    <w:rsid w:val="00BE610C"/>
    <w:rsid w:val="00BE6BD7"/>
    <w:rsid w:val="00BE6CC8"/>
    <w:rsid w:val="00BE7DE8"/>
    <w:rsid w:val="00BF10C1"/>
    <w:rsid w:val="00BF2724"/>
    <w:rsid w:val="00BF3337"/>
    <w:rsid w:val="00BF439E"/>
    <w:rsid w:val="00BF47D5"/>
    <w:rsid w:val="00BF5174"/>
    <w:rsid w:val="00BF619B"/>
    <w:rsid w:val="00C036B0"/>
    <w:rsid w:val="00C0486D"/>
    <w:rsid w:val="00C04FB1"/>
    <w:rsid w:val="00C05B21"/>
    <w:rsid w:val="00C06AC8"/>
    <w:rsid w:val="00C101A7"/>
    <w:rsid w:val="00C106A6"/>
    <w:rsid w:val="00C11203"/>
    <w:rsid w:val="00C11A8D"/>
    <w:rsid w:val="00C131D6"/>
    <w:rsid w:val="00C16572"/>
    <w:rsid w:val="00C17835"/>
    <w:rsid w:val="00C224D8"/>
    <w:rsid w:val="00C236D7"/>
    <w:rsid w:val="00C24A52"/>
    <w:rsid w:val="00C3093F"/>
    <w:rsid w:val="00C31889"/>
    <w:rsid w:val="00C33242"/>
    <w:rsid w:val="00C33575"/>
    <w:rsid w:val="00C357AF"/>
    <w:rsid w:val="00C35AB0"/>
    <w:rsid w:val="00C365E6"/>
    <w:rsid w:val="00C40F62"/>
    <w:rsid w:val="00C4176A"/>
    <w:rsid w:val="00C4659D"/>
    <w:rsid w:val="00C46FAA"/>
    <w:rsid w:val="00C50072"/>
    <w:rsid w:val="00C50A88"/>
    <w:rsid w:val="00C51E61"/>
    <w:rsid w:val="00C52154"/>
    <w:rsid w:val="00C52CEF"/>
    <w:rsid w:val="00C53F0B"/>
    <w:rsid w:val="00C53F4B"/>
    <w:rsid w:val="00C54636"/>
    <w:rsid w:val="00C5471E"/>
    <w:rsid w:val="00C549F2"/>
    <w:rsid w:val="00C54EEE"/>
    <w:rsid w:val="00C5558E"/>
    <w:rsid w:val="00C55A81"/>
    <w:rsid w:val="00C57515"/>
    <w:rsid w:val="00C60862"/>
    <w:rsid w:val="00C60F93"/>
    <w:rsid w:val="00C61558"/>
    <w:rsid w:val="00C647CA"/>
    <w:rsid w:val="00C66607"/>
    <w:rsid w:val="00C71F6C"/>
    <w:rsid w:val="00C73609"/>
    <w:rsid w:val="00C758BE"/>
    <w:rsid w:val="00C77953"/>
    <w:rsid w:val="00C77D2F"/>
    <w:rsid w:val="00C813DB"/>
    <w:rsid w:val="00C823FE"/>
    <w:rsid w:val="00C83059"/>
    <w:rsid w:val="00C83347"/>
    <w:rsid w:val="00C83544"/>
    <w:rsid w:val="00C83B63"/>
    <w:rsid w:val="00C90BDA"/>
    <w:rsid w:val="00C910D5"/>
    <w:rsid w:val="00C92A03"/>
    <w:rsid w:val="00C92A85"/>
    <w:rsid w:val="00C92FD4"/>
    <w:rsid w:val="00C94CBE"/>
    <w:rsid w:val="00CA0032"/>
    <w:rsid w:val="00CA0C25"/>
    <w:rsid w:val="00CA1524"/>
    <w:rsid w:val="00CA1BAA"/>
    <w:rsid w:val="00CA2FAE"/>
    <w:rsid w:val="00CA35D4"/>
    <w:rsid w:val="00CA511A"/>
    <w:rsid w:val="00CA70AC"/>
    <w:rsid w:val="00CA763C"/>
    <w:rsid w:val="00CA78BF"/>
    <w:rsid w:val="00CB0B91"/>
    <w:rsid w:val="00CB11C7"/>
    <w:rsid w:val="00CB25BD"/>
    <w:rsid w:val="00CB4571"/>
    <w:rsid w:val="00CB5064"/>
    <w:rsid w:val="00CB6957"/>
    <w:rsid w:val="00CB6F5A"/>
    <w:rsid w:val="00CC5AD2"/>
    <w:rsid w:val="00CD19EB"/>
    <w:rsid w:val="00CD1A3D"/>
    <w:rsid w:val="00CD1AF8"/>
    <w:rsid w:val="00CD4312"/>
    <w:rsid w:val="00CD69B6"/>
    <w:rsid w:val="00CD7661"/>
    <w:rsid w:val="00CE3392"/>
    <w:rsid w:val="00CE37CC"/>
    <w:rsid w:val="00CE3B07"/>
    <w:rsid w:val="00CE4C43"/>
    <w:rsid w:val="00CE5A11"/>
    <w:rsid w:val="00CE6D59"/>
    <w:rsid w:val="00CE715F"/>
    <w:rsid w:val="00CF07E6"/>
    <w:rsid w:val="00CF1658"/>
    <w:rsid w:val="00CF17BE"/>
    <w:rsid w:val="00CF25C6"/>
    <w:rsid w:val="00CF3A5C"/>
    <w:rsid w:val="00CF44AC"/>
    <w:rsid w:val="00CF4F76"/>
    <w:rsid w:val="00CF62C8"/>
    <w:rsid w:val="00CF6918"/>
    <w:rsid w:val="00CF6BB0"/>
    <w:rsid w:val="00D007C8"/>
    <w:rsid w:val="00D00FF7"/>
    <w:rsid w:val="00D0478B"/>
    <w:rsid w:val="00D0670C"/>
    <w:rsid w:val="00D10F7D"/>
    <w:rsid w:val="00D11145"/>
    <w:rsid w:val="00D1227C"/>
    <w:rsid w:val="00D12AA8"/>
    <w:rsid w:val="00D12CE1"/>
    <w:rsid w:val="00D15D91"/>
    <w:rsid w:val="00D17560"/>
    <w:rsid w:val="00D17B13"/>
    <w:rsid w:val="00D2357B"/>
    <w:rsid w:val="00D24E86"/>
    <w:rsid w:val="00D259CC"/>
    <w:rsid w:val="00D25DE3"/>
    <w:rsid w:val="00D26C41"/>
    <w:rsid w:val="00D320B3"/>
    <w:rsid w:val="00D33766"/>
    <w:rsid w:val="00D33A6B"/>
    <w:rsid w:val="00D35E78"/>
    <w:rsid w:val="00D36018"/>
    <w:rsid w:val="00D374CE"/>
    <w:rsid w:val="00D37EF8"/>
    <w:rsid w:val="00D402BD"/>
    <w:rsid w:val="00D403BB"/>
    <w:rsid w:val="00D41E59"/>
    <w:rsid w:val="00D42B69"/>
    <w:rsid w:val="00D446FB"/>
    <w:rsid w:val="00D460DF"/>
    <w:rsid w:val="00D51643"/>
    <w:rsid w:val="00D520E6"/>
    <w:rsid w:val="00D56EDF"/>
    <w:rsid w:val="00D57957"/>
    <w:rsid w:val="00D60C3D"/>
    <w:rsid w:val="00D61518"/>
    <w:rsid w:val="00D6332A"/>
    <w:rsid w:val="00D64BAD"/>
    <w:rsid w:val="00D659C4"/>
    <w:rsid w:val="00D661E6"/>
    <w:rsid w:val="00D66F27"/>
    <w:rsid w:val="00D70256"/>
    <w:rsid w:val="00D724F6"/>
    <w:rsid w:val="00D73D59"/>
    <w:rsid w:val="00D754E8"/>
    <w:rsid w:val="00D76050"/>
    <w:rsid w:val="00D7681C"/>
    <w:rsid w:val="00D775C2"/>
    <w:rsid w:val="00D80FC5"/>
    <w:rsid w:val="00D8483B"/>
    <w:rsid w:val="00D85927"/>
    <w:rsid w:val="00D8619C"/>
    <w:rsid w:val="00D86D62"/>
    <w:rsid w:val="00D9135A"/>
    <w:rsid w:val="00D918A3"/>
    <w:rsid w:val="00D950C2"/>
    <w:rsid w:val="00D963EB"/>
    <w:rsid w:val="00D9715D"/>
    <w:rsid w:val="00DA0017"/>
    <w:rsid w:val="00DA063B"/>
    <w:rsid w:val="00DA0DDE"/>
    <w:rsid w:val="00DA13CE"/>
    <w:rsid w:val="00DA21F5"/>
    <w:rsid w:val="00DA2A8F"/>
    <w:rsid w:val="00DA32C2"/>
    <w:rsid w:val="00DA341F"/>
    <w:rsid w:val="00DA424D"/>
    <w:rsid w:val="00DB31AD"/>
    <w:rsid w:val="00DB33C8"/>
    <w:rsid w:val="00DB3642"/>
    <w:rsid w:val="00DB515D"/>
    <w:rsid w:val="00DB52A3"/>
    <w:rsid w:val="00DB6F64"/>
    <w:rsid w:val="00DC04AC"/>
    <w:rsid w:val="00DC12C7"/>
    <w:rsid w:val="00DC1500"/>
    <w:rsid w:val="00DC29A1"/>
    <w:rsid w:val="00DC40E4"/>
    <w:rsid w:val="00DC5ECC"/>
    <w:rsid w:val="00DC7096"/>
    <w:rsid w:val="00DD0492"/>
    <w:rsid w:val="00DD110B"/>
    <w:rsid w:val="00DD180C"/>
    <w:rsid w:val="00DD1C1A"/>
    <w:rsid w:val="00DD24FD"/>
    <w:rsid w:val="00DD2E41"/>
    <w:rsid w:val="00DD457B"/>
    <w:rsid w:val="00DD45CA"/>
    <w:rsid w:val="00DD6EBA"/>
    <w:rsid w:val="00DD7660"/>
    <w:rsid w:val="00DE1342"/>
    <w:rsid w:val="00DE3AD6"/>
    <w:rsid w:val="00DE45EC"/>
    <w:rsid w:val="00DE644D"/>
    <w:rsid w:val="00DE6C47"/>
    <w:rsid w:val="00DE72E0"/>
    <w:rsid w:val="00DE7745"/>
    <w:rsid w:val="00DF0176"/>
    <w:rsid w:val="00DF04AC"/>
    <w:rsid w:val="00DF18A0"/>
    <w:rsid w:val="00DF1D50"/>
    <w:rsid w:val="00DF203E"/>
    <w:rsid w:val="00DF2224"/>
    <w:rsid w:val="00DF2F88"/>
    <w:rsid w:val="00DF405E"/>
    <w:rsid w:val="00DF441C"/>
    <w:rsid w:val="00E01D4C"/>
    <w:rsid w:val="00E03CBE"/>
    <w:rsid w:val="00E06CED"/>
    <w:rsid w:val="00E07D13"/>
    <w:rsid w:val="00E1199E"/>
    <w:rsid w:val="00E11AEB"/>
    <w:rsid w:val="00E11C3E"/>
    <w:rsid w:val="00E12234"/>
    <w:rsid w:val="00E144B3"/>
    <w:rsid w:val="00E171D7"/>
    <w:rsid w:val="00E22172"/>
    <w:rsid w:val="00E22BD4"/>
    <w:rsid w:val="00E23224"/>
    <w:rsid w:val="00E24306"/>
    <w:rsid w:val="00E253F2"/>
    <w:rsid w:val="00E26762"/>
    <w:rsid w:val="00E3085E"/>
    <w:rsid w:val="00E332A9"/>
    <w:rsid w:val="00E332B8"/>
    <w:rsid w:val="00E35B97"/>
    <w:rsid w:val="00E35F83"/>
    <w:rsid w:val="00E36133"/>
    <w:rsid w:val="00E37769"/>
    <w:rsid w:val="00E40140"/>
    <w:rsid w:val="00E409E7"/>
    <w:rsid w:val="00E461BB"/>
    <w:rsid w:val="00E502FD"/>
    <w:rsid w:val="00E50784"/>
    <w:rsid w:val="00E5149E"/>
    <w:rsid w:val="00E51B83"/>
    <w:rsid w:val="00E51F4B"/>
    <w:rsid w:val="00E53A01"/>
    <w:rsid w:val="00E548A9"/>
    <w:rsid w:val="00E54AD9"/>
    <w:rsid w:val="00E56769"/>
    <w:rsid w:val="00E57262"/>
    <w:rsid w:val="00E57C2A"/>
    <w:rsid w:val="00E639A3"/>
    <w:rsid w:val="00E64181"/>
    <w:rsid w:val="00E64B33"/>
    <w:rsid w:val="00E671AC"/>
    <w:rsid w:val="00E6734D"/>
    <w:rsid w:val="00E70300"/>
    <w:rsid w:val="00E72AD0"/>
    <w:rsid w:val="00E7394A"/>
    <w:rsid w:val="00E7481C"/>
    <w:rsid w:val="00E74ABE"/>
    <w:rsid w:val="00E74D54"/>
    <w:rsid w:val="00E75518"/>
    <w:rsid w:val="00E7554C"/>
    <w:rsid w:val="00E82F20"/>
    <w:rsid w:val="00E838EE"/>
    <w:rsid w:val="00E85FE4"/>
    <w:rsid w:val="00E87650"/>
    <w:rsid w:val="00E90493"/>
    <w:rsid w:val="00E90B32"/>
    <w:rsid w:val="00E91044"/>
    <w:rsid w:val="00E919B4"/>
    <w:rsid w:val="00E91A87"/>
    <w:rsid w:val="00E91C27"/>
    <w:rsid w:val="00E939AF"/>
    <w:rsid w:val="00E9414D"/>
    <w:rsid w:val="00E968C9"/>
    <w:rsid w:val="00EA3692"/>
    <w:rsid w:val="00EB28C6"/>
    <w:rsid w:val="00EB2FBD"/>
    <w:rsid w:val="00EB45A6"/>
    <w:rsid w:val="00EB703E"/>
    <w:rsid w:val="00EC1388"/>
    <w:rsid w:val="00EC1A61"/>
    <w:rsid w:val="00EC4EB4"/>
    <w:rsid w:val="00EC6628"/>
    <w:rsid w:val="00EC6898"/>
    <w:rsid w:val="00ED1796"/>
    <w:rsid w:val="00ED4585"/>
    <w:rsid w:val="00ED4867"/>
    <w:rsid w:val="00ED59AA"/>
    <w:rsid w:val="00EE15A3"/>
    <w:rsid w:val="00EE315B"/>
    <w:rsid w:val="00EE5861"/>
    <w:rsid w:val="00EE5F96"/>
    <w:rsid w:val="00EE7399"/>
    <w:rsid w:val="00EE752C"/>
    <w:rsid w:val="00EF034C"/>
    <w:rsid w:val="00EF036D"/>
    <w:rsid w:val="00EF1995"/>
    <w:rsid w:val="00EF2135"/>
    <w:rsid w:val="00EF2EDE"/>
    <w:rsid w:val="00EF3F30"/>
    <w:rsid w:val="00EF72C1"/>
    <w:rsid w:val="00F00E19"/>
    <w:rsid w:val="00F00F43"/>
    <w:rsid w:val="00F01189"/>
    <w:rsid w:val="00F01391"/>
    <w:rsid w:val="00F04C54"/>
    <w:rsid w:val="00F072BB"/>
    <w:rsid w:val="00F110B9"/>
    <w:rsid w:val="00F1426D"/>
    <w:rsid w:val="00F14A99"/>
    <w:rsid w:val="00F156AB"/>
    <w:rsid w:val="00F159AC"/>
    <w:rsid w:val="00F15F73"/>
    <w:rsid w:val="00F17E1B"/>
    <w:rsid w:val="00F20EF8"/>
    <w:rsid w:val="00F22256"/>
    <w:rsid w:val="00F22BFF"/>
    <w:rsid w:val="00F2404E"/>
    <w:rsid w:val="00F24394"/>
    <w:rsid w:val="00F25621"/>
    <w:rsid w:val="00F31510"/>
    <w:rsid w:val="00F333AE"/>
    <w:rsid w:val="00F35CB6"/>
    <w:rsid w:val="00F3746E"/>
    <w:rsid w:val="00F3763B"/>
    <w:rsid w:val="00F37F63"/>
    <w:rsid w:val="00F41236"/>
    <w:rsid w:val="00F4203A"/>
    <w:rsid w:val="00F42798"/>
    <w:rsid w:val="00F42895"/>
    <w:rsid w:val="00F438D7"/>
    <w:rsid w:val="00F43FA0"/>
    <w:rsid w:val="00F44618"/>
    <w:rsid w:val="00F472CF"/>
    <w:rsid w:val="00F50CFF"/>
    <w:rsid w:val="00F51621"/>
    <w:rsid w:val="00F5206F"/>
    <w:rsid w:val="00F52226"/>
    <w:rsid w:val="00F5657C"/>
    <w:rsid w:val="00F56F09"/>
    <w:rsid w:val="00F57C63"/>
    <w:rsid w:val="00F60111"/>
    <w:rsid w:val="00F601C2"/>
    <w:rsid w:val="00F60E0C"/>
    <w:rsid w:val="00F61B12"/>
    <w:rsid w:val="00F66845"/>
    <w:rsid w:val="00F70084"/>
    <w:rsid w:val="00F70B5B"/>
    <w:rsid w:val="00F7101C"/>
    <w:rsid w:val="00F719D5"/>
    <w:rsid w:val="00F71E50"/>
    <w:rsid w:val="00F72C6C"/>
    <w:rsid w:val="00F73423"/>
    <w:rsid w:val="00F737B4"/>
    <w:rsid w:val="00F73AFA"/>
    <w:rsid w:val="00F74097"/>
    <w:rsid w:val="00F75646"/>
    <w:rsid w:val="00F77553"/>
    <w:rsid w:val="00F804EA"/>
    <w:rsid w:val="00F80AC3"/>
    <w:rsid w:val="00F81612"/>
    <w:rsid w:val="00F81EB6"/>
    <w:rsid w:val="00F84F09"/>
    <w:rsid w:val="00F8538F"/>
    <w:rsid w:val="00F8545B"/>
    <w:rsid w:val="00F855AA"/>
    <w:rsid w:val="00F87109"/>
    <w:rsid w:val="00F90396"/>
    <w:rsid w:val="00F915F1"/>
    <w:rsid w:val="00F92E0D"/>
    <w:rsid w:val="00F93729"/>
    <w:rsid w:val="00F94C10"/>
    <w:rsid w:val="00F965F9"/>
    <w:rsid w:val="00FA1552"/>
    <w:rsid w:val="00FA1A99"/>
    <w:rsid w:val="00FA2255"/>
    <w:rsid w:val="00FA2B8C"/>
    <w:rsid w:val="00FB0B8E"/>
    <w:rsid w:val="00FB214D"/>
    <w:rsid w:val="00FB3CCA"/>
    <w:rsid w:val="00FB6620"/>
    <w:rsid w:val="00FB7FD7"/>
    <w:rsid w:val="00FC0A9A"/>
    <w:rsid w:val="00FC334E"/>
    <w:rsid w:val="00FC354C"/>
    <w:rsid w:val="00FC378C"/>
    <w:rsid w:val="00FC496A"/>
    <w:rsid w:val="00FC4C90"/>
    <w:rsid w:val="00FC5736"/>
    <w:rsid w:val="00FC63E1"/>
    <w:rsid w:val="00FD07E4"/>
    <w:rsid w:val="00FD16E5"/>
    <w:rsid w:val="00FD2FA5"/>
    <w:rsid w:val="00FD44E4"/>
    <w:rsid w:val="00FD4B7E"/>
    <w:rsid w:val="00FD5588"/>
    <w:rsid w:val="00FD6C06"/>
    <w:rsid w:val="00FD74AE"/>
    <w:rsid w:val="00FE0BE9"/>
    <w:rsid w:val="00FE0DF8"/>
    <w:rsid w:val="00FE0F20"/>
    <w:rsid w:val="00FE2A10"/>
    <w:rsid w:val="00FE3435"/>
    <w:rsid w:val="00FE36CF"/>
    <w:rsid w:val="00FE5E3C"/>
    <w:rsid w:val="00FF043B"/>
    <w:rsid w:val="00FF3FBB"/>
    <w:rsid w:val="00FF6132"/>
    <w:rsid w:val="00FF64F1"/>
    <w:rsid w:val="00FF7A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7959C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107"/>
    <w:pPr>
      <w:spacing w:after="60" w:line="240" w:lineRule="auto"/>
    </w:pPr>
  </w:style>
  <w:style w:type="paragraph" w:styleId="Heading1">
    <w:name w:val="heading 1"/>
    <w:basedOn w:val="Normal"/>
    <w:next w:val="Normal"/>
    <w:link w:val="Heading1Char"/>
    <w:uiPriority w:val="9"/>
    <w:qFormat/>
    <w:rsid w:val="002B7025"/>
    <w:pPr>
      <w:keepNext/>
      <w:keepLines/>
      <w:pageBreakBefore/>
      <w:spacing w:after="240"/>
      <w:outlineLvl w:val="0"/>
    </w:pPr>
    <w:rPr>
      <w:rFonts w:ascii="Arial" w:eastAsia="Times New Roman" w:hAnsi="Arial" w:cs="Arial"/>
      <w:b/>
      <w:color w:val="364283"/>
      <w:sz w:val="72"/>
      <w:szCs w:val="32"/>
    </w:rPr>
  </w:style>
  <w:style w:type="paragraph" w:styleId="Heading2">
    <w:name w:val="heading 2"/>
    <w:basedOn w:val="Normal"/>
    <w:next w:val="Normal"/>
    <w:link w:val="Heading2Char"/>
    <w:uiPriority w:val="9"/>
    <w:unhideWhenUsed/>
    <w:qFormat/>
    <w:rsid w:val="006C318B"/>
    <w:pPr>
      <w:keepNext/>
      <w:spacing w:before="360"/>
      <w:outlineLvl w:val="1"/>
    </w:pPr>
    <w:rPr>
      <w:rFonts w:ascii="Arial" w:eastAsia="Calibri" w:hAnsi="Arial" w:cs="Arial"/>
      <w:b/>
      <w:color w:val="364283"/>
      <w:sz w:val="32"/>
      <w:szCs w:val="26"/>
    </w:rPr>
  </w:style>
  <w:style w:type="paragraph" w:styleId="Heading3">
    <w:name w:val="heading 3"/>
    <w:basedOn w:val="Normal"/>
    <w:next w:val="Normal"/>
    <w:link w:val="Heading3Char"/>
    <w:uiPriority w:val="9"/>
    <w:unhideWhenUsed/>
    <w:qFormat/>
    <w:rsid w:val="005F13D0"/>
    <w:pPr>
      <w:keepNext/>
      <w:keepLines/>
      <w:spacing w:before="120"/>
      <w:outlineLvl w:val="2"/>
    </w:pPr>
    <w:rPr>
      <w:rFonts w:ascii="Arial" w:eastAsiaTheme="majorEastAsia" w:hAnsi="Arial" w:cstheme="majorBidi"/>
      <w:b/>
      <w:color w:val="000000" w:themeColor="text1"/>
      <w:sz w:val="24"/>
      <w:szCs w:val="24"/>
    </w:rPr>
  </w:style>
  <w:style w:type="paragraph" w:styleId="Heading4">
    <w:name w:val="heading 4"/>
    <w:basedOn w:val="Normal"/>
    <w:next w:val="Normal"/>
    <w:link w:val="Heading4Char"/>
    <w:uiPriority w:val="9"/>
    <w:semiHidden/>
    <w:unhideWhenUsed/>
    <w:qFormat/>
    <w:rsid w:val="008C6ADA"/>
    <w:pPr>
      <w:keepNext/>
      <w:keepLines/>
      <w:spacing w:before="40" w:after="0"/>
      <w:outlineLvl w:val="3"/>
    </w:pPr>
    <w:rPr>
      <w:rFonts w:asciiTheme="majorHAnsi" w:eastAsiaTheme="majorEastAsia" w:hAnsiTheme="majorHAnsi" w:cstheme="majorBidi"/>
      <w:i/>
      <w:iC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11D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E7394A"/>
    <w:pPr>
      <w:spacing w:before="195"/>
      <w:ind w:left="851" w:right="-710"/>
      <w:jc w:val="center"/>
    </w:pPr>
    <w:rPr>
      <w:rFonts w:ascii="Arial" w:hAnsi="Arial" w:cs="Arial"/>
      <w:color w:val="FFFFFF" w:themeColor="background1"/>
      <w:sz w:val="32"/>
    </w:rPr>
  </w:style>
  <w:style w:type="character" w:customStyle="1" w:styleId="SubtitleChar">
    <w:name w:val="Subtitle Char"/>
    <w:basedOn w:val="DefaultParagraphFont"/>
    <w:link w:val="Subtitle"/>
    <w:uiPriority w:val="11"/>
    <w:rsid w:val="00E7394A"/>
    <w:rPr>
      <w:rFonts w:ascii="Arial" w:hAnsi="Arial" w:cs="Arial"/>
      <w:color w:val="FFFFFF" w:themeColor="background1"/>
      <w:sz w:val="32"/>
    </w:rPr>
  </w:style>
  <w:style w:type="paragraph" w:styleId="Title">
    <w:name w:val="Title"/>
    <w:basedOn w:val="Normal"/>
    <w:next w:val="Normal"/>
    <w:link w:val="TitleChar"/>
    <w:uiPriority w:val="10"/>
    <w:qFormat/>
    <w:rsid w:val="00304E49"/>
    <w:pPr>
      <w:spacing w:before="2640" w:line="216" w:lineRule="auto"/>
      <w:ind w:left="2835" w:right="1365"/>
      <w:jc w:val="center"/>
    </w:pPr>
    <w:rPr>
      <w:rFonts w:ascii="Arial" w:hAnsi="Arial" w:cs="Arial"/>
      <w:color w:val="FFFFFF" w:themeColor="background1"/>
      <w:sz w:val="54"/>
    </w:rPr>
  </w:style>
  <w:style w:type="character" w:customStyle="1" w:styleId="TitleChar">
    <w:name w:val="Title Char"/>
    <w:basedOn w:val="DefaultParagraphFont"/>
    <w:link w:val="Title"/>
    <w:uiPriority w:val="10"/>
    <w:rsid w:val="00304E49"/>
    <w:rPr>
      <w:rFonts w:ascii="Arial" w:hAnsi="Arial" w:cs="Arial"/>
      <w:color w:val="FFFFFF" w:themeColor="background1"/>
      <w:sz w:val="54"/>
    </w:rPr>
  </w:style>
  <w:style w:type="paragraph" w:styleId="NormalWeb">
    <w:name w:val="Normal (Web)"/>
    <w:basedOn w:val="Normal"/>
    <w:uiPriority w:val="99"/>
    <w:semiHidden/>
    <w:unhideWhenUsed/>
    <w:rsid w:val="000A32A8"/>
    <w:pPr>
      <w:spacing w:before="100" w:beforeAutospacing="1" w:after="100" w:afterAutospacing="1"/>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511DCA"/>
    <w:rPr>
      <w:sz w:val="16"/>
      <w:szCs w:val="16"/>
    </w:rPr>
  </w:style>
  <w:style w:type="paragraph" w:styleId="CommentText">
    <w:name w:val="annotation text"/>
    <w:basedOn w:val="Normal"/>
    <w:link w:val="CommentTextChar"/>
    <w:uiPriority w:val="99"/>
    <w:semiHidden/>
    <w:unhideWhenUsed/>
    <w:rsid w:val="00511DCA"/>
    <w:rPr>
      <w:sz w:val="20"/>
      <w:szCs w:val="20"/>
    </w:rPr>
  </w:style>
  <w:style w:type="character" w:customStyle="1" w:styleId="CommentTextChar">
    <w:name w:val="Comment Text Char"/>
    <w:basedOn w:val="DefaultParagraphFont"/>
    <w:link w:val="CommentText"/>
    <w:uiPriority w:val="99"/>
    <w:semiHidden/>
    <w:rsid w:val="00511DCA"/>
    <w:rPr>
      <w:sz w:val="20"/>
      <w:szCs w:val="20"/>
    </w:rPr>
  </w:style>
  <w:style w:type="paragraph" w:styleId="CommentSubject">
    <w:name w:val="annotation subject"/>
    <w:basedOn w:val="CommentText"/>
    <w:next w:val="CommentText"/>
    <w:link w:val="CommentSubjectChar"/>
    <w:uiPriority w:val="99"/>
    <w:semiHidden/>
    <w:unhideWhenUsed/>
    <w:rsid w:val="00511DCA"/>
    <w:rPr>
      <w:b/>
      <w:bCs/>
    </w:rPr>
  </w:style>
  <w:style w:type="character" w:customStyle="1" w:styleId="CommentSubjectChar">
    <w:name w:val="Comment Subject Char"/>
    <w:basedOn w:val="CommentTextChar"/>
    <w:link w:val="CommentSubject"/>
    <w:uiPriority w:val="99"/>
    <w:semiHidden/>
    <w:rsid w:val="00511DCA"/>
    <w:rPr>
      <w:b/>
      <w:bCs/>
      <w:sz w:val="20"/>
      <w:szCs w:val="20"/>
    </w:rPr>
  </w:style>
  <w:style w:type="paragraph" w:styleId="BalloonText">
    <w:name w:val="Balloon Text"/>
    <w:basedOn w:val="Normal"/>
    <w:link w:val="BalloonTextChar"/>
    <w:uiPriority w:val="99"/>
    <w:semiHidden/>
    <w:unhideWhenUsed/>
    <w:rsid w:val="00511DC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1DCA"/>
    <w:rPr>
      <w:rFonts w:ascii="Segoe UI" w:hAnsi="Segoe UI" w:cs="Segoe UI"/>
      <w:sz w:val="18"/>
      <w:szCs w:val="18"/>
    </w:rPr>
  </w:style>
  <w:style w:type="paragraph" w:styleId="Header">
    <w:name w:val="header"/>
    <w:basedOn w:val="Normal"/>
    <w:link w:val="HeaderChar"/>
    <w:uiPriority w:val="99"/>
    <w:unhideWhenUsed/>
    <w:rsid w:val="0076615F"/>
    <w:pPr>
      <w:tabs>
        <w:tab w:val="center" w:pos="4513"/>
        <w:tab w:val="right" w:pos="9026"/>
      </w:tabs>
      <w:spacing w:after="0"/>
    </w:pPr>
  </w:style>
  <w:style w:type="character" w:customStyle="1" w:styleId="HeaderChar">
    <w:name w:val="Header Char"/>
    <w:basedOn w:val="DefaultParagraphFont"/>
    <w:link w:val="Header"/>
    <w:uiPriority w:val="99"/>
    <w:rsid w:val="0076615F"/>
  </w:style>
  <w:style w:type="paragraph" w:styleId="Footer">
    <w:name w:val="footer"/>
    <w:basedOn w:val="Normal"/>
    <w:link w:val="FooterChar"/>
    <w:uiPriority w:val="99"/>
    <w:unhideWhenUsed/>
    <w:rsid w:val="00240BF8"/>
    <w:pPr>
      <w:tabs>
        <w:tab w:val="center" w:pos="4513"/>
        <w:tab w:val="right" w:pos="9026"/>
      </w:tabs>
      <w:spacing w:after="0"/>
    </w:pPr>
    <w:rPr>
      <w:rFonts w:ascii="Arial" w:hAnsi="Arial"/>
      <w:sz w:val="20"/>
    </w:rPr>
  </w:style>
  <w:style w:type="character" w:customStyle="1" w:styleId="FooterChar">
    <w:name w:val="Footer Char"/>
    <w:basedOn w:val="DefaultParagraphFont"/>
    <w:link w:val="Footer"/>
    <w:uiPriority w:val="99"/>
    <w:rsid w:val="00240BF8"/>
    <w:rPr>
      <w:rFonts w:ascii="Arial" w:hAnsi="Arial"/>
      <w:sz w:val="20"/>
    </w:rPr>
  </w:style>
  <w:style w:type="paragraph" w:customStyle="1" w:styleId="Tablenumberedparagraph">
    <w:name w:val="Table numbered paragraph"/>
    <w:basedOn w:val="Normal"/>
    <w:rsid w:val="00DB3642"/>
    <w:pPr>
      <w:numPr>
        <w:numId w:val="12"/>
      </w:numPr>
      <w:contextualSpacing/>
    </w:pPr>
    <w:rPr>
      <w:sz w:val="18"/>
    </w:rPr>
  </w:style>
  <w:style w:type="paragraph" w:customStyle="1" w:styleId="Bulletedlist">
    <w:name w:val="Bulleted list"/>
    <w:basedOn w:val="Tablenumberedparagraph"/>
    <w:qFormat/>
    <w:rsid w:val="003675E4"/>
    <w:pPr>
      <w:numPr>
        <w:numId w:val="13"/>
      </w:numPr>
      <w:spacing w:line="259" w:lineRule="auto"/>
      <w:ind w:left="426" w:hanging="284"/>
    </w:pPr>
    <w:rPr>
      <w:rFonts w:ascii="Arial" w:hAnsi="Arial" w:cs="Arial"/>
      <w:sz w:val="22"/>
    </w:rPr>
  </w:style>
  <w:style w:type="paragraph" w:styleId="FootnoteText">
    <w:name w:val="footnote text"/>
    <w:basedOn w:val="Normal"/>
    <w:link w:val="FootnoteTextChar"/>
    <w:uiPriority w:val="99"/>
    <w:unhideWhenUsed/>
    <w:rsid w:val="00511DCA"/>
    <w:pPr>
      <w:spacing w:after="0"/>
    </w:pPr>
    <w:rPr>
      <w:sz w:val="18"/>
      <w:szCs w:val="20"/>
    </w:rPr>
  </w:style>
  <w:style w:type="character" w:customStyle="1" w:styleId="FootnoteTextChar">
    <w:name w:val="Footnote Text Char"/>
    <w:basedOn w:val="DefaultParagraphFont"/>
    <w:link w:val="FootnoteText"/>
    <w:uiPriority w:val="99"/>
    <w:rsid w:val="00511DCA"/>
    <w:rPr>
      <w:sz w:val="18"/>
      <w:szCs w:val="20"/>
    </w:rPr>
  </w:style>
  <w:style w:type="character" w:customStyle="1" w:styleId="Heading1Char">
    <w:name w:val="Heading 1 Char"/>
    <w:basedOn w:val="DefaultParagraphFont"/>
    <w:link w:val="Heading1"/>
    <w:uiPriority w:val="9"/>
    <w:rsid w:val="002B7025"/>
    <w:rPr>
      <w:rFonts w:ascii="Arial" w:eastAsia="Times New Roman" w:hAnsi="Arial" w:cs="Arial"/>
      <w:b/>
      <w:color w:val="364283"/>
      <w:sz w:val="72"/>
      <w:szCs w:val="32"/>
    </w:rPr>
  </w:style>
  <w:style w:type="character" w:customStyle="1" w:styleId="Heading2Char">
    <w:name w:val="Heading 2 Char"/>
    <w:basedOn w:val="DefaultParagraphFont"/>
    <w:link w:val="Heading2"/>
    <w:uiPriority w:val="9"/>
    <w:rsid w:val="006C318B"/>
    <w:rPr>
      <w:rFonts w:ascii="Arial" w:eastAsia="Calibri" w:hAnsi="Arial" w:cs="Arial"/>
      <w:b/>
      <w:color w:val="364283"/>
      <w:sz w:val="32"/>
      <w:szCs w:val="26"/>
    </w:rPr>
  </w:style>
  <w:style w:type="paragraph" w:customStyle="1" w:styleId="Heading2afterHeading1">
    <w:name w:val="Heading 2 after Heading 1"/>
    <w:basedOn w:val="Heading2"/>
    <w:next w:val="Normal"/>
    <w:qFormat/>
    <w:rsid w:val="00501D2E"/>
    <w:pPr>
      <w:spacing w:before="0"/>
    </w:pPr>
  </w:style>
  <w:style w:type="character" w:customStyle="1" w:styleId="Heading3Char">
    <w:name w:val="Heading 3 Char"/>
    <w:basedOn w:val="DefaultParagraphFont"/>
    <w:link w:val="Heading3"/>
    <w:uiPriority w:val="9"/>
    <w:rsid w:val="005F13D0"/>
    <w:rPr>
      <w:rFonts w:ascii="Arial" w:eastAsiaTheme="majorEastAsia" w:hAnsi="Arial" w:cstheme="majorBidi"/>
      <w:b/>
      <w:color w:val="000000" w:themeColor="text1"/>
      <w:sz w:val="24"/>
      <w:szCs w:val="24"/>
    </w:rPr>
  </w:style>
  <w:style w:type="paragraph" w:customStyle="1" w:styleId="Heading3afterHeading2">
    <w:name w:val="Heading 3 after Heading 2"/>
    <w:basedOn w:val="Heading3"/>
    <w:next w:val="Normal"/>
    <w:rsid w:val="005F13D0"/>
    <w:pPr>
      <w:spacing w:before="60"/>
    </w:pPr>
  </w:style>
  <w:style w:type="table" w:customStyle="1" w:styleId="TableGrid1">
    <w:name w:val="Table Grid1"/>
    <w:basedOn w:val="TableNormal"/>
    <w:next w:val="TableGrid"/>
    <w:uiPriority w:val="39"/>
    <w:rsid w:val="00511D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63719A"/>
    <w:pPr>
      <w:outlineLvl w:val="9"/>
    </w:pPr>
    <w:rPr>
      <w:lang w:val="en-US"/>
    </w:rPr>
  </w:style>
  <w:style w:type="paragraph" w:styleId="TOC1">
    <w:name w:val="toc 1"/>
    <w:basedOn w:val="Normal"/>
    <w:next w:val="Normal"/>
    <w:autoRedefine/>
    <w:uiPriority w:val="39"/>
    <w:unhideWhenUsed/>
    <w:rsid w:val="001D53DB"/>
    <w:pPr>
      <w:spacing w:after="100"/>
    </w:pPr>
  </w:style>
  <w:style w:type="paragraph" w:styleId="TOC2">
    <w:name w:val="toc 2"/>
    <w:basedOn w:val="Normal"/>
    <w:next w:val="Normal"/>
    <w:autoRedefine/>
    <w:uiPriority w:val="39"/>
    <w:unhideWhenUsed/>
    <w:rsid w:val="001D53DB"/>
    <w:pPr>
      <w:spacing w:after="100"/>
      <w:ind w:left="220"/>
    </w:pPr>
  </w:style>
  <w:style w:type="character" w:styleId="Hyperlink">
    <w:name w:val="Hyperlink"/>
    <w:basedOn w:val="DefaultParagraphFont"/>
    <w:uiPriority w:val="99"/>
    <w:unhideWhenUsed/>
    <w:rsid w:val="001D53DB"/>
    <w:rPr>
      <w:color w:val="0563C1" w:themeColor="hyperlink"/>
      <w:u w:val="single"/>
    </w:rPr>
  </w:style>
  <w:style w:type="character" w:customStyle="1" w:styleId="Heading4Char">
    <w:name w:val="Heading 4 Char"/>
    <w:basedOn w:val="DefaultParagraphFont"/>
    <w:link w:val="Heading4"/>
    <w:uiPriority w:val="9"/>
    <w:semiHidden/>
    <w:rsid w:val="008C6ADA"/>
    <w:rPr>
      <w:rFonts w:asciiTheme="majorHAnsi" w:eastAsiaTheme="majorEastAsia" w:hAnsiTheme="majorHAnsi" w:cstheme="majorBidi"/>
      <w:i/>
      <w:iCs/>
      <w:color w:val="595959" w:themeColor="text1" w:themeTint="A6"/>
    </w:rPr>
  </w:style>
  <w:style w:type="character" w:styleId="FootnoteReference">
    <w:name w:val="footnote reference"/>
    <w:basedOn w:val="DefaultParagraphFont"/>
    <w:uiPriority w:val="99"/>
    <w:unhideWhenUsed/>
    <w:rsid w:val="00CF6BB0"/>
    <w:rPr>
      <w:vertAlign w:val="superscript"/>
    </w:rPr>
  </w:style>
  <w:style w:type="character" w:styleId="FollowedHyperlink">
    <w:name w:val="FollowedHyperlink"/>
    <w:basedOn w:val="DefaultParagraphFont"/>
    <w:uiPriority w:val="99"/>
    <w:semiHidden/>
    <w:unhideWhenUsed/>
    <w:rsid w:val="0012476B"/>
    <w:rPr>
      <w:color w:val="954F72" w:themeColor="followedHyperlink"/>
      <w:u w:val="single"/>
    </w:rPr>
  </w:style>
  <w:style w:type="paragraph" w:styleId="TOC3">
    <w:name w:val="toc 3"/>
    <w:basedOn w:val="Normal"/>
    <w:next w:val="Normal"/>
    <w:autoRedefine/>
    <w:uiPriority w:val="39"/>
    <w:unhideWhenUsed/>
    <w:rsid w:val="000D5A9E"/>
    <w:pPr>
      <w:spacing w:after="100"/>
      <w:ind w:left="440"/>
    </w:pPr>
  </w:style>
  <w:style w:type="paragraph" w:styleId="TOC4">
    <w:name w:val="toc 4"/>
    <w:basedOn w:val="Normal"/>
    <w:next w:val="Normal"/>
    <w:autoRedefine/>
    <w:uiPriority w:val="39"/>
    <w:unhideWhenUsed/>
    <w:rsid w:val="00442BD9"/>
    <w:pPr>
      <w:ind w:left="660"/>
    </w:pPr>
  </w:style>
  <w:style w:type="paragraph" w:styleId="TOC5">
    <w:name w:val="toc 5"/>
    <w:basedOn w:val="Normal"/>
    <w:next w:val="Normal"/>
    <w:autoRedefine/>
    <w:uiPriority w:val="39"/>
    <w:unhideWhenUsed/>
    <w:rsid w:val="00442BD9"/>
    <w:pPr>
      <w:ind w:left="880"/>
    </w:pPr>
  </w:style>
  <w:style w:type="paragraph" w:styleId="TOC6">
    <w:name w:val="toc 6"/>
    <w:basedOn w:val="Normal"/>
    <w:next w:val="Normal"/>
    <w:autoRedefine/>
    <w:uiPriority w:val="39"/>
    <w:unhideWhenUsed/>
    <w:rsid w:val="00442BD9"/>
    <w:pPr>
      <w:ind w:left="1100"/>
    </w:pPr>
  </w:style>
  <w:style w:type="paragraph" w:styleId="TOC7">
    <w:name w:val="toc 7"/>
    <w:basedOn w:val="Normal"/>
    <w:next w:val="Normal"/>
    <w:autoRedefine/>
    <w:uiPriority w:val="39"/>
    <w:unhideWhenUsed/>
    <w:rsid w:val="00442BD9"/>
    <w:pPr>
      <w:ind w:left="1320"/>
    </w:pPr>
  </w:style>
  <w:style w:type="paragraph" w:styleId="TOC8">
    <w:name w:val="toc 8"/>
    <w:basedOn w:val="Normal"/>
    <w:next w:val="Normal"/>
    <w:autoRedefine/>
    <w:uiPriority w:val="39"/>
    <w:unhideWhenUsed/>
    <w:rsid w:val="00442BD9"/>
    <w:pPr>
      <w:ind w:left="1540"/>
    </w:pPr>
  </w:style>
  <w:style w:type="paragraph" w:styleId="TOC9">
    <w:name w:val="toc 9"/>
    <w:basedOn w:val="Normal"/>
    <w:next w:val="Normal"/>
    <w:autoRedefine/>
    <w:uiPriority w:val="39"/>
    <w:unhideWhenUsed/>
    <w:rsid w:val="00442BD9"/>
    <w:pPr>
      <w:ind w:left="1760"/>
    </w:pPr>
  </w:style>
  <w:style w:type="table" w:customStyle="1" w:styleId="DTFPerformanceMeasuresTable">
    <w:name w:val="DTF Performance Measures Table"/>
    <w:basedOn w:val="TableNormal"/>
    <w:uiPriority w:val="99"/>
    <w:rsid w:val="0043299A"/>
    <w:pPr>
      <w:spacing w:after="20" w:line="240" w:lineRule="auto"/>
      <w:jc w:val="right"/>
    </w:pPr>
    <w:rPr>
      <w:rFonts w:asciiTheme="majorHAnsi" w:hAnsiTheme="majorHAnsi"/>
      <w:sz w:val="17"/>
    </w:rPr>
    <w:tblPr>
      <w:tblStyleColBandSize w:val="1"/>
      <w:tblInd w:w="28" w:type="dxa"/>
      <w:tblBorders>
        <w:bottom w:val="single" w:sz="12" w:space="0" w:color="auto"/>
      </w:tblBorders>
      <w:tblCellMar>
        <w:left w:w="57" w:type="dxa"/>
        <w:right w:w="57" w:type="dxa"/>
      </w:tblCellMar>
    </w:tblPr>
    <w:trPr>
      <w:cantSplit/>
    </w:trPr>
    <w:tblStylePr w:type="firstRow">
      <w:rPr>
        <w:i/>
      </w:rPr>
      <w:tblPr/>
      <w:trPr>
        <w:cantSplit w:val="0"/>
      </w:trPr>
      <w:tcPr>
        <w:shd w:val="clear" w:color="auto" w:fill="000000" w:themeFill="text1"/>
        <w:vAlign w:val="bottom"/>
      </w:tcPr>
    </w:tblStylePr>
    <w:tblStylePr w:type="lastRow">
      <w:rPr>
        <w:b/>
      </w:rPr>
      <w:tblPr/>
      <w:tcPr>
        <w:tcBorders>
          <w:top w:val="single" w:sz="6" w:space="0" w:color="000000" w:themeColor="text1"/>
          <w:left w:val="nil"/>
          <w:bottom w:val="single" w:sz="12" w:space="0" w:color="000000" w:themeColor="text1"/>
          <w:right w:val="nil"/>
          <w:insideH w:val="nil"/>
          <w:insideV w:val="nil"/>
          <w:tl2br w:val="nil"/>
          <w:tr2bl w:val="nil"/>
        </w:tcBorders>
      </w:tcPr>
    </w:tblStylePr>
    <w:tblStylePr w:type="firstCol">
      <w:pPr>
        <w:wordWrap/>
        <w:spacing w:line="240" w:lineRule="auto"/>
        <w:ind w:leftChars="0" w:left="144" w:rightChars="0" w:right="0" w:firstLineChars="0" w:firstLine="0"/>
        <w:jc w:val="left"/>
      </w:pPr>
    </w:tblStylePr>
    <w:tblStylePr w:type="lastCol">
      <w:rPr>
        <w:b/>
      </w:rPr>
      <w:tblPr/>
      <w:tcPr>
        <w:shd w:val="clear" w:color="auto" w:fill="F2F2F2" w:themeFill="background1" w:themeFillShade="F2"/>
      </w:tcPr>
    </w:tblStylePr>
    <w:tblStylePr w:type="band1Vert">
      <w:tblPr/>
      <w:tcPr>
        <w:shd w:val="clear" w:color="auto" w:fill="E7E6E6" w:themeFill="background2"/>
      </w:tcPr>
    </w:tblStylePr>
    <w:tblStylePr w:type="band1Horz">
      <w:tblPr/>
      <w:tcPr>
        <w:shd w:val="clear" w:color="auto" w:fill="E7E6E6" w:themeFill="background2"/>
      </w:tcPr>
    </w:tblStylePr>
    <w:tblStylePr w:type="band2Horz">
      <w:tblPr/>
      <w:tcPr>
        <w:shd w:val="clear" w:color="auto" w:fill="FFFFFF" w:themeFill="background1"/>
      </w:tcPr>
    </w:tblStylePr>
  </w:style>
  <w:style w:type="paragraph" w:styleId="DocumentMap">
    <w:name w:val="Document Map"/>
    <w:basedOn w:val="Normal"/>
    <w:link w:val="DocumentMapChar"/>
    <w:uiPriority w:val="99"/>
    <w:semiHidden/>
    <w:unhideWhenUsed/>
    <w:rsid w:val="000A7260"/>
    <w:pPr>
      <w:spacing w:after="0"/>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0A7260"/>
    <w:rPr>
      <w:rFonts w:ascii="Times New Roman" w:hAnsi="Times New Roman" w:cs="Times New Roman"/>
      <w:sz w:val="24"/>
      <w:szCs w:val="24"/>
    </w:rPr>
  </w:style>
  <w:style w:type="paragraph" w:styleId="Revision">
    <w:name w:val="Revision"/>
    <w:hidden/>
    <w:uiPriority w:val="99"/>
    <w:semiHidden/>
    <w:rsid w:val="000A7260"/>
    <w:pPr>
      <w:spacing w:after="0" w:line="240" w:lineRule="auto"/>
    </w:pPr>
  </w:style>
  <w:style w:type="paragraph" w:styleId="BodyText">
    <w:name w:val="Body Text"/>
    <w:basedOn w:val="Normal"/>
    <w:link w:val="BodyTextChar"/>
    <w:uiPriority w:val="1"/>
    <w:qFormat/>
    <w:rsid w:val="00FD44E4"/>
    <w:pPr>
      <w:spacing w:after="160"/>
    </w:pPr>
    <w:rPr>
      <w:rFonts w:ascii="Arial" w:hAnsi="Arial" w:cs="Arial"/>
    </w:rPr>
  </w:style>
  <w:style w:type="character" w:customStyle="1" w:styleId="BodyTextChar">
    <w:name w:val="Body Text Char"/>
    <w:basedOn w:val="DefaultParagraphFont"/>
    <w:link w:val="BodyText"/>
    <w:uiPriority w:val="1"/>
    <w:rsid w:val="00FD44E4"/>
    <w:rPr>
      <w:rFonts w:ascii="Arial" w:hAnsi="Arial" w:cs="Arial"/>
    </w:rPr>
  </w:style>
  <w:style w:type="paragraph" w:customStyle="1" w:styleId="Signatureblock">
    <w:name w:val="Signature block"/>
    <w:basedOn w:val="Normal"/>
    <w:rsid w:val="00304E49"/>
    <w:pPr>
      <w:spacing w:before="720"/>
    </w:pPr>
    <w:rPr>
      <w:rFonts w:ascii="Arial" w:eastAsia="Times New Roman" w:hAnsi="Arial" w:cs="Arial"/>
      <w:sz w:val="24"/>
      <w:szCs w:val="20"/>
    </w:rPr>
  </w:style>
  <w:style w:type="paragraph" w:customStyle="1" w:styleId="Highlightedparagraph">
    <w:name w:val="Highlighted paragraph"/>
    <w:basedOn w:val="BodyText"/>
    <w:qFormat/>
    <w:rsid w:val="006C318B"/>
    <w:pPr>
      <w:spacing w:before="240" w:after="240"/>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680361">
      <w:bodyDiv w:val="1"/>
      <w:marLeft w:val="0"/>
      <w:marRight w:val="0"/>
      <w:marTop w:val="0"/>
      <w:marBottom w:val="0"/>
      <w:divBdr>
        <w:top w:val="none" w:sz="0" w:space="0" w:color="auto"/>
        <w:left w:val="none" w:sz="0" w:space="0" w:color="auto"/>
        <w:bottom w:val="none" w:sz="0" w:space="0" w:color="auto"/>
        <w:right w:val="none" w:sz="0" w:space="0" w:color="auto"/>
      </w:divBdr>
    </w:div>
    <w:div w:id="251547725">
      <w:bodyDiv w:val="1"/>
      <w:marLeft w:val="0"/>
      <w:marRight w:val="0"/>
      <w:marTop w:val="0"/>
      <w:marBottom w:val="0"/>
      <w:divBdr>
        <w:top w:val="none" w:sz="0" w:space="0" w:color="auto"/>
        <w:left w:val="none" w:sz="0" w:space="0" w:color="auto"/>
        <w:bottom w:val="none" w:sz="0" w:space="0" w:color="auto"/>
        <w:right w:val="none" w:sz="0" w:space="0" w:color="auto"/>
      </w:divBdr>
    </w:div>
    <w:div w:id="455299828">
      <w:bodyDiv w:val="1"/>
      <w:marLeft w:val="0"/>
      <w:marRight w:val="0"/>
      <w:marTop w:val="0"/>
      <w:marBottom w:val="0"/>
      <w:divBdr>
        <w:top w:val="none" w:sz="0" w:space="0" w:color="auto"/>
        <w:left w:val="none" w:sz="0" w:space="0" w:color="auto"/>
        <w:bottom w:val="none" w:sz="0" w:space="0" w:color="auto"/>
        <w:right w:val="none" w:sz="0" w:space="0" w:color="auto"/>
      </w:divBdr>
    </w:div>
    <w:div w:id="625040596">
      <w:bodyDiv w:val="1"/>
      <w:marLeft w:val="0"/>
      <w:marRight w:val="0"/>
      <w:marTop w:val="0"/>
      <w:marBottom w:val="0"/>
      <w:divBdr>
        <w:top w:val="none" w:sz="0" w:space="0" w:color="auto"/>
        <w:left w:val="none" w:sz="0" w:space="0" w:color="auto"/>
        <w:bottom w:val="none" w:sz="0" w:space="0" w:color="auto"/>
        <w:right w:val="none" w:sz="0" w:space="0" w:color="auto"/>
      </w:divBdr>
      <w:divsChild>
        <w:div w:id="345599361">
          <w:marLeft w:val="274"/>
          <w:marRight w:val="0"/>
          <w:marTop w:val="0"/>
          <w:marBottom w:val="60"/>
          <w:divBdr>
            <w:top w:val="none" w:sz="0" w:space="0" w:color="auto"/>
            <w:left w:val="none" w:sz="0" w:space="0" w:color="auto"/>
            <w:bottom w:val="none" w:sz="0" w:space="0" w:color="auto"/>
            <w:right w:val="none" w:sz="0" w:space="0" w:color="auto"/>
          </w:divBdr>
        </w:div>
        <w:div w:id="436868496">
          <w:marLeft w:val="274"/>
          <w:marRight w:val="0"/>
          <w:marTop w:val="0"/>
          <w:marBottom w:val="60"/>
          <w:divBdr>
            <w:top w:val="none" w:sz="0" w:space="0" w:color="auto"/>
            <w:left w:val="none" w:sz="0" w:space="0" w:color="auto"/>
            <w:bottom w:val="none" w:sz="0" w:space="0" w:color="auto"/>
            <w:right w:val="none" w:sz="0" w:space="0" w:color="auto"/>
          </w:divBdr>
        </w:div>
        <w:div w:id="563563370">
          <w:marLeft w:val="274"/>
          <w:marRight w:val="0"/>
          <w:marTop w:val="0"/>
          <w:marBottom w:val="60"/>
          <w:divBdr>
            <w:top w:val="none" w:sz="0" w:space="0" w:color="auto"/>
            <w:left w:val="none" w:sz="0" w:space="0" w:color="auto"/>
            <w:bottom w:val="none" w:sz="0" w:space="0" w:color="auto"/>
            <w:right w:val="none" w:sz="0" w:space="0" w:color="auto"/>
          </w:divBdr>
        </w:div>
        <w:div w:id="612708653">
          <w:marLeft w:val="274"/>
          <w:marRight w:val="0"/>
          <w:marTop w:val="0"/>
          <w:marBottom w:val="60"/>
          <w:divBdr>
            <w:top w:val="none" w:sz="0" w:space="0" w:color="auto"/>
            <w:left w:val="none" w:sz="0" w:space="0" w:color="auto"/>
            <w:bottom w:val="none" w:sz="0" w:space="0" w:color="auto"/>
            <w:right w:val="none" w:sz="0" w:space="0" w:color="auto"/>
          </w:divBdr>
        </w:div>
        <w:div w:id="1062100812">
          <w:marLeft w:val="274"/>
          <w:marRight w:val="0"/>
          <w:marTop w:val="0"/>
          <w:marBottom w:val="60"/>
          <w:divBdr>
            <w:top w:val="none" w:sz="0" w:space="0" w:color="auto"/>
            <w:left w:val="none" w:sz="0" w:space="0" w:color="auto"/>
            <w:bottom w:val="none" w:sz="0" w:space="0" w:color="auto"/>
            <w:right w:val="none" w:sz="0" w:space="0" w:color="auto"/>
          </w:divBdr>
        </w:div>
        <w:div w:id="1087653416">
          <w:marLeft w:val="274"/>
          <w:marRight w:val="0"/>
          <w:marTop w:val="0"/>
          <w:marBottom w:val="60"/>
          <w:divBdr>
            <w:top w:val="none" w:sz="0" w:space="0" w:color="auto"/>
            <w:left w:val="none" w:sz="0" w:space="0" w:color="auto"/>
            <w:bottom w:val="none" w:sz="0" w:space="0" w:color="auto"/>
            <w:right w:val="none" w:sz="0" w:space="0" w:color="auto"/>
          </w:divBdr>
        </w:div>
        <w:div w:id="1767268629">
          <w:marLeft w:val="274"/>
          <w:marRight w:val="0"/>
          <w:marTop w:val="0"/>
          <w:marBottom w:val="60"/>
          <w:divBdr>
            <w:top w:val="none" w:sz="0" w:space="0" w:color="auto"/>
            <w:left w:val="none" w:sz="0" w:space="0" w:color="auto"/>
            <w:bottom w:val="none" w:sz="0" w:space="0" w:color="auto"/>
            <w:right w:val="none" w:sz="0" w:space="0" w:color="auto"/>
          </w:divBdr>
        </w:div>
        <w:div w:id="2026055156">
          <w:marLeft w:val="274"/>
          <w:marRight w:val="0"/>
          <w:marTop w:val="0"/>
          <w:marBottom w:val="60"/>
          <w:divBdr>
            <w:top w:val="none" w:sz="0" w:space="0" w:color="auto"/>
            <w:left w:val="none" w:sz="0" w:space="0" w:color="auto"/>
            <w:bottom w:val="none" w:sz="0" w:space="0" w:color="auto"/>
            <w:right w:val="none" w:sz="0" w:space="0" w:color="auto"/>
          </w:divBdr>
        </w:div>
        <w:div w:id="2127113623">
          <w:marLeft w:val="274"/>
          <w:marRight w:val="0"/>
          <w:marTop w:val="0"/>
          <w:marBottom w:val="60"/>
          <w:divBdr>
            <w:top w:val="none" w:sz="0" w:space="0" w:color="auto"/>
            <w:left w:val="none" w:sz="0" w:space="0" w:color="auto"/>
            <w:bottom w:val="none" w:sz="0" w:space="0" w:color="auto"/>
            <w:right w:val="none" w:sz="0" w:space="0" w:color="auto"/>
          </w:divBdr>
        </w:div>
      </w:divsChild>
    </w:div>
    <w:div w:id="634717402">
      <w:bodyDiv w:val="1"/>
      <w:marLeft w:val="0"/>
      <w:marRight w:val="0"/>
      <w:marTop w:val="0"/>
      <w:marBottom w:val="0"/>
      <w:divBdr>
        <w:top w:val="none" w:sz="0" w:space="0" w:color="auto"/>
        <w:left w:val="none" w:sz="0" w:space="0" w:color="auto"/>
        <w:bottom w:val="none" w:sz="0" w:space="0" w:color="auto"/>
        <w:right w:val="none" w:sz="0" w:space="0" w:color="auto"/>
      </w:divBdr>
    </w:div>
    <w:div w:id="1032608801">
      <w:bodyDiv w:val="1"/>
      <w:marLeft w:val="0"/>
      <w:marRight w:val="0"/>
      <w:marTop w:val="0"/>
      <w:marBottom w:val="0"/>
      <w:divBdr>
        <w:top w:val="none" w:sz="0" w:space="0" w:color="auto"/>
        <w:left w:val="none" w:sz="0" w:space="0" w:color="auto"/>
        <w:bottom w:val="none" w:sz="0" w:space="0" w:color="auto"/>
        <w:right w:val="none" w:sz="0" w:space="0" w:color="auto"/>
      </w:divBdr>
    </w:div>
    <w:div w:id="1082292764">
      <w:bodyDiv w:val="1"/>
      <w:marLeft w:val="0"/>
      <w:marRight w:val="0"/>
      <w:marTop w:val="0"/>
      <w:marBottom w:val="0"/>
      <w:divBdr>
        <w:top w:val="none" w:sz="0" w:space="0" w:color="auto"/>
        <w:left w:val="none" w:sz="0" w:space="0" w:color="auto"/>
        <w:bottom w:val="none" w:sz="0" w:space="0" w:color="auto"/>
        <w:right w:val="none" w:sz="0" w:space="0" w:color="auto"/>
      </w:divBdr>
    </w:div>
    <w:div w:id="1130974046">
      <w:bodyDiv w:val="1"/>
      <w:marLeft w:val="0"/>
      <w:marRight w:val="0"/>
      <w:marTop w:val="0"/>
      <w:marBottom w:val="0"/>
      <w:divBdr>
        <w:top w:val="none" w:sz="0" w:space="0" w:color="auto"/>
        <w:left w:val="none" w:sz="0" w:space="0" w:color="auto"/>
        <w:bottom w:val="none" w:sz="0" w:space="0" w:color="auto"/>
        <w:right w:val="none" w:sz="0" w:space="0" w:color="auto"/>
      </w:divBdr>
    </w:div>
    <w:div w:id="1182165976">
      <w:bodyDiv w:val="1"/>
      <w:marLeft w:val="0"/>
      <w:marRight w:val="0"/>
      <w:marTop w:val="0"/>
      <w:marBottom w:val="0"/>
      <w:divBdr>
        <w:top w:val="none" w:sz="0" w:space="0" w:color="auto"/>
        <w:left w:val="none" w:sz="0" w:space="0" w:color="auto"/>
        <w:bottom w:val="none" w:sz="0" w:space="0" w:color="auto"/>
        <w:right w:val="none" w:sz="0" w:space="0" w:color="auto"/>
      </w:divBdr>
    </w:div>
    <w:div w:id="1196846770">
      <w:bodyDiv w:val="1"/>
      <w:marLeft w:val="0"/>
      <w:marRight w:val="0"/>
      <w:marTop w:val="0"/>
      <w:marBottom w:val="0"/>
      <w:divBdr>
        <w:top w:val="none" w:sz="0" w:space="0" w:color="auto"/>
        <w:left w:val="none" w:sz="0" w:space="0" w:color="auto"/>
        <w:bottom w:val="none" w:sz="0" w:space="0" w:color="auto"/>
        <w:right w:val="none" w:sz="0" w:space="0" w:color="auto"/>
      </w:divBdr>
      <w:divsChild>
        <w:div w:id="8798886">
          <w:marLeft w:val="0"/>
          <w:marRight w:val="0"/>
          <w:marTop w:val="0"/>
          <w:marBottom w:val="0"/>
          <w:divBdr>
            <w:top w:val="none" w:sz="0" w:space="0" w:color="auto"/>
            <w:left w:val="none" w:sz="0" w:space="0" w:color="auto"/>
            <w:bottom w:val="none" w:sz="0" w:space="0" w:color="auto"/>
            <w:right w:val="none" w:sz="0" w:space="0" w:color="auto"/>
          </w:divBdr>
        </w:div>
        <w:div w:id="59137682">
          <w:marLeft w:val="0"/>
          <w:marRight w:val="0"/>
          <w:marTop w:val="0"/>
          <w:marBottom w:val="0"/>
          <w:divBdr>
            <w:top w:val="none" w:sz="0" w:space="0" w:color="auto"/>
            <w:left w:val="none" w:sz="0" w:space="0" w:color="auto"/>
            <w:bottom w:val="none" w:sz="0" w:space="0" w:color="auto"/>
            <w:right w:val="none" w:sz="0" w:space="0" w:color="auto"/>
          </w:divBdr>
        </w:div>
        <w:div w:id="75173504">
          <w:marLeft w:val="0"/>
          <w:marRight w:val="0"/>
          <w:marTop w:val="0"/>
          <w:marBottom w:val="0"/>
          <w:divBdr>
            <w:top w:val="none" w:sz="0" w:space="0" w:color="auto"/>
            <w:left w:val="none" w:sz="0" w:space="0" w:color="auto"/>
            <w:bottom w:val="none" w:sz="0" w:space="0" w:color="auto"/>
            <w:right w:val="none" w:sz="0" w:space="0" w:color="auto"/>
          </w:divBdr>
        </w:div>
        <w:div w:id="88619736">
          <w:marLeft w:val="0"/>
          <w:marRight w:val="0"/>
          <w:marTop w:val="0"/>
          <w:marBottom w:val="0"/>
          <w:divBdr>
            <w:top w:val="none" w:sz="0" w:space="0" w:color="auto"/>
            <w:left w:val="none" w:sz="0" w:space="0" w:color="auto"/>
            <w:bottom w:val="none" w:sz="0" w:space="0" w:color="auto"/>
            <w:right w:val="none" w:sz="0" w:space="0" w:color="auto"/>
          </w:divBdr>
        </w:div>
        <w:div w:id="95562111">
          <w:marLeft w:val="0"/>
          <w:marRight w:val="0"/>
          <w:marTop w:val="0"/>
          <w:marBottom w:val="0"/>
          <w:divBdr>
            <w:top w:val="none" w:sz="0" w:space="0" w:color="auto"/>
            <w:left w:val="none" w:sz="0" w:space="0" w:color="auto"/>
            <w:bottom w:val="none" w:sz="0" w:space="0" w:color="auto"/>
            <w:right w:val="none" w:sz="0" w:space="0" w:color="auto"/>
          </w:divBdr>
        </w:div>
        <w:div w:id="129135373">
          <w:marLeft w:val="0"/>
          <w:marRight w:val="0"/>
          <w:marTop w:val="0"/>
          <w:marBottom w:val="0"/>
          <w:divBdr>
            <w:top w:val="none" w:sz="0" w:space="0" w:color="auto"/>
            <w:left w:val="none" w:sz="0" w:space="0" w:color="auto"/>
            <w:bottom w:val="none" w:sz="0" w:space="0" w:color="auto"/>
            <w:right w:val="none" w:sz="0" w:space="0" w:color="auto"/>
          </w:divBdr>
        </w:div>
        <w:div w:id="129977415">
          <w:marLeft w:val="0"/>
          <w:marRight w:val="0"/>
          <w:marTop w:val="0"/>
          <w:marBottom w:val="0"/>
          <w:divBdr>
            <w:top w:val="none" w:sz="0" w:space="0" w:color="auto"/>
            <w:left w:val="none" w:sz="0" w:space="0" w:color="auto"/>
            <w:bottom w:val="none" w:sz="0" w:space="0" w:color="auto"/>
            <w:right w:val="none" w:sz="0" w:space="0" w:color="auto"/>
          </w:divBdr>
        </w:div>
        <w:div w:id="144249549">
          <w:marLeft w:val="0"/>
          <w:marRight w:val="0"/>
          <w:marTop w:val="0"/>
          <w:marBottom w:val="0"/>
          <w:divBdr>
            <w:top w:val="none" w:sz="0" w:space="0" w:color="auto"/>
            <w:left w:val="none" w:sz="0" w:space="0" w:color="auto"/>
            <w:bottom w:val="none" w:sz="0" w:space="0" w:color="auto"/>
            <w:right w:val="none" w:sz="0" w:space="0" w:color="auto"/>
          </w:divBdr>
        </w:div>
        <w:div w:id="158466740">
          <w:marLeft w:val="0"/>
          <w:marRight w:val="0"/>
          <w:marTop w:val="0"/>
          <w:marBottom w:val="0"/>
          <w:divBdr>
            <w:top w:val="none" w:sz="0" w:space="0" w:color="auto"/>
            <w:left w:val="none" w:sz="0" w:space="0" w:color="auto"/>
            <w:bottom w:val="none" w:sz="0" w:space="0" w:color="auto"/>
            <w:right w:val="none" w:sz="0" w:space="0" w:color="auto"/>
          </w:divBdr>
        </w:div>
        <w:div w:id="184710196">
          <w:marLeft w:val="0"/>
          <w:marRight w:val="0"/>
          <w:marTop w:val="0"/>
          <w:marBottom w:val="0"/>
          <w:divBdr>
            <w:top w:val="none" w:sz="0" w:space="0" w:color="auto"/>
            <w:left w:val="none" w:sz="0" w:space="0" w:color="auto"/>
            <w:bottom w:val="none" w:sz="0" w:space="0" w:color="auto"/>
            <w:right w:val="none" w:sz="0" w:space="0" w:color="auto"/>
          </w:divBdr>
        </w:div>
        <w:div w:id="205726329">
          <w:marLeft w:val="0"/>
          <w:marRight w:val="0"/>
          <w:marTop w:val="0"/>
          <w:marBottom w:val="0"/>
          <w:divBdr>
            <w:top w:val="none" w:sz="0" w:space="0" w:color="auto"/>
            <w:left w:val="none" w:sz="0" w:space="0" w:color="auto"/>
            <w:bottom w:val="none" w:sz="0" w:space="0" w:color="auto"/>
            <w:right w:val="none" w:sz="0" w:space="0" w:color="auto"/>
          </w:divBdr>
        </w:div>
        <w:div w:id="229266576">
          <w:marLeft w:val="0"/>
          <w:marRight w:val="0"/>
          <w:marTop w:val="0"/>
          <w:marBottom w:val="0"/>
          <w:divBdr>
            <w:top w:val="none" w:sz="0" w:space="0" w:color="auto"/>
            <w:left w:val="none" w:sz="0" w:space="0" w:color="auto"/>
            <w:bottom w:val="none" w:sz="0" w:space="0" w:color="auto"/>
            <w:right w:val="none" w:sz="0" w:space="0" w:color="auto"/>
          </w:divBdr>
        </w:div>
        <w:div w:id="359405397">
          <w:marLeft w:val="0"/>
          <w:marRight w:val="0"/>
          <w:marTop w:val="0"/>
          <w:marBottom w:val="0"/>
          <w:divBdr>
            <w:top w:val="none" w:sz="0" w:space="0" w:color="auto"/>
            <w:left w:val="none" w:sz="0" w:space="0" w:color="auto"/>
            <w:bottom w:val="none" w:sz="0" w:space="0" w:color="auto"/>
            <w:right w:val="none" w:sz="0" w:space="0" w:color="auto"/>
          </w:divBdr>
        </w:div>
        <w:div w:id="407045355">
          <w:marLeft w:val="0"/>
          <w:marRight w:val="0"/>
          <w:marTop w:val="0"/>
          <w:marBottom w:val="0"/>
          <w:divBdr>
            <w:top w:val="none" w:sz="0" w:space="0" w:color="auto"/>
            <w:left w:val="none" w:sz="0" w:space="0" w:color="auto"/>
            <w:bottom w:val="none" w:sz="0" w:space="0" w:color="auto"/>
            <w:right w:val="none" w:sz="0" w:space="0" w:color="auto"/>
          </w:divBdr>
        </w:div>
        <w:div w:id="437793187">
          <w:marLeft w:val="0"/>
          <w:marRight w:val="0"/>
          <w:marTop w:val="0"/>
          <w:marBottom w:val="0"/>
          <w:divBdr>
            <w:top w:val="none" w:sz="0" w:space="0" w:color="auto"/>
            <w:left w:val="none" w:sz="0" w:space="0" w:color="auto"/>
            <w:bottom w:val="none" w:sz="0" w:space="0" w:color="auto"/>
            <w:right w:val="none" w:sz="0" w:space="0" w:color="auto"/>
          </w:divBdr>
        </w:div>
        <w:div w:id="444348032">
          <w:marLeft w:val="0"/>
          <w:marRight w:val="0"/>
          <w:marTop w:val="0"/>
          <w:marBottom w:val="0"/>
          <w:divBdr>
            <w:top w:val="none" w:sz="0" w:space="0" w:color="auto"/>
            <w:left w:val="none" w:sz="0" w:space="0" w:color="auto"/>
            <w:bottom w:val="none" w:sz="0" w:space="0" w:color="auto"/>
            <w:right w:val="none" w:sz="0" w:space="0" w:color="auto"/>
          </w:divBdr>
        </w:div>
        <w:div w:id="470363286">
          <w:marLeft w:val="0"/>
          <w:marRight w:val="0"/>
          <w:marTop w:val="0"/>
          <w:marBottom w:val="0"/>
          <w:divBdr>
            <w:top w:val="none" w:sz="0" w:space="0" w:color="auto"/>
            <w:left w:val="none" w:sz="0" w:space="0" w:color="auto"/>
            <w:bottom w:val="none" w:sz="0" w:space="0" w:color="auto"/>
            <w:right w:val="none" w:sz="0" w:space="0" w:color="auto"/>
          </w:divBdr>
        </w:div>
        <w:div w:id="495192905">
          <w:marLeft w:val="0"/>
          <w:marRight w:val="0"/>
          <w:marTop w:val="0"/>
          <w:marBottom w:val="0"/>
          <w:divBdr>
            <w:top w:val="none" w:sz="0" w:space="0" w:color="auto"/>
            <w:left w:val="none" w:sz="0" w:space="0" w:color="auto"/>
            <w:bottom w:val="none" w:sz="0" w:space="0" w:color="auto"/>
            <w:right w:val="none" w:sz="0" w:space="0" w:color="auto"/>
          </w:divBdr>
        </w:div>
        <w:div w:id="500393132">
          <w:marLeft w:val="0"/>
          <w:marRight w:val="0"/>
          <w:marTop w:val="0"/>
          <w:marBottom w:val="0"/>
          <w:divBdr>
            <w:top w:val="none" w:sz="0" w:space="0" w:color="auto"/>
            <w:left w:val="none" w:sz="0" w:space="0" w:color="auto"/>
            <w:bottom w:val="none" w:sz="0" w:space="0" w:color="auto"/>
            <w:right w:val="none" w:sz="0" w:space="0" w:color="auto"/>
          </w:divBdr>
        </w:div>
        <w:div w:id="576208036">
          <w:marLeft w:val="0"/>
          <w:marRight w:val="0"/>
          <w:marTop w:val="0"/>
          <w:marBottom w:val="0"/>
          <w:divBdr>
            <w:top w:val="none" w:sz="0" w:space="0" w:color="auto"/>
            <w:left w:val="none" w:sz="0" w:space="0" w:color="auto"/>
            <w:bottom w:val="none" w:sz="0" w:space="0" w:color="auto"/>
            <w:right w:val="none" w:sz="0" w:space="0" w:color="auto"/>
          </w:divBdr>
        </w:div>
        <w:div w:id="707946615">
          <w:marLeft w:val="0"/>
          <w:marRight w:val="0"/>
          <w:marTop w:val="0"/>
          <w:marBottom w:val="0"/>
          <w:divBdr>
            <w:top w:val="none" w:sz="0" w:space="0" w:color="auto"/>
            <w:left w:val="none" w:sz="0" w:space="0" w:color="auto"/>
            <w:bottom w:val="none" w:sz="0" w:space="0" w:color="auto"/>
            <w:right w:val="none" w:sz="0" w:space="0" w:color="auto"/>
          </w:divBdr>
        </w:div>
        <w:div w:id="714697889">
          <w:marLeft w:val="0"/>
          <w:marRight w:val="0"/>
          <w:marTop w:val="0"/>
          <w:marBottom w:val="0"/>
          <w:divBdr>
            <w:top w:val="none" w:sz="0" w:space="0" w:color="auto"/>
            <w:left w:val="none" w:sz="0" w:space="0" w:color="auto"/>
            <w:bottom w:val="none" w:sz="0" w:space="0" w:color="auto"/>
            <w:right w:val="none" w:sz="0" w:space="0" w:color="auto"/>
          </w:divBdr>
        </w:div>
        <w:div w:id="778456093">
          <w:marLeft w:val="0"/>
          <w:marRight w:val="0"/>
          <w:marTop w:val="0"/>
          <w:marBottom w:val="0"/>
          <w:divBdr>
            <w:top w:val="none" w:sz="0" w:space="0" w:color="auto"/>
            <w:left w:val="none" w:sz="0" w:space="0" w:color="auto"/>
            <w:bottom w:val="none" w:sz="0" w:space="0" w:color="auto"/>
            <w:right w:val="none" w:sz="0" w:space="0" w:color="auto"/>
          </w:divBdr>
        </w:div>
        <w:div w:id="869299841">
          <w:marLeft w:val="0"/>
          <w:marRight w:val="0"/>
          <w:marTop w:val="0"/>
          <w:marBottom w:val="0"/>
          <w:divBdr>
            <w:top w:val="none" w:sz="0" w:space="0" w:color="auto"/>
            <w:left w:val="none" w:sz="0" w:space="0" w:color="auto"/>
            <w:bottom w:val="none" w:sz="0" w:space="0" w:color="auto"/>
            <w:right w:val="none" w:sz="0" w:space="0" w:color="auto"/>
          </w:divBdr>
        </w:div>
        <w:div w:id="938029917">
          <w:marLeft w:val="0"/>
          <w:marRight w:val="0"/>
          <w:marTop w:val="0"/>
          <w:marBottom w:val="0"/>
          <w:divBdr>
            <w:top w:val="none" w:sz="0" w:space="0" w:color="auto"/>
            <w:left w:val="none" w:sz="0" w:space="0" w:color="auto"/>
            <w:bottom w:val="none" w:sz="0" w:space="0" w:color="auto"/>
            <w:right w:val="none" w:sz="0" w:space="0" w:color="auto"/>
          </w:divBdr>
        </w:div>
        <w:div w:id="996492167">
          <w:marLeft w:val="0"/>
          <w:marRight w:val="0"/>
          <w:marTop w:val="0"/>
          <w:marBottom w:val="0"/>
          <w:divBdr>
            <w:top w:val="none" w:sz="0" w:space="0" w:color="auto"/>
            <w:left w:val="none" w:sz="0" w:space="0" w:color="auto"/>
            <w:bottom w:val="none" w:sz="0" w:space="0" w:color="auto"/>
            <w:right w:val="none" w:sz="0" w:space="0" w:color="auto"/>
          </w:divBdr>
        </w:div>
        <w:div w:id="1037856365">
          <w:marLeft w:val="0"/>
          <w:marRight w:val="0"/>
          <w:marTop w:val="0"/>
          <w:marBottom w:val="0"/>
          <w:divBdr>
            <w:top w:val="none" w:sz="0" w:space="0" w:color="auto"/>
            <w:left w:val="none" w:sz="0" w:space="0" w:color="auto"/>
            <w:bottom w:val="none" w:sz="0" w:space="0" w:color="auto"/>
            <w:right w:val="none" w:sz="0" w:space="0" w:color="auto"/>
          </w:divBdr>
        </w:div>
        <w:div w:id="1045830210">
          <w:marLeft w:val="0"/>
          <w:marRight w:val="0"/>
          <w:marTop w:val="0"/>
          <w:marBottom w:val="0"/>
          <w:divBdr>
            <w:top w:val="none" w:sz="0" w:space="0" w:color="auto"/>
            <w:left w:val="none" w:sz="0" w:space="0" w:color="auto"/>
            <w:bottom w:val="none" w:sz="0" w:space="0" w:color="auto"/>
            <w:right w:val="none" w:sz="0" w:space="0" w:color="auto"/>
          </w:divBdr>
        </w:div>
        <w:div w:id="1145006697">
          <w:marLeft w:val="0"/>
          <w:marRight w:val="0"/>
          <w:marTop w:val="0"/>
          <w:marBottom w:val="0"/>
          <w:divBdr>
            <w:top w:val="none" w:sz="0" w:space="0" w:color="auto"/>
            <w:left w:val="none" w:sz="0" w:space="0" w:color="auto"/>
            <w:bottom w:val="none" w:sz="0" w:space="0" w:color="auto"/>
            <w:right w:val="none" w:sz="0" w:space="0" w:color="auto"/>
          </w:divBdr>
        </w:div>
        <w:div w:id="1178544265">
          <w:marLeft w:val="0"/>
          <w:marRight w:val="0"/>
          <w:marTop w:val="0"/>
          <w:marBottom w:val="0"/>
          <w:divBdr>
            <w:top w:val="none" w:sz="0" w:space="0" w:color="auto"/>
            <w:left w:val="none" w:sz="0" w:space="0" w:color="auto"/>
            <w:bottom w:val="none" w:sz="0" w:space="0" w:color="auto"/>
            <w:right w:val="none" w:sz="0" w:space="0" w:color="auto"/>
          </w:divBdr>
        </w:div>
        <w:div w:id="1181966097">
          <w:marLeft w:val="0"/>
          <w:marRight w:val="0"/>
          <w:marTop w:val="0"/>
          <w:marBottom w:val="0"/>
          <w:divBdr>
            <w:top w:val="none" w:sz="0" w:space="0" w:color="auto"/>
            <w:left w:val="none" w:sz="0" w:space="0" w:color="auto"/>
            <w:bottom w:val="none" w:sz="0" w:space="0" w:color="auto"/>
            <w:right w:val="none" w:sz="0" w:space="0" w:color="auto"/>
          </w:divBdr>
        </w:div>
        <w:div w:id="1215046093">
          <w:marLeft w:val="0"/>
          <w:marRight w:val="0"/>
          <w:marTop w:val="0"/>
          <w:marBottom w:val="0"/>
          <w:divBdr>
            <w:top w:val="none" w:sz="0" w:space="0" w:color="auto"/>
            <w:left w:val="none" w:sz="0" w:space="0" w:color="auto"/>
            <w:bottom w:val="none" w:sz="0" w:space="0" w:color="auto"/>
            <w:right w:val="none" w:sz="0" w:space="0" w:color="auto"/>
          </w:divBdr>
        </w:div>
        <w:div w:id="1273898500">
          <w:marLeft w:val="0"/>
          <w:marRight w:val="0"/>
          <w:marTop w:val="0"/>
          <w:marBottom w:val="0"/>
          <w:divBdr>
            <w:top w:val="none" w:sz="0" w:space="0" w:color="auto"/>
            <w:left w:val="none" w:sz="0" w:space="0" w:color="auto"/>
            <w:bottom w:val="none" w:sz="0" w:space="0" w:color="auto"/>
            <w:right w:val="none" w:sz="0" w:space="0" w:color="auto"/>
          </w:divBdr>
        </w:div>
        <w:div w:id="1315715087">
          <w:marLeft w:val="0"/>
          <w:marRight w:val="0"/>
          <w:marTop w:val="0"/>
          <w:marBottom w:val="0"/>
          <w:divBdr>
            <w:top w:val="none" w:sz="0" w:space="0" w:color="auto"/>
            <w:left w:val="none" w:sz="0" w:space="0" w:color="auto"/>
            <w:bottom w:val="none" w:sz="0" w:space="0" w:color="auto"/>
            <w:right w:val="none" w:sz="0" w:space="0" w:color="auto"/>
          </w:divBdr>
        </w:div>
        <w:div w:id="1363942311">
          <w:marLeft w:val="0"/>
          <w:marRight w:val="0"/>
          <w:marTop w:val="0"/>
          <w:marBottom w:val="0"/>
          <w:divBdr>
            <w:top w:val="none" w:sz="0" w:space="0" w:color="auto"/>
            <w:left w:val="none" w:sz="0" w:space="0" w:color="auto"/>
            <w:bottom w:val="none" w:sz="0" w:space="0" w:color="auto"/>
            <w:right w:val="none" w:sz="0" w:space="0" w:color="auto"/>
          </w:divBdr>
        </w:div>
        <w:div w:id="1490176590">
          <w:marLeft w:val="0"/>
          <w:marRight w:val="0"/>
          <w:marTop w:val="0"/>
          <w:marBottom w:val="0"/>
          <w:divBdr>
            <w:top w:val="none" w:sz="0" w:space="0" w:color="auto"/>
            <w:left w:val="none" w:sz="0" w:space="0" w:color="auto"/>
            <w:bottom w:val="none" w:sz="0" w:space="0" w:color="auto"/>
            <w:right w:val="none" w:sz="0" w:space="0" w:color="auto"/>
          </w:divBdr>
        </w:div>
        <w:div w:id="1499422962">
          <w:marLeft w:val="0"/>
          <w:marRight w:val="0"/>
          <w:marTop w:val="0"/>
          <w:marBottom w:val="0"/>
          <w:divBdr>
            <w:top w:val="none" w:sz="0" w:space="0" w:color="auto"/>
            <w:left w:val="none" w:sz="0" w:space="0" w:color="auto"/>
            <w:bottom w:val="none" w:sz="0" w:space="0" w:color="auto"/>
            <w:right w:val="none" w:sz="0" w:space="0" w:color="auto"/>
          </w:divBdr>
        </w:div>
        <w:div w:id="1586643242">
          <w:marLeft w:val="0"/>
          <w:marRight w:val="0"/>
          <w:marTop w:val="0"/>
          <w:marBottom w:val="0"/>
          <w:divBdr>
            <w:top w:val="none" w:sz="0" w:space="0" w:color="auto"/>
            <w:left w:val="none" w:sz="0" w:space="0" w:color="auto"/>
            <w:bottom w:val="none" w:sz="0" w:space="0" w:color="auto"/>
            <w:right w:val="none" w:sz="0" w:space="0" w:color="auto"/>
          </w:divBdr>
        </w:div>
        <w:div w:id="1651641560">
          <w:marLeft w:val="0"/>
          <w:marRight w:val="0"/>
          <w:marTop w:val="0"/>
          <w:marBottom w:val="0"/>
          <w:divBdr>
            <w:top w:val="none" w:sz="0" w:space="0" w:color="auto"/>
            <w:left w:val="none" w:sz="0" w:space="0" w:color="auto"/>
            <w:bottom w:val="none" w:sz="0" w:space="0" w:color="auto"/>
            <w:right w:val="none" w:sz="0" w:space="0" w:color="auto"/>
          </w:divBdr>
        </w:div>
        <w:div w:id="1665821045">
          <w:marLeft w:val="0"/>
          <w:marRight w:val="0"/>
          <w:marTop w:val="0"/>
          <w:marBottom w:val="0"/>
          <w:divBdr>
            <w:top w:val="none" w:sz="0" w:space="0" w:color="auto"/>
            <w:left w:val="none" w:sz="0" w:space="0" w:color="auto"/>
            <w:bottom w:val="none" w:sz="0" w:space="0" w:color="auto"/>
            <w:right w:val="none" w:sz="0" w:space="0" w:color="auto"/>
          </w:divBdr>
        </w:div>
        <w:div w:id="1684866646">
          <w:marLeft w:val="0"/>
          <w:marRight w:val="0"/>
          <w:marTop w:val="0"/>
          <w:marBottom w:val="0"/>
          <w:divBdr>
            <w:top w:val="none" w:sz="0" w:space="0" w:color="auto"/>
            <w:left w:val="none" w:sz="0" w:space="0" w:color="auto"/>
            <w:bottom w:val="none" w:sz="0" w:space="0" w:color="auto"/>
            <w:right w:val="none" w:sz="0" w:space="0" w:color="auto"/>
          </w:divBdr>
        </w:div>
        <w:div w:id="1703701659">
          <w:marLeft w:val="0"/>
          <w:marRight w:val="0"/>
          <w:marTop w:val="0"/>
          <w:marBottom w:val="0"/>
          <w:divBdr>
            <w:top w:val="none" w:sz="0" w:space="0" w:color="auto"/>
            <w:left w:val="none" w:sz="0" w:space="0" w:color="auto"/>
            <w:bottom w:val="none" w:sz="0" w:space="0" w:color="auto"/>
            <w:right w:val="none" w:sz="0" w:space="0" w:color="auto"/>
          </w:divBdr>
        </w:div>
        <w:div w:id="1743092648">
          <w:marLeft w:val="0"/>
          <w:marRight w:val="0"/>
          <w:marTop w:val="0"/>
          <w:marBottom w:val="0"/>
          <w:divBdr>
            <w:top w:val="none" w:sz="0" w:space="0" w:color="auto"/>
            <w:left w:val="none" w:sz="0" w:space="0" w:color="auto"/>
            <w:bottom w:val="none" w:sz="0" w:space="0" w:color="auto"/>
            <w:right w:val="none" w:sz="0" w:space="0" w:color="auto"/>
          </w:divBdr>
        </w:div>
        <w:div w:id="1776556403">
          <w:marLeft w:val="0"/>
          <w:marRight w:val="0"/>
          <w:marTop w:val="0"/>
          <w:marBottom w:val="0"/>
          <w:divBdr>
            <w:top w:val="none" w:sz="0" w:space="0" w:color="auto"/>
            <w:left w:val="none" w:sz="0" w:space="0" w:color="auto"/>
            <w:bottom w:val="none" w:sz="0" w:space="0" w:color="auto"/>
            <w:right w:val="none" w:sz="0" w:space="0" w:color="auto"/>
          </w:divBdr>
        </w:div>
        <w:div w:id="1779791476">
          <w:marLeft w:val="0"/>
          <w:marRight w:val="0"/>
          <w:marTop w:val="0"/>
          <w:marBottom w:val="0"/>
          <w:divBdr>
            <w:top w:val="none" w:sz="0" w:space="0" w:color="auto"/>
            <w:left w:val="none" w:sz="0" w:space="0" w:color="auto"/>
            <w:bottom w:val="none" w:sz="0" w:space="0" w:color="auto"/>
            <w:right w:val="none" w:sz="0" w:space="0" w:color="auto"/>
          </w:divBdr>
        </w:div>
        <w:div w:id="1830630847">
          <w:marLeft w:val="0"/>
          <w:marRight w:val="0"/>
          <w:marTop w:val="0"/>
          <w:marBottom w:val="0"/>
          <w:divBdr>
            <w:top w:val="none" w:sz="0" w:space="0" w:color="auto"/>
            <w:left w:val="none" w:sz="0" w:space="0" w:color="auto"/>
            <w:bottom w:val="none" w:sz="0" w:space="0" w:color="auto"/>
            <w:right w:val="none" w:sz="0" w:space="0" w:color="auto"/>
          </w:divBdr>
        </w:div>
        <w:div w:id="1843624992">
          <w:marLeft w:val="0"/>
          <w:marRight w:val="0"/>
          <w:marTop w:val="0"/>
          <w:marBottom w:val="0"/>
          <w:divBdr>
            <w:top w:val="none" w:sz="0" w:space="0" w:color="auto"/>
            <w:left w:val="none" w:sz="0" w:space="0" w:color="auto"/>
            <w:bottom w:val="none" w:sz="0" w:space="0" w:color="auto"/>
            <w:right w:val="none" w:sz="0" w:space="0" w:color="auto"/>
          </w:divBdr>
        </w:div>
        <w:div w:id="1867212146">
          <w:marLeft w:val="0"/>
          <w:marRight w:val="0"/>
          <w:marTop w:val="0"/>
          <w:marBottom w:val="0"/>
          <w:divBdr>
            <w:top w:val="none" w:sz="0" w:space="0" w:color="auto"/>
            <w:left w:val="none" w:sz="0" w:space="0" w:color="auto"/>
            <w:bottom w:val="none" w:sz="0" w:space="0" w:color="auto"/>
            <w:right w:val="none" w:sz="0" w:space="0" w:color="auto"/>
          </w:divBdr>
        </w:div>
        <w:div w:id="1974676432">
          <w:marLeft w:val="0"/>
          <w:marRight w:val="0"/>
          <w:marTop w:val="0"/>
          <w:marBottom w:val="0"/>
          <w:divBdr>
            <w:top w:val="none" w:sz="0" w:space="0" w:color="auto"/>
            <w:left w:val="none" w:sz="0" w:space="0" w:color="auto"/>
            <w:bottom w:val="none" w:sz="0" w:space="0" w:color="auto"/>
            <w:right w:val="none" w:sz="0" w:space="0" w:color="auto"/>
          </w:divBdr>
        </w:div>
        <w:div w:id="1994987963">
          <w:marLeft w:val="0"/>
          <w:marRight w:val="0"/>
          <w:marTop w:val="0"/>
          <w:marBottom w:val="0"/>
          <w:divBdr>
            <w:top w:val="none" w:sz="0" w:space="0" w:color="auto"/>
            <w:left w:val="none" w:sz="0" w:space="0" w:color="auto"/>
            <w:bottom w:val="none" w:sz="0" w:space="0" w:color="auto"/>
            <w:right w:val="none" w:sz="0" w:space="0" w:color="auto"/>
          </w:divBdr>
        </w:div>
        <w:div w:id="2003198336">
          <w:marLeft w:val="0"/>
          <w:marRight w:val="0"/>
          <w:marTop w:val="0"/>
          <w:marBottom w:val="0"/>
          <w:divBdr>
            <w:top w:val="none" w:sz="0" w:space="0" w:color="auto"/>
            <w:left w:val="none" w:sz="0" w:space="0" w:color="auto"/>
            <w:bottom w:val="none" w:sz="0" w:space="0" w:color="auto"/>
            <w:right w:val="none" w:sz="0" w:space="0" w:color="auto"/>
          </w:divBdr>
        </w:div>
        <w:div w:id="2023586514">
          <w:marLeft w:val="0"/>
          <w:marRight w:val="0"/>
          <w:marTop w:val="0"/>
          <w:marBottom w:val="0"/>
          <w:divBdr>
            <w:top w:val="none" w:sz="0" w:space="0" w:color="auto"/>
            <w:left w:val="none" w:sz="0" w:space="0" w:color="auto"/>
            <w:bottom w:val="none" w:sz="0" w:space="0" w:color="auto"/>
            <w:right w:val="none" w:sz="0" w:space="0" w:color="auto"/>
          </w:divBdr>
        </w:div>
        <w:div w:id="2096852381">
          <w:marLeft w:val="0"/>
          <w:marRight w:val="0"/>
          <w:marTop w:val="0"/>
          <w:marBottom w:val="0"/>
          <w:divBdr>
            <w:top w:val="none" w:sz="0" w:space="0" w:color="auto"/>
            <w:left w:val="none" w:sz="0" w:space="0" w:color="auto"/>
            <w:bottom w:val="none" w:sz="0" w:space="0" w:color="auto"/>
            <w:right w:val="none" w:sz="0" w:space="0" w:color="auto"/>
          </w:divBdr>
        </w:div>
      </w:divsChild>
    </w:div>
    <w:div w:id="1268930677">
      <w:bodyDiv w:val="1"/>
      <w:marLeft w:val="0"/>
      <w:marRight w:val="0"/>
      <w:marTop w:val="0"/>
      <w:marBottom w:val="0"/>
      <w:divBdr>
        <w:top w:val="none" w:sz="0" w:space="0" w:color="auto"/>
        <w:left w:val="none" w:sz="0" w:space="0" w:color="auto"/>
        <w:bottom w:val="none" w:sz="0" w:space="0" w:color="auto"/>
        <w:right w:val="none" w:sz="0" w:space="0" w:color="auto"/>
      </w:divBdr>
    </w:div>
    <w:div w:id="1286615638">
      <w:bodyDiv w:val="1"/>
      <w:marLeft w:val="0"/>
      <w:marRight w:val="0"/>
      <w:marTop w:val="0"/>
      <w:marBottom w:val="0"/>
      <w:divBdr>
        <w:top w:val="none" w:sz="0" w:space="0" w:color="auto"/>
        <w:left w:val="none" w:sz="0" w:space="0" w:color="auto"/>
        <w:bottom w:val="none" w:sz="0" w:space="0" w:color="auto"/>
        <w:right w:val="none" w:sz="0" w:space="0" w:color="auto"/>
      </w:divBdr>
    </w:div>
    <w:div w:id="1366098061">
      <w:bodyDiv w:val="1"/>
      <w:marLeft w:val="0"/>
      <w:marRight w:val="0"/>
      <w:marTop w:val="0"/>
      <w:marBottom w:val="0"/>
      <w:divBdr>
        <w:top w:val="none" w:sz="0" w:space="0" w:color="auto"/>
        <w:left w:val="none" w:sz="0" w:space="0" w:color="auto"/>
        <w:bottom w:val="none" w:sz="0" w:space="0" w:color="auto"/>
        <w:right w:val="none" w:sz="0" w:space="0" w:color="auto"/>
      </w:divBdr>
    </w:div>
    <w:div w:id="1517111744">
      <w:bodyDiv w:val="1"/>
      <w:marLeft w:val="0"/>
      <w:marRight w:val="0"/>
      <w:marTop w:val="0"/>
      <w:marBottom w:val="0"/>
      <w:divBdr>
        <w:top w:val="none" w:sz="0" w:space="0" w:color="auto"/>
        <w:left w:val="none" w:sz="0" w:space="0" w:color="auto"/>
        <w:bottom w:val="none" w:sz="0" w:space="0" w:color="auto"/>
        <w:right w:val="none" w:sz="0" w:space="0" w:color="auto"/>
      </w:divBdr>
    </w:div>
    <w:div w:id="1620606494">
      <w:bodyDiv w:val="1"/>
      <w:marLeft w:val="0"/>
      <w:marRight w:val="0"/>
      <w:marTop w:val="0"/>
      <w:marBottom w:val="0"/>
      <w:divBdr>
        <w:top w:val="none" w:sz="0" w:space="0" w:color="auto"/>
        <w:left w:val="none" w:sz="0" w:space="0" w:color="auto"/>
        <w:bottom w:val="none" w:sz="0" w:space="0" w:color="auto"/>
        <w:right w:val="none" w:sz="0" w:space="0" w:color="auto"/>
      </w:divBdr>
    </w:div>
    <w:div w:id="1690064342">
      <w:bodyDiv w:val="1"/>
      <w:marLeft w:val="0"/>
      <w:marRight w:val="0"/>
      <w:marTop w:val="0"/>
      <w:marBottom w:val="0"/>
      <w:divBdr>
        <w:top w:val="none" w:sz="0" w:space="0" w:color="auto"/>
        <w:left w:val="none" w:sz="0" w:space="0" w:color="auto"/>
        <w:bottom w:val="none" w:sz="0" w:space="0" w:color="auto"/>
        <w:right w:val="none" w:sz="0" w:space="0" w:color="auto"/>
      </w:divBdr>
    </w:div>
    <w:div w:id="1927104284">
      <w:bodyDiv w:val="1"/>
      <w:marLeft w:val="0"/>
      <w:marRight w:val="0"/>
      <w:marTop w:val="0"/>
      <w:marBottom w:val="0"/>
      <w:divBdr>
        <w:top w:val="none" w:sz="0" w:space="0" w:color="auto"/>
        <w:left w:val="none" w:sz="0" w:space="0" w:color="auto"/>
        <w:bottom w:val="none" w:sz="0" w:space="0" w:color="auto"/>
        <w:right w:val="none" w:sz="0" w:space="0" w:color="auto"/>
      </w:divBdr>
      <w:divsChild>
        <w:div w:id="574899413">
          <w:marLeft w:val="0"/>
          <w:marRight w:val="0"/>
          <w:marTop w:val="0"/>
          <w:marBottom w:val="0"/>
          <w:divBdr>
            <w:top w:val="none" w:sz="0" w:space="0" w:color="auto"/>
            <w:left w:val="none" w:sz="0" w:space="0" w:color="auto"/>
            <w:bottom w:val="none" w:sz="0" w:space="0" w:color="auto"/>
            <w:right w:val="none" w:sz="0" w:space="0" w:color="auto"/>
          </w:divBdr>
        </w:div>
        <w:div w:id="941301365">
          <w:marLeft w:val="0"/>
          <w:marRight w:val="0"/>
          <w:marTop w:val="0"/>
          <w:marBottom w:val="0"/>
          <w:divBdr>
            <w:top w:val="none" w:sz="0" w:space="0" w:color="auto"/>
            <w:left w:val="none" w:sz="0" w:space="0" w:color="auto"/>
            <w:bottom w:val="none" w:sz="0" w:space="0" w:color="auto"/>
            <w:right w:val="none" w:sz="0" w:space="0" w:color="auto"/>
          </w:divBdr>
        </w:div>
        <w:div w:id="17467984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2.jpe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7" ma:contentTypeDescription="WebCM Documents Content Type" ma:contentTypeScope="" ma:versionID="2445d155e79af3f8de50d6e6a41d98b0">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1fa0b351c270b0bd4fc58157dcf1ab"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ma:displayName="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Adult, Community and Further Education Board Strategy 2020-25</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A3A0A9-357C-435E-B241-4438DCFA40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b566cd-adb9-46c2-964b-22eba181fd0b"/>
    <ds:schemaRef ds:uri="cb9114c1-daad-44dd-acad-30f4246641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FBC99A-EAD7-4087-9D4B-B4664065FAE4}">
  <ds:schemaRefs>
    <ds:schemaRef ds:uri="http://schemas.microsoft.com/office/2006/metadata/properties"/>
    <ds:schemaRef ds:uri="http://schemas.microsoft.com/office/infopath/2007/PartnerControls"/>
    <ds:schemaRef ds:uri="2448c47a-0c10-4e7b-b9c8-5b12d6d373e0"/>
    <ds:schemaRef ds:uri="http://schemas.microsoft.com/Sharepoint/v3"/>
    <ds:schemaRef ds:uri="http://schemas.microsoft.com/sharepoint/v4"/>
    <ds:schemaRef ds:uri="b731327e-dde1-4362-ab85-4b03d633e5ee"/>
    <ds:schemaRef ds:uri="http://schemas.microsoft.com/sharepoint/v3"/>
    <ds:schemaRef ds:uri="1966e606-8b69-4075-9ef8-a409e80aaa70"/>
    <ds:schemaRef ds:uri="cb9114c1-daad-44dd-acad-30f4246641f2"/>
    <ds:schemaRef ds:uri="76b566cd-adb9-46c2-964b-22eba181fd0b"/>
  </ds:schemaRefs>
</ds:datastoreItem>
</file>

<file path=customXml/itemProps3.xml><?xml version="1.0" encoding="utf-8"?>
<ds:datastoreItem xmlns:ds="http://schemas.openxmlformats.org/officeDocument/2006/customXml" ds:itemID="{1E5DF2DE-9C09-4B5E-88AB-D4C27B3A3C6F}">
  <ds:schemaRefs>
    <ds:schemaRef ds:uri="http://schemas.microsoft.com/sharepoint/v3/contenttype/forms"/>
  </ds:schemaRefs>
</ds:datastoreItem>
</file>

<file path=customXml/itemProps4.xml><?xml version="1.0" encoding="utf-8"?>
<ds:datastoreItem xmlns:ds="http://schemas.openxmlformats.org/officeDocument/2006/customXml" ds:itemID="{5927CE06-5C2D-4BE2-ABB0-7CB59F15D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4772</Words>
  <Characters>27201</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Adult, Community and Further Education Board Strategy 2020-25</vt:lpstr>
    </vt:vector>
  </TitlesOfParts>
  <Company/>
  <LinksUpToDate>false</LinksUpToDate>
  <CharactersWithSpaces>31910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Adult, Community and Further Education Board Strategy 2020-25</dc:title>
  <dc:subject/>
  <dc:creator/>
  <cp:keywords/>
  <dc:description/>
  <cp:lastModifiedBy/>
  <cp:revision>1</cp:revision>
  <dcterms:created xsi:type="dcterms:W3CDTF">2020-12-08T22:22:00Z</dcterms:created>
  <dcterms:modified xsi:type="dcterms:W3CDTF">2020-12-08T22:22:00Z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20;#1.2.2 Project Documentation|a3ce4c3c-7960-4756-834e-8cbbf9028802</vt:lpwstr>
  </property>
  <property fmtid="{D5CDD505-2E9C-101B-9397-08002B2CF9AE}" pid="4" name="RecordPoint_WorkflowType">
    <vt:lpwstr>ActiveSubmitStub</vt:lpwstr>
  </property>
  <property fmtid="{D5CDD505-2E9C-101B-9397-08002B2CF9AE}" pid="5" name="DET_EDRMS_BusUnit">
    <vt:lpwstr/>
  </property>
  <property fmtid="{D5CDD505-2E9C-101B-9397-08002B2CF9AE}" pid="6" name="DET_EDRMS_SecClass">
    <vt:lpwstr/>
  </property>
  <property fmtid="{D5CDD505-2E9C-101B-9397-08002B2CF9AE}" pid="7" name="RecordPoint_ActiveItemUniqueId">
    <vt:lpwstr>{51d00432-7126-4b60-a489-48b3c349db9a}</vt:lpwstr>
  </property>
  <property fmtid="{D5CDD505-2E9C-101B-9397-08002B2CF9AE}" pid="8" name="RecordPoint_ActiveItemWebId">
    <vt:lpwstr>{2448c47a-0c10-4e7b-b9c8-5b12d6d373e0}</vt:lpwstr>
  </property>
  <property fmtid="{D5CDD505-2E9C-101B-9397-08002B2CF9AE}" pid="9" name="RecordPoint_ActiveItemSiteId">
    <vt:lpwstr>{03dc8113-b288-4f44-a289-6e7ea0196235}</vt:lpwstr>
  </property>
  <property fmtid="{D5CDD505-2E9C-101B-9397-08002B2CF9AE}" pid="10" name="RecordPoint_ActiveItemListId">
    <vt:lpwstr>{b731327e-dde1-4362-ab85-4b03d633e5ee}</vt:lpwstr>
  </property>
  <property fmtid="{D5CDD505-2E9C-101B-9397-08002B2CF9AE}" pid="11" name="DEECD_Author">
    <vt:lpwstr>94;#Education|5232e41c-5101-41fe-b638-7d41d1371531</vt:lpwstr>
  </property>
  <property fmtid="{D5CDD505-2E9C-101B-9397-08002B2CF9AE}" pid="12" name="DEECD_ItemType">
    <vt:lpwstr>101;#Page|eb523acf-a821-456c-a76b-7607578309d7</vt:lpwstr>
  </property>
  <property fmtid="{D5CDD505-2E9C-101B-9397-08002B2CF9AE}" pid="13" name="DEECD_SubjectCategory">
    <vt:lpwstr/>
  </property>
  <property fmtid="{D5CDD505-2E9C-101B-9397-08002B2CF9AE}" pid="14" name="DEECD_Audience">
    <vt:lpwstr/>
  </property>
  <property fmtid="{D5CDD505-2E9C-101B-9397-08002B2CF9AE}" pid="15" name="MSIP_Label_7158ebbd-6c5e-441f-bfc9-4eb8c11e3978_Enabled">
    <vt:lpwstr>True</vt:lpwstr>
  </property>
  <property fmtid="{D5CDD505-2E9C-101B-9397-08002B2CF9AE}" pid="16" name="MSIP_Label_7158ebbd-6c5e-441f-bfc9-4eb8c11e3978_SiteId">
    <vt:lpwstr>722ea0be-3e1c-4b11-ad6f-9401d6856e24</vt:lpwstr>
  </property>
  <property fmtid="{D5CDD505-2E9C-101B-9397-08002B2CF9AE}" pid="17" name="MSIP_Label_7158ebbd-6c5e-441f-bfc9-4eb8c11e3978_Owner">
    <vt:lpwstr>marcella.marino@dpc.vic.gov.au</vt:lpwstr>
  </property>
  <property fmtid="{D5CDD505-2E9C-101B-9397-08002B2CF9AE}" pid="18" name="MSIP_Label_7158ebbd-6c5e-441f-bfc9-4eb8c11e3978_SetDate">
    <vt:lpwstr>2020-12-08T22:21:27.4153134Z</vt:lpwstr>
  </property>
  <property fmtid="{D5CDD505-2E9C-101B-9397-08002B2CF9AE}" pid="19" name="MSIP_Label_7158ebbd-6c5e-441f-bfc9-4eb8c11e3978_Name">
    <vt:lpwstr>OFFICIAL</vt:lpwstr>
  </property>
  <property fmtid="{D5CDD505-2E9C-101B-9397-08002B2CF9AE}" pid="20" name="MSIP_Label_7158ebbd-6c5e-441f-bfc9-4eb8c11e3978_Application">
    <vt:lpwstr>Microsoft Azure Information Protection</vt:lpwstr>
  </property>
  <property fmtid="{D5CDD505-2E9C-101B-9397-08002B2CF9AE}" pid="21" name="MSIP_Label_7158ebbd-6c5e-441f-bfc9-4eb8c11e3978_Extended_MSFT_Method">
    <vt:lpwstr>Manual</vt:lpwstr>
  </property>
  <property fmtid="{D5CDD505-2E9C-101B-9397-08002B2CF9AE}" pid="22" name="Sensitivity">
    <vt:lpwstr>OFFICIAL</vt:lpwstr>
  </property>
</Properties>
</file>