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2A5D2" w14:textId="77777777" w:rsidR="00D420DB" w:rsidRPr="00BC23C8" w:rsidRDefault="00D420DB" w:rsidP="00D420DB">
      <w:pPr>
        <w:jc w:val="center"/>
        <w:rPr>
          <w:color w:val="2E74B5" w:themeColor="accent5" w:themeShade="BF"/>
          <w:sz w:val="32"/>
          <w:szCs w:val="32"/>
          <w:lang w:val="en"/>
        </w:rPr>
      </w:pPr>
      <w:r w:rsidRPr="00BC23C8">
        <w:rPr>
          <w:color w:val="2E74B5" w:themeColor="accent5" w:themeShade="BF"/>
          <w:sz w:val="32"/>
          <w:szCs w:val="32"/>
          <w:lang w:val="en"/>
        </w:rPr>
        <w:t>Department of Education and Training</w:t>
      </w:r>
    </w:p>
    <w:p w14:paraId="17404CF2" w14:textId="77777777" w:rsidR="00D420DB" w:rsidRPr="00BC23C8" w:rsidRDefault="00D420DB" w:rsidP="00D420DB">
      <w:pPr>
        <w:jc w:val="center"/>
        <w:rPr>
          <w:color w:val="2E74B5" w:themeColor="accent5" w:themeShade="BF"/>
          <w:sz w:val="32"/>
          <w:szCs w:val="32"/>
          <w:lang w:val="en"/>
        </w:rPr>
      </w:pPr>
      <w:r w:rsidRPr="00BC23C8">
        <w:rPr>
          <w:color w:val="2E74B5" w:themeColor="accent5" w:themeShade="BF"/>
          <w:sz w:val="32"/>
          <w:szCs w:val="32"/>
          <w:lang w:val="en"/>
        </w:rPr>
        <w:t>Higher Education and Skills Group</w:t>
      </w:r>
    </w:p>
    <w:p w14:paraId="18D4A9B9" w14:textId="77777777" w:rsidR="00D420DB" w:rsidRPr="00BC23C8" w:rsidRDefault="00D420DB" w:rsidP="00D420DB">
      <w:pPr>
        <w:spacing w:before="200" w:after="200"/>
        <w:jc w:val="left"/>
        <w:rPr>
          <w:color w:val="2E74B5" w:themeColor="accent5" w:themeShade="BF"/>
          <w:szCs w:val="24"/>
          <w:lang w:val="en"/>
        </w:rPr>
      </w:pPr>
      <w:r w:rsidRPr="00BC23C8">
        <w:rPr>
          <w:color w:val="2E74B5" w:themeColor="accent5" w:themeShade="BF"/>
          <w:szCs w:val="24"/>
          <w:lang w:val="en"/>
        </w:rPr>
        <w:t>Participation, Inclusion and Regional Engagement — Branch Memo</w:t>
      </w:r>
    </w:p>
    <w:p w14:paraId="317FCE76" w14:textId="77777777" w:rsidR="00D420DB" w:rsidRPr="00D26D6A" w:rsidRDefault="00D420DB" w:rsidP="00D420DB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b/>
          <w:color w:val="000000" w:themeColor="text1"/>
          <w:szCs w:val="24"/>
          <w:lang w:val="en-GB" w:eastAsia="en-US"/>
        </w:rPr>
        <w:t>TO:</w:t>
      </w:r>
      <w:r>
        <w:rPr>
          <w:color w:val="000000" w:themeColor="text1"/>
          <w:szCs w:val="24"/>
          <w:lang w:val="en-GB" w:eastAsia="en-US"/>
        </w:rPr>
        <w:tab/>
      </w:r>
      <w:r w:rsidRPr="00BC23C8">
        <w:rPr>
          <w:color w:val="000000" w:themeColor="text1"/>
          <w:szCs w:val="24"/>
          <w:lang w:val="en-GB" w:eastAsia="en-US"/>
        </w:rPr>
        <w:tab/>
      </w:r>
      <w:r w:rsidRPr="003547C4">
        <w:rPr>
          <w:color w:val="000000" w:themeColor="text1"/>
          <w:szCs w:val="24"/>
          <w:lang w:val="en-GB" w:eastAsia="en-US"/>
        </w:rPr>
        <w:t>Registered</w:t>
      </w:r>
      <w:r>
        <w:rPr>
          <w:b/>
          <w:color w:val="000000" w:themeColor="text1"/>
          <w:szCs w:val="24"/>
          <w:lang w:val="en-GB" w:eastAsia="en-US"/>
        </w:rPr>
        <w:t xml:space="preserve"> </w:t>
      </w:r>
      <w:r>
        <w:rPr>
          <w:color w:val="000000" w:themeColor="text1"/>
          <w:szCs w:val="24"/>
          <w:lang w:val="en-GB" w:eastAsia="en-US"/>
        </w:rPr>
        <w:t>Learn Local providers</w:t>
      </w:r>
    </w:p>
    <w:p w14:paraId="0F205DCF" w14:textId="77777777" w:rsidR="00D420DB" w:rsidRDefault="00D420DB" w:rsidP="00D420DB">
      <w:pPr>
        <w:ind w:left="1418"/>
        <w:jc w:val="left"/>
        <w:rPr>
          <w:color w:val="000000" w:themeColor="text1"/>
          <w:szCs w:val="24"/>
          <w:lang w:val="en-GB" w:eastAsia="en-US"/>
        </w:rPr>
      </w:pPr>
      <w:r>
        <w:rPr>
          <w:color w:val="000000" w:themeColor="text1"/>
          <w:szCs w:val="24"/>
          <w:lang w:val="en-GB" w:eastAsia="en-US"/>
        </w:rPr>
        <w:t>State-wide providers</w:t>
      </w:r>
      <w:r w:rsidRPr="00BC23C8">
        <w:rPr>
          <w:color w:val="000000" w:themeColor="text1"/>
          <w:szCs w:val="24"/>
          <w:lang w:val="en-GB" w:eastAsia="en-US"/>
        </w:rPr>
        <w:t xml:space="preserve"> </w:t>
      </w:r>
    </w:p>
    <w:p w14:paraId="67BB98FA" w14:textId="77777777" w:rsidR="00D420DB" w:rsidRPr="00BC23C8" w:rsidRDefault="00D420DB" w:rsidP="00D420DB">
      <w:pPr>
        <w:ind w:left="1418"/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>ACFE Board</w:t>
      </w:r>
    </w:p>
    <w:p w14:paraId="22E8934D" w14:textId="77777777" w:rsidR="00D420DB" w:rsidRPr="00BC23C8" w:rsidRDefault="00D420DB" w:rsidP="00D420DB">
      <w:pPr>
        <w:jc w:val="left"/>
        <w:rPr>
          <w:i/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Pr="00BC23C8">
        <w:rPr>
          <w:color w:val="000000" w:themeColor="text1"/>
          <w:szCs w:val="24"/>
          <w:lang w:val="en-GB" w:eastAsia="en-US"/>
        </w:rPr>
        <w:tab/>
        <w:t>ACFE Regional Councils</w:t>
      </w:r>
    </w:p>
    <w:p w14:paraId="4F67BAB4" w14:textId="77777777" w:rsidR="00D420DB" w:rsidRPr="00BC23C8" w:rsidRDefault="00D420DB" w:rsidP="00D420DB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Pr="00BC23C8">
        <w:rPr>
          <w:color w:val="000000" w:themeColor="text1"/>
          <w:szCs w:val="24"/>
          <w:lang w:val="en-GB" w:eastAsia="en-US"/>
        </w:rPr>
        <w:tab/>
        <w:t xml:space="preserve">PIRE </w:t>
      </w:r>
      <w:r>
        <w:rPr>
          <w:color w:val="000000" w:themeColor="text1"/>
          <w:szCs w:val="24"/>
          <w:lang w:val="en-GB" w:eastAsia="en-US"/>
        </w:rPr>
        <w:t>Branch s</w:t>
      </w:r>
      <w:r w:rsidRPr="00BC23C8">
        <w:rPr>
          <w:color w:val="000000" w:themeColor="text1"/>
          <w:szCs w:val="24"/>
          <w:lang w:val="en-GB" w:eastAsia="en-US"/>
        </w:rPr>
        <w:t>taff</w:t>
      </w:r>
    </w:p>
    <w:p w14:paraId="59725B0A" w14:textId="77777777" w:rsidR="00D420DB" w:rsidRPr="00D26D6A" w:rsidRDefault="00D420DB" w:rsidP="00D420DB">
      <w:pPr>
        <w:spacing w:before="120"/>
        <w:ind w:left="1418" w:hanging="1418"/>
        <w:jc w:val="left"/>
        <w:rPr>
          <w:color w:val="000000" w:themeColor="text1"/>
          <w:szCs w:val="20"/>
          <w:lang w:val="en-GB" w:eastAsia="en-US"/>
        </w:rPr>
      </w:pPr>
      <w:r w:rsidRPr="00D26D6A">
        <w:rPr>
          <w:b/>
          <w:color w:val="000000" w:themeColor="text1"/>
          <w:lang w:val="en-GB" w:eastAsia="en-US"/>
        </w:rPr>
        <w:t>FROM:</w:t>
      </w:r>
      <w:r w:rsidRPr="00D26D6A">
        <w:rPr>
          <w:b/>
          <w:color w:val="000000" w:themeColor="text1"/>
          <w:lang w:val="en-GB" w:eastAsia="en-US"/>
        </w:rPr>
        <w:tab/>
      </w:r>
      <w:r w:rsidRPr="004031B8">
        <w:rPr>
          <w:bCs/>
          <w:color w:val="000000" w:themeColor="text1"/>
          <w:lang w:val="en-GB" w:eastAsia="en-US"/>
        </w:rPr>
        <w:t xml:space="preserve">Edu </w:t>
      </w:r>
      <w:r>
        <w:rPr>
          <w:bCs/>
          <w:color w:val="000000" w:themeColor="text1"/>
          <w:lang w:val="en-GB" w:eastAsia="en-US"/>
        </w:rPr>
        <w:t>d</w:t>
      </w:r>
      <w:r w:rsidRPr="004031B8">
        <w:rPr>
          <w:bCs/>
          <w:color w:val="000000" w:themeColor="text1"/>
          <w:lang w:val="en-GB" w:eastAsia="en-US"/>
        </w:rPr>
        <w:t>e Hue, A/</w:t>
      </w:r>
      <w:r w:rsidRPr="00D26D6A">
        <w:rPr>
          <w:color w:val="000000" w:themeColor="text1"/>
          <w:szCs w:val="24"/>
          <w:lang w:val="en-GB" w:eastAsia="en-US"/>
        </w:rPr>
        <w:t xml:space="preserve">Director </w:t>
      </w:r>
      <w:r w:rsidRPr="00D26D6A">
        <w:rPr>
          <w:color w:val="000000" w:themeColor="text1"/>
          <w:lang w:val="en-GB" w:eastAsia="en-US"/>
        </w:rPr>
        <w:t xml:space="preserve">— </w:t>
      </w:r>
      <w:r w:rsidRPr="00D26D6A">
        <w:rPr>
          <w:color w:val="000000" w:themeColor="text1"/>
          <w:szCs w:val="24"/>
          <w:lang w:val="en-GB" w:eastAsia="en-US"/>
        </w:rPr>
        <w:t>Participation, Inclusion and Regional Engagement Branch</w:t>
      </w:r>
    </w:p>
    <w:p w14:paraId="131B6BB2" w14:textId="2AFA95E7" w:rsidR="00D420DB" w:rsidRPr="00BC23C8" w:rsidRDefault="00D420DB" w:rsidP="00D420DB">
      <w:pPr>
        <w:spacing w:before="120"/>
        <w:jc w:val="left"/>
        <w:rPr>
          <w:color w:val="000000" w:themeColor="text1"/>
          <w:szCs w:val="24"/>
          <w:lang w:val="en-GB" w:eastAsia="en-US"/>
        </w:rPr>
      </w:pPr>
      <w:r w:rsidRPr="00D26D6A">
        <w:rPr>
          <w:b/>
          <w:color w:val="000000" w:themeColor="text1"/>
          <w:lang w:val="en-GB" w:eastAsia="en-US"/>
        </w:rPr>
        <w:t>DATE:</w:t>
      </w:r>
      <w:r w:rsidRPr="00D26D6A">
        <w:rPr>
          <w:b/>
          <w:color w:val="000000" w:themeColor="text1"/>
          <w:lang w:val="en-GB" w:eastAsia="en-US"/>
        </w:rPr>
        <w:tab/>
      </w:r>
      <w:r w:rsidRPr="00D26D6A">
        <w:rPr>
          <w:b/>
          <w:color w:val="000000" w:themeColor="text1"/>
          <w:lang w:val="en-GB" w:eastAsia="en-US"/>
        </w:rPr>
        <w:tab/>
      </w:r>
      <w:r w:rsidR="002A3C5A">
        <w:rPr>
          <w:color w:val="000000" w:themeColor="text1"/>
          <w:lang w:val="en-GB" w:eastAsia="en-US"/>
        </w:rPr>
        <w:t>25 February 2021</w:t>
      </w:r>
    </w:p>
    <w:p w14:paraId="1DFF5612" w14:textId="56482CB0" w:rsidR="00D420DB" w:rsidRDefault="00D420DB" w:rsidP="00D420DB">
      <w:pPr>
        <w:spacing w:before="120"/>
        <w:ind w:left="1440" w:hanging="1440"/>
        <w:jc w:val="left"/>
        <w:rPr>
          <w:b/>
          <w:color w:val="000000" w:themeColor="text1"/>
          <w:lang w:val="en-GB" w:eastAsia="en-US"/>
        </w:rPr>
      </w:pPr>
      <w:r w:rsidRPr="00BC23C8">
        <w:rPr>
          <w:b/>
          <w:color w:val="000000" w:themeColor="text1"/>
          <w:lang w:val="en-GB" w:eastAsia="en-US"/>
        </w:rPr>
        <w:t xml:space="preserve">SUBJECT: </w:t>
      </w:r>
      <w:r w:rsidRPr="00BC23C8">
        <w:rPr>
          <w:b/>
          <w:color w:val="000000" w:themeColor="text1"/>
          <w:lang w:val="en-GB" w:eastAsia="en-US"/>
        </w:rPr>
        <w:tab/>
      </w:r>
      <w:r>
        <w:rPr>
          <w:b/>
          <w:color w:val="000000" w:themeColor="text1"/>
          <w:lang w:val="en-GB" w:eastAsia="en-US"/>
        </w:rPr>
        <w:t>Koorie loading</w:t>
      </w:r>
      <w:r w:rsidR="002A3C5A">
        <w:rPr>
          <w:b/>
          <w:color w:val="000000" w:themeColor="text1"/>
          <w:lang w:val="en-GB" w:eastAsia="en-US"/>
        </w:rPr>
        <w:t xml:space="preserve"> for </w:t>
      </w:r>
      <w:r>
        <w:rPr>
          <w:b/>
          <w:color w:val="000000" w:themeColor="text1"/>
          <w:lang w:val="en-GB" w:eastAsia="en-US"/>
        </w:rPr>
        <w:t xml:space="preserve">pre-accredited training </w:t>
      </w:r>
    </w:p>
    <w:p w14:paraId="6795B22D" w14:textId="77777777" w:rsidR="00D420DB" w:rsidRPr="00D20F04" w:rsidRDefault="00D420DB" w:rsidP="00D420DB">
      <w:pPr>
        <w:pBdr>
          <w:bottom w:val="single" w:sz="4" w:space="1" w:color="auto"/>
        </w:pBdr>
        <w:jc w:val="left"/>
        <w:rPr>
          <w:color w:val="4472C4" w:themeColor="accent1"/>
          <w:sz w:val="10"/>
          <w:lang w:val="en"/>
        </w:rPr>
      </w:pPr>
    </w:p>
    <w:p w14:paraId="74E146AE" w14:textId="49DED7E6" w:rsidR="00D420DB" w:rsidRDefault="00D420DB" w:rsidP="00D420DB">
      <w:pPr>
        <w:spacing w:before="120"/>
        <w:jc w:val="left"/>
        <w:rPr>
          <w:color w:val="2E74B5" w:themeColor="accent5" w:themeShade="BF"/>
          <w:lang w:val="en"/>
        </w:rPr>
      </w:pPr>
      <w:r w:rsidRPr="00BC23C8">
        <w:rPr>
          <w:color w:val="2E74B5" w:themeColor="accent5" w:themeShade="BF"/>
          <w:lang w:val="en"/>
        </w:rPr>
        <w:t>Actions</w:t>
      </w:r>
    </w:p>
    <w:p w14:paraId="4B76EBC2" w14:textId="77777777" w:rsidR="00EC2A88" w:rsidRDefault="00D420DB" w:rsidP="00D420DB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3134A1">
        <w:rPr>
          <w:rFonts w:ascii="Arial" w:hAnsi="Arial"/>
        </w:rPr>
        <w:t xml:space="preserve">Learn Local </w:t>
      </w:r>
      <w:r>
        <w:rPr>
          <w:rFonts w:ascii="Arial" w:hAnsi="Arial"/>
        </w:rPr>
        <w:t xml:space="preserve">providers, AMES Australia and CAE should </w:t>
      </w:r>
      <w:r w:rsidRPr="003134A1">
        <w:rPr>
          <w:rFonts w:ascii="Arial" w:hAnsi="Arial"/>
        </w:rPr>
        <w:t xml:space="preserve">note the </w:t>
      </w:r>
      <w:r w:rsidR="00EC2A88">
        <w:rPr>
          <w:rFonts w:ascii="Arial" w:hAnsi="Arial"/>
        </w:rPr>
        <w:t>introduction of a 1.5 Koorie loading for pre-accredited training.</w:t>
      </w:r>
    </w:p>
    <w:p w14:paraId="2004F728" w14:textId="2B2C6CCD" w:rsidR="00D420DB" w:rsidRDefault="00EC2A88" w:rsidP="00D420DB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P</w:t>
      </w:r>
      <w:r w:rsidR="00D420DB">
        <w:rPr>
          <w:rFonts w:ascii="Arial" w:hAnsi="Arial"/>
        </w:rPr>
        <w:t xml:space="preserve">ayment processing arrangements </w:t>
      </w:r>
      <w:r w:rsidR="00D420DB" w:rsidRPr="003134A1">
        <w:rPr>
          <w:rFonts w:ascii="Arial" w:hAnsi="Arial"/>
        </w:rPr>
        <w:t xml:space="preserve">for </w:t>
      </w:r>
      <w:r>
        <w:rPr>
          <w:rFonts w:ascii="Arial" w:hAnsi="Arial"/>
        </w:rPr>
        <w:t>the 1.5 Koorie loading</w:t>
      </w:r>
      <w:r w:rsidR="00D420DB" w:rsidRPr="003134A1">
        <w:rPr>
          <w:rFonts w:ascii="Arial" w:hAnsi="Arial"/>
        </w:rPr>
        <w:t xml:space="preserve"> a</w:t>
      </w:r>
      <w:r>
        <w:rPr>
          <w:rFonts w:ascii="Arial" w:hAnsi="Arial"/>
        </w:rPr>
        <w:t xml:space="preserve">re </w:t>
      </w:r>
      <w:r w:rsidR="00D420DB" w:rsidRPr="003134A1">
        <w:rPr>
          <w:rFonts w:ascii="Arial" w:hAnsi="Arial"/>
        </w:rPr>
        <w:t xml:space="preserve">outlined below. </w:t>
      </w:r>
    </w:p>
    <w:p w14:paraId="7B0A9D05" w14:textId="6EB2F43D" w:rsidR="00D420DB" w:rsidRPr="00AB627C" w:rsidRDefault="00D420DB" w:rsidP="00AB627C">
      <w:pPr>
        <w:pStyle w:val="ListParagraph"/>
        <w:numPr>
          <w:ilvl w:val="0"/>
          <w:numId w:val="1"/>
        </w:numPr>
        <w:spacing w:after="0"/>
        <w:rPr>
          <w:rFonts w:ascii="Arial" w:hAnsi="Arial"/>
        </w:rPr>
      </w:pPr>
      <w:bookmarkStart w:id="0" w:name="_Hlk64643041"/>
      <w:r>
        <w:rPr>
          <w:rFonts w:ascii="Arial" w:hAnsi="Arial"/>
        </w:rPr>
        <w:t>All providers are reminded that reporting of data in SVTS is critical for processing of payments and should ensure data is uploaded by</w:t>
      </w:r>
      <w:r w:rsidR="007426AA">
        <w:rPr>
          <w:rFonts w:ascii="Arial" w:hAnsi="Arial"/>
        </w:rPr>
        <w:t xml:space="preserve"> 30 March</w:t>
      </w:r>
      <w:r>
        <w:rPr>
          <w:rFonts w:ascii="Arial" w:hAnsi="Arial"/>
        </w:rPr>
        <w:t xml:space="preserve"> to ensure payment processing.</w:t>
      </w:r>
      <w:bookmarkEnd w:id="0"/>
    </w:p>
    <w:p w14:paraId="32BBC4C7" w14:textId="6878D604" w:rsidR="00D420DB" w:rsidRDefault="00D420DB" w:rsidP="00D420DB">
      <w:pPr>
        <w:pBdr>
          <w:top w:val="single" w:sz="4" w:space="1" w:color="auto"/>
        </w:pBdr>
        <w:jc w:val="left"/>
        <w:rPr>
          <w:rFonts w:asciiTheme="majorHAnsi" w:hAnsiTheme="majorHAnsi" w:cstheme="majorHAnsi"/>
          <w:color w:val="auto"/>
          <w:sz w:val="10"/>
          <w:lang w:val="en"/>
        </w:rPr>
      </w:pPr>
    </w:p>
    <w:p w14:paraId="1C37047E" w14:textId="7517D472" w:rsidR="00D420DB" w:rsidRPr="00AB627C" w:rsidRDefault="00EC2A88" w:rsidP="00AB627C">
      <w:pPr>
        <w:tabs>
          <w:tab w:val="left" w:pos="1080"/>
          <w:tab w:val="left" w:pos="9356"/>
        </w:tabs>
        <w:spacing w:beforeLines="60" w:before="144" w:after="120"/>
        <w:ind w:right="397"/>
        <w:rPr>
          <w:color w:val="2E74B5" w:themeColor="accent5" w:themeShade="BF"/>
          <w:lang w:val="en"/>
        </w:rPr>
      </w:pPr>
      <w:r>
        <w:rPr>
          <w:color w:val="2E74B5" w:themeColor="accent5" w:themeShade="BF"/>
          <w:lang w:val="en"/>
        </w:rPr>
        <w:t>Koorie loading for pre-accredited training</w:t>
      </w:r>
    </w:p>
    <w:p w14:paraId="264B6432" w14:textId="40FCEBF1" w:rsidR="00161F75" w:rsidRDefault="00B000F2" w:rsidP="009D0934">
      <w:pPr>
        <w:tabs>
          <w:tab w:val="left" w:pos="1080"/>
          <w:tab w:val="left" w:pos="9356"/>
        </w:tabs>
        <w:spacing w:beforeLines="60" w:before="144" w:after="120"/>
        <w:ind w:right="397"/>
        <w:rPr>
          <w:color w:val="auto"/>
        </w:rPr>
      </w:pPr>
      <w:r w:rsidRPr="00161F75">
        <w:rPr>
          <w:color w:val="auto"/>
        </w:rPr>
        <w:t>A 1</w:t>
      </w:r>
      <w:r w:rsidRPr="00AB627C">
        <w:rPr>
          <w:color w:val="auto"/>
        </w:rPr>
        <w:t>.</w:t>
      </w:r>
      <w:r w:rsidRPr="00B000F2">
        <w:rPr>
          <w:color w:val="auto"/>
        </w:rPr>
        <w:t xml:space="preserve">5 Koorie loading </w:t>
      </w:r>
      <w:r w:rsidR="00C77D97">
        <w:rPr>
          <w:color w:val="auto"/>
        </w:rPr>
        <w:t xml:space="preserve">is being introduced </w:t>
      </w:r>
      <w:r w:rsidR="003542C0">
        <w:rPr>
          <w:color w:val="auto"/>
        </w:rPr>
        <w:t>in 2021</w:t>
      </w:r>
      <w:r w:rsidR="00161F75">
        <w:rPr>
          <w:color w:val="auto"/>
        </w:rPr>
        <w:t xml:space="preserve"> </w:t>
      </w:r>
      <w:r w:rsidR="00161F75" w:rsidRPr="00161F75">
        <w:rPr>
          <w:color w:val="auto"/>
        </w:rPr>
        <w:t>to improve supports to enable increased engagement of Koorie learners</w:t>
      </w:r>
      <w:r w:rsidR="00161F75">
        <w:rPr>
          <w:color w:val="auto"/>
        </w:rPr>
        <w:t>.</w:t>
      </w:r>
    </w:p>
    <w:p w14:paraId="7A7F6101" w14:textId="6DE5DC90" w:rsidR="009D0934" w:rsidRPr="00C77D97" w:rsidRDefault="00C77D97" w:rsidP="009D0934">
      <w:pPr>
        <w:tabs>
          <w:tab w:val="left" w:pos="1080"/>
          <w:tab w:val="left" w:pos="9356"/>
        </w:tabs>
        <w:spacing w:beforeLines="60" w:before="144" w:after="120"/>
        <w:ind w:right="397"/>
        <w:rPr>
          <w:color w:val="auto"/>
        </w:rPr>
      </w:pPr>
      <w:r>
        <w:rPr>
          <w:color w:val="auto"/>
        </w:rPr>
        <w:t>The Koorie loading aims to increase engagement of Koorie learners in pre-accredited training and support Koorie communities.</w:t>
      </w:r>
    </w:p>
    <w:p w14:paraId="61E4ACA3" w14:textId="76B01A1C" w:rsidR="00B000F2" w:rsidRPr="002A0734" w:rsidRDefault="00B000F2" w:rsidP="009D0934">
      <w:pPr>
        <w:tabs>
          <w:tab w:val="left" w:pos="1080"/>
          <w:tab w:val="left" w:pos="9356"/>
        </w:tabs>
        <w:spacing w:beforeLines="60" w:before="144" w:after="120"/>
        <w:ind w:right="397"/>
        <w:rPr>
          <w:rFonts w:eastAsiaTheme="minorHAnsi"/>
          <w:color w:val="auto"/>
          <w:lang w:val="en-GB" w:eastAsia="en-US"/>
        </w:rPr>
      </w:pPr>
      <w:r>
        <w:rPr>
          <w:rFonts w:eastAsiaTheme="minorHAnsi"/>
          <w:color w:val="auto"/>
          <w:lang w:val="en-GB" w:eastAsia="en-US"/>
        </w:rPr>
        <w:t xml:space="preserve">The 1.5 loading will be calculated by adding the $4.55 loading to the $9.10 base rate for each </w:t>
      </w:r>
      <w:r w:rsidRPr="002A0734">
        <w:rPr>
          <w:rFonts w:eastAsiaTheme="minorHAnsi"/>
          <w:color w:val="auto"/>
          <w:lang w:val="en-GB" w:eastAsia="en-US"/>
        </w:rPr>
        <w:t>eligible learner</w:t>
      </w:r>
      <w:r w:rsidR="005211F4">
        <w:rPr>
          <w:rFonts w:eastAsiaTheme="minorHAnsi"/>
          <w:color w:val="auto"/>
          <w:lang w:val="en-GB" w:eastAsia="en-US"/>
        </w:rPr>
        <w:t>.</w:t>
      </w:r>
      <w:r w:rsidR="00AB627C">
        <w:rPr>
          <w:rFonts w:eastAsiaTheme="minorHAnsi"/>
          <w:color w:val="auto"/>
          <w:lang w:val="en-GB" w:eastAsia="en-US"/>
        </w:rPr>
        <w:t xml:space="preserve">  </w:t>
      </w:r>
      <w:r w:rsidR="005211F4">
        <w:rPr>
          <w:rFonts w:eastAsiaTheme="minorHAnsi"/>
          <w:color w:val="auto"/>
          <w:lang w:val="en-GB" w:eastAsia="en-US"/>
        </w:rPr>
        <w:t xml:space="preserve">Each learner who identifies as </w:t>
      </w:r>
      <w:r w:rsidR="00336E9B">
        <w:rPr>
          <w:rFonts w:eastAsiaTheme="minorHAnsi"/>
          <w:color w:val="auto"/>
          <w:lang w:val="en-GB" w:eastAsia="en-US"/>
        </w:rPr>
        <w:t>I</w:t>
      </w:r>
      <w:r w:rsidR="00067444">
        <w:rPr>
          <w:rFonts w:eastAsiaTheme="minorHAnsi"/>
          <w:color w:val="auto"/>
          <w:lang w:val="en-GB" w:eastAsia="en-US"/>
        </w:rPr>
        <w:t>ndigenous</w:t>
      </w:r>
      <w:r w:rsidR="005211F4">
        <w:rPr>
          <w:rFonts w:eastAsiaTheme="minorHAnsi"/>
          <w:color w:val="auto"/>
          <w:lang w:val="en-GB" w:eastAsia="en-US"/>
        </w:rPr>
        <w:t xml:space="preserve"> will therefore be subsidised at the rate of </w:t>
      </w:r>
      <w:r w:rsidRPr="005211F4">
        <w:rPr>
          <w:rFonts w:eastAsiaTheme="minorHAnsi"/>
          <w:b/>
          <w:bCs/>
          <w:color w:val="auto"/>
          <w:lang w:val="en-GB" w:eastAsia="en-US"/>
        </w:rPr>
        <w:t>$13.65</w:t>
      </w:r>
      <w:r w:rsidRPr="002A0734">
        <w:rPr>
          <w:rFonts w:eastAsiaTheme="minorHAnsi"/>
          <w:color w:val="auto"/>
          <w:lang w:val="en-GB" w:eastAsia="en-US"/>
        </w:rPr>
        <w:t xml:space="preserve"> per </w:t>
      </w:r>
      <w:r w:rsidR="005211F4">
        <w:rPr>
          <w:rFonts w:eastAsiaTheme="minorHAnsi"/>
          <w:color w:val="auto"/>
          <w:lang w:val="en-GB" w:eastAsia="en-US"/>
        </w:rPr>
        <w:t>student contact hour</w:t>
      </w:r>
      <w:r w:rsidRPr="002A0734">
        <w:rPr>
          <w:rFonts w:eastAsiaTheme="minorHAnsi"/>
          <w:color w:val="auto"/>
          <w:lang w:val="en-GB" w:eastAsia="en-US"/>
        </w:rPr>
        <w:t>.</w:t>
      </w:r>
    </w:p>
    <w:p w14:paraId="77ADC748" w14:textId="00365DF8" w:rsidR="005211F4" w:rsidRPr="005211F4" w:rsidRDefault="009A337A" w:rsidP="009D0934">
      <w:pPr>
        <w:tabs>
          <w:tab w:val="left" w:pos="1080"/>
          <w:tab w:val="left" w:pos="9356"/>
        </w:tabs>
        <w:spacing w:beforeLines="60" w:before="144" w:after="120"/>
        <w:ind w:right="397"/>
        <w:rPr>
          <w:rFonts w:eastAsiaTheme="minorHAnsi"/>
          <w:color w:val="auto"/>
          <w:lang w:val="en-GB" w:eastAsia="en-US"/>
        </w:rPr>
      </w:pPr>
      <w:r>
        <w:rPr>
          <w:rFonts w:eastAsiaTheme="minorHAnsi"/>
          <w:color w:val="auto"/>
          <w:lang w:val="en-GB" w:eastAsia="en-US"/>
        </w:rPr>
        <w:t>A r</w:t>
      </w:r>
      <w:r w:rsidR="002A0734">
        <w:rPr>
          <w:rFonts w:eastAsiaTheme="minorHAnsi"/>
          <w:color w:val="auto"/>
          <w:lang w:val="en-GB" w:eastAsia="en-US"/>
        </w:rPr>
        <w:t>egional l</w:t>
      </w:r>
      <w:r w:rsidR="00C77D97" w:rsidRPr="00C77D97">
        <w:rPr>
          <w:rFonts w:eastAsiaTheme="minorHAnsi"/>
          <w:color w:val="auto"/>
          <w:lang w:val="en-GB" w:eastAsia="en-US"/>
        </w:rPr>
        <w:t>oading</w:t>
      </w:r>
      <w:r w:rsidR="002A0734">
        <w:rPr>
          <w:rFonts w:eastAsiaTheme="minorHAnsi"/>
          <w:color w:val="auto"/>
          <w:lang w:val="en-GB" w:eastAsia="en-US"/>
        </w:rPr>
        <w:t xml:space="preserve"> will </w:t>
      </w:r>
      <w:r w:rsidR="007E295C">
        <w:rPr>
          <w:rFonts w:eastAsiaTheme="minorHAnsi"/>
          <w:color w:val="auto"/>
          <w:lang w:val="en-GB" w:eastAsia="en-US"/>
        </w:rPr>
        <w:t xml:space="preserve">still </w:t>
      </w:r>
      <w:r w:rsidR="002A0734">
        <w:rPr>
          <w:rFonts w:eastAsiaTheme="minorHAnsi"/>
          <w:color w:val="auto"/>
          <w:lang w:val="en-GB" w:eastAsia="en-US"/>
        </w:rPr>
        <w:t xml:space="preserve">be applied </w:t>
      </w:r>
      <w:r>
        <w:rPr>
          <w:rFonts w:eastAsiaTheme="minorHAnsi"/>
          <w:color w:val="auto"/>
          <w:lang w:val="en-GB" w:eastAsia="en-US"/>
        </w:rPr>
        <w:t>in addition to</w:t>
      </w:r>
      <w:r w:rsidR="002A0734">
        <w:rPr>
          <w:rFonts w:eastAsiaTheme="minorHAnsi"/>
          <w:color w:val="auto"/>
          <w:lang w:val="en-GB" w:eastAsia="en-US"/>
        </w:rPr>
        <w:t xml:space="preserve"> the Koorie loading</w:t>
      </w:r>
      <w:r w:rsidR="00390A77">
        <w:rPr>
          <w:rFonts w:eastAsiaTheme="minorHAnsi"/>
          <w:color w:val="auto"/>
          <w:lang w:val="en-GB" w:eastAsia="en-US"/>
        </w:rPr>
        <w:t xml:space="preserve"> </w:t>
      </w:r>
      <w:r>
        <w:rPr>
          <w:rFonts w:eastAsiaTheme="minorHAnsi"/>
          <w:color w:val="auto"/>
          <w:lang w:val="en-GB" w:eastAsia="en-US"/>
        </w:rPr>
        <w:t>for reported pre-accredited training delivery in identified postcodes</w:t>
      </w:r>
      <w:r w:rsidR="00C77D97" w:rsidRPr="00C77D97">
        <w:rPr>
          <w:rFonts w:eastAsiaTheme="minorHAnsi"/>
          <w:color w:val="auto"/>
          <w:lang w:val="en-GB" w:eastAsia="en-US"/>
        </w:rPr>
        <w:t>.</w:t>
      </w:r>
      <w:r w:rsidR="002A0734">
        <w:rPr>
          <w:rFonts w:eastAsiaTheme="minorHAnsi"/>
          <w:color w:val="auto"/>
          <w:lang w:val="en-GB" w:eastAsia="en-US"/>
        </w:rPr>
        <w:t xml:space="preserve">  </w:t>
      </w:r>
    </w:p>
    <w:p w14:paraId="565D30C3" w14:textId="77777777" w:rsidR="00225D1D" w:rsidRDefault="00225D1D" w:rsidP="009D0934">
      <w:pPr>
        <w:tabs>
          <w:tab w:val="left" w:pos="1080"/>
          <w:tab w:val="left" w:pos="9356"/>
        </w:tabs>
        <w:spacing w:beforeLines="60" w:before="144" w:after="120"/>
        <w:ind w:right="397"/>
        <w:rPr>
          <w:color w:val="2E74B5" w:themeColor="accent5" w:themeShade="BF"/>
          <w:lang w:val="en"/>
        </w:rPr>
      </w:pPr>
      <w:r>
        <w:rPr>
          <w:color w:val="2E74B5" w:themeColor="accent5" w:themeShade="BF"/>
          <w:lang w:val="en"/>
        </w:rPr>
        <w:t>Koorie loading payment processing timeframes</w:t>
      </w:r>
    </w:p>
    <w:p w14:paraId="100D68D3" w14:textId="120C461B" w:rsidR="003542C0" w:rsidRDefault="00DB1190" w:rsidP="009D0934">
      <w:pPr>
        <w:tabs>
          <w:tab w:val="left" w:pos="1080"/>
          <w:tab w:val="left" w:pos="9356"/>
        </w:tabs>
        <w:spacing w:beforeLines="60" w:before="144" w:after="120"/>
        <w:ind w:right="397"/>
        <w:rPr>
          <w:rFonts w:eastAsiaTheme="minorHAnsi"/>
          <w:color w:val="auto"/>
          <w:lang w:val="en-GB" w:eastAsia="en-US"/>
        </w:rPr>
      </w:pPr>
      <w:r>
        <w:rPr>
          <w:rFonts w:eastAsiaTheme="minorHAnsi"/>
          <w:color w:val="auto"/>
          <w:lang w:val="en-GB" w:eastAsia="en-US"/>
        </w:rPr>
        <w:t>Learn Local providers must ensure that Koorie learner enrolments are reported in SVTS to ensure payment processing.</w:t>
      </w:r>
    </w:p>
    <w:p w14:paraId="3183D308" w14:textId="113FF26B" w:rsidR="00A63306" w:rsidRDefault="009D0934" w:rsidP="009D0934">
      <w:pPr>
        <w:tabs>
          <w:tab w:val="left" w:pos="1080"/>
          <w:tab w:val="left" w:pos="9356"/>
        </w:tabs>
        <w:spacing w:beforeLines="60" w:before="144" w:after="120"/>
        <w:ind w:right="397"/>
        <w:rPr>
          <w:color w:val="000000"/>
        </w:rPr>
      </w:pPr>
      <w:r w:rsidRPr="009D0934">
        <w:rPr>
          <w:rFonts w:eastAsiaTheme="minorHAnsi"/>
          <w:color w:val="auto"/>
          <w:lang w:val="en-GB" w:eastAsia="en-US"/>
        </w:rPr>
        <w:t xml:space="preserve">The first </w:t>
      </w:r>
      <w:r w:rsidR="00225D1D">
        <w:rPr>
          <w:rFonts w:eastAsiaTheme="minorHAnsi"/>
          <w:color w:val="auto"/>
          <w:lang w:val="en-GB" w:eastAsia="en-US"/>
        </w:rPr>
        <w:t xml:space="preserve">Koorie </w:t>
      </w:r>
      <w:r w:rsidRPr="009D0934">
        <w:rPr>
          <w:rFonts w:eastAsiaTheme="minorHAnsi"/>
          <w:color w:val="auto"/>
          <w:lang w:val="en-GB" w:eastAsia="en-US"/>
        </w:rPr>
        <w:t>loading payment will be</w:t>
      </w:r>
      <w:r w:rsidR="00A63306">
        <w:rPr>
          <w:rFonts w:eastAsiaTheme="minorHAnsi"/>
          <w:color w:val="auto"/>
          <w:lang w:val="en-GB" w:eastAsia="en-US"/>
        </w:rPr>
        <w:t xml:space="preserve"> processed</w:t>
      </w:r>
      <w:r w:rsidRPr="009D0934">
        <w:rPr>
          <w:rFonts w:eastAsiaTheme="minorHAnsi"/>
          <w:color w:val="auto"/>
          <w:lang w:val="en-GB" w:eastAsia="en-US"/>
        </w:rPr>
        <w:t xml:space="preserve"> </w:t>
      </w:r>
      <w:r w:rsidR="00A63306">
        <w:rPr>
          <w:rFonts w:eastAsiaTheme="minorHAnsi"/>
          <w:color w:val="auto"/>
          <w:lang w:val="en-GB" w:eastAsia="en-US"/>
        </w:rPr>
        <w:t xml:space="preserve">based on a </w:t>
      </w:r>
      <w:r w:rsidR="00A63306" w:rsidRPr="008B1023">
        <w:rPr>
          <w:color w:val="000000"/>
        </w:rPr>
        <w:t xml:space="preserve">census of Koorie </w:t>
      </w:r>
      <w:r w:rsidR="003542C0">
        <w:rPr>
          <w:color w:val="000000"/>
        </w:rPr>
        <w:t>learner enrolments reported in SVTS</w:t>
      </w:r>
      <w:r w:rsidR="00A63306" w:rsidRPr="008B1023">
        <w:rPr>
          <w:color w:val="000000"/>
        </w:rPr>
        <w:t xml:space="preserve"> as at </w:t>
      </w:r>
      <w:r w:rsidR="00372832">
        <w:rPr>
          <w:color w:val="000000"/>
        </w:rPr>
        <w:t xml:space="preserve">30 </w:t>
      </w:r>
      <w:r w:rsidR="007E295C">
        <w:rPr>
          <w:color w:val="000000"/>
        </w:rPr>
        <w:t>March</w:t>
      </w:r>
      <w:r w:rsidR="00A63306">
        <w:rPr>
          <w:color w:val="000000"/>
        </w:rPr>
        <w:t xml:space="preserve"> 2021.</w:t>
      </w:r>
    </w:p>
    <w:p w14:paraId="2CB9BBFF" w14:textId="267E4E8F" w:rsidR="00A63306" w:rsidRDefault="00C77D97" w:rsidP="009D0934">
      <w:pPr>
        <w:tabs>
          <w:tab w:val="left" w:pos="1080"/>
          <w:tab w:val="left" w:pos="9356"/>
        </w:tabs>
        <w:spacing w:beforeLines="60" w:before="144" w:after="120"/>
        <w:ind w:right="397"/>
        <w:rPr>
          <w:color w:val="000000"/>
        </w:rPr>
      </w:pPr>
      <w:r>
        <w:rPr>
          <w:color w:val="000000"/>
        </w:rPr>
        <w:t>A s</w:t>
      </w:r>
      <w:r w:rsidR="00A63306">
        <w:rPr>
          <w:color w:val="000000"/>
        </w:rPr>
        <w:t xml:space="preserve">ubsequent payment will be processed based on a census of Koorie </w:t>
      </w:r>
      <w:r w:rsidR="003542C0">
        <w:rPr>
          <w:color w:val="000000"/>
        </w:rPr>
        <w:t>learner enrolments reported in SVTS</w:t>
      </w:r>
      <w:r w:rsidR="00A63306">
        <w:rPr>
          <w:color w:val="000000"/>
        </w:rPr>
        <w:t xml:space="preserve"> as </w:t>
      </w:r>
      <w:r w:rsidR="00A63306" w:rsidRPr="00336E9B">
        <w:rPr>
          <w:color w:val="000000"/>
        </w:rPr>
        <w:t xml:space="preserve">at </w:t>
      </w:r>
      <w:r w:rsidR="00372832" w:rsidRPr="00336E9B">
        <w:rPr>
          <w:color w:val="000000"/>
        </w:rPr>
        <w:t xml:space="preserve">30 </w:t>
      </w:r>
      <w:r w:rsidR="00390A77" w:rsidRPr="00336E9B">
        <w:rPr>
          <w:color w:val="000000"/>
        </w:rPr>
        <w:t>September</w:t>
      </w:r>
      <w:r w:rsidR="00372832">
        <w:rPr>
          <w:color w:val="000000"/>
        </w:rPr>
        <w:t xml:space="preserve"> </w:t>
      </w:r>
      <w:r w:rsidR="00A63306">
        <w:rPr>
          <w:color w:val="000000"/>
        </w:rPr>
        <w:t xml:space="preserve">2021, to capture any </w:t>
      </w:r>
      <w:r w:rsidR="00A63306" w:rsidRPr="00C77D97">
        <w:rPr>
          <w:color w:val="000000"/>
        </w:rPr>
        <w:t xml:space="preserve">enrolled hours not paid </w:t>
      </w:r>
      <w:r w:rsidR="00372832">
        <w:rPr>
          <w:color w:val="000000"/>
        </w:rPr>
        <w:t xml:space="preserve">in first </w:t>
      </w:r>
      <w:r w:rsidR="00A63306" w:rsidRPr="00C77D97">
        <w:rPr>
          <w:color w:val="000000"/>
        </w:rPr>
        <w:t>Census.</w:t>
      </w:r>
    </w:p>
    <w:p w14:paraId="43BBB30E" w14:textId="5A859636" w:rsidR="00FF3920" w:rsidRDefault="00FF3920" w:rsidP="00A63306">
      <w:pPr>
        <w:rPr>
          <w:color w:val="000000"/>
        </w:rPr>
      </w:pPr>
      <w:r>
        <w:rPr>
          <w:color w:val="000000"/>
        </w:rPr>
        <w:t xml:space="preserve">Learn Local providers should refer to the </w:t>
      </w:r>
      <w:hyperlink r:id="rId7" w:history="1">
        <w:r>
          <w:rPr>
            <w:rStyle w:val="Hyperlink"/>
            <w:rFonts w:cs="Arial"/>
          </w:rPr>
          <w:t xml:space="preserve">Victorian VET Student Statistical Collection Guidelines 2021 </w:t>
        </w:r>
      </w:hyperlink>
      <w:r w:rsidRPr="00FF3920">
        <w:rPr>
          <w:color w:val="000000"/>
        </w:rPr>
        <w:t xml:space="preserve"> </w:t>
      </w:r>
      <w:r>
        <w:rPr>
          <w:color w:val="000000"/>
        </w:rPr>
        <w:t>for information on the Indigenous Status Identifier, regarding learner self-identification.</w:t>
      </w:r>
    </w:p>
    <w:p w14:paraId="12B52C81" w14:textId="77777777" w:rsidR="00D420DB" w:rsidRPr="00BC23C8" w:rsidRDefault="00D420DB" w:rsidP="00AB627C">
      <w:pPr>
        <w:tabs>
          <w:tab w:val="left" w:pos="1080"/>
          <w:tab w:val="left" w:pos="9356"/>
        </w:tabs>
        <w:spacing w:beforeLines="60" w:before="144" w:after="120"/>
        <w:ind w:right="397"/>
        <w:rPr>
          <w:color w:val="2E74B5" w:themeColor="accent5" w:themeShade="BF"/>
          <w:lang w:val="en"/>
        </w:rPr>
      </w:pPr>
      <w:r>
        <w:rPr>
          <w:color w:val="2E74B5" w:themeColor="accent5" w:themeShade="BF"/>
          <w:lang w:val="en"/>
        </w:rPr>
        <w:t>Contact details</w:t>
      </w:r>
    </w:p>
    <w:p w14:paraId="7B130182" w14:textId="77777777" w:rsidR="00D420DB" w:rsidRDefault="00D420DB" w:rsidP="00AB627C">
      <w:pPr>
        <w:tabs>
          <w:tab w:val="left" w:pos="1080"/>
          <w:tab w:val="left" w:pos="9356"/>
        </w:tabs>
        <w:spacing w:beforeLines="60" w:before="144" w:after="120"/>
        <w:ind w:right="397"/>
        <w:rPr>
          <w:color w:val="000000" w:themeColor="text1"/>
          <w:lang w:val="en"/>
        </w:rPr>
      </w:pPr>
      <w:r w:rsidRPr="00AB627C">
        <w:rPr>
          <w:color w:val="auto"/>
          <w:lang w:val="en"/>
        </w:rPr>
        <w:t xml:space="preserve">If you </w:t>
      </w:r>
      <w:r>
        <w:rPr>
          <w:color w:val="000000" w:themeColor="text1"/>
          <w:lang w:val="en"/>
        </w:rPr>
        <w:t>have any questions, please contact your regional office.</w:t>
      </w:r>
    </w:p>
    <w:p w14:paraId="232DDD9A" w14:textId="77777777" w:rsidR="00D420DB" w:rsidRDefault="00D420DB" w:rsidP="00D420DB">
      <w:pPr>
        <w:jc w:val="left"/>
        <w:rPr>
          <w:color w:val="000000" w:themeColor="text1"/>
          <w:lang w:val="en"/>
        </w:rPr>
      </w:pPr>
    </w:p>
    <w:tbl>
      <w:tblPr>
        <w:tblW w:w="4725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2479"/>
        <w:gridCol w:w="2070"/>
        <w:gridCol w:w="2340"/>
      </w:tblGrid>
      <w:tr w:rsidR="00D420DB" w:rsidRPr="00383D4A" w14:paraId="26122363" w14:textId="77777777" w:rsidTr="008078B5">
        <w:trPr>
          <w:trHeight w:val="374"/>
        </w:trPr>
        <w:tc>
          <w:tcPr>
            <w:tcW w:w="1323" w:type="pct"/>
            <w:shd w:val="clear" w:color="auto" w:fill="4472C4" w:themeFill="accent1"/>
          </w:tcPr>
          <w:p w14:paraId="319B1CB6" w14:textId="77777777" w:rsidR="00D420DB" w:rsidRPr="00383D4A" w:rsidRDefault="00D420DB" w:rsidP="008078B5">
            <w:pPr>
              <w:spacing w:before="40" w:after="40"/>
              <w:ind w:left="142" w:right="142"/>
              <w:jc w:val="left"/>
              <w:rPr>
                <w:b/>
                <w:color w:val="FFFFFF" w:themeColor="background1"/>
              </w:rPr>
            </w:pPr>
            <w:r w:rsidRPr="00383D4A">
              <w:rPr>
                <w:b/>
                <w:color w:val="FFFFFF" w:themeColor="background1"/>
              </w:rPr>
              <w:t>North Western Victoria Region</w:t>
            </w:r>
          </w:p>
        </w:tc>
        <w:tc>
          <w:tcPr>
            <w:tcW w:w="1323" w:type="pct"/>
            <w:shd w:val="clear" w:color="auto" w:fill="4472C4" w:themeFill="accent1"/>
          </w:tcPr>
          <w:p w14:paraId="26A93BB3" w14:textId="77777777" w:rsidR="00D420DB" w:rsidRPr="00383D4A" w:rsidRDefault="00D420DB" w:rsidP="008078B5">
            <w:pPr>
              <w:spacing w:before="40" w:after="40"/>
              <w:ind w:left="142" w:right="142"/>
              <w:jc w:val="left"/>
              <w:rPr>
                <w:b/>
                <w:color w:val="FFFFFF" w:themeColor="background1"/>
              </w:rPr>
            </w:pPr>
            <w:r w:rsidRPr="00383D4A">
              <w:rPr>
                <w:b/>
                <w:color w:val="FFFFFF" w:themeColor="background1"/>
              </w:rPr>
              <w:t>North Eastern Victoria Region</w:t>
            </w:r>
          </w:p>
        </w:tc>
        <w:tc>
          <w:tcPr>
            <w:tcW w:w="1105" w:type="pct"/>
            <w:shd w:val="clear" w:color="auto" w:fill="4472C4" w:themeFill="accent1"/>
          </w:tcPr>
          <w:p w14:paraId="456403BD" w14:textId="77777777" w:rsidR="00D420DB" w:rsidRPr="00383D4A" w:rsidRDefault="00D420DB" w:rsidP="008078B5">
            <w:pPr>
              <w:spacing w:before="40" w:after="40"/>
              <w:ind w:left="142" w:right="142"/>
              <w:jc w:val="left"/>
              <w:rPr>
                <w:b/>
                <w:color w:val="FFFFFF" w:themeColor="background1"/>
              </w:rPr>
            </w:pPr>
            <w:r w:rsidRPr="00383D4A">
              <w:rPr>
                <w:b/>
                <w:color w:val="FFFFFF" w:themeColor="background1"/>
              </w:rPr>
              <w:t>South Eastern Victoria Region</w:t>
            </w:r>
          </w:p>
        </w:tc>
        <w:tc>
          <w:tcPr>
            <w:tcW w:w="1250" w:type="pct"/>
            <w:shd w:val="clear" w:color="auto" w:fill="4472C4" w:themeFill="accent1"/>
          </w:tcPr>
          <w:p w14:paraId="28F04EF7" w14:textId="77777777" w:rsidR="00D420DB" w:rsidRPr="00383D4A" w:rsidRDefault="00D420DB" w:rsidP="008078B5">
            <w:pPr>
              <w:spacing w:before="40" w:after="40"/>
              <w:ind w:left="142" w:right="142"/>
              <w:jc w:val="left"/>
              <w:rPr>
                <w:b/>
                <w:color w:val="FFFFFF" w:themeColor="background1"/>
              </w:rPr>
            </w:pPr>
            <w:r w:rsidRPr="00383D4A">
              <w:rPr>
                <w:b/>
                <w:color w:val="FFFFFF" w:themeColor="background1"/>
              </w:rPr>
              <w:t>South Western Victoria Region</w:t>
            </w:r>
          </w:p>
        </w:tc>
      </w:tr>
      <w:tr w:rsidR="00D420DB" w:rsidRPr="00383D4A" w14:paraId="3C670485" w14:textId="77777777" w:rsidTr="008078B5">
        <w:trPr>
          <w:trHeight w:val="374"/>
        </w:trPr>
        <w:tc>
          <w:tcPr>
            <w:tcW w:w="1323" w:type="pct"/>
            <w:shd w:val="clear" w:color="auto" w:fill="F2F2F2" w:themeFill="background1" w:themeFillShade="F2"/>
            <w:vAlign w:val="center"/>
          </w:tcPr>
          <w:p w14:paraId="20E455A6" w14:textId="77777777" w:rsidR="00D420DB" w:rsidRPr="005A2A33" w:rsidRDefault="00D420DB" w:rsidP="008078B5">
            <w:pPr>
              <w:spacing w:before="60" w:after="60"/>
              <w:ind w:left="142" w:right="142"/>
              <w:contextualSpacing/>
              <w:jc w:val="left"/>
              <w:rPr>
                <w:color w:val="000000" w:themeColor="text1"/>
              </w:rPr>
            </w:pPr>
            <w:r w:rsidRPr="005A2A33">
              <w:rPr>
                <w:color w:val="000000" w:themeColor="text1"/>
              </w:rPr>
              <w:t>Kaye Callaghan</w:t>
            </w:r>
          </w:p>
          <w:p w14:paraId="72B67C1F" w14:textId="77777777" w:rsidR="00D420DB" w:rsidRPr="005A2A33" w:rsidRDefault="00D420DB" w:rsidP="008078B5">
            <w:pPr>
              <w:spacing w:before="60" w:after="60"/>
              <w:ind w:left="142" w:right="142"/>
              <w:jc w:val="left"/>
              <w:rPr>
                <w:color w:val="000000" w:themeColor="text1"/>
                <w:highlight w:val="yellow"/>
              </w:rPr>
            </w:pPr>
            <w:r w:rsidRPr="005A2A33">
              <w:rPr>
                <w:color w:val="000000" w:themeColor="text1"/>
              </w:rPr>
              <w:t>Tel: 4433 7582</w:t>
            </w:r>
          </w:p>
        </w:tc>
        <w:tc>
          <w:tcPr>
            <w:tcW w:w="1323" w:type="pct"/>
            <w:shd w:val="clear" w:color="auto" w:fill="F2F2F2" w:themeFill="background1" w:themeFillShade="F2"/>
            <w:vAlign w:val="center"/>
          </w:tcPr>
          <w:p w14:paraId="5DC4A1A7" w14:textId="77777777" w:rsidR="00D420DB" w:rsidRPr="005A2A33" w:rsidRDefault="00D420DB" w:rsidP="008078B5">
            <w:pPr>
              <w:spacing w:before="60" w:after="60"/>
              <w:ind w:left="142" w:right="142"/>
              <w:contextualSpacing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Julie Hebert</w:t>
            </w:r>
          </w:p>
          <w:p w14:paraId="5B7A6F30" w14:textId="77777777" w:rsidR="00D420DB" w:rsidRPr="005A2A33" w:rsidRDefault="00D420DB" w:rsidP="008078B5">
            <w:pPr>
              <w:spacing w:before="60" w:after="60"/>
              <w:ind w:left="142" w:right="142"/>
              <w:jc w:val="left"/>
              <w:rPr>
                <w:color w:val="000000" w:themeColor="text1"/>
                <w:highlight w:val="yellow"/>
              </w:rPr>
            </w:pPr>
            <w:r w:rsidRPr="005A2A33">
              <w:rPr>
                <w:color w:val="000000" w:themeColor="text1"/>
              </w:rPr>
              <w:t>Tel: 7022 1802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center"/>
          </w:tcPr>
          <w:p w14:paraId="03087762" w14:textId="77777777" w:rsidR="00D420DB" w:rsidRPr="005A2A33" w:rsidRDefault="00D420DB" w:rsidP="008078B5">
            <w:pPr>
              <w:spacing w:before="60" w:after="60"/>
              <w:ind w:left="142" w:right="142"/>
              <w:contextualSpacing/>
              <w:jc w:val="left"/>
              <w:rPr>
                <w:color w:val="000000" w:themeColor="text1"/>
              </w:rPr>
            </w:pPr>
            <w:r w:rsidRPr="005A2A33">
              <w:rPr>
                <w:color w:val="000000" w:themeColor="text1"/>
              </w:rPr>
              <w:t>Robyn Downie</w:t>
            </w:r>
          </w:p>
          <w:p w14:paraId="76D89023" w14:textId="77777777" w:rsidR="00D420DB" w:rsidRPr="005A2A33" w:rsidRDefault="00D420DB" w:rsidP="008078B5">
            <w:pPr>
              <w:spacing w:before="60" w:after="60"/>
              <w:ind w:left="142" w:right="142"/>
              <w:jc w:val="left"/>
              <w:rPr>
                <w:color w:val="000000" w:themeColor="text1"/>
              </w:rPr>
            </w:pPr>
            <w:r w:rsidRPr="005A2A33">
              <w:rPr>
                <w:color w:val="000000" w:themeColor="text1"/>
              </w:rPr>
              <w:t>Tel: 8904 2580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D1E8EFE" w14:textId="77777777" w:rsidR="00D420DB" w:rsidRPr="005A2A33" w:rsidRDefault="00D420DB" w:rsidP="008078B5">
            <w:pPr>
              <w:spacing w:before="60" w:after="60"/>
              <w:ind w:left="142" w:right="142"/>
              <w:contextualSpacing/>
              <w:jc w:val="left"/>
              <w:rPr>
                <w:color w:val="000000" w:themeColor="text1"/>
              </w:rPr>
            </w:pPr>
            <w:r w:rsidRPr="005A2A33">
              <w:rPr>
                <w:color w:val="000000" w:themeColor="text1"/>
              </w:rPr>
              <w:t>Georgina Ryder</w:t>
            </w:r>
          </w:p>
          <w:p w14:paraId="486095FE" w14:textId="77777777" w:rsidR="00D420DB" w:rsidRPr="005A2A33" w:rsidRDefault="00D420DB" w:rsidP="008078B5">
            <w:pPr>
              <w:spacing w:before="60" w:after="60"/>
              <w:ind w:left="142" w:right="142"/>
              <w:jc w:val="left"/>
              <w:rPr>
                <w:color w:val="000000" w:themeColor="text1"/>
              </w:rPr>
            </w:pPr>
            <w:r w:rsidRPr="005A2A33">
              <w:rPr>
                <w:color w:val="000000" w:themeColor="text1"/>
              </w:rPr>
              <w:t>Tel: 5215 5204</w:t>
            </w:r>
          </w:p>
        </w:tc>
      </w:tr>
    </w:tbl>
    <w:p w14:paraId="5FBDE2DD" w14:textId="0D4A40E0" w:rsidR="00D420DB" w:rsidRDefault="00D420DB"/>
    <w:sectPr w:rsidR="00D420DB" w:rsidSect="00AB627C">
      <w:footerReference w:type="first" r:id="rId8"/>
      <w:pgSz w:w="11907" w:h="16840" w:code="9"/>
      <w:pgMar w:top="1134" w:right="992" w:bottom="142" w:left="99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FFB55" w14:textId="77777777" w:rsidR="000C0D06" w:rsidRDefault="000C0D06">
      <w:r>
        <w:separator/>
      </w:r>
    </w:p>
  </w:endnote>
  <w:endnote w:type="continuationSeparator" w:id="0">
    <w:p w14:paraId="5B7DFEC5" w14:textId="77777777" w:rsidR="000C0D06" w:rsidRDefault="000C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269AA" w14:textId="77777777" w:rsidR="006834B9" w:rsidRPr="00DF2A51" w:rsidRDefault="00921530" w:rsidP="00DF2A51">
    <w:pPr>
      <w:pStyle w:val="Footer"/>
      <w:pBdr>
        <w:top w:val="single" w:sz="4" w:space="1" w:color="D9D9D9"/>
      </w:pBdr>
      <w:jc w:val="right"/>
      <w:rPr>
        <w:rFonts w:asciiTheme="minorHAnsi" w:hAnsiTheme="minorHAnsi" w:cstheme="minorHAnsi"/>
        <w:sz w:val="20"/>
      </w:rPr>
    </w:pP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begin"/>
    </w:r>
    <w:r w:rsidRPr="003A5544">
      <w:rPr>
        <w:rFonts w:asciiTheme="minorHAnsi" w:hAnsiTheme="minorHAnsi" w:cstheme="minorHAnsi"/>
        <w:color w:val="808080"/>
        <w:spacing w:val="60"/>
        <w:sz w:val="20"/>
      </w:rPr>
      <w:instrText xml:space="preserve"> PAGE   \* MERGEFORMAT </w:instrText>
    </w: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separate"/>
    </w:r>
    <w:r>
      <w:rPr>
        <w:rFonts w:asciiTheme="minorHAnsi" w:hAnsiTheme="minorHAnsi" w:cstheme="minorHAnsi"/>
        <w:noProof/>
        <w:color w:val="808080"/>
        <w:spacing w:val="60"/>
        <w:sz w:val="20"/>
      </w:rPr>
      <w:t>1</w:t>
    </w: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end"/>
    </w:r>
    <w:r w:rsidRPr="003A5544">
      <w:rPr>
        <w:rFonts w:asciiTheme="minorHAnsi" w:hAnsiTheme="minorHAnsi" w:cstheme="minorHAnsi"/>
        <w:color w:val="808080"/>
        <w:spacing w:val="60"/>
        <w:sz w:val="20"/>
      </w:rPr>
      <w:t>|</w:t>
    </w:r>
    <w:r w:rsidRPr="00DF2A51">
      <w:rPr>
        <w:rFonts w:asciiTheme="minorHAnsi" w:hAnsiTheme="minorHAnsi" w:cstheme="minorHAnsi"/>
        <w:sz w:val="20"/>
      </w:rPr>
      <w:t xml:space="preserve"> </w:t>
    </w:r>
    <w:r w:rsidRPr="00DF2A51">
      <w:rPr>
        <w:rFonts w:asciiTheme="minorHAnsi" w:hAnsiTheme="minorHAnsi" w:cstheme="minorHAnsi"/>
        <w:color w:val="808080"/>
        <w:spacing w:val="60"/>
        <w:sz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F4DDF" w14:textId="77777777" w:rsidR="000C0D06" w:rsidRDefault="000C0D06">
      <w:r>
        <w:separator/>
      </w:r>
    </w:p>
  </w:footnote>
  <w:footnote w:type="continuationSeparator" w:id="0">
    <w:p w14:paraId="715C809E" w14:textId="77777777" w:rsidR="000C0D06" w:rsidRDefault="000C0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037857"/>
    <w:multiLevelType w:val="hybridMultilevel"/>
    <w:tmpl w:val="BAECA4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267574"/>
    <w:multiLevelType w:val="hybridMultilevel"/>
    <w:tmpl w:val="563CC1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DB"/>
    <w:rsid w:val="000266B7"/>
    <w:rsid w:val="00067444"/>
    <w:rsid w:val="000C0D06"/>
    <w:rsid w:val="000C5EA9"/>
    <w:rsid w:val="00132ADD"/>
    <w:rsid w:val="00161F75"/>
    <w:rsid w:val="00177625"/>
    <w:rsid w:val="002108CC"/>
    <w:rsid w:val="00225D1D"/>
    <w:rsid w:val="00291CB6"/>
    <w:rsid w:val="002A0734"/>
    <w:rsid w:val="002A3C5A"/>
    <w:rsid w:val="00336E9B"/>
    <w:rsid w:val="003542C0"/>
    <w:rsid w:val="00372832"/>
    <w:rsid w:val="00390A77"/>
    <w:rsid w:val="004718C9"/>
    <w:rsid w:val="00492112"/>
    <w:rsid w:val="005211F4"/>
    <w:rsid w:val="005B276A"/>
    <w:rsid w:val="005E5EC8"/>
    <w:rsid w:val="00645EB3"/>
    <w:rsid w:val="007426AA"/>
    <w:rsid w:val="007A2C77"/>
    <w:rsid w:val="007B6174"/>
    <w:rsid w:val="007E295C"/>
    <w:rsid w:val="0085651E"/>
    <w:rsid w:val="008B1023"/>
    <w:rsid w:val="00921530"/>
    <w:rsid w:val="009A337A"/>
    <w:rsid w:val="009D0934"/>
    <w:rsid w:val="009D5144"/>
    <w:rsid w:val="00A019DC"/>
    <w:rsid w:val="00A63306"/>
    <w:rsid w:val="00AA11C8"/>
    <w:rsid w:val="00AB627C"/>
    <w:rsid w:val="00B000F2"/>
    <w:rsid w:val="00B56E04"/>
    <w:rsid w:val="00C1436A"/>
    <w:rsid w:val="00C77D97"/>
    <w:rsid w:val="00D12184"/>
    <w:rsid w:val="00D420DB"/>
    <w:rsid w:val="00D46AAB"/>
    <w:rsid w:val="00DB1190"/>
    <w:rsid w:val="00E11071"/>
    <w:rsid w:val="00E43B3D"/>
    <w:rsid w:val="00EC2A88"/>
    <w:rsid w:val="00F11E08"/>
    <w:rsid w:val="00FD5852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C880B"/>
  <w15:chartTrackingRefBased/>
  <w15:docId w15:val="{AB6A3670-5840-4E03-BEF0-36701D05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0DB"/>
    <w:pPr>
      <w:spacing w:after="0" w:line="240" w:lineRule="auto"/>
      <w:jc w:val="both"/>
    </w:pPr>
    <w:rPr>
      <w:rFonts w:ascii="Arial" w:eastAsia="Times New Roman" w:hAnsi="Arial" w:cs="Arial"/>
      <w:color w:val="44546A" w:themeColor="text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20D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20DB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styleId="Footer">
    <w:name w:val="footer"/>
    <w:basedOn w:val="Normal"/>
    <w:link w:val="FooterChar"/>
    <w:uiPriority w:val="99"/>
    <w:rsid w:val="00D420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0DB"/>
    <w:rPr>
      <w:rFonts w:ascii="Arial" w:eastAsia="Times New Roman" w:hAnsi="Arial" w:cs="Arial"/>
      <w:color w:val="44546A" w:themeColor="text2"/>
      <w:lang w:eastAsia="en-AU"/>
    </w:rPr>
  </w:style>
  <w:style w:type="paragraph" w:styleId="NormalWeb">
    <w:name w:val="Normal (Web)"/>
    <w:basedOn w:val="Normal"/>
    <w:uiPriority w:val="99"/>
    <w:unhideWhenUsed/>
    <w:rsid w:val="00D420DB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auto"/>
    </w:rPr>
  </w:style>
  <w:style w:type="paragraph" w:customStyle="1" w:styleId="mld-paragraph">
    <w:name w:val="mld-paragraph"/>
    <w:basedOn w:val="Normal"/>
    <w:rsid w:val="00921530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FF39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39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ducation.vic.gov.au/Documents/training/providers/rto/Victorian%20VET%20Student%20Statistical%20Collection%20Guidelines%20-%202021%20v1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Kaighin</dc:creator>
  <cp:keywords/>
  <dc:description/>
  <cp:lastModifiedBy>Georgie Marinucci</cp:lastModifiedBy>
  <cp:revision>11</cp:revision>
  <dcterms:created xsi:type="dcterms:W3CDTF">2021-02-24T04:53:00Z</dcterms:created>
  <dcterms:modified xsi:type="dcterms:W3CDTF">2021-03-01T06:12:00Z</dcterms:modified>
</cp:coreProperties>
</file>