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17C1A" w14:textId="6D3D0051" w:rsidR="00416793" w:rsidRDefault="00416793" w:rsidP="00416793">
      <w:pPr>
        <w:pStyle w:val="Covertitle"/>
        <w:rPr>
          <w:sz w:val="48"/>
          <w:szCs w:val="48"/>
        </w:rPr>
      </w:pPr>
      <w:r>
        <w:rPr>
          <w:sz w:val="48"/>
          <w:szCs w:val="48"/>
        </w:rPr>
        <w:t>202</w:t>
      </w:r>
      <w:r w:rsidR="00A167F9">
        <w:rPr>
          <w:sz w:val="48"/>
          <w:szCs w:val="48"/>
        </w:rPr>
        <w:t>1</w:t>
      </w:r>
      <w:r>
        <w:rPr>
          <w:sz w:val="48"/>
          <w:szCs w:val="48"/>
        </w:rPr>
        <w:t xml:space="preserve"> </w:t>
      </w:r>
      <w:r w:rsidR="00A167F9">
        <w:rPr>
          <w:sz w:val="48"/>
          <w:szCs w:val="48"/>
        </w:rPr>
        <w:t>ACFE FUNDED</w:t>
      </w:r>
      <w:r>
        <w:rPr>
          <w:sz w:val="48"/>
          <w:szCs w:val="48"/>
        </w:rPr>
        <w:t xml:space="preserve"> TRAINING DELIVERY </w:t>
      </w:r>
    </w:p>
    <w:p w14:paraId="58421CA9" w14:textId="5CDB5D79" w:rsidR="00A167F9" w:rsidRDefault="00A167F9" w:rsidP="00416793">
      <w:pPr>
        <w:pStyle w:val="Covertitle"/>
        <w:rPr>
          <w:sz w:val="48"/>
          <w:szCs w:val="48"/>
        </w:rPr>
      </w:pPr>
      <w:r>
        <w:rPr>
          <w:sz w:val="48"/>
          <w:szCs w:val="48"/>
        </w:rPr>
        <w:t>INFORMATION SESSION</w:t>
      </w:r>
      <w:r w:rsidR="003C4DC1">
        <w:rPr>
          <w:sz w:val="48"/>
          <w:szCs w:val="48"/>
        </w:rPr>
        <w:t xml:space="preserve"> – 29 September 2020</w:t>
      </w:r>
    </w:p>
    <w:p w14:paraId="01A984CA" w14:textId="19262CA1" w:rsidR="004D199E" w:rsidRDefault="00416793" w:rsidP="00A167F9">
      <w:pPr>
        <w:pStyle w:val="Covertitle"/>
        <w:rPr>
          <w:sz w:val="48"/>
          <w:szCs w:val="48"/>
        </w:rPr>
      </w:pPr>
      <w:r>
        <w:rPr>
          <w:sz w:val="48"/>
          <w:szCs w:val="48"/>
        </w:rPr>
        <w:t>FREQUENTLY ASKED QUESTIONS</w:t>
      </w:r>
    </w:p>
    <w:p w14:paraId="50B3FF7F" w14:textId="77777777" w:rsidR="00052FF2" w:rsidRDefault="00052FF2" w:rsidP="004D199E">
      <w:pPr>
        <w:pStyle w:val="Covertitle"/>
        <w:rPr>
          <w:color w:val="FF0000"/>
          <w:sz w:val="28"/>
          <w:szCs w:val="28"/>
        </w:rPr>
      </w:pPr>
    </w:p>
    <w:p w14:paraId="42CC3FED" w14:textId="6BA26971" w:rsidR="004D199E" w:rsidRDefault="000B1DD2" w:rsidP="004D199E">
      <w:pPr>
        <w:pStyle w:val="Covertitle"/>
        <w:rPr>
          <w:color w:val="FF0000"/>
          <w:sz w:val="28"/>
          <w:szCs w:val="28"/>
        </w:rPr>
      </w:pPr>
      <w:r>
        <w:rPr>
          <w:color w:val="FF0000"/>
          <w:sz w:val="28"/>
          <w:szCs w:val="28"/>
        </w:rPr>
        <w:t>SUBMISSION OF EXPRESSION OF INTEREST AND TEMPLATES</w:t>
      </w:r>
    </w:p>
    <w:p w14:paraId="7F86D580" w14:textId="3780C37E" w:rsidR="000B1DD2" w:rsidRPr="00EF0526" w:rsidRDefault="000B1DD2" w:rsidP="000B1DD2">
      <w:pPr>
        <w:pStyle w:val="Covertitle"/>
        <w:rPr>
          <w:color w:val="FF0000"/>
          <w:sz w:val="28"/>
          <w:szCs w:val="28"/>
        </w:rPr>
      </w:pPr>
      <w:r w:rsidRPr="00416793">
        <w:rPr>
          <w:color w:val="FF0000"/>
          <w:sz w:val="28"/>
          <w:szCs w:val="28"/>
        </w:rPr>
        <w:t>Q:</w:t>
      </w:r>
      <w:r w:rsidRPr="00E27C1A">
        <w:rPr>
          <w:color w:val="FF0000"/>
          <w:sz w:val="28"/>
          <w:szCs w:val="28"/>
        </w:rPr>
        <w:t xml:space="preserve"> </w:t>
      </w:r>
      <w:r w:rsidRPr="00EF0526">
        <w:rPr>
          <w:i/>
          <w:iCs/>
          <w:color w:val="auto"/>
          <w:sz w:val="28"/>
          <w:szCs w:val="28"/>
        </w:rPr>
        <w:t xml:space="preserve">How do I submit </w:t>
      </w:r>
      <w:r w:rsidR="00EF0526">
        <w:rPr>
          <w:i/>
          <w:iCs/>
          <w:color w:val="auto"/>
          <w:sz w:val="28"/>
          <w:szCs w:val="28"/>
        </w:rPr>
        <w:t>an</w:t>
      </w:r>
      <w:r w:rsidRPr="00EF0526">
        <w:rPr>
          <w:i/>
          <w:iCs/>
          <w:color w:val="auto"/>
          <w:sz w:val="28"/>
          <w:szCs w:val="28"/>
        </w:rPr>
        <w:t xml:space="preserve"> Expression of Interest?</w:t>
      </w:r>
    </w:p>
    <w:p w14:paraId="72B97CF8" w14:textId="04C69B5E" w:rsidR="000B1DD2" w:rsidRPr="005F5DFC" w:rsidRDefault="000B1DD2" w:rsidP="000B1DD2">
      <w:pPr>
        <w:spacing w:after="0" w:line="240" w:lineRule="auto"/>
        <w:rPr>
          <w:rFonts w:eastAsia="Times New Roman" w:cs="Calibri"/>
          <w:color w:val="5B9BD5" w:themeColor="accent1"/>
          <w:kern w:val="24"/>
          <w:sz w:val="28"/>
          <w:szCs w:val="28"/>
          <w:u w:val="single"/>
          <w:lang w:val="en-US" w:eastAsia="en-AU"/>
        </w:rPr>
      </w:pPr>
      <w:r w:rsidRPr="00770D15">
        <w:rPr>
          <w:rFonts w:cstheme="minorHAnsi"/>
          <w:b/>
          <w:bCs/>
          <w:color w:val="FF0000"/>
          <w:sz w:val="28"/>
          <w:szCs w:val="28"/>
        </w:rPr>
        <w:t>A:</w:t>
      </w:r>
      <w:r w:rsidRPr="00770D15">
        <w:rPr>
          <w:color w:val="FF0000"/>
          <w:sz w:val="28"/>
          <w:szCs w:val="28"/>
        </w:rPr>
        <w:t xml:space="preserve">  </w:t>
      </w:r>
      <w:r w:rsidRPr="00770D15">
        <w:rPr>
          <w:rFonts w:eastAsia="Times New Roman" w:cs="Calibri"/>
          <w:kern w:val="24"/>
          <w:sz w:val="28"/>
          <w:szCs w:val="28"/>
          <w:lang w:val="en-US" w:eastAsia="en-AU"/>
        </w:rPr>
        <w:t>Submit your E</w:t>
      </w:r>
      <w:r>
        <w:rPr>
          <w:rFonts w:eastAsia="Times New Roman" w:cs="Calibri"/>
          <w:kern w:val="24"/>
          <w:sz w:val="28"/>
          <w:szCs w:val="28"/>
          <w:lang w:val="en-US" w:eastAsia="en-AU"/>
        </w:rPr>
        <w:t xml:space="preserve">xpression </w:t>
      </w:r>
      <w:r w:rsidRPr="00770D15">
        <w:rPr>
          <w:rFonts w:eastAsia="Times New Roman" w:cs="Calibri"/>
          <w:kern w:val="24"/>
          <w:sz w:val="28"/>
          <w:szCs w:val="28"/>
          <w:lang w:val="en-US" w:eastAsia="en-AU"/>
        </w:rPr>
        <w:t>o</w:t>
      </w:r>
      <w:r>
        <w:rPr>
          <w:rFonts w:eastAsia="Times New Roman" w:cs="Calibri"/>
          <w:kern w:val="24"/>
          <w:sz w:val="28"/>
          <w:szCs w:val="28"/>
          <w:lang w:val="en-US" w:eastAsia="en-AU"/>
        </w:rPr>
        <w:t xml:space="preserve">f </w:t>
      </w:r>
      <w:r w:rsidRPr="00770D15">
        <w:rPr>
          <w:rFonts w:eastAsia="Times New Roman" w:cs="Calibri"/>
          <w:kern w:val="24"/>
          <w:sz w:val="28"/>
          <w:szCs w:val="28"/>
          <w:lang w:val="en-US" w:eastAsia="en-AU"/>
        </w:rPr>
        <w:t>I</w:t>
      </w:r>
      <w:r>
        <w:rPr>
          <w:rFonts w:eastAsia="Times New Roman" w:cs="Calibri"/>
          <w:kern w:val="24"/>
          <w:sz w:val="28"/>
          <w:szCs w:val="28"/>
          <w:lang w:val="en-US" w:eastAsia="en-AU"/>
        </w:rPr>
        <w:t>nterest (</w:t>
      </w:r>
      <w:proofErr w:type="spellStart"/>
      <w:r>
        <w:rPr>
          <w:rFonts w:eastAsia="Times New Roman" w:cs="Calibri"/>
          <w:kern w:val="24"/>
          <w:sz w:val="28"/>
          <w:szCs w:val="28"/>
          <w:lang w:val="en-US" w:eastAsia="en-AU"/>
        </w:rPr>
        <w:t>EoI</w:t>
      </w:r>
      <w:proofErr w:type="spellEnd"/>
      <w:r>
        <w:rPr>
          <w:rFonts w:eastAsia="Times New Roman" w:cs="Calibri"/>
          <w:kern w:val="24"/>
          <w:sz w:val="28"/>
          <w:szCs w:val="28"/>
          <w:lang w:val="en-US" w:eastAsia="en-AU"/>
        </w:rPr>
        <w:t>)</w:t>
      </w:r>
      <w:r w:rsidRPr="00770D15">
        <w:rPr>
          <w:rFonts w:eastAsia="Times New Roman" w:cs="Calibri"/>
          <w:kern w:val="24"/>
          <w:sz w:val="28"/>
          <w:szCs w:val="28"/>
          <w:lang w:val="en-US" w:eastAsia="en-AU"/>
        </w:rPr>
        <w:t xml:space="preserve"> including </w:t>
      </w:r>
      <w:r>
        <w:rPr>
          <w:rFonts w:eastAsia="Times New Roman" w:cs="Calibri"/>
          <w:kern w:val="24"/>
          <w:sz w:val="28"/>
          <w:szCs w:val="28"/>
          <w:lang w:val="en-US" w:eastAsia="en-AU"/>
        </w:rPr>
        <w:t>Delivery Plans and associated documents</w:t>
      </w:r>
      <w:r w:rsidRPr="00770D15">
        <w:rPr>
          <w:rFonts w:eastAsia="Times New Roman" w:cs="Calibri"/>
          <w:kern w:val="24"/>
          <w:sz w:val="28"/>
          <w:szCs w:val="28"/>
          <w:lang w:val="en-US" w:eastAsia="en-AU"/>
        </w:rPr>
        <w:t xml:space="preserve"> by </w:t>
      </w:r>
      <w:r w:rsidRPr="00770D15">
        <w:rPr>
          <w:rFonts w:eastAsia="Times New Roman" w:cs="Calibri"/>
          <w:b/>
          <w:bCs/>
          <w:kern w:val="24"/>
          <w:sz w:val="28"/>
          <w:szCs w:val="28"/>
          <w:lang w:val="en-US" w:eastAsia="en-AU"/>
        </w:rPr>
        <w:t xml:space="preserve">COB 14 October 2020 </w:t>
      </w:r>
      <w:r w:rsidRPr="00770D15">
        <w:rPr>
          <w:rFonts w:eastAsia="Times New Roman" w:cs="Calibri"/>
          <w:kern w:val="24"/>
          <w:sz w:val="28"/>
          <w:szCs w:val="28"/>
          <w:lang w:val="en-US" w:eastAsia="en-AU"/>
        </w:rPr>
        <w:t>via</w:t>
      </w:r>
      <w:r w:rsidRPr="00770D15">
        <w:rPr>
          <w:rFonts w:eastAsia="Times New Roman" w:cs="Calibri"/>
          <w:b/>
          <w:bCs/>
          <w:kern w:val="24"/>
          <w:sz w:val="28"/>
          <w:szCs w:val="28"/>
          <w:lang w:val="en-US" w:eastAsia="en-AU"/>
        </w:rPr>
        <w:t xml:space="preserve"> </w:t>
      </w:r>
      <w:r w:rsidRPr="00770D15">
        <w:rPr>
          <w:rFonts w:eastAsia="Times New Roman" w:cs="Calibri"/>
          <w:kern w:val="24"/>
          <w:sz w:val="28"/>
          <w:szCs w:val="28"/>
          <w:lang w:val="en-US" w:eastAsia="en-AU"/>
        </w:rPr>
        <w:t xml:space="preserve">email to: </w:t>
      </w:r>
      <w:hyperlink r:id="rId12" w:history="1">
        <w:r w:rsidRPr="005F5DFC">
          <w:rPr>
            <w:rFonts w:eastAsia="Times New Roman" w:cs="Calibri"/>
            <w:color w:val="5B9BD5" w:themeColor="accent1"/>
            <w:kern w:val="24"/>
            <w:sz w:val="28"/>
            <w:szCs w:val="28"/>
            <w:u w:val="single"/>
            <w:lang w:val="en-US" w:eastAsia="en-AU"/>
          </w:rPr>
          <w:t>training.participation@education.vic.gov.au</w:t>
        </w:r>
      </w:hyperlink>
    </w:p>
    <w:p w14:paraId="0F15FF9C" w14:textId="77777777" w:rsidR="000B1DD2" w:rsidRPr="00052FF2" w:rsidRDefault="000B1DD2" w:rsidP="000B1DD2">
      <w:pPr>
        <w:pStyle w:val="NormalWeb"/>
        <w:spacing w:before="0" w:beforeAutospacing="0" w:after="0" w:afterAutospacing="0"/>
        <w:rPr>
          <w:rFonts w:ascii="Calibri" w:eastAsiaTheme="minorEastAsia" w:hAnsi="Calibri" w:cs="Calibri"/>
          <w:color w:val="000000" w:themeColor="text1"/>
          <w:kern w:val="24"/>
          <w:sz w:val="20"/>
          <w:szCs w:val="20"/>
          <w:lang w:val="en-US"/>
        </w:rPr>
      </w:pPr>
    </w:p>
    <w:p w14:paraId="43359E67" w14:textId="77777777" w:rsidR="00EF0526" w:rsidRDefault="000B1DD2" w:rsidP="000B1DD2">
      <w:pPr>
        <w:pStyle w:val="NormalWeb"/>
        <w:spacing w:before="0" w:beforeAutospacing="0" w:after="0" w:afterAutospacing="0"/>
        <w:rPr>
          <w:rFonts w:ascii="Calibri" w:eastAsiaTheme="minorEastAsia" w:hAnsi="Calibri" w:cs="Calibri"/>
          <w:color w:val="000000" w:themeColor="text1"/>
          <w:kern w:val="24"/>
          <w:sz w:val="28"/>
          <w:szCs w:val="28"/>
          <w:lang w:val="en-US"/>
        </w:rPr>
      </w:pPr>
      <w:r w:rsidRPr="009539BB">
        <w:rPr>
          <w:rFonts w:ascii="Calibri" w:eastAsiaTheme="minorEastAsia" w:hAnsi="Calibri" w:cs="Calibri"/>
          <w:color w:val="000000" w:themeColor="text1"/>
          <w:kern w:val="24"/>
          <w:sz w:val="28"/>
          <w:szCs w:val="28"/>
          <w:lang w:val="en-US"/>
        </w:rPr>
        <w:t xml:space="preserve">You must submit </w:t>
      </w:r>
      <w:r w:rsidRPr="00EF0526">
        <w:rPr>
          <w:rFonts w:ascii="Calibri" w:eastAsiaTheme="minorEastAsia" w:hAnsi="Calibri" w:cs="Calibri"/>
          <w:b/>
          <w:bCs/>
          <w:color w:val="000000" w:themeColor="text1"/>
          <w:kern w:val="24"/>
          <w:sz w:val="28"/>
          <w:szCs w:val="28"/>
          <w:lang w:val="en-US"/>
        </w:rPr>
        <w:t>ONE email</w:t>
      </w:r>
      <w:r w:rsidRPr="009539BB">
        <w:rPr>
          <w:rFonts w:ascii="Calibri" w:eastAsiaTheme="minorEastAsia" w:hAnsi="Calibri" w:cs="Calibri"/>
          <w:b/>
          <w:bCs/>
          <w:color w:val="000000" w:themeColor="text1"/>
          <w:kern w:val="24"/>
          <w:sz w:val="28"/>
          <w:szCs w:val="28"/>
          <w:lang w:val="en-US"/>
        </w:rPr>
        <w:t xml:space="preserve"> </w:t>
      </w:r>
      <w:r w:rsidRPr="009539BB">
        <w:rPr>
          <w:rFonts w:ascii="Calibri" w:eastAsiaTheme="minorEastAsia" w:hAnsi="Calibri" w:cs="Calibri"/>
          <w:color w:val="000000" w:themeColor="text1"/>
          <w:kern w:val="24"/>
          <w:sz w:val="28"/>
          <w:szCs w:val="28"/>
          <w:lang w:val="en-US"/>
        </w:rPr>
        <w:t>which includes all Delivery Plans</w:t>
      </w:r>
      <w:r>
        <w:rPr>
          <w:rFonts w:ascii="Calibri" w:eastAsiaTheme="minorEastAsia" w:hAnsi="Calibri" w:cs="Calibri"/>
          <w:color w:val="000000" w:themeColor="text1"/>
          <w:kern w:val="24"/>
          <w:sz w:val="28"/>
          <w:szCs w:val="28"/>
          <w:lang w:val="en-US"/>
        </w:rPr>
        <w:t>,</w:t>
      </w:r>
      <w:r w:rsidRPr="009539BB">
        <w:rPr>
          <w:rFonts w:ascii="Calibri" w:eastAsiaTheme="minorEastAsia" w:hAnsi="Calibri" w:cs="Calibri"/>
          <w:color w:val="000000" w:themeColor="text1"/>
          <w:kern w:val="24"/>
          <w:sz w:val="28"/>
          <w:szCs w:val="28"/>
          <w:lang w:val="en-US"/>
        </w:rPr>
        <w:t xml:space="preserve"> and preferably</w:t>
      </w:r>
      <w:r>
        <w:rPr>
          <w:rFonts w:ascii="Calibri" w:eastAsiaTheme="minorEastAsia" w:hAnsi="Calibri" w:cs="Calibri"/>
          <w:color w:val="000000" w:themeColor="text1"/>
          <w:kern w:val="24"/>
          <w:sz w:val="28"/>
          <w:szCs w:val="28"/>
          <w:lang w:val="en-US"/>
        </w:rPr>
        <w:t xml:space="preserve"> all other attachments. </w:t>
      </w:r>
      <w:r w:rsidRPr="009539BB">
        <w:rPr>
          <w:rFonts w:ascii="Calibri" w:eastAsiaTheme="minorEastAsia" w:hAnsi="Calibri" w:cs="Calibri"/>
          <w:color w:val="000000" w:themeColor="text1"/>
          <w:kern w:val="24"/>
          <w:sz w:val="28"/>
          <w:szCs w:val="28"/>
          <w:lang w:val="en-US"/>
        </w:rPr>
        <w:t xml:space="preserve">You may need to zip the files. If you cannot fit all </w:t>
      </w:r>
    </w:p>
    <w:p w14:paraId="50FC1E78" w14:textId="7B0AB76C" w:rsidR="000B1DD2" w:rsidRDefault="000B1DD2" w:rsidP="000B1DD2">
      <w:pPr>
        <w:pStyle w:val="NormalWeb"/>
        <w:spacing w:before="0" w:beforeAutospacing="0" w:after="0" w:afterAutospacing="0"/>
        <w:rPr>
          <w:rFonts w:ascii="Calibri" w:eastAsiaTheme="minorEastAsia" w:hAnsi="Calibri" w:cs="Calibri"/>
          <w:color w:val="000000" w:themeColor="text1"/>
          <w:kern w:val="24"/>
          <w:sz w:val="28"/>
          <w:szCs w:val="28"/>
          <w:lang w:val="en-US"/>
        </w:rPr>
      </w:pPr>
      <w:r w:rsidRPr="009539BB">
        <w:rPr>
          <w:rFonts w:ascii="Calibri" w:eastAsiaTheme="minorEastAsia" w:hAnsi="Calibri" w:cs="Calibri"/>
          <w:color w:val="000000" w:themeColor="text1"/>
          <w:kern w:val="24"/>
          <w:sz w:val="28"/>
          <w:szCs w:val="28"/>
          <w:lang w:val="en-US"/>
        </w:rPr>
        <w:t xml:space="preserve">documents, please ensure that all Delivery Plans are in one email.  </w:t>
      </w:r>
      <w:bookmarkStart w:id="0" w:name="_Hlk52199062"/>
    </w:p>
    <w:p w14:paraId="652B9A8D" w14:textId="77777777" w:rsidR="00EF0526" w:rsidRPr="00052FF2" w:rsidRDefault="00EF0526" w:rsidP="000B1DD2">
      <w:pPr>
        <w:pStyle w:val="NormalWeb"/>
        <w:spacing w:before="0" w:beforeAutospacing="0" w:after="0" w:afterAutospacing="0"/>
        <w:rPr>
          <w:rFonts w:asciiTheme="minorHAnsi" w:hAnsiTheme="minorHAnsi" w:cstheme="minorHAnsi"/>
          <w:sz w:val="28"/>
          <w:szCs w:val="28"/>
        </w:rPr>
      </w:pPr>
    </w:p>
    <w:bookmarkEnd w:id="0"/>
    <w:p w14:paraId="4E902326" w14:textId="150C0413" w:rsidR="000B1DD2" w:rsidRDefault="000B1DD2" w:rsidP="00297F58">
      <w:pPr>
        <w:pStyle w:val="Covertitle"/>
        <w:spacing w:before="0" w:after="0"/>
        <w:rPr>
          <w:color w:val="FF0000"/>
          <w:sz w:val="28"/>
          <w:szCs w:val="28"/>
        </w:rPr>
      </w:pPr>
    </w:p>
    <w:p w14:paraId="4DAE40AC" w14:textId="769E4B50" w:rsidR="000B1DD2" w:rsidRDefault="000B1DD2" w:rsidP="00052FF2">
      <w:pPr>
        <w:pStyle w:val="Covertitle"/>
        <w:spacing w:before="0" w:after="100" w:afterAutospacing="1"/>
        <w:rPr>
          <w:color w:val="FF0000"/>
          <w:sz w:val="28"/>
          <w:szCs w:val="28"/>
        </w:rPr>
      </w:pPr>
      <w:r w:rsidRPr="00416793">
        <w:rPr>
          <w:color w:val="FF0000"/>
          <w:sz w:val="28"/>
          <w:szCs w:val="28"/>
        </w:rPr>
        <w:t>Q:</w:t>
      </w:r>
      <w:r>
        <w:rPr>
          <w:color w:val="FF0000"/>
          <w:sz w:val="28"/>
          <w:szCs w:val="28"/>
        </w:rPr>
        <w:t xml:space="preserve"> </w:t>
      </w:r>
      <w:r w:rsidRPr="00EF0526">
        <w:rPr>
          <w:i/>
          <w:iCs/>
          <w:color w:val="auto"/>
          <w:sz w:val="28"/>
          <w:szCs w:val="28"/>
        </w:rPr>
        <w:t>How will I know that the Department has received my application?</w:t>
      </w:r>
    </w:p>
    <w:p w14:paraId="493503E9" w14:textId="77777777" w:rsidR="00EF0526" w:rsidRPr="006A0F99" w:rsidRDefault="000B1DD2" w:rsidP="00052FF2">
      <w:pPr>
        <w:pStyle w:val="NormalWeb"/>
        <w:spacing w:before="0" w:beforeAutospacing="0"/>
        <w:rPr>
          <w:sz w:val="28"/>
          <w:szCs w:val="28"/>
        </w:rPr>
      </w:pPr>
      <w:r w:rsidRPr="00EF0526">
        <w:rPr>
          <w:rFonts w:asciiTheme="minorHAnsi" w:hAnsiTheme="minorHAnsi" w:cstheme="minorHAnsi"/>
          <w:b/>
          <w:bCs/>
          <w:color w:val="FF0000"/>
          <w:sz w:val="28"/>
          <w:szCs w:val="28"/>
        </w:rPr>
        <w:t>A:</w:t>
      </w:r>
      <w:r>
        <w:rPr>
          <w:color w:val="FF0000"/>
          <w:sz w:val="28"/>
          <w:szCs w:val="28"/>
        </w:rPr>
        <w:t xml:space="preserve"> </w:t>
      </w:r>
      <w:r w:rsidR="00EF0526" w:rsidRPr="009539BB">
        <w:rPr>
          <w:rFonts w:ascii="Calibri" w:eastAsiaTheme="minorEastAsia" w:hAnsi="Calibri" w:cs="Calibri"/>
          <w:color w:val="000000" w:themeColor="text1"/>
          <w:kern w:val="24"/>
          <w:sz w:val="28"/>
          <w:szCs w:val="28"/>
          <w:lang w:val="en-US"/>
        </w:rPr>
        <w:t xml:space="preserve">Once submitted to the training participation inbox, </w:t>
      </w:r>
      <w:r w:rsidR="00EF0526" w:rsidRPr="00EF0526">
        <w:rPr>
          <w:rFonts w:ascii="Calibri" w:eastAsiaTheme="minorEastAsia" w:hAnsi="Calibri" w:cs="Calibri"/>
          <w:color w:val="000000" w:themeColor="text1"/>
          <w:kern w:val="24"/>
          <w:sz w:val="28"/>
          <w:szCs w:val="28"/>
          <w:lang w:val="en-US"/>
        </w:rPr>
        <w:t>you will receive an acknowledgement of submission</w:t>
      </w:r>
      <w:r w:rsidR="00EF0526" w:rsidRPr="009539BB">
        <w:rPr>
          <w:rFonts w:ascii="Calibri" w:eastAsiaTheme="minorEastAsia" w:hAnsi="Calibri" w:cs="Calibri"/>
          <w:color w:val="000000" w:themeColor="text1"/>
          <w:kern w:val="24"/>
          <w:sz w:val="28"/>
          <w:szCs w:val="28"/>
          <w:lang w:val="en-US"/>
        </w:rPr>
        <w:t>. If you do not receive an acknowledgement within one week, please contact the Department.</w:t>
      </w:r>
      <w:r w:rsidR="00EF0526">
        <w:rPr>
          <w:rFonts w:ascii="Calibri" w:eastAsiaTheme="minorEastAsia" w:hAnsi="Calibri" w:cs="Calibri"/>
          <w:color w:val="000000" w:themeColor="text1"/>
          <w:kern w:val="24"/>
          <w:sz w:val="28"/>
          <w:szCs w:val="28"/>
          <w:lang w:val="en-US"/>
        </w:rPr>
        <w:t xml:space="preserve"> </w:t>
      </w:r>
    </w:p>
    <w:p w14:paraId="2AEA5466" w14:textId="77777777" w:rsidR="000B1DD2" w:rsidRPr="00052FF2" w:rsidRDefault="000B1DD2" w:rsidP="00297F58">
      <w:pPr>
        <w:pStyle w:val="Covertitle"/>
        <w:spacing w:before="0" w:after="0"/>
        <w:rPr>
          <w:bCs/>
          <w:color w:val="FF0000"/>
          <w:sz w:val="28"/>
          <w:szCs w:val="28"/>
        </w:rPr>
      </w:pPr>
    </w:p>
    <w:p w14:paraId="49D5250D" w14:textId="20D02183" w:rsidR="00297F58" w:rsidRPr="00052FF2" w:rsidRDefault="004D199E" w:rsidP="00052FF2">
      <w:pPr>
        <w:rPr>
          <w:rFonts w:cstheme="minorHAnsi"/>
          <w:b/>
          <w:i/>
          <w:iCs/>
          <w:sz w:val="28"/>
          <w:szCs w:val="28"/>
        </w:rPr>
      </w:pPr>
      <w:bookmarkStart w:id="1" w:name="_Hlk52199008"/>
      <w:r w:rsidRPr="00052FF2">
        <w:rPr>
          <w:b/>
          <w:bCs/>
          <w:color w:val="FF0000"/>
          <w:sz w:val="28"/>
          <w:szCs w:val="28"/>
        </w:rPr>
        <w:t>Q:</w:t>
      </w:r>
      <w:r>
        <w:rPr>
          <w:color w:val="FF0000"/>
          <w:sz w:val="28"/>
          <w:szCs w:val="28"/>
        </w:rPr>
        <w:t xml:space="preserve"> </w:t>
      </w:r>
      <w:bookmarkEnd w:id="1"/>
      <w:r w:rsidRPr="00EF0526">
        <w:rPr>
          <w:bCs/>
          <w:i/>
          <w:sz w:val="28"/>
          <w:szCs w:val="28"/>
        </w:rPr>
        <w:t xml:space="preserve">Where can we download the 2021 Guidelines and Delivery Plan </w:t>
      </w:r>
      <w:r w:rsidRPr="00052FF2">
        <w:rPr>
          <w:rFonts w:cstheme="minorHAnsi"/>
          <w:b/>
          <w:i/>
          <w:iCs/>
          <w:sz w:val="28"/>
          <w:szCs w:val="28"/>
        </w:rPr>
        <w:t>templates?</w:t>
      </w:r>
    </w:p>
    <w:p w14:paraId="2330A130" w14:textId="09800E0B" w:rsidR="000B1DD2" w:rsidRPr="00052FF2" w:rsidRDefault="004D199E" w:rsidP="00052FF2">
      <w:pPr>
        <w:rPr>
          <w:b/>
          <w:sz w:val="28"/>
          <w:szCs w:val="28"/>
        </w:rPr>
      </w:pPr>
      <w:r w:rsidRPr="00052FF2">
        <w:rPr>
          <w:rFonts w:cstheme="minorHAnsi"/>
          <w:b/>
          <w:color w:val="FF0000"/>
          <w:sz w:val="28"/>
          <w:szCs w:val="28"/>
        </w:rPr>
        <w:t>A:</w:t>
      </w:r>
      <w:r w:rsidRPr="00052FF2">
        <w:rPr>
          <w:rFonts w:cstheme="minorHAnsi"/>
          <w:bCs/>
          <w:color w:val="FF0000"/>
          <w:sz w:val="28"/>
          <w:szCs w:val="28"/>
        </w:rPr>
        <w:t xml:space="preserve"> </w:t>
      </w:r>
      <w:r w:rsidRPr="00052FF2">
        <w:rPr>
          <w:rFonts w:cstheme="minorHAnsi"/>
          <w:bCs/>
          <w:sz w:val="28"/>
          <w:szCs w:val="28"/>
        </w:rPr>
        <w:t>Information</w:t>
      </w:r>
      <w:r w:rsidRPr="007903A2">
        <w:rPr>
          <w:sz w:val="28"/>
          <w:szCs w:val="28"/>
        </w:rPr>
        <w:t xml:space="preserve"> and links </w:t>
      </w:r>
      <w:r>
        <w:rPr>
          <w:sz w:val="28"/>
          <w:szCs w:val="28"/>
        </w:rPr>
        <w:t xml:space="preserve">to </w:t>
      </w:r>
      <w:r w:rsidRPr="007903A2">
        <w:rPr>
          <w:sz w:val="28"/>
          <w:szCs w:val="28"/>
        </w:rPr>
        <w:t xml:space="preserve">the </w:t>
      </w:r>
      <w:r>
        <w:rPr>
          <w:sz w:val="28"/>
          <w:szCs w:val="28"/>
        </w:rPr>
        <w:t xml:space="preserve">Guidelines and </w:t>
      </w:r>
      <w:r w:rsidRPr="007903A2">
        <w:rPr>
          <w:sz w:val="28"/>
          <w:szCs w:val="28"/>
        </w:rPr>
        <w:t>Delivery Plan template</w:t>
      </w:r>
      <w:r>
        <w:rPr>
          <w:sz w:val="28"/>
          <w:szCs w:val="28"/>
        </w:rPr>
        <w:t>s for</w:t>
      </w:r>
      <w:r w:rsidRPr="007903A2">
        <w:rPr>
          <w:sz w:val="28"/>
          <w:szCs w:val="28"/>
        </w:rPr>
        <w:t xml:space="preserve"> </w:t>
      </w:r>
      <w:r w:rsidRPr="00EF0526">
        <w:rPr>
          <w:b/>
          <w:sz w:val="28"/>
          <w:szCs w:val="28"/>
        </w:rPr>
        <w:t>Pre-accredited Training Delivery, the Learner Engagement A-frame Program (LEAP) and Skills for Work and Study pilot programs</w:t>
      </w:r>
      <w:r>
        <w:rPr>
          <w:sz w:val="28"/>
          <w:szCs w:val="28"/>
        </w:rPr>
        <w:t xml:space="preserve"> </w:t>
      </w:r>
      <w:r w:rsidRPr="007903A2">
        <w:rPr>
          <w:sz w:val="28"/>
          <w:szCs w:val="28"/>
        </w:rPr>
        <w:t xml:space="preserve">are </w:t>
      </w:r>
      <w:r w:rsidR="007F0543">
        <w:rPr>
          <w:sz w:val="28"/>
          <w:szCs w:val="28"/>
        </w:rPr>
        <w:t xml:space="preserve">in the </w:t>
      </w:r>
      <w:hyperlink r:id="rId13" w:history="1">
        <w:r w:rsidR="007F0543">
          <w:rPr>
            <w:rStyle w:val="Hyperlink"/>
            <w:sz w:val="28"/>
            <w:szCs w:val="28"/>
          </w:rPr>
          <w:t>Learn Local Grants and Funding</w:t>
        </w:r>
      </w:hyperlink>
      <w:r w:rsidR="007F0543">
        <w:rPr>
          <w:sz w:val="28"/>
          <w:szCs w:val="28"/>
        </w:rPr>
        <w:t xml:space="preserve"> section </w:t>
      </w:r>
      <w:r w:rsidRPr="007903A2">
        <w:rPr>
          <w:sz w:val="28"/>
          <w:szCs w:val="28"/>
        </w:rPr>
        <w:t>on the Department of Education and Training website</w:t>
      </w:r>
      <w:r w:rsidR="007F0543">
        <w:rPr>
          <w:sz w:val="28"/>
          <w:szCs w:val="28"/>
        </w:rPr>
        <w:t>.</w:t>
      </w:r>
    </w:p>
    <w:p w14:paraId="4DD2C3EE" w14:textId="7329BC7B" w:rsidR="00A167F9" w:rsidRPr="004D199E" w:rsidRDefault="00A167F9" w:rsidP="00A167F9">
      <w:pPr>
        <w:pStyle w:val="Covertitle"/>
        <w:rPr>
          <w:sz w:val="48"/>
          <w:szCs w:val="48"/>
        </w:rPr>
      </w:pPr>
      <w:r>
        <w:rPr>
          <w:color w:val="FF0000"/>
          <w:sz w:val="28"/>
          <w:szCs w:val="28"/>
        </w:rPr>
        <w:t>2021 PRE-ACCREDITED TRAINING ALLOCATION</w:t>
      </w:r>
    </w:p>
    <w:p w14:paraId="5467BC1E" w14:textId="2028CAE1" w:rsidR="00A167F9" w:rsidRPr="00EF0526" w:rsidRDefault="00A167F9" w:rsidP="00A167F9">
      <w:pPr>
        <w:pStyle w:val="Covertitle"/>
        <w:rPr>
          <w:bCs/>
          <w:color w:val="FF0000"/>
          <w:sz w:val="28"/>
          <w:szCs w:val="28"/>
        </w:rPr>
      </w:pPr>
      <w:r w:rsidRPr="00416793">
        <w:rPr>
          <w:color w:val="FF0000"/>
          <w:sz w:val="28"/>
          <w:szCs w:val="28"/>
        </w:rPr>
        <w:lastRenderedPageBreak/>
        <w:t>Q:</w:t>
      </w:r>
      <w:r>
        <w:rPr>
          <w:color w:val="FF0000"/>
          <w:sz w:val="28"/>
          <w:szCs w:val="28"/>
        </w:rPr>
        <w:t xml:space="preserve"> </w:t>
      </w:r>
      <w:r w:rsidRPr="00EF0526">
        <w:rPr>
          <w:bCs/>
          <w:i/>
          <w:color w:val="auto"/>
          <w:sz w:val="28"/>
          <w:szCs w:val="28"/>
        </w:rPr>
        <w:t>What are the major changes for the 2021 Pre-accredited Training allocation?</w:t>
      </w:r>
    </w:p>
    <w:p w14:paraId="301F3A11" w14:textId="04FE52BD" w:rsidR="003847E1" w:rsidRPr="00B7776F" w:rsidRDefault="00A167F9" w:rsidP="004D199E">
      <w:pPr>
        <w:spacing w:before="200" w:after="0" w:line="240" w:lineRule="auto"/>
        <w:rPr>
          <w:rStyle w:val="Hyperlink"/>
          <w:rFonts w:eastAsia="Times New Roman" w:cstheme="minorHAnsi"/>
          <w:kern w:val="24"/>
          <w:sz w:val="28"/>
          <w:szCs w:val="28"/>
          <w:lang w:val="en-US" w:eastAsia="en-AU"/>
        </w:rPr>
      </w:pPr>
      <w:r w:rsidRPr="00DB313E">
        <w:rPr>
          <w:b/>
          <w:bCs/>
          <w:color w:val="FF0000"/>
          <w:sz w:val="28"/>
          <w:szCs w:val="28"/>
        </w:rPr>
        <w:t>A</w:t>
      </w:r>
      <w:r w:rsidRPr="00416793">
        <w:rPr>
          <w:color w:val="FF0000"/>
          <w:sz w:val="28"/>
          <w:szCs w:val="28"/>
        </w:rPr>
        <w:t>:</w:t>
      </w:r>
      <w:r>
        <w:rPr>
          <w:color w:val="FF0000"/>
          <w:sz w:val="28"/>
          <w:szCs w:val="28"/>
        </w:rPr>
        <w:t xml:space="preserve"> </w:t>
      </w:r>
      <w:r w:rsidRPr="00A167F9">
        <w:rPr>
          <w:rFonts w:eastAsia="Times New Roman" w:cstheme="minorHAnsi"/>
          <w:kern w:val="24"/>
          <w:sz w:val="28"/>
          <w:szCs w:val="28"/>
          <w:lang w:eastAsia="en-AU"/>
        </w:rPr>
        <w:t xml:space="preserve">The ACFE Board has </w:t>
      </w:r>
      <w:r w:rsidRPr="00A167F9">
        <w:rPr>
          <w:rFonts w:eastAsia="Times New Roman" w:cstheme="minorHAnsi"/>
          <w:kern w:val="24"/>
          <w:sz w:val="28"/>
          <w:szCs w:val="28"/>
          <w:lang w:val="en-US" w:eastAsia="en-AU"/>
        </w:rPr>
        <w:t xml:space="preserve">approved a 2021 pre-accredited allocation for each provider, up to a maximum of their total 2020 allocation </w:t>
      </w:r>
      <w:r w:rsidR="00DB313E">
        <w:rPr>
          <w:rFonts w:eastAsia="Times New Roman" w:cstheme="minorHAnsi"/>
          <w:kern w:val="24"/>
          <w:sz w:val="28"/>
          <w:szCs w:val="28"/>
          <w:lang w:val="en-US" w:eastAsia="en-AU"/>
        </w:rPr>
        <w:t xml:space="preserve">of hours </w:t>
      </w:r>
      <w:r w:rsidRPr="00A167F9">
        <w:rPr>
          <w:rFonts w:eastAsia="Times New Roman" w:cstheme="minorHAnsi"/>
          <w:kern w:val="24"/>
          <w:sz w:val="28"/>
          <w:szCs w:val="28"/>
          <w:lang w:val="en-US" w:eastAsia="en-AU"/>
        </w:rPr>
        <w:t xml:space="preserve">by ACFE regional area. See further details </w:t>
      </w:r>
      <w:r w:rsidR="004D199E">
        <w:rPr>
          <w:rFonts w:eastAsia="Times New Roman" w:cstheme="minorHAnsi"/>
          <w:kern w:val="24"/>
          <w:sz w:val="28"/>
          <w:szCs w:val="28"/>
          <w:lang w:val="en-US" w:eastAsia="en-AU"/>
        </w:rPr>
        <w:t xml:space="preserve">and conditions </w:t>
      </w:r>
      <w:r w:rsidRPr="00A167F9">
        <w:rPr>
          <w:rFonts w:eastAsia="Times New Roman" w:cstheme="minorHAnsi"/>
          <w:kern w:val="24"/>
          <w:sz w:val="28"/>
          <w:szCs w:val="28"/>
          <w:lang w:val="en-US" w:eastAsia="en-AU"/>
        </w:rPr>
        <w:t xml:space="preserve">in the </w:t>
      </w:r>
      <w:r w:rsidR="00B7776F">
        <w:rPr>
          <w:rFonts w:eastAsia="Times New Roman" w:cstheme="minorHAnsi"/>
          <w:kern w:val="24"/>
          <w:sz w:val="28"/>
          <w:szCs w:val="28"/>
          <w:lang w:val="en-US" w:eastAsia="en-AU"/>
        </w:rPr>
        <w:fldChar w:fldCharType="begin"/>
      </w:r>
      <w:r w:rsidR="00B7776F">
        <w:rPr>
          <w:rFonts w:eastAsia="Times New Roman" w:cstheme="minorHAnsi"/>
          <w:kern w:val="24"/>
          <w:sz w:val="28"/>
          <w:szCs w:val="28"/>
          <w:lang w:val="en-US" w:eastAsia="en-AU"/>
        </w:rPr>
        <w:instrText xml:space="preserve"> HYPERLINK "https://www.vic.gov.au/sites/default/files/2020-12/2021-Pre-accredited-Training-Delivery-Guidelines.docx" </w:instrText>
      </w:r>
      <w:r w:rsidR="00B7776F">
        <w:rPr>
          <w:rFonts w:eastAsia="Times New Roman" w:cstheme="minorHAnsi"/>
          <w:kern w:val="24"/>
          <w:sz w:val="28"/>
          <w:szCs w:val="28"/>
          <w:lang w:val="en-US" w:eastAsia="en-AU"/>
        </w:rPr>
        <w:fldChar w:fldCharType="separate"/>
      </w:r>
      <w:r w:rsidR="004D199E" w:rsidRPr="00B7776F">
        <w:rPr>
          <w:rStyle w:val="Hyperlink"/>
          <w:rFonts w:eastAsia="Times New Roman" w:cstheme="minorHAnsi"/>
          <w:kern w:val="24"/>
          <w:sz w:val="28"/>
          <w:szCs w:val="28"/>
          <w:lang w:val="en-US" w:eastAsia="en-AU"/>
        </w:rPr>
        <w:t>2021 Pre-accredited Training Delivery Guidelines</w:t>
      </w:r>
      <w:r w:rsidR="00AC4C61" w:rsidRPr="00B7776F">
        <w:rPr>
          <w:rStyle w:val="Hyperlink"/>
          <w:rFonts w:eastAsia="Times New Roman" w:cstheme="minorHAnsi"/>
          <w:kern w:val="24"/>
          <w:sz w:val="28"/>
          <w:szCs w:val="28"/>
          <w:lang w:val="en-US" w:eastAsia="en-AU"/>
        </w:rPr>
        <w:t xml:space="preserve">  </w:t>
      </w:r>
    </w:p>
    <w:p w14:paraId="666394F1" w14:textId="3D917429" w:rsidR="003847E1" w:rsidRDefault="00B7776F" w:rsidP="004D199E">
      <w:pPr>
        <w:spacing w:before="200" w:after="0" w:line="240" w:lineRule="auto"/>
        <w:rPr>
          <w:rFonts w:cstheme="minorHAnsi"/>
          <w:sz w:val="28"/>
          <w:szCs w:val="28"/>
        </w:rPr>
      </w:pPr>
      <w:r>
        <w:rPr>
          <w:rFonts w:eastAsia="Times New Roman" w:cstheme="minorHAnsi"/>
          <w:kern w:val="24"/>
          <w:sz w:val="28"/>
          <w:szCs w:val="28"/>
          <w:lang w:val="en-US" w:eastAsia="en-AU"/>
        </w:rPr>
        <w:fldChar w:fldCharType="end"/>
      </w:r>
      <w:r w:rsidR="003847E1">
        <w:rPr>
          <w:rFonts w:cstheme="minorHAnsi"/>
          <w:sz w:val="28"/>
          <w:szCs w:val="28"/>
        </w:rPr>
        <w:t>The allocation represents the ACFE Board’s total fixed budget</w:t>
      </w:r>
      <w:r w:rsidR="007F0543">
        <w:rPr>
          <w:rFonts w:cstheme="minorHAnsi"/>
          <w:sz w:val="28"/>
          <w:szCs w:val="28"/>
        </w:rPr>
        <w:t xml:space="preserve"> for 2021 pre-accredited training delivery</w:t>
      </w:r>
      <w:r w:rsidR="003847E1">
        <w:rPr>
          <w:rFonts w:cstheme="minorHAnsi"/>
          <w:sz w:val="28"/>
          <w:szCs w:val="28"/>
        </w:rPr>
        <w:t xml:space="preserve">.  </w:t>
      </w:r>
    </w:p>
    <w:p w14:paraId="41676A02" w14:textId="47A0B7AA" w:rsidR="00052FF2" w:rsidRDefault="003847E1" w:rsidP="00052FF2">
      <w:pPr>
        <w:spacing w:before="200" w:after="0" w:line="240" w:lineRule="auto"/>
        <w:rPr>
          <w:rFonts w:cstheme="minorHAnsi"/>
          <w:sz w:val="28"/>
          <w:szCs w:val="28"/>
        </w:rPr>
      </w:pPr>
      <w:r>
        <w:rPr>
          <w:rFonts w:cstheme="minorHAnsi"/>
          <w:sz w:val="28"/>
          <w:szCs w:val="28"/>
        </w:rPr>
        <w:t xml:space="preserve">While total allocation of hours per provider has been approved, each individual course will need to be assessed and approved via the Expression of Interest </w:t>
      </w:r>
      <w:r w:rsidR="007F0543">
        <w:rPr>
          <w:rFonts w:cstheme="minorHAnsi"/>
          <w:sz w:val="28"/>
          <w:szCs w:val="28"/>
        </w:rPr>
        <w:t>(</w:t>
      </w:r>
      <w:proofErr w:type="spellStart"/>
      <w:r w:rsidR="007F0543">
        <w:rPr>
          <w:rFonts w:cstheme="minorHAnsi"/>
          <w:sz w:val="28"/>
          <w:szCs w:val="28"/>
        </w:rPr>
        <w:t>EoI</w:t>
      </w:r>
      <w:proofErr w:type="spellEnd"/>
      <w:r w:rsidR="007F0543">
        <w:rPr>
          <w:rFonts w:cstheme="minorHAnsi"/>
          <w:sz w:val="28"/>
          <w:szCs w:val="28"/>
        </w:rPr>
        <w:t xml:space="preserve">) </w:t>
      </w:r>
      <w:r>
        <w:rPr>
          <w:rFonts w:cstheme="minorHAnsi"/>
          <w:sz w:val="28"/>
          <w:szCs w:val="28"/>
        </w:rPr>
        <w:t>process.</w:t>
      </w:r>
    </w:p>
    <w:p w14:paraId="6E835C52" w14:textId="1502A0D3" w:rsidR="00052FF2" w:rsidRDefault="003847E1" w:rsidP="00052FF2">
      <w:pPr>
        <w:spacing w:before="200" w:after="0" w:line="240" w:lineRule="auto"/>
        <w:rPr>
          <w:rFonts w:cstheme="minorHAnsi"/>
          <w:sz w:val="28"/>
          <w:szCs w:val="28"/>
        </w:rPr>
      </w:pPr>
      <w:r>
        <w:rPr>
          <w:rFonts w:cstheme="minorHAnsi"/>
          <w:sz w:val="28"/>
          <w:szCs w:val="28"/>
        </w:rPr>
        <w:t xml:space="preserve">The approval of 2021 allocations applies only to pre-accredited training delivery.  There are separate hours available under the separate Skills for Work and Study and Learner Engagement A-frame (LEAP) programs, via </w:t>
      </w:r>
      <w:proofErr w:type="spellStart"/>
      <w:r w:rsidR="007F0543">
        <w:rPr>
          <w:rFonts w:cstheme="minorHAnsi"/>
          <w:sz w:val="28"/>
          <w:szCs w:val="28"/>
        </w:rPr>
        <w:t>EoI</w:t>
      </w:r>
      <w:proofErr w:type="spellEnd"/>
      <w:r w:rsidR="007F0543">
        <w:rPr>
          <w:rFonts w:cstheme="minorHAnsi"/>
          <w:sz w:val="28"/>
          <w:szCs w:val="28"/>
        </w:rPr>
        <w:t xml:space="preserve"> for each program</w:t>
      </w:r>
      <w:r>
        <w:rPr>
          <w:rFonts w:cstheme="minorHAnsi"/>
          <w:sz w:val="28"/>
          <w:szCs w:val="28"/>
        </w:rPr>
        <w:t>.</w:t>
      </w:r>
    </w:p>
    <w:p w14:paraId="20E068B0" w14:textId="77777777" w:rsidR="00052FF2" w:rsidRDefault="00052FF2" w:rsidP="00052FF2">
      <w:pPr>
        <w:spacing w:after="0" w:line="240" w:lineRule="auto"/>
        <w:rPr>
          <w:rFonts w:cstheme="minorHAnsi"/>
          <w:sz w:val="28"/>
          <w:szCs w:val="28"/>
        </w:rPr>
      </w:pPr>
    </w:p>
    <w:p w14:paraId="683B4B2C" w14:textId="77777777" w:rsidR="006A0F99" w:rsidRPr="00EF0526" w:rsidRDefault="006A0F99" w:rsidP="006A0F99">
      <w:pPr>
        <w:spacing w:before="200" w:after="0" w:line="240" w:lineRule="auto"/>
        <w:rPr>
          <w:color w:val="FF0000"/>
          <w:sz w:val="28"/>
          <w:szCs w:val="28"/>
        </w:rPr>
      </w:pPr>
    </w:p>
    <w:p w14:paraId="75FF58F8" w14:textId="176900C7" w:rsidR="006A0F99" w:rsidRPr="00052FF2" w:rsidRDefault="006A0F99" w:rsidP="00052FF2">
      <w:pPr>
        <w:rPr>
          <w:rFonts w:cstheme="minorHAnsi"/>
          <w:b/>
          <w:i/>
          <w:iCs/>
          <w:sz w:val="28"/>
          <w:szCs w:val="28"/>
        </w:rPr>
      </w:pPr>
      <w:r w:rsidRPr="00EF0526">
        <w:rPr>
          <w:b/>
          <w:bCs/>
          <w:color w:val="FF0000"/>
          <w:sz w:val="28"/>
          <w:szCs w:val="28"/>
        </w:rPr>
        <w:t xml:space="preserve">Q: </w:t>
      </w:r>
      <w:r w:rsidRPr="00052FF2">
        <w:rPr>
          <w:rFonts w:cstheme="minorHAnsi"/>
          <w:b/>
          <w:i/>
          <w:iCs/>
          <w:sz w:val="28"/>
          <w:szCs w:val="28"/>
        </w:rPr>
        <w:t xml:space="preserve">Can we apply for more pre-accredited hours in the current </w:t>
      </w:r>
      <w:proofErr w:type="spellStart"/>
      <w:r w:rsidRPr="00052FF2">
        <w:rPr>
          <w:rFonts w:cstheme="minorHAnsi"/>
          <w:b/>
          <w:i/>
          <w:iCs/>
          <w:sz w:val="28"/>
          <w:szCs w:val="28"/>
        </w:rPr>
        <w:t>EoI</w:t>
      </w:r>
      <w:proofErr w:type="spellEnd"/>
      <w:r w:rsidRPr="00052FF2">
        <w:rPr>
          <w:rFonts w:cstheme="minorHAnsi"/>
          <w:b/>
          <w:i/>
          <w:iCs/>
          <w:sz w:val="28"/>
          <w:szCs w:val="28"/>
        </w:rPr>
        <w:t xml:space="preserve"> process?</w:t>
      </w:r>
    </w:p>
    <w:p w14:paraId="5A3259AE" w14:textId="77777777" w:rsidR="006A0F99" w:rsidRPr="006A0F99" w:rsidRDefault="006A0F99" w:rsidP="00052FF2">
      <w:pPr>
        <w:rPr>
          <w:rFonts w:cstheme="minorHAnsi"/>
          <w:iCs/>
          <w:sz w:val="28"/>
          <w:szCs w:val="28"/>
        </w:rPr>
      </w:pPr>
      <w:r w:rsidRPr="00052FF2">
        <w:rPr>
          <w:rFonts w:cstheme="minorHAnsi"/>
          <w:b/>
          <w:color w:val="FF0000"/>
          <w:sz w:val="28"/>
          <w:szCs w:val="28"/>
        </w:rPr>
        <w:t>A:</w:t>
      </w:r>
      <w:r w:rsidRPr="00052FF2">
        <w:rPr>
          <w:rFonts w:cstheme="minorHAnsi"/>
          <w:bCs/>
          <w:color w:val="FF0000"/>
          <w:sz w:val="28"/>
          <w:szCs w:val="28"/>
        </w:rPr>
        <w:t xml:space="preserve"> </w:t>
      </w:r>
      <w:r w:rsidRPr="00052FF2">
        <w:rPr>
          <w:rFonts w:cstheme="minorHAnsi"/>
          <w:bCs/>
          <w:sz w:val="28"/>
          <w:szCs w:val="28"/>
        </w:rPr>
        <w:t>No</w:t>
      </w:r>
      <w:r w:rsidRPr="00052FF2">
        <w:rPr>
          <w:bCs/>
          <w:sz w:val="28"/>
          <w:szCs w:val="28"/>
        </w:rPr>
        <w:t>,</w:t>
      </w:r>
      <w:r w:rsidRPr="00EF0526">
        <w:rPr>
          <w:sz w:val="28"/>
          <w:szCs w:val="28"/>
        </w:rPr>
        <w:t xml:space="preserve"> each provider can apply for up to a maximum of their total 2020 allocation</w:t>
      </w:r>
      <w:r w:rsidRPr="006A0F99">
        <w:rPr>
          <w:rFonts w:cstheme="minorHAnsi"/>
          <w:iCs/>
          <w:sz w:val="28"/>
          <w:szCs w:val="28"/>
        </w:rPr>
        <w:t xml:space="preserve"> of pre-accredited hours by ACFE regional area, via the current </w:t>
      </w:r>
      <w:proofErr w:type="spellStart"/>
      <w:r w:rsidRPr="006A0F99">
        <w:rPr>
          <w:rFonts w:cstheme="minorHAnsi"/>
          <w:iCs/>
          <w:sz w:val="28"/>
          <w:szCs w:val="28"/>
        </w:rPr>
        <w:t>EoI</w:t>
      </w:r>
      <w:proofErr w:type="spellEnd"/>
      <w:r w:rsidRPr="006A0F99">
        <w:rPr>
          <w:rFonts w:cstheme="minorHAnsi"/>
          <w:iCs/>
          <w:sz w:val="28"/>
          <w:szCs w:val="28"/>
        </w:rPr>
        <w:t xml:space="preserve">.  </w:t>
      </w:r>
    </w:p>
    <w:p w14:paraId="54214E4B" w14:textId="77777777" w:rsidR="006A0F99" w:rsidRPr="006A0F99" w:rsidRDefault="006A0F99" w:rsidP="006A0F99">
      <w:pPr>
        <w:spacing w:after="0" w:line="240" w:lineRule="auto"/>
        <w:rPr>
          <w:rFonts w:cstheme="minorHAnsi"/>
          <w:iCs/>
          <w:sz w:val="28"/>
          <w:szCs w:val="28"/>
        </w:rPr>
      </w:pPr>
    </w:p>
    <w:p w14:paraId="7BB67A77" w14:textId="77777777" w:rsidR="006A0F99" w:rsidRPr="006A0F99" w:rsidRDefault="006A0F99" w:rsidP="006A0F99">
      <w:pPr>
        <w:spacing w:after="0" w:line="240" w:lineRule="auto"/>
        <w:rPr>
          <w:rFonts w:cstheme="minorHAnsi"/>
          <w:iCs/>
          <w:sz w:val="28"/>
          <w:szCs w:val="28"/>
        </w:rPr>
      </w:pPr>
    </w:p>
    <w:p w14:paraId="1D6C8DF8" w14:textId="67601B5B" w:rsidR="006A0F99" w:rsidRPr="00052FF2" w:rsidRDefault="006A0F99" w:rsidP="00052FF2">
      <w:pPr>
        <w:rPr>
          <w:rFonts w:cstheme="minorHAnsi"/>
          <w:b/>
          <w:i/>
          <w:iCs/>
          <w:sz w:val="28"/>
          <w:szCs w:val="28"/>
        </w:rPr>
      </w:pPr>
      <w:r w:rsidRPr="006A0F99">
        <w:rPr>
          <w:rFonts w:cstheme="minorHAnsi"/>
          <w:b/>
          <w:bCs/>
          <w:iCs/>
          <w:color w:val="FF0000"/>
          <w:sz w:val="28"/>
          <w:szCs w:val="28"/>
        </w:rPr>
        <w:t xml:space="preserve">Q: </w:t>
      </w:r>
      <w:r w:rsidRPr="00EF0526">
        <w:rPr>
          <w:rFonts w:cstheme="minorHAnsi"/>
          <w:b/>
          <w:bCs/>
          <w:i/>
          <w:sz w:val="28"/>
          <w:szCs w:val="28"/>
        </w:rPr>
        <w:t xml:space="preserve">If I can’t exactly match my total </w:t>
      </w:r>
      <w:r w:rsidR="00EF0526" w:rsidRPr="00EF0526">
        <w:rPr>
          <w:rFonts w:cstheme="minorHAnsi"/>
          <w:b/>
          <w:bCs/>
          <w:i/>
          <w:sz w:val="28"/>
          <w:szCs w:val="28"/>
        </w:rPr>
        <w:t>Student Contact Hours (</w:t>
      </w:r>
      <w:r w:rsidRPr="00EF0526">
        <w:rPr>
          <w:rFonts w:cstheme="minorHAnsi"/>
          <w:b/>
          <w:bCs/>
          <w:i/>
          <w:sz w:val="28"/>
          <w:szCs w:val="28"/>
        </w:rPr>
        <w:t>SCH</w:t>
      </w:r>
      <w:r w:rsidR="00EF0526" w:rsidRPr="00EF0526">
        <w:rPr>
          <w:rFonts w:cstheme="minorHAnsi"/>
          <w:b/>
          <w:bCs/>
          <w:i/>
          <w:sz w:val="28"/>
          <w:szCs w:val="28"/>
        </w:rPr>
        <w:t>)</w:t>
      </w:r>
      <w:r w:rsidRPr="00EF0526">
        <w:rPr>
          <w:rFonts w:cstheme="minorHAnsi"/>
          <w:b/>
          <w:bCs/>
          <w:i/>
          <w:sz w:val="28"/>
          <w:szCs w:val="28"/>
        </w:rPr>
        <w:t xml:space="preserve"> for all </w:t>
      </w:r>
      <w:r w:rsidRPr="00052FF2">
        <w:rPr>
          <w:rFonts w:cstheme="minorHAnsi"/>
          <w:b/>
          <w:i/>
          <w:iCs/>
          <w:sz w:val="28"/>
          <w:szCs w:val="28"/>
        </w:rPr>
        <w:t>courses with my total allocated SCH, should I round up or down?</w:t>
      </w:r>
    </w:p>
    <w:p w14:paraId="688F251A" w14:textId="77777777" w:rsidR="006A0F99" w:rsidRPr="00EF0526" w:rsidRDefault="006A0F99" w:rsidP="00052FF2">
      <w:pPr>
        <w:rPr>
          <w:rFonts w:cstheme="minorHAnsi"/>
          <w:iCs/>
          <w:sz w:val="28"/>
          <w:szCs w:val="28"/>
        </w:rPr>
      </w:pPr>
      <w:r w:rsidRPr="00052FF2">
        <w:rPr>
          <w:rFonts w:cstheme="minorHAnsi"/>
          <w:b/>
          <w:color w:val="FF0000"/>
          <w:sz w:val="28"/>
          <w:szCs w:val="28"/>
        </w:rPr>
        <w:t xml:space="preserve">A: </w:t>
      </w:r>
      <w:r w:rsidRPr="00052FF2">
        <w:rPr>
          <w:rFonts w:cstheme="minorHAnsi"/>
          <w:bCs/>
          <w:sz w:val="28"/>
          <w:szCs w:val="28"/>
        </w:rPr>
        <w:t>If</w:t>
      </w:r>
      <w:r w:rsidRPr="00EF0526">
        <w:rPr>
          <w:rFonts w:cstheme="minorHAnsi"/>
          <w:iCs/>
          <w:sz w:val="28"/>
          <w:szCs w:val="28"/>
        </w:rPr>
        <w:t xml:space="preserve"> the total SCH for proposed courses doesn’t exactly match total allocated SCH, providers should round down to the nearest SCH in their Delivery Plan. </w:t>
      </w:r>
    </w:p>
    <w:p w14:paraId="2E5A3859" w14:textId="77777777" w:rsidR="002877CF" w:rsidRPr="00AC4C61" w:rsidRDefault="002877CF" w:rsidP="004D199E">
      <w:pPr>
        <w:spacing w:before="200" w:after="0" w:line="240" w:lineRule="auto"/>
        <w:rPr>
          <w:rFonts w:eastAsia="Times New Roman" w:cstheme="minorHAnsi"/>
          <w:kern w:val="24"/>
          <w:sz w:val="28"/>
          <w:szCs w:val="28"/>
          <w:lang w:val="en-US" w:eastAsia="en-AU"/>
        </w:rPr>
      </w:pPr>
    </w:p>
    <w:p w14:paraId="60FE647C" w14:textId="7A8A8A08" w:rsidR="00297F58" w:rsidRPr="00052FF2" w:rsidRDefault="00AC4C61" w:rsidP="00052FF2">
      <w:pPr>
        <w:rPr>
          <w:rFonts w:cstheme="minorHAnsi"/>
          <w:b/>
          <w:i/>
          <w:iCs/>
          <w:sz w:val="28"/>
          <w:szCs w:val="28"/>
        </w:rPr>
      </w:pPr>
      <w:r w:rsidRPr="00AC4C61">
        <w:rPr>
          <w:b/>
          <w:bCs/>
          <w:color w:val="FF0000"/>
          <w:sz w:val="28"/>
          <w:szCs w:val="28"/>
        </w:rPr>
        <w:t>Q:</w:t>
      </w:r>
      <w:r>
        <w:rPr>
          <w:b/>
          <w:bCs/>
          <w:color w:val="FF0000"/>
          <w:sz w:val="28"/>
          <w:szCs w:val="28"/>
        </w:rPr>
        <w:t xml:space="preserve"> </w:t>
      </w:r>
      <w:r w:rsidRPr="00EF0526">
        <w:rPr>
          <w:b/>
          <w:bCs/>
          <w:i/>
          <w:iCs/>
          <w:sz w:val="28"/>
          <w:szCs w:val="28"/>
        </w:rPr>
        <w:t>What does th</w:t>
      </w:r>
      <w:r w:rsidR="00C46AD9" w:rsidRPr="00EF0526">
        <w:rPr>
          <w:b/>
          <w:bCs/>
          <w:i/>
          <w:iCs/>
          <w:sz w:val="28"/>
          <w:szCs w:val="28"/>
        </w:rPr>
        <w:t>e approved 2021 allocation</w:t>
      </w:r>
      <w:r w:rsidRPr="00EF0526">
        <w:rPr>
          <w:b/>
          <w:bCs/>
          <w:i/>
          <w:iCs/>
          <w:sz w:val="28"/>
          <w:szCs w:val="28"/>
        </w:rPr>
        <w:t xml:space="preserve"> mean for new providers or </w:t>
      </w:r>
      <w:r w:rsidRPr="00052FF2">
        <w:rPr>
          <w:rFonts w:cstheme="minorHAnsi"/>
          <w:b/>
          <w:i/>
          <w:iCs/>
          <w:sz w:val="28"/>
          <w:szCs w:val="28"/>
        </w:rPr>
        <w:t>providers who are not delivering in 2020 and do not have a 2020 allocation?</w:t>
      </w:r>
    </w:p>
    <w:p w14:paraId="31712EFD" w14:textId="600517E1" w:rsidR="004A2D2C" w:rsidRPr="00EF0526" w:rsidRDefault="00AC4C61" w:rsidP="00052FF2">
      <w:pPr>
        <w:rPr>
          <w:rFonts w:cstheme="minorHAnsi"/>
          <w:color w:val="262626"/>
          <w:sz w:val="28"/>
          <w:szCs w:val="28"/>
        </w:rPr>
      </w:pPr>
      <w:r w:rsidRPr="00052FF2">
        <w:rPr>
          <w:rFonts w:cstheme="minorHAnsi"/>
          <w:b/>
          <w:color w:val="FF0000"/>
          <w:sz w:val="28"/>
          <w:szCs w:val="28"/>
        </w:rPr>
        <w:t>A:</w:t>
      </w:r>
      <w:r w:rsidRPr="00052FF2">
        <w:rPr>
          <w:rFonts w:cstheme="minorHAnsi"/>
          <w:b/>
          <w:i/>
          <w:iCs/>
          <w:color w:val="FF0000"/>
          <w:sz w:val="28"/>
          <w:szCs w:val="28"/>
        </w:rPr>
        <w:t xml:space="preserve"> </w:t>
      </w:r>
      <w:r w:rsidRPr="00052FF2">
        <w:rPr>
          <w:rFonts w:cstheme="minorHAnsi"/>
          <w:bCs/>
          <w:sz w:val="28"/>
          <w:szCs w:val="28"/>
        </w:rPr>
        <w:t>The ap</w:t>
      </w:r>
      <w:r w:rsidRPr="00052FF2">
        <w:rPr>
          <w:rFonts w:cstheme="minorHAnsi"/>
          <w:bCs/>
          <w:color w:val="262626"/>
          <w:sz w:val="28"/>
          <w:szCs w:val="28"/>
        </w:rPr>
        <w:t>proval</w:t>
      </w:r>
      <w:r w:rsidRPr="00EF0526">
        <w:rPr>
          <w:rFonts w:cstheme="minorHAnsi"/>
          <w:color w:val="262626"/>
          <w:sz w:val="28"/>
          <w:szCs w:val="28"/>
        </w:rPr>
        <w:t xml:space="preserve"> of total hour allocation for 2021 is the ACFE Board’s commitment to providers delivering in 2020 during COVID-19. This does not apply to new providers or existing providers who did not deliver in 2020.  These providers should still submit an </w:t>
      </w:r>
      <w:proofErr w:type="spellStart"/>
      <w:r w:rsidRPr="00EF0526">
        <w:rPr>
          <w:rFonts w:cstheme="minorHAnsi"/>
          <w:color w:val="262626"/>
          <w:sz w:val="28"/>
          <w:szCs w:val="28"/>
        </w:rPr>
        <w:t>EoI</w:t>
      </w:r>
      <w:proofErr w:type="spellEnd"/>
      <w:r w:rsidRPr="00EF0526">
        <w:rPr>
          <w:rFonts w:cstheme="minorHAnsi"/>
          <w:color w:val="262626"/>
          <w:sz w:val="28"/>
          <w:szCs w:val="28"/>
        </w:rPr>
        <w:t xml:space="preserve"> for consideration</w:t>
      </w:r>
      <w:r w:rsidR="00BE0619" w:rsidRPr="00EF0526">
        <w:rPr>
          <w:rFonts w:cstheme="minorHAnsi"/>
          <w:color w:val="262626"/>
          <w:sz w:val="28"/>
          <w:szCs w:val="28"/>
        </w:rPr>
        <w:t>, for P</w:t>
      </w:r>
      <w:r w:rsidR="009E3DEE" w:rsidRPr="00EF0526">
        <w:rPr>
          <w:rFonts w:cstheme="minorHAnsi"/>
          <w:color w:val="262626"/>
          <w:sz w:val="28"/>
          <w:szCs w:val="28"/>
        </w:rPr>
        <w:t>r</w:t>
      </w:r>
      <w:r w:rsidR="00BE0619" w:rsidRPr="00EF0526">
        <w:rPr>
          <w:rFonts w:cstheme="minorHAnsi"/>
          <w:color w:val="262626"/>
          <w:sz w:val="28"/>
          <w:szCs w:val="28"/>
        </w:rPr>
        <w:t xml:space="preserve">e-accredited Training and if </w:t>
      </w:r>
      <w:r w:rsidR="00E1518F" w:rsidRPr="00EF0526">
        <w:rPr>
          <w:rFonts w:cstheme="minorHAnsi"/>
          <w:color w:val="262626"/>
          <w:sz w:val="28"/>
          <w:szCs w:val="28"/>
        </w:rPr>
        <w:t>applicable,</w:t>
      </w:r>
      <w:r w:rsidR="00BE0619" w:rsidRPr="00EF0526">
        <w:rPr>
          <w:rFonts w:cstheme="minorHAnsi"/>
          <w:color w:val="262626"/>
          <w:sz w:val="28"/>
          <w:szCs w:val="28"/>
        </w:rPr>
        <w:t xml:space="preserve"> LEAP and/or Skills for Work and Study.</w:t>
      </w:r>
      <w:r w:rsidR="00F063B5" w:rsidRPr="00EF0526">
        <w:rPr>
          <w:rFonts w:cstheme="minorHAnsi"/>
          <w:color w:val="262626"/>
          <w:sz w:val="28"/>
          <w:szCs w:val="28"/>
        </w:rPr>
        <w:t xml:space="preserve">  </w:t>
      </w:r>
    </w:p>
    <w:p w14:paraId="2BB6F204" w14:textId="7BB2C4B4" w:rsidR="002A3F7C" w:rsidRDefault="002A3F7C" w:rsidP="002877CF">
      <w:pPr>
        <w:pStyle w:val="activity-body"/>
        <w:shd w:val="clear" w:color="auto" w:fill="FFFFFF"/>
        <w:spacing w:before="0" w:beforeAutospacing="0"/>
        <w:rPr>
          <w:rFonts w:asciiTheme="minorHAnsi" w:hAnsiTheme="minorHAnsi" w:cstheme="minorHAnsi"/>
          <w:color w:val="262626"/>
          <w:sz w:val="28"/>
          <w:szCs w:val="28"/>
        </w:rPr>
      </w:pPr>
    </w:p>
    <w:p w14:paraId="14312654" w14:textId="77777777" w:rsidR="00052FF2" w:rsidRPr="003847E1" w:rsidRDefault="00052FF2" w:rsidP="002877CF">
      <w:pPr>
        <w:pStyle w:val="activity-body"/>
        <w:shd w:val="clear" w:color="auto" w:fill="FFFFFF"/>
        <w:spacing w:before="0" w:beforeAutospacing="0"/>
        <w:rPr>
          <w:rFonts w:asciiTheme="minorHAnsi" w:hAnsiTheme="minorHAnsi" w:cstheme="minorHAnsi"/>
          <w:color w:val="262626"/>
          <w:sz w:val="28"/>
          <w:szCs w:val="28"/>
        </w:rPr>
      </w:pPr>
    </w:p>
    <w:p w14:paraId="0253CD5C" w14:textId="77777777" w:rsidR="00EF0526" w:rsidRPr="00EF0526" w:rsidRDefault="004A2D2C" w:rsidP="00BB09D5">
      <w:pPr>
        <w:rPr>
          <w:rFonts w:eastAsia="Times New Roman" w:cstheme="minorHAnsi"/>
          <w:b/>
          <w:i/>
          <w:iCs/>
          <w:sz w:val="28"/>
          <w:szCs w:val="28"/>
          <w:lang w:eastAsia="en-AU"/>
        </w:rPr>
      </w:pPr>
      <w:r w:rsidRPr="00BB09D5">
        <w:rPr>
          <w:rFonts w:cstheme="minorHAnsi"/>
          <w:b/>
          <w:bCs/>
          <w:iCs/>
          <w:color w:val="FF0000"/>
          <w:sz w:val="28"/>
          <w:szCs w:val="28"/>
        </w:rPr>
        <w:t>Q:</w:t>
      </w:r>
      <w:r>
        <w:rPr>
          <w:rFonts w:cstheme="minorHAnsi"/>
          <w:iCs/>
          <w:color w:val="FF0000"/>
          <w:sz w:val="28"/>
          <w:szCs w:val="28"/>
        </w:rPr>
        <w:t xml:space="preserve">  </w:t>
      </w:r>
      <w:r w:rsidRPr="00EF0526">
        <w:rPr>
          <w:rFonts w:eastAsia="Times New Roman" w:cstheme="minorHAnsi"/>
          <w:b/>
          <w:i/>
          <w:iCs/>
          <w:sz w:val="28"/>
          <w:szCs w:val="28"/>
          <w:lang w:eastAsia="en-AU"/>
        </w:rPr>
        <w:t>Will there be opportunities to request extra hours</w:t>
      </w:r>
      <w:r w:rsidR="00EF0526" w:rsidRPr="00EF0526">
        <w:rPr>
          <w:rFonts w:eastAsia="Times New Roman" w:cstheme="minorHAnsi"/>
          <w:b/>
          <w:i/>
          <w:iCs/>
          <w:sz w:val="28"/>
          <w:szCs w:val="28"/>
          <w:lang w:eastAsia="en-AU"/>
        </w:rPr>
        <w:t>?</w:t>
      </w:r>
    </w:p>
    <w:p w14:paraId="04B52444" w14:textId="3ED74DB5" w:rsidR="006A0F99" w:rsidRDefault="004A2D2C" w:rsidP="00BB09D5">
      <w:pPr>
        <w:rPr>
          <w:rFonts w:cstheme="minorHAnsi"/>
          <w:b/>
          <w:bCs/>
          <w:iCs/>
          <w:sz w:val="28"/>
          <w:szCs w:val="28"/>
        </w:rPr>
      </w:pPr>
      <w:r w:rsidRPr="00EF0526">
        <w:rPr>
          <w:rFonts w:cstheme="minorHAnsi"/>
          <w:b/>
          <w:bCs/>
          <w:color w:val="FF0000"/>
          <w:sz w:val="28"/>
          <w:szCs w:val="28"/>
        </w:rPr>
        <w:t>A:</w:t>
      </w:r>
      <w:r w:rsidRPr="00EF0526">
        <w:rPr>
          <w:rFonts w:cstheme="minorHAnsi"/>
          <w:color w:val="FF0000"/>
          <w:sz w:val="28"/>
          <w:szCs w:val="28"/>
        </w:rPr>
        <w:t xml:space="preserve">  </w:t>
      </w:r>
      <w:r w:rsidRPr="00EF0526">
        <w:rPr>
          <w:rFonts w:cstheme="minorHAnsi"/>
          <w:sz w:val="28"/>
          <w:szCs w:val="28"/>
        </w:rPr>
        <w:t>Initially</w:t>
      </w:r>
      <w:r w:rsidR="00EF0526">
        <w:rPr>
          <w:rFonts w:cstheme="minorHAnsi"/>
          <w:sz w:val="28"/>
          <w:szCs w:val="28"/>
        </w:rPr>
        <w:t>,</w:t>
      </w:r>
      <w:r w:rsidRPr="00AC4C61">
        <w:rPr>
          <w:rFonts w:cstheme="minorHAnsi"/>
          <w:bCs/>
          <w:iCs/>
          <w:sz w:val="28"/>
          <w:szCs w:val="28"/>
        </w:rPr>
        <w:t xml:space="preserve"> extra hours are available through the separate Skills for Work and Study pilot programs.</w:t>
      </w:r>
      <w:r w:rsidR="006A0F99">
        <w:rPr>
          <w:rFonts w:cstheme="minorHAnsi"/>
          <w:b/>
          <w:bCs/>
          <w:iCs/>
          <w:sz w:val="28"/>
          <w:szCs w:val="28"/>
        </w:rPr>
        <w:t xml:space="preserve"> </w:t>
      </w:r>
      <w:r w:rsidR="006A0F99" w:rsidRPr="00483728">
        <w:rPr>
          <w:rFonts w:cstheme="minorHAnsi"/>
          <w:iCs/>
          <w:sz w:val="28"/>
          <w:szCs w:val="28"/>
        </w:rPr>
        <w:t>Subsequently, as announced in the ACFE Chair’s communique of 24 September and the information session on 28 September, additional opportunities will be available</w:t>
      </w:r>
      <w:r w:rsidR="00EF0526">
        <w:rPr>
          <w:rFonts w:cstheme="minorHAnsi"/>
          <w:iCs/>
          <w:sz w:val="28"/>
          <w:szCs w:val="28"/>
        </w:rPr>
        <w:t xml:space="preserve"> </w:t>
      </w:r>
      <w:r w:rsidR="006A0F99" w:rsidRPr="00483728">
        <w:rPr>
          <w:rFonts w:cstheme="minorHAnsi"/>
          <w:iCs/>
          <w:sz w:val="28"/>
          <w:szCs w:val="28"/>
        </w:rPr>
        <w:t>through separate processes, for additional programs</w:t>
      </w:r>
      <w:r w:rsidR="00EF0526">
        <w:rPr>
          <w:rFonts w:cstheme="minorHAnsi"/>
          <w:iCs/>
          <w:sz w:val="28"/>
          <w:szCs w:val="28"/>
        </w:rPr>
        <w:t xml:space="preserve">, </w:t>
      </w:r>
      <w:r w:rsidR="00EF0526" w:rsidRPr="00483728">
        <w:rPr>
          <w:rFonts w:cstheme="minorHAnsi"/>
          <w:iCs/>
          <w:sz w:val="28"/>
          <w:szCs w:val="28"/>
        </w:rPr>
        <w:t>over coming months</w:t>
      </w:r>
      <w:r w:rsidR="006A0F99" w:rsidRPr="00483728">
        <w:rPr>
          <w:rFonts w:cstheme="minorHAnsi"/>
          <w:iCs/>
          <w:sz w:val="28"/>
          <w:szCs w:val="28"/>
        </w:rPr>
        <w:t>.</w:t>
      </w:r>
      <w:r w:rsidRPr="00AC4C61">
        <w:rPr>
          <w:rFonts w:cstheme="minorHAnsi"/>
          <w:bCs/>
          <w:iCs/>
          <w:sz w:val="28"/>
          <w:szCs w:val="28"/>
        </w:rPr>
        <w:t xml:space="preserve"> </w:t>
      </w:r>
      <w:r w:rsidR="006A0F99">
        <w:rPr>
          <w:rFonts w:cstheme="minorHAnsi"/>
          <w:b/>
          <w:bCs/>
          <w:iCs/>
          <w:sz w:val="28"/>
          <w:szCs w:val="28"/>
        </w:rPr>
        <w:t xml:space="preserve"> </w:t>
      </w:r>
    </w:p>
    <w:p w14:paraId="1F88CB3A" w14:textId="782D38EB" w:rsidR="006A0F99" w:rsidRPr="00EF0526" w:rsidRDefault="006A0F99" w:rsidP="00297F58">
      <w:pPr>
        <w:pStyle w:val="Covertitle"/>
        <w:spacing w:before="0" w:after="0"/>
        <w:rPr>
          <w:rFonts w:cstheme="minorHAnsi"/>
          <w:iCs/>
          <w:color w:val="auto"/>
          <w:sz w:val="28"/>
          <w:szCs w:val="28"/>
        </w:rPr>
      </w:pPr>
    </w:p>
    <w:p w14:paraId="79ED93C4" w14:textId="2D18F7AD" w:rsidR="00EF0526" w:rsidRPr="00052FF2" w:rsidRDefault="00EF0526" w:rsidP="00052FF2">
      <w:pPr>
        <w:rPr>
          <w:rFonts w:cstheme="minorHAnsi"/>
          <w:b/>
          <w:i/>
          <w:iCs/>
          <w:sz w:val="28"/>
          <w:szCs w:val="28"/>
        </w:rPr>
      </w:pPr>
      <w:r w:rsidRPr="00EF0526">
        <w:rPr>
          <w:rFonts w:eastAsia="Times New Roman" w:cstheme="minorHAnsi"/>
          <w:b/>
          <w:i/>
          <w:iCs/>
          <w:color w:val="FF0000"/>
          <w:sz w:val="28"/>
          <w:szCs w:val="28"/>
          <w:lang w:eastAsia="en-AU"/>
        </w:rPr>
        <w:t xml:space="preserve">Q: </w:t>
      </w:r>
      <w:r w:rsidRPr="00EF0526">
        <w:rPr>
          <w:rFonts w:eastAsia="Times New Roman" w:cstheme="minorHAnsi"/>
          <w:b/>
          <w:i/>
          <w:iCs/>
          <w:sz w:val="28"/>
          <w:szCs w:val="28"/>
          <w:lang w:eastAsia="en-AU"/>
        </w:rPr>
        <w:t xml:space="preserve">Can I vary my Delivery Plan </w:t>
      </w:r>
      <w:r>
        <w:rPr>
          <w:rFonts w:eastAsia="Times New Roman" w:cstheme="minorHAnsi"/>
          <w:b/>
          <w:i/>
          <w:iCs/>
          <w:sz w:val="28"/>
          <w:szCs w:val="28"/>
          <w:lang w:eastAsia="en-AU"/>
        </w:rPr>
        <w:t>by</w:t>
      </w:r>
      <w:r w:rsidRPr="00EF0526">
        <w:rPr>
          <w:rFonts w:eastAsia="Times New Roman" w:cstheme="minorHAnsi"/>
          <w:b/>
          <w:i/>
          <w:iCs/>
          <w:sz w:val="28"/>
          <w:szCs w:val="28"/>
          <w:lang w:eastAsia="en-AU"/>
        </w:rPr>
        <w:t xml:space="preserve"> changing </w:t>
      </w:r>
      <w:r w:rsidR="005F5DFC">
        <w:rPr>
          <w:rFonts w:eastAsia="Times New Roman" w:cstheme="minorHAnsi"/>
          <w:b/>
          <w:i/>
          <w:iCs/>
          <w:sz w:val="28"/>
          <w:szCs w:val="28"/>
          <w:lang w:eastAsia="en-AU"/>
        </w:rPr>
        <w:t xml:space="preserve">courses, mode of delivery, </w:t>
      </w:r>
      <w:r w:rsidRPr="00EF0526">
        <w:rPr>
          <w:rFonts w:eastAsia="Times New Roman" w:cstheme="minorHAnsi"/>
          <w:b/>
          <w:i/>
          <w:iCs/>
          <w:sz w:val="28"/>
          <w:szCs w:val="28"/>
          <w:lang w:eastAsia="en-AU"/>
        </w:rPr>
        <w:t xml:space="preserve">LGA </w:t>
      </w:r>
      <w:r w:rsidR="005F5DFC">
        <w:rPr>
          <w:rFonts w:eastAsia="Times New Roman" w:cstheme="minorHAnsi"/>
          <w:b/>
          <w:i/>
          <w:iCs/>
          <w:sz w:val="28"/>
          <w:szCs w:val="28"/>
          <w:lang w:eastAsia="en-AU"/>
        </w:rPr>
        <w:t xml:space="preserve">of </w:t>
      </w:r>
      <w:r w:rsidR="005F5DFC" w:rsidRPr="00052FF2">
        <w:rPr>
          <w:rFonts w:cstheme="minorHAnsi"/>
          <w:b/>
          <w:i/>
          <w:iCs/>
          <w:sz w:val="28"/>
          <w:szCs w:val="28"/>
        </w:rPr>
        <w:t>delivery</w:t>
      </w:r>
      <w:r w:rsidRPr="00052FF2">
        <w:rPr>
          <w:rFonts w:cstheme="minorHAnsi"/>
          <w:b/>
          <w:i/>
          <w:iCs/>
          <w:sz w:val="28"/>
          <w:szCs w:val="28"/>
        </w:rPr>
        <w:t xml:space="preserve">, or pre-accredited </w:t>
      </w:r>
      <w:r w:rsidRPr="00EF0526">
        <w:rPr>
          <w:rFonts w:cstheme="minorHAnsi"/>
          <w:b/>
          <w:i/>
          <w:iCs/>
          <w:sz w:val="28"/>
          <w:szCs w:val="28"/>
        </w:rPr>
        <w:t xml:space="preserve">hours during 2021? </w:t>
      </w:r>
    </w:p>
    <w:p w14:paraId="6CD32C2E" w14:textId="7C033432" w:rsidR="004A2D2C" w:rsidRPr="006A0F99" w:rsidRDefault="00EF0526" w:rsidP="00052FF2">
      <w:pPr>
        <w:rPr>
          <w:rFonts w:cstheme="minorHAnsi"/>
          <w:bCs/>
          <w:iCs/>
          <w:sz w:val="28"/>
          <w:szCs w:val="28"/>
        </w:rPr>
      </w:pPr>
      <w:r w:rsidRPr="00052FF2">
        <w:rPr>
          <w:rFonts w:cstheme="minorHAnsi"/>
          <w:b/>
          <w:color w:val="FF0000"/>
          <w:sz w:val="28"/>
          <w:szCs w:val="28"/>
        </w:rPr>
        <w:t xml:space="preserve">A: </w:t>
      </w:r>
      <w:r w:rsidR="006A0F99" w:rsidRPr="00052FF2">
        <w:rPr>
          <w:rFonts w:cstheme="minorHAnsi"/>
          <w:bCs/>
          <w:sz w:val="28"/>
          <w:szCs w:val="28"/>
        </w:rPr>
        <w:t>V</w:t>
      </w:r>
      <w:r w:rsidR="004A2D2C" w:rsidRPr="00052FF2">
        <w:rPr>
          <w:rFonts w:cstheme="minorHAnsi"/>
          <w:bCs/>
          <w:sz w:val="28"/>
          <w:szCs w:val="28"/>
        </w:rPr>
        <w:t>ariations</w:t>
      </w:r>
      <w:r w:rsidR="004A2D2C" w:rsidRPr="00052FF2">
        <w:rPr>
          <w:rFonts w:cstheme="minorHAnsi"/>
          <w:bCs/>
          <w:iCs/>
          <w:sz w:val="28"/>
          <w:szCs w:val="28"/>
        </w:rPr>
        <w:t xml:space="preserve"> </w:t>
      </w:r>
      <w:r w:rsidR="004A2D2C" w:rsidRPr="00AC4C61">
        <w:rPr>
          <w:rFonts w:cstheme="minorHAnsi"/>
          <w:bCs/>
          <w:iCs/>
          <w:sz w:val="28"/>
          <w:szCs w:val="28"/>
        </w:rPr>
        <w:t>to your pre-accredited Delivery</w:t>
      </w:r>
      <w:r>
        <w:rPr>
          <w:rFonts w:cstheme="minorHAnsi"/>
          <w:b/>
          <w:bCs/>
          <w:iCs/>
          <w:sz w:val="28"/>
          <w:szCs w:val="28"/>
        </w:rPr>
        <w:t xml:space="preserve"> </w:t>
      </w:r>
      <w:r w:rsidR="004A2D2C" w:rsidRPr="00AC4C61">
        <w:rPr>
          <w:rFonts w:cstheme="minorHAnsi"/>
          <w:bCs/>
          <w:iCs/>
          <w:sz w:val="28"/>
          <w:szCs w:val="28"/>
        </w:rPr>
        <w:t xml:space="preserve">Plan that include changes to hours or LGA targets can only </w:t>
      </w:r>
      <w:r w:rsidR="004A2D2C" w:rsidRPr="00AC4C61">
        <w:rPr>
          <w:rFonts w:eastAsiaTheme="minorEastAsia" w:cstheme="minorHAnsi"/>
          <w:bCs/>
          <w:kern w:val="24"/>
          <w:sz w:val="28"/>
          <w:szCs w:val="28"/>
          <w:lang w:val="en-US" w:eastAsia="en-AU"/>
        </w:rPr>
        <w:t>be requested during a variation window. Advice on variation windows will be provided during the year.</w:t>
      </w:r>
      <w:r w:rsidR="004A2D2C" w:rsidRPr="00AC4C61">
        <w:rPr>
          <w:rFonts w:eastAsiaTheme="minorEastAsia" w:cstheme="minorHAnsi"/>
          <w:kern w:val="24"/>
          <w:sz w:val="28"/>
          <w:szCs w:val="28"/>
          <w:lang w:val="en-US" w:eastAsia="en-AU"/>
        </w:rPr>
        <w:t xml:space="preserve"> </w:t>
      </w:r>
    </w:p>
    <w:p w14:paraId="6703CC91" w14:textId="77777777" w:rsidR="00297F58" w:rsidRDefault="00297F58" w:rsidP="004D199E">
      <w:pPr>
        <w:spacing w:before="200" w:after="0" w:line="240" w:lineRule="auto"/>
        <w:rPr>
          <w:sz w:val="28"/>
          <w:szCs w:val="28"/>
        </w:rPr>
      </w:pPr>
    </w:p>
    <w:p w14:paraId="2ABE5658" w14:textId="3313A85E" w:rsidR="004A2D2C" w:rsidRPr="00297F58" w:rsidRDefault="004A2D2C" w:rsidP="004A2D2C">
      <w:pPr>
        <w:pStyle w:val="Covertitle"/>
        <w:rPr>
          <w:color w:val="FF0000"/>
          <w:sz w:val="28"/>
          <w:szCs w:val="28"/>
        </w:rPr>
      </w:pPr>
      <w:r>
        <w:rPr>
          <w:color w:val="FF0000"/>
          <w:sz w:val="28"/>
          <w:szCs w:val="28"/>
        </w:rPr>
        <w:t>ELIGIBILITY CONDITIONS FOR ACFE FUNDED PROGRAMS</w:t>
      </w:r>
    </w:p>
    <w:p w14:paraId="03EED721" w14:textId="77777777" w:rsidR="00754764" w:rsidRPr="00F16AB3" w:rsidRDefault="00754764" w:rsidP="004D199E">
      <w:pPr>
        <w:spacing w:before="200" w:after="0" w:line="240" w:lineRule="auto"/>
        <w:rPr>
          <w:sz w:val="24"/>
          <w:szCs w:val="24"/>
        </w:rPr>
      </w:pPr>
    </w:p>
    <w:p w14:paraId="2A007141" w14:textId="63F2BFAF" w:rsidR="004401A4" w:rsidRPr="005F5DFC" w:rsidRDefault="004401A4" w:rsidP="004401A4">
      <w:pPr>
        <w:rPr>
          <w:rFonts w:cstheme="minorHAnsi"/>
          <w:b/>
          <w:iCs/>
          <w:color w:val="FF0000"/>
          <w:sz w:val="28"/>
          <w:szCs w:val="28"/>
        </w:rPr>
      </w:pPr>
      <w:r w:rsidRPr="00A430AB">
        <w:rPr>
          <w:rFonts w:cstheme="minorHAnsi"/>
          <w:b/>
          <w:iCs/>
          <w:color w:val="FF0000"/>
          <w:sz w:val="28"/>
          <w:szCs w:val="28"/>
        </w:rPr>
        <w:t>Q:</w:t>
      </w:r>
      <w:r>
        <w:rPr>
          <w:rFonts w:cstheme="minorHAnsi"/>
          <w:b/>
          <w:iCs/>
          <w:color w:val="FF0000"/>
          <w:sz w:val="28"/>
          <w:szCs w:val="28"/>
        </w:rPr>
        <w:t xml:space="preserve">  </w:t>
      </w:r>
      <w:r w:rsidRPr="005F5DFC">
        <w:rPr>
          <w:rFonts w:cstheme="minorHAnsi"/>
          <w:b/>
          <w:i/>
          <w:sz w:val="28"/>
          <w:szCs w:val="28"/>
        </w:rPr>
        <w:t>Is there information available about the visa eligibility exempt</w:t>
      </w:r>
      <w:r w:rsidR="00C46AD9" w:rsidRPr="005F5DFC">
        <w:rPr>
          <w:rFonts w:cstheme="minorHAnsi"/>
          <w:b/>
          <w:i/>
          <w:sz w:val="28"/>
          <w:szCs w:val="28"/>
        </w:rPr>
        <w:t>ion</w:t>
      </w:r>
      <w:r w:rsidRPr="005F5DFC">
        <w:rPr>
          <w:rFonts w:cstheme="minorHAnsi"/>
          <w:b/>
          <w:i/>
          <w:sz w:val="28"/>
          <w:szCs w:val="28"/>
        </w:rPr>
        <w:t xml:space="preserve"> for </w:t>
      </w:r>
      <w:r w:rsidRPr="005F5DFC">
        <w:rPr>
          <w:rFonts w:cstheme="minorHAnsi"/>
          <w:b/>
          <w:i/>
          <w:iCs/>
          <w:sz w:val="28"/>
          <w:szCs w:val="28"/>
        </w:rPr>
        <w:t>asylum seekers referred by Jobs Victoria Employment Network providers?</w:t>
      </w:r>
      <w:r w:rsidRPr="005F5DFC">
        <w:rPr>
          <w:rFonts w:cstheme="minorHAnsi"/>
          <w:b/>
          <w:iCs/>
          <w:sz w:val="28"/>
          <w:szCs w:val="28"/>
        </w:rPr>
        <w:t xml:space="preserve"> </w:t>
      </w:r>
    </w:p>
    <w:p w14:paraId="44EE18D5" w14:textId="17D4A1D1" w:rsidR="004401A4" w:rsidRDefault="004401A4" w:rsidP="0010416F">
      <w:pPr>
        <w:spacing w:after="120" w:line="240" w:lineRule="auto"/>
        <w:rPr>
          <w:color w:val="0B0C1D"/>
          <w:sz w:val="28"/>
          <w:szCs w:val="28"/>
          <w:lang w:val="en" w:eastAsia="en-AU"/>
        </w:rPr>
      </w:pPr>
      <w:r w:rsidRPr="00FA3304">
        <w:rPr>
          <w:rFonts w:cstheme="minorHAnsi"/>
          <w:b/>
          <w:iCs/>
          <w:color w:val="FF0000"/>
          <w:sz w:val="28"/>
          <w:szCs w:val="28"/>
        </w:rPr>
        <w:t>A</w:t>
      </w:r>
      <w:r w:rsidRPr="00FA3304">
        <w:rPr>
          <w:rFonts w:cstheme="minorHAnsi"/>
          <w:iCs/>
          <w:color w:val="FF0000"/>
          <w:sz w:val="28"/>
          <w:szCs w:val="28"/>
        </w:rPr>
        <w:t xml:space="preserve">: </w:t>
      </w:r>
      <w:r w:rsidRPr="00FA3304">
        <w:rPr>
          <w:rFonts w:cstheme="minorHAnsi"/>
          <w:iCs/>
          <w:sz w:val="28"/>
          <w:szCs w:val="28"/>
        </w:rPr>
        <w:t>All information</w:t>
      </w:r>
      <w:r>
        <w:rPr>
          <w:rFonts w:cstheme="minorHAnsi"/>
          <w:iCs/>
          <w:sz w:val="28"/>
          <w:szCs w:val="28"/>
        </w:rPr>
        <w:t xml:space="preserve"> and operational protocols</w:t>
      </w:r>
      <w:r w:rsidRPr="00FA3304">
        <w:rPr>
          <w:rFonts w:cstheme="minorHAnsi"/>
          <w:iCs/>
          <w:sz w:val="28"/>
          <w:szCs w:val="28"/>
        </w:rPr>
        <w:t xml:space="preserve"> regarding eligibility for asylum seekers referred by Jobs Victoria Employment Networks is on the</w:t>
      </w:r>
      <w:r w:rsidR="00C46AD9">
        <w:rPr>
          <w:rFonts w:cstheme="minorHAnsi"/>
          <w:iCs/>
          <w:sz w:val="28"/>
          <w:szCs w:val="28"/>
        </w:rPr>
        <w:t xml:space="preserve"> </w:t>
      </w:r>
      <w:hyperlink r:id="rId14" w:history="1">
        <w:r w:rsidR="00C46AD9">
          <w:rPr>
            <w:rStyle w:val="Hyperlink"/>
            <w:rFonts w:cstheme="minorHAnsi"/>
            <w:iCs/>
            <w:sz w:val="28"/>
            <w:szCs w:val="28"/>
          </w:rPr>
          <w:t>Learn Local Grants and Funding</w:t>
        </w:r>
      </w:hyperlink>
      <w:r w:rsidR="00C46AD9">
        <w:rPr>
          <w:rFonts w:cstheme="minorHAnsi"/>
          <w:iCs/>
          <w:sz w:val="28"/>
          <w:szCs w:val="28"/>
        </w:rPr>
        <w:t xml:space="preserve"> </w:t>
      </w:r>
      <w:r w:rsidRPr="00FA3304">
        <w:rPr>
          <w:rFonts w:cstheme="minorHAnsi"/>
          <w:iCs/>
          <w:sz w:val="28"/>
          <w:szCs w:val="28"/>
        </w:rPr>
        <w:t xml:space="preserve"> </w:t>
      </w:r>
      <w:r w:rsidR="00C46AD9">
        <w:rPr>
          <w:rFonts w:cstheme="minorHAnsi"/>
          <w:iCs/>
          <w:sz w:val="28"/>
          <w:szCs w:val="28"/>
        </w:rPr>
        <w:t xml:space="preserve">page on the </w:t>
      </w:r>
      <w:r w:rsidRPr="00FA3304">
        <w:rPr>
          <w:rFonts w:cstheme="minorHAnsi"/>
          <w:iCs/>
          <w:sz w:val="28"/>
          <w:szCs w:val="28"/>
        </w:rPr>
        <w:t>Department website</w:t>
      </w:r>
      <w:r w:rsidR="00C46AD9">
        <w:rPr>
          <w:rFonts w:cstheme="minorHAnsi"/>
          <w:iCs/>
          <w:sz w:val="28"/>
          <w:szCs w:val="28"/>
        </w:rPr>
        <w:t>.</w:t>
      </w:r>
      <w:r w:rsidR="0010416F">
        <w:rPr>
          <w:rFonts w:cstheme="minorHAnsi"/>
          <w:iCs/>
          <w:sz w:val="28"/>
          <w:szCs w:val="28"/>
        </w:rPr>
        <w:t xml:space="preserve">  </w:t>
      </w:r>
      <w:r w:rsidRPr="0010416F">
        <w:rPr>
          <w:color w:val="0B0C1D"/>
          <w:sz w:val="28"/>
          <w:szCs w:val="28"/>
          <w:lang w:val="en" w:eastAsia="en-AU"/>
        </w:rPr>
        <w:t xml:space="preserve">Learn Local providers are required to use the </w:t>
      </w:r>
      <w:r w:rsidR="0010416F">
        <w:rPr>
          <w:color w:val="0B0C1D"/>
          <w:sz w:val="28"/>
          <w:szCs w:val="28"/>
          <w:lang w:val="en" w:eastAsia="en-AU"/>
        </w:rPr>
        <w:t xml:space="preserve">State Funding Source Code </w:t>
      </w:r>
      <w:r w:rsidRPr="0010416F">
        <w:rPr>
          <w:color w:val="0B0C1D"/>
          <w:sz w:val="28"/>
          <w:szCs w:val="28"/>
          <w:lang w:val="en" w:eastAsia="en-AU"/>
        </w:rPr>
        <w:t xml:space="preserve">‘ACJ’ for all Jobs Victoria referred asylum seekers.  </w:t>
      </w:r>
    </w:p>
    <w:p w14:paraId="0A789544" w14:textId="70F92263" w:rsidR="00E649B6" w:rsidRDefault="00E649B6" w:rsidP="0010416F">
      <w:pPr>
        <w:spacing w:after="120" w:line="240" w:lineRule="auto"/>
        <w:rPr>
          <w:color w:val="0B0C1D"/>
          <w:sz w:val="28"/>
          <w:szCs w:val="28"/>
          <w:lang w:val="en" w:eastAsia="en-AU"/>
        </w:rPr>
      </w:pPr>
    </w:p>
    <w:p w14:paraId="20A92B60" w14:textId="7DF50C4B" w:rsidR="00E649B6" w:rsidRPr="00E649B6" w:rsidRDefault="00E649B6" w:rsidP="0010416F">
      <w:pPr>
        <w:spacing w:after="120" w:line="240" w:lineRule="auto"/>
        <w:rPr>
          <w:i/>
          <w:color w:val="0B0C1D"/>
          <w:sz w:val="28"/>
          <w:szCs w:val="28"/>
          <w:lang w:val="en" w:eastAsia="en-AU"/>
        </w:rPr>
      </w:pPr>
      <w:r w:rsidRPr="00A430AB">
        <w:rPr>
          <w:rFonts w:cstheme="minorHAnsi"/>
          <w:b/>
          <w:iCs/>
          <w:color w:val="FF0000"/>
          <w:sz w:val="28"/>
          <w:szCs w:val="28"/>
        </w:rPr>
        <w:t>Q:</w:t>
      </w:r>
      <w:r>
        <w:rPr>
          <w:rFonts w:cstheme="minorHAnsi"/>
          <w:b/>
          <w:iCs/>
          <w:color w:val="FF0000"/>
          <w:sz w:val="28"/>
          <w:szCs w:val="28"/>
        </w:rPr>
        <w:t xml:space="preserve">  </w:t>
      </w:r>
      <w:r w:rsidRPr="005F5DFC">
        <w:rPr>
          <w:rFonts w:cstheme="minorHAnsi"/>
          <w:b/>
          <w:i/>
          <w:sz w:val="28"/>
          <w:szCs w:val="28"/>
        </w:rPr>
        <w:t xml:space="preserve">Do learners need to live in Victoria to be eligible for ACFE funded programs? </w:t>
      </w:r>
    </w:p>
    <w:p w14:paraId="0F9EF24D" w14:textId="5BBC1D48" w:rsidR="000E230A" w:rsidRPr="00BB09D5" w:rsidRDefault="00E649B6" w:rsidP="00052FF2">
      <w:pPr>
        <w:spacing w:after="0" w:line="240" w:lineRule="auto"/>
        <w:rPr>
          <w:color w:val="0B0C1D"/>
          <w:sz w:val="28"/>
          <w:szCs w:val="28"/>
          <w:lang w:val="en" w:eastAsia="en-AU"/>
        </w:rPr>
      </w:pPr>
      <w:r w:rsidRPr="00FA3304">
        <w:rPr>
          <w:rFonts w:cstheme="minorHAnsi"/>
          <w:b/>
          <w:iCs/>
          <w:color w:val="FF0000"/>
          <w:sz w:val="28"/>
          <w:szCs w:val="28"/>
        </w:rPr>
        <w:t>A</w:t>
      </w:r>
      <w:r w:rsidRPr="00FA3304">
        <w:rPr>
          <w:rFonts w:cstheme="minorHAnsi"/>
          <w:iCs/>
          <w:color w:val="FF0000"/>
          <w:sz w:val="28"/>
          <w:szCs w:val="28"/>
        </w:rPr>
        <w:t>:</w:t>
      </w:r>
      <w:r>
        <w:rPr>
          <w:rFonts w:cstheme="minorHAnsi"/>
          <w:iCs/>
          <w:color w:val="FF0000"/>
          <w:sz w:val="28"/>
          <w:szCs w:val="28"/>
        </w:rPr>
        <w:t xml:space="preserve">  </w:t>
      </w:r>
      <w:r w:rsidRPr="000E230A">
        <w:rPr>
          <w:rFonts w:cstheme="minorHAnsi"/>
          <w:iCs/>
          <w:sz w:val="28"/>
          <w:szCs w:val="28"/>
        </w:rPr>
        <w:t xml:space="preserve">Yes. Learners must have their principle place of residence in Victoria to be eligible for ACFE funded programs.  The ACFE Board’s role, including funding responsibility, relates to adult education in Victoria.  </w:t>
      </w:r>
      <w:r w:rsidR="000E230A" w:rsidRPr="000E230A">
        <w:rPr>
          <w:rFonts w:cstheme="minorHAnsi"/>
          <w:iCs/>
          <w:sz w:val="28"/>
          <w:szCs w:val="28"/>
        </w:rPr>
        <w:t xml:space="preserve">Non-Victorian residents may be enrolled and reported as Fee for Service, for example by </w:t>
      </w:r>
      <w:r w:rsidRPr="000E230A">
        <w:rPr>
          <w:rFonts w:cstheme="minorHAnsi"/>
          <w:iCs/>
          <w:sz w:val="28"/>
          <w:szCs w:val="28"/>
        </w:rPr>
        <w:t xml:space="preserve">Learn Local providers </w:t>
      </w:r>
      <w:r w:rsidR="000E230A" w:rsidRPr="000E230A">
        <w:rPr>
          <w:rFonts w:cstheme="minorHAnsi"/>
          <w:iCs/>
          <w:sz w:val="28"/>
          <w:szCs w:val="28"/>
        </w:rPr>
        <w:t xml:space="preserve">operating adjacent to state borders. </w:t>
      </w:r>
    </w:p>
    <w:p w14:paraId="2879B568" w14:textId="77777777" w:rsidR="00052FF2" w:rsidRDefault="00052FF2" w:rsidP="00052FF2">
      <w:pPr>
        <w:pStyle w:val="Covertitle"/>
        <w:spacing w:after="0"/>
        <w:rPr>
          <w:color w:val="FF0000"/>
          <w:sz w:val="28"/>
          <w:szCs w:val="28"/>
        </w:rPr>
      </w:pPr>
    </w:p>
    <w:p w14:paraId="72D3E55C" w14:textId="77AC4FAE" w:rsidR="004A2D2C" w:rsidRPr="00BB09D5" w:rsidRDefault="004A2D2C" w:rsidP="00052FF2">
      <w:pPr>
        <w:pStyle w:val="Covertitle"/>
        <w:spacing w:after="0"/>
        <w:rPr>
          <w:sz w:val="48"/>
          <w:szCs w:val="48"/>
        </w:rPr>
      </w:pPr>
      <w:r>
        <w:rPr>
          <w:color w:val="FF0000"/>
          <w:sz w:val="28"/>
          <w:szCs w:val="28"/>
        </w:rPr>
        <w:t>PRE-ACCREDITED QUALITY FRAMEWORK (PQF)</w:t>
      </w:r>
    </w:p>
    <w:p w14:paraId="4E4D36AC" w14:textId="163B0FA5" w:rsidR="000E230A" w:rsidRPr="005F5DFC" w:rsidRDefault="000E230A" w:rsidP="0010416F">
      <w:pPr>
        <w:spacing w:after="120" w:line="240" w:lineRule="auto"/>
        <w:rPr>
          <w:rFonts w:cstheme="minorHAnsi"/>
          <w:b/>
          <w:i/>
          <w:sz w:val="28"/>
          <w:szCs w:val="28"/>
        </w:rPr>
      </w:pPr>
      <w:r w:rsidRPr="00A430AB">
        <w:rPr>
          <w:rFonts w:cstheme="minorHAnsi"/>
          <w:b/>
          <w:iCs/>
          <w:color w:val="FF0000"/>
          <w:sz w:val="28"/>
          <w:szCs w:val="28"/>
        </w:rPr>
        <w:lastRenderedPageBreak/>
        <w:t>Q:</w:t>
      </w:r>
      <w:r>
        <w:rPr>
          <w:rFonts w:cstheme="minorHAnsi"/>
          <w:b/>
          <w:iCs/>
          <w:color w:val="FF0000"/>
          <w:sz w:val="28"/>
          <w:szCs w:val="28"/>
        </w:rPr>
        <w:t xml:space="preserve">  </w:t>
      </w:r>
      <w:r w:rsidRPr="005F5DFC">
        <w:rPr>
          <w:rFonts w:cstheme="minorHAnsi"/>
          <w:b/>
          <w:i/>
          <w:sz w:val="28"/>
          <w:szCs w:val="28"/>
        </w:rPr>
        <w:t>Are the A-frame templates in the Pre-accredited Quality Framework (PQF) the same as previously or are have they been updated?</w:t>
      </w:r>
    </w:p>
    <w:p w14:paraId="2AF57FB7" w14:textId="5B4DD9A7" w:rsidR="004A2D2C" w:rsidRDefault="000E230A" w:rsidP="00787FD7">
      <w:pPr>
        <w:spacing w:after="120" w:line="240" w:lineRule="auto"/>
        <w:rPr>
          <w:rFonts w:cstheme="minorHAnsi"/>
          <w:iCs/>
          <w:sz w:val="28"/>
          <w:szCs w:val="28"/>
        </w:rPr>
      </w:pPr>
      <w:bookmarkStart w:id="2" w:name="_Hlk51668188"/>
      <w:r w:rsidRPr="00FA3304">
        <w:rPr>
          <w:rFonts w:cstheme="minorHAnsi"/>
          <w:b/>
          <w:iCs/>
          <w:color w:val="FF0000"/>
          <w:sz w:val="28"/>
          <w:szCs w:val="28"/>
        </w:rPr>
        <w:t>A</w:t>
      </w:r>
      <w:r w:rsidRPr="00FA3304">
        <w:rPr>
          <w:rFonts w:cstheme="minorHAnsi"/>
          <w:iCs/>
          <w:color w:val="FF0000"/>
          <w:sz w:val="28"/>
          <w:szCs w:val="28"/>
        </w:rPr>
        <w:t>:</w:t>
      </w:r>
      <w:bookmarkEnd w:id="2"/>
      <w:r>
        <w:rPr>
          <w:rFonts w:cstheme="minorHAnsi"/>
          <w:iCs/>
          <w:color w:val="FF0000"/>
          <w:sz w:val="28"/>
          <w:szCs w:val="28"/>
        </w:rPr>
        <w:t xml:space="preserve"> </w:t>
      </w:r>
      <w:r w:rsidRPr="000E230A">
        <w:rPr>
          <w:rFonts w:cstheme="minorHAnsi"/>
          <w:iCs/>
          <w:sz w:val="28"/>
          <w:szCs w:val="28"/>
        </w:rPr>
        <w:t xml:space="preserve">The A-frame templates in the PQF </w:t>
      </w:r>
      <w:r w:rsidR="00787FD7">
        <w:rPr>
          <w:rFonts w:cstheme="minorHAnsi"/>
          <w:iCs/>
          <w:sz w:val="28"/>
          <w:szCs w:val="28"/>
        </w:rPr>
        <w:t xml:space="preserve">for 2021 </w:t>
      </w:r>
      <w:r w:rsidRPr="000E230A">
        <w:rPr>
          <w:rFonts w:cstheme="minorHAnsi"/>
          <w:iCs/>
          <w:sz w:val="28"/>
          <w:szCs w:val="28"/>
        </w:rPr>
        <w:t>are the same as in previous years</w:t>
      </w:r>
      <w:r w:rsidR="008A3F50">
        <w:rPr>
          <w:rFonts w:cstheme="minorHAnsi"/>
          <w:iCs/>
          <w:sz w:val="28"/>
          <w:szCs w:val="28"/>
        </w:rPr>
        <w:t xml:space="preserve"> and are available in the </w:t>
      </w:r>
      <w:hyperlink r:id="rId15" w:history="1">
        <w:r w:rsidR="008A3F50">
          <w:rPr>
            <w:rStyle w:val="Hyperlink"/>
            <w:rFonts w:cstheme="minorHAnsi"/>
            <w:iCs/>
            <w:sz w:val="28"/>
            <w:szCs w:val="28"/>
          </w:rPr>
          <w:t>PQF page</w:t>
        </w:r>
      </w:hyperlink>
      <w:r w:rsidR="008A3F50">
        <w:rPr>
          <w:rFonts w:cstheme="minorHAnsi"/>
          <w:iCs/>
          <w:sz w:val="28"/>
          <w:szCs w:val="28"/>
        </w:rPr>
        <w:t xml:space="preserve"> on the DET website.  </w:t>
      </w:r>
      <w:r w:rsidR="00787FD7">
        <w:rPr>
          <w:rFonts w:cstheme="minorHAnsi"/>
          <w:iCs/>
          <w:sz w:val="28"/>
          <w:szCs w:val="28"/>
        </w:rPr>
        <w:t xml:space="preserve">The A-frame templates will be reviewed as part of a future review of the PQF. </w:t>
      </w:r>
    </w:p>
    <w:p w14:paraId="2DB6E355" w14:textId="77777777" w:rsidR="004A2D2C" w:rsidRPr="005F5DFC" w:rsidRDefault="004A2D2C" w:rsidP="004A2D2C">
      <w:pPr>
        <w:pStyle w:val="Covertitle"/>
        <w:rPr>
          <w:rFonts w:cstheme="minorHAnsi"/>
          <w:i/>
          <w:iCs/>
          <w:color w:val="FF0000"/>
          <w:sz w:val="28"/>
          <w:szCs w:val="28"/>
        </w:rPr>
      </w:pPr>
      <w:r w:rsidRPr="00A430AB">
        <w:rPr>
          <w:rFonts w:cstheme="minorHAnsi"/>
          <w:iCs/>
          <w:color w:val="FF0000"/>
          <w:sz w:val="28"/>
          <w:szCs w:val="28"/>
        </w:rPr>
        <w:t>Q:</w:t>
      </w:r>
      <w:r>
        <w:rPr>
          <w:rFonts w:cstheme="minorHAnsi"/>
          <w:iCs/>
          <w:color w:val="FF0000"/>
          <w:sz w:val="28"/>
          <w:szCs w:val="28"/>
        </w:rPr>
        <w:t xml:space="preserve">  </w:t>
      </w:r>
      <w:r w:rsidRPr="005F5DFC">
        <w:rPr>
          <w:rFonts w:cstheme="minorHAnsi"/>
          <w:i/>
          <w:iCs/>
          <w:color w:val="262626"/>
          <w:sz w:val="28"/>
          <w:szCs w:val="28"/>
        </w:rPr>
        <w:t>Can moderation be recorded if it is completed prior to 2020?</w:t>
      </w:r>
    </w:p>
    <w:p w14:paraId="1B5FB8A9" w14:textId="2C6DCA81" w:rsidR="004A2D2C" w:rsidRDefault="004A2D2C" w:rsidP="004A2D2C">
      <w:pPr>
        <w:spacing w:after="120" w:line="240" w:lineRule="auto"/>
        <w:rPr>
          <w:rFonts w:cstheme="minorHAnsi"/>
          <w:iCs/>
          <w:sz w:val="28"/>
          <w:szCs w:val="28"/>
        </w:rPr>
      </w:pPr>
      <w:r w:rsidRPr="004A2D2C">
        <w:rPr>
          <w:rFonts w:cstheme="minorHAnsi"/>
          <w:b/>
          <w:bCs/>
          <w:iCs/>
          <w:color w:val="FF0000"/>
          <w:sz w:val="28"/>
          <w:szCs w:val="28"/>
        </w:rPr>
        <w:t>A:</w:t>
      </w:r>
      <w:r w:rsidRPr="00FE6486">
        <w:rPr>
          <w:rFonts w:cstheme="minorHAnsi"/>
          <w:color w:val="262626"/>
          <w:sz w:val="28"/>
          <w:szCs w:val="28"/>
        </w:rPr>
        <w:t xml:space="preserve"> </w:t>
      </w:r>
      <w:r w:rsidR="002A3F7C">
        <w:rPr>
          <w:rFonts w:cstheme="minorHAnsi"/>
          <w:color w:val="262626"/>
          <w:sz w:val="28"/>
          <w:szCs w:val="28"/>
        </w:rPr>
        <w:t>Yes, r</w:t>
      </w:r>
      <w:r w:rsidRPr="00FE6486">
        <w:rPr>
          <w:rFonts w:cstheme="minorHAnsi"/>
          <w:color w:val="262626"/>
          <w:sz w:val="28"/>
          <w:szCs w:val="28"/>
        </w:rPr>
        <w:t xml:space="preserve">ecord the latest year of moderation in the </w:t>
      </w:r>
      <w:r>
        <w:rPr>
          <w:rFonts w:cstheme="minorHAnsi"/>
          <w:color w:val="262626"/>
          <w:sz w:val="28"/>
          <w:szCs w:val="28"/>
        </w:rPr>
        <w:t>C</w:t>
      </w:r>
      <w:r w:rsidRPr="00FE6486">
        <w:rPr>
          <w:rFonts w:cstheme="minorHAnsi"/>
          <w:color w:val="262626"/>
          <w:sz w:val="28"/>
          <w:szCs w:val="28"/>
        </w:rPr>
        <w:t xml:space="preserve">ourse </w:t>
      </w:r>
      <w:r>
        <w:rPr>
          <w:rFonts w:cstheme="minorHAnsi"/>
          <w:color w:val="262626"/>
          <w:sz w:val="28"/>
          <w:szCs w:val="28"/>
        </w:rPr>
        <w:t>P</w:t>
      </w:r>
      <w:r w:rsidRPr="00FE6486">
        <w:rPr>
          <w:rFonts w:cstheme="minorHAnsi"/>
          <w:color w:val="262626"/>
          <w:sz w:val="28"/>
          <w:szCs w:val="28"/>
        </w:rPr>
        <w:t>lan.</w:t>
      </w:r>
    </w:p>
    <w:p w14:paraId="62F38DBB" w14:textId="77777777" w:rsidR="00052FF2" w:rsidRDefault="00052FF2" w:rsidP="00787FD7">
      <w:pPr>
        <w:spacing w:after="120" w:line="240" w:lineRule="auto"/>
        <w:rPr>
          <w:rFonts w:cstheme="minorHAnsi"/>
          <w:iCs/>
          <w:sz w:val="28"/>
          <w:szCs w:val="28"/>
        </w:rPr>
      </w:pPr>
    </w:p>
    <w:p w14:paraId="48D082B6" w14:textId="77777777" w:rsidR="00052FF2" w:rsidRPr="00052FF2" w:rsidRDefault="004A2D2C" w:rsidP="00052FF2">
      <w:pPr>
        <w:pStyle w:val="Covertitle"/>
        <w:spacing w:before="0"/>
        <w:rPr>
          <w:rFonts w:cstheme="minorHAnsi"/>
          <w:i/>
          <w:color w:val="auto"/>
          <w:sz w:val="28"/>
          <w:szCs w:val="28"/>
        </w:rPr>
      </w:pPr>
      <w:r w:rsidRPr="00A430AB">
        <w:rPr>
          <w:rFonts w:cstheme="minorHAnsi"/>
          <w:iCs/>
          <w:color w:val="FF0000"/>
          <w:sz w:val="28"/>
          <w:szCs w:val="28"/>
        </w:rPr>
        <w:t>Q:</w:t>
      </w:r>
      <w:r>
        <w:rPr>
          <w:rFonts w:cstheme="minorHAnsi"/>
          <w:iCs/>
          <w:color w:val="FF0000"/>
          <w:sz w:val="28"/>
          <w:szCs w:val="28"/>
        </w:rPr>
        <w:t xml:space="preserve">  </w:t>
      </w:r>
      <w:r w:rsidRPr="00052FF2">
        <w:rPr>
          <w:rFonts w:cstheme="minorHAnsi"/>
          <w:i/>
          <w:color w:val="auto"/>
          <w:sz w:val="28"/>
          <w:szCs w:val="28"/>
        </w:rPr>
        <w:t>Are the four key roles the same as the quadrants in the ACFE Strategy 2020-25?</w:t>
      </w:r>
    </w:p>
    <w:p w14:paraId="66BDDC52" w14:textId="62BB5C4B" w:rsidR="004A2D2C" w:rsidRPr="00052FF2" w:rsidRDefault="004A2D2C" w:rsidP="00052FF2">
      <w:pPr>
        <w:pStyle w:val="Covertitle"/>
        <w:spacing w:before="0"/>
        <w:rPr>
          <w:rFonts w:cstheme="minorHAnsi"/>
          <w:iCs/>
          <w:color w:val="FF0000"/>
          <w:sz w:val="28"/>
          <w:szCs w:val="28"/>
        </w:rPr>
      </w:pPr>
      <w:r w:rsidRPr="00052FF2">
        <w:rPr>
          <w:rFonts w:cstheme="minorHAnsi"/>
          <w:iCs/>
          <w:color w:val="FF0000"/>
          <w:sz w:val="28"/>
          <w:szCs w:val="28"/>
        </w:rPr>
        <w:t xml:space="preserve">A: </w:t>
      </w:r>
      <w:r w:rsidRPr="00052FF2">
        <w:rPr>
          <w:rFonts w:cstheme="minorHAnsi"/>
          <w:b w:val="0"/>
          <w:bCs/>
          <w:iCs/>
          <w:color w:val="auto"/>
          <w:sz w:val="28"/>
          <w:szCs w:val="28"/>
        </w:rPr>
        <w:t xml:space="preserve">Yes, </w:t>
      </w:r>
      <w:r w:rsidRPr="007F0F7A">
        <w:rPr>
          <w:rFonts w:cstheme="minorHAnsi"/>
          <w:b w:val="0"/>
          <w:bCs/>
          <w:iCs/>
          <w:color w:val="auto"/>
          <w:sz w:val="28"/>
          <w:szCs w:val="28"/>
        </w:rPr>
        <w:t xml:space="preserve">all </w:t>
      </w:r>
      <w:r>
        <w:rPr>
          <w:rFonts w:cstheme="minorHAnsi"/>
          <w:b w:val="0"/>
          <w:bCs/>
          <w:iCs/>
          <w:color w:val="auto"/>
          <w:sz w:val="28"/>
          <w:szCs w:val="28"/>
        </w:rPr>
        <w:t xml:space="preserve">pre-accredited </w:t>
      </w:r>
      <w:r w:rsidRPr="007F0F7A">
        <w:rPr>
          <w:rFonts w:cstheme="minorHAnsi"/>
          <w:b w:val="0"/>
          <w:bCs/>
          <w:iCs/>
          <w:color w:val="auto"/>
          <w:sz w:val="28"/>
          <w:szCs w:val="28"/>
        </w:rPr>
        <w:t>programs must align to one or more of the four key roles. Y</w:t>
      </w:r>
      <w:r>
        <w:rPr>
          <w:rFonts w:cstheme="minorHAnsi"/>
          <w:b w:val="0"/>
          <w:bCs/>
          <w:iCs/>
          <w:color w:val="auto"/>
          <w:sz w:val="28"/>
          <w:szCs w:val="28"/>
        </w:rPr>
        <w:t>o</w:t>
      </w:r>
      <w:r w:rsidRPr="007F0F7A">
        <w:rPr>
          <w:rFonts w:cstheme="minorHAnsi"/>
          <w:b w:val="0"/>
          <w:bCs/>
          <w:iCs/>
          <w:color w:val="auto"/>
          <w:sz w:val="28"/>
          <w:szCs w:val="28"/>
        </w:rPr>
        <w:t xml:space="preserve">u need to indicate the alignment in the A-frame, however, there is not a specific field in the Delivery Plan for the </w:t>
      </w:r>
      <w:r w:rsidR="002A3F7C">
        <w:rPr>
          <w:rFonts w:cstheme="minorHAnsi"/>
          <w:b w:val="0"/>
          <w:bCs/>
          <w:iCs/>
          <w:color w:val="auto"/>
          <w:sz w:val="28"/>
          <w:szCs w:val="28"/>
        </w:rPr>
        <w:t xml:space="preserve">four </w:t>
      </w:r>
      <w:r w:rsidRPr="007F0F7A">
        <w:rPr>
          <w:rFonts w:cstheme="minorHAnsi"/>
          <w:b w:val="0"/>
          <w:bCs/>
          <w:iCs/>
          <w:color w:val="auto"/>
          <w:sz w:val="28"/>
          <w:szCs w:val="28"/>
        </w:rPr>
        <w:t>roles.</w:t>
      </w:r>
    </w:p>
    <w:p w14:paraId="69F88653" w14:textId="77777777" w:rsidR="00052FF2" w:rsidRDefault="00052FF2" w:rsidP="00787FD7">
      <w:pPr>
        <w:spacing w:after="120" w:line="240" w:lineRule="auto"/>
        <w:rPr>
          <w:rFonts w:cstheme="minorHAnsi"/>
          <w:iCs/>
          <w:sz w:val="28"/>
          <w:szCs w:val="28"/>
        </w:rPr>
      </w:pPr>
    </w:p>
    <w:p w14:paraId="247DDE29" w14:textId="5E6B0DD2" w:rsidR="00297F58" w:rsidRPr="00052FF2" w:rsidRDefault="007F0F7A" w:rsidP="00052FF2">
      <w:pPr>
        <w:pStyle w:val="Covertitle"/>
        <w:spacing w:before="0"/>
        <w:rPr>
          <w:rFonts w:cstheme="minorHAnsi"/>
          <w:i/>
          <w:color w:val="auto"/>
          <w:sz w:val="28"/>
          <w:szCs w:val="28"/>
        </w:rPr>
      </w:pPr>
      <w:r w:rsidRPr="00416793">
        <w:rPr>
          <w:color w:val="FF0000"/>
          <w:sz w:val="28"/>
          <w:szCs w:val="28"/>
        </w:rPr>
        <w:t>Q:</w:t>
      </w:r>
      <w:r>
        <w:rPr>
          <w:color w:val="FF0000"/>
          <w:sz w:val="28"/>
          <w:szCs w:val="28"/>
        </w:rPr>
        <w:t xml:space="preserve"> </w:t>
      </w:r>
      <w:r w:rsidRPr="005F5DFC">
        <w:rPr>
          <w:i/>
          <w:iCs/>
          <w:color w:val="auto"/>
          <w:sz w:val="28"/>
          <w:szCs w:val="28"/>
        </w:rPr>
        <w:t xml:space="preserve">What are the requirements for work experience in pre-accredited </w:t>
      </w:r>
      <w:r w:rsidRPr="00052FF2">
        <w:rPr>
          <w:rFonts w:cstheme="minorHAnsi"/>
          <w:i/>
          <w:color w:val="auto"/>
          <w:sz w:val="28"/>
          <w:szCs w:val="28"/>
        </w:rPr>
        <w:t>programs?</w:t>
      </w:r>
    </w:p>
    <w:p w14:paraId="1D9E434F" w14:textId="0FD87F78" w:rsidR="00787FD7" w:rsidRPr="00C46AD9" w:rsidRDefault="007F0F7A" w:rsidP="00052FF2">
      <w:pPr>
        <w:pStyle w:val="Covertitle"/>
        <w:spacing w:before="0"/>
        <w:rPr>
          <w:b w:val="0"/>
          <w:bCs/>
          <w:sz w:val="28"/>
          <w:szCs w:val="28"/>
          <w:u w:val="single"/>
        </w:rPr>
      </w:pPr>
      <w:r w:rsidRPr="00052FF2">
        <w:rPr>
          <w:rFonts w:cstheme="minorHAnsi"/>
          <w:iCs/>
          <w:color w:val="FF0000"/>
          <w:sz w:val="28"/>
          <w:szCs w:val="28"/>
        </w:rPr>
        <w:t>A:</w:t>
      </w:r>
      <w:r w:rsidRPr="00052FF2">
        <w:rPr>
          <w:color w:val="FF0000"/>
          <w:sz w:val="28"/>
          <w:szCs w:val="28"/>
        </w:rPr>
        <w:t xml:space="preserve"> </w:t>
      </w:r>
      <w:r w:rsidRPr="007F0F7A">
        <w:rPr>
          <w:b w:val="0"/>
          <w:bCs/>
          <w:color w:val="auto"/>
          <w:sz w:val="28"/>
          <w:szCs w:val="28"/>
        </w:rPr>
        <w:t xml:space="preserve">Pre-accredited work experience </w:t>
      </w:r>
      <w:r w:rsidRPr="007F0F7A">
        <w:rPr>
          <w:rFonts w:cs="Arial"/>
          <w:b w:val="0"/>
          <w:bCs/>
          <w:color w:val="auto"/>
          <w:sz w:val="28"/>
          <w:szCs w:val="28"/>
          <w:lang w:val="en"/>
        </w:rPr>
        <w:t>is industry-hosted work experience, supervised by a Learn Local provider trainer, which exposes learners to employability skills in a real</w:t>
      </w:r>
      <w:r w:rsidR="00C46AD9">
        <w:rPr>
          <w:rFonts w:cs="Arial"/>
          <w:b w:val="0"/>
          <w:bCs/>
          <w:color w:val="auto"/>
          <w:sz w:val="28"/>
          <w:szCs w:val="28"/>
          <w:lang w:val="en"/>
        </w:rPr>
        <w:t>-</w:t>
      </w:r>
      <w:r w:rsidRPr="007F0F7A">
        <w:rPr>
          <w:rFonts w:cs="Arial"/>
          <w:b w:val="0"/>
          <w:bCs/>
          <w:color w:val="auto"/>
          <w:sz w:val="28"/>
          <w:szCs w:val="28"/>
          <w:lang w:val="en"/>
        </w:rPr>
        <w:t>world setting</w:t>
      </w:r>
      <w:r>
        <w:rPr>
          <w:rFonts w:cs="Arial"/>
          <w:b w:val="0"/>
          <w:bCs/>
          <w:color w:val="auto"/>
          <w:sz w:val="28"/>
          <w:szCs w:val="28"/>
          <w:lang w:val="en"/>
        </w:rPr>
        <w:t>. See link to</w:t>
      </w:r>
      <w:r w:rsidRPr="007F0F7A">
        <w:rPr>
          <w:b w:val="0"/>
          <w:bCs/>
          <w:color w:val="auto"/>
          <w:sz w:val="28"/>
          <w:szCs w:val="28"/>
        </w:rPr>
        <w:t xml:space="preserve"> the </w:t>
      </w:r>
      <w:hyperlink r:id="rId16" w:history="1">
        <w:r w:rsidRPr="00C46AD9">
          <w:rPr>
            <w:rStyle w:val="Hyperlink"/>
            <w:b w:val="0"/>
            <w:bCs/>
            <w:color w:val="5B9BD5" w:themeColor="accent1"/>
            <w:sz w:val="28"/>
            <w:szCs w:val="28"/>
          </w:rPr>
          <w:t>Pre-accredited Work Experience Guidelines</w:t>
        </w:r>
      </w:hyperlink>
    </w:p>
    <w:p w14:paraId="7E5D2543" w14:textId="77777777" w:rsidR="004A2D2C" w:rsidRDefault="004A2D2C" w:rsidP="008A3F50">
      <w:pPr>
        <w:pStyle w:val="Covertitle"/>
        <w:rPr>
          <w:color w:val="FF0000"/>
          <w:sz w:val="28"/>
          <w:szCs w:val="28"/>
        </w:rPr>
      </w:pPr>
    </w:p>
    <w:p w14:paraId="3EBF30DB" w14:textId="70D6E005" w:rsidR="004A2D2C" w:rsidRPr="004A2D2C" w:rsidRDefault="004A2D2C" w:rsidP="008A3F50">
      <w:pPr>
        <w:pStyle w:val="Covertitle"/>
        <w:rPr>
          <w:sz w:val="48"/>
          <w:szCs w:val="48"/>
        </w:rPr>
      </w:pPr>
      <w:r>
        <w:rPr>
          <w:color w:val="FF0000"/>
          <w:sz w:val="28"/>
          <w:szCs w:val="28"/>
        </w:rPr>
        <w:t>DELIVERY PLAN 2021</w:t>
      </w:r>
    </w:p>
    <w:p w14:paraId="7934EE8A" w14:textId="77777777" w:rsidR="009E3DEE" w:rsidRDefault="009E3DEE" w:rsidP="009E3DEE">
      <w:pPr>
        <w:pStyle w:val="Covertitle"/>
        <w:spacing w:before="0" w:after="0"/>
        <w:rPr>
          <w:rFonts w:cstheme="minorHAnsi"/>
          <w:iCs/>
          <w:color w:val="FF0000"/>
          <w:sz w:val="28"/>
          <w:szCs w:val="28"/>
        </w:rPr>
      </w:pPr>
    </w:p>
    <w:p w14:paraId="0DEAC7EA" w14:textId="6700E573" w:rsidR="009E3DEE" w:rsidRPr="00052FF2" w:rsidRDefault="009E3DEE" w:rsidP="00052FF2">
      <w:pPr>
        <w:pStyle w:val="Covertitle"/>
        <w:spacing w:before="0"/>
        <w:rPr>
          <w:rFonts w:cstheme="minorHAnsi"/>
          <w:i/>
          <w:color w:val="auto"/>
          <w:sz w:val="28"/>
          <w:szCs w:val="28"/>
        </w:rPr>
      </w:pPr>
      <w:r w:rsidRPr="00A430AB">
        <w:rPr>
          <w:rFonts w:cstheme="minorHAnsi"/>
          <w:iCs/>
          <w:color w:val="FF0000"/>
          <w:sz w:val="28"/>
          <w:szCs w:val="28"/>
        </w:rPr>
        <w:t>Q:</w:t>
      </w:r>
      <w:r>
        <w:rPr>
          <w:rFonts w:cstheme="minorHAnsi"/>
          <w:iCs/>
          <w:color w:val="FF0000"/>
          <w:sz w:val="28"/>
          <w:szCs w:val="28"/>
        </w:rPr>
        <w:t xml:space="preserve">  </w:t>
      </w:r>
      <w:r w:rsidRPr="005F5DFC">
        <w:rPr>
          <w:rFonts w:cstheme="minorHAnsi"/>
          <w:i/>
          <w:color w:val="auto"/>
          <w:sz w:val="28"/>
          <w:szCs w:val="28"/>
        </w:rPr>
        <w:t>Do we need to specify the Local Government Area (LGA) for online or blended delivery?</w:t>
      </w:r>
    </w:p>
    <w:p w14:paraId="3F6512F0" w14:textId="47ADDAB5" w:rsidR="009E3DEE" w:rsidRDefault="009E3DEE" w:rsidP="00052FF2">
      <w:pPr>
        <w:pStyle w:val="Covertitle"/>
        <w:spacing w:before="0"/>
        <w:rPr>
          <w:rFonts w:cstheme="minorHAnsi"/>
          <w:b w:val="0"/>
          <w:bCs/>
          <w:iCs/>
          <w:color w:val="FF0000"/>
          <w:sz w:val="28"/>
          <w:szCs w:val="28"/>
        </w:rPr>
      </w:pPr>
      <w:r w:rsidRPr="00052FF2">
        <w:rPr>
          <w:rFonts w:cstheme="minorHAnsi"/>
          <w:iCs/>
          <w:color w:val="FF0000"/>
          <w:sz w:val="28"/>
          <w:szCs w:val="28"/>
        </w:rPr>
        <w:t xml:space="preserve">A: </w:t>
      </w:r>
      <w:r w:rsidRPr="00750C86">
        <w:rPr>
          <w:rFonts w:cstheme="minorHAnsi"/>
          <w:b w:val="0"/>
          <w:bCs/>
          <w:iCs/>
          <w:color w:val="auto"/>
          <w:sz w:val="28"/>
          <w:szCs w:val="28"/>
        </w:rPr>
        <w:t xml:space="preserve">Yes, you need to specify the primary LGA for online or blended delivery. </w:t>
      </w:r>
      <w:r w:rsidRPr="00750C86">
        <w:rPr>
          <w:rFonts w:eastAsia="Times New Roman" w:cstheme="minorHAnsi"/>
          <w:b w:val="0"/>
          <w:bCs/>
          <w:color w:val="auto"/>
          <w:sz w:val="28"/>
          <w:szCs w:val="28"/>
          <w:lang w:eastAsia="en-AU"/>
        </w:rPr>
        <w:t xml:space="preserve">Pre-accredited training should have local training delivery as its primary focus, </w:t>
      </w:r>
      <w:r>
        <w:rPr>
          <w:rFonts w:eastAsia="Times New Roman" w:cstheme="minorHAnsi"/>
          <w:b w:val="0"/>
          <w:bCs/>
          <w:color w:val="auto"/>
          <w:sz w:val="28"/>
          <w:szCs w:val="28"/>
          <w:lang w:eastAsia="en-AU"/>
        </w:rPr>
        <w:t>which meets</w:t>
      </w:r>
      <w:r w:rsidRPr="00750C86">
        <w:rPr>
          <w:rFonts w:eastAsia="Times New Roman" w:cstheme="minorHAnsi"/>
          <w:b w:val="0"/>
          <w:bCs/>
          <w:color w:val="auto"/>
          <w:sz w:val="28"/>
          <w:szCs w:val="28"/>
          <w:lang w:eastAsia="en-AU"/>
        </w:rPr>
        <w:t xml:space="preserve"> the needs of local learners</w:t>
      </w:r>
      <w:r>
        <w:rPr>
          <w:rFonts w:eastAsia="Times New Roman" w:cstheme="minorHAnsi"/>
          <w:b w:val="0"/>
          <w:bCs/>
          <w:color w:val="auto"/>
          <w:sz w:val="28"/>
          <w:szCs w:val="28"/>
          <w:lang w:eastAsia="en-AU"/>
        </w:rPr>
        <w:t xml:space="preserve"> and is </w:t>
      </w:r>
      <w:r w:rsidRPr="00750C86">
        <w:rPr>
          <w:rFonts w:eastAsia="Times New Roman" w:cstheme="minorHAnsi"/>
          <w:b w:val="0"/>
          <w:bCs/>
          <w:color w:val="auto"/>
          <w:sz w:val="28"/>
          <w:szCs w:val="28"/>
          <w:lang w:eastAsia="en-AU"/>
        </w:rPr>
        <w:t xml:space="preserve">consistent with the ACFE Board Strategy 2020-25 and the Minister’s Statement on ACE. </w:t>
      </w:r>
    </w:p>
    <w:p w14:paraId="73AC3C13" w14:textId="77777777" w:rsidR="009E3DEE" w:rsidRPr="009E3DEE" w:rsidRDefault="009E3DEE" w:rsidP="009E3DEE">
      <w:pPr>
        <w:pStyle w:val="Covertitle"/>
        <w:spacing w:before="0" w:after="0"/>
        <w:rPr>
          <w:rFonts w:cstheme="minorHAnsi"/>
          <w:b w:val="0"/>
          <w:bCs/>
          <w:iCs/>
          <w:color w:val="FF0000"/>
          <w:sz w:val="28"/>
          <w:szCs w:val="28"/>
        </w:rPr>
      </w:pPr>
    </w:p>
    <w:p w14:paraId="76C1B9A5" w14:textId="564565F4" w:rsidR="008A3F50" w:rsidRPr="005F5DFC" w:rsidRDefault="008A3F50" w:rsidP="00DB313E">
      <w:pPr>
        <w:pStyle w:val="Covertitle"/>
        <w:rPr>
          <w:rFonts w:cstheme="minorHAnsi"/>
          <w:iCs/>
          <w:color w:val="FF0000"/>
          <w:sz w:val="28"/>
          <w:szCs w:val="28"/>
        </w:rPr>
      </w:pPr>
      <w:r w:rsidRPr="00A430AB">
        <w:rPr>
          <w:rFonts w:cstheme="minorHAnsi"/>
          <w:iCs/>
          <w:color w:val="FF0000"/>
          <w:sz w:val="28"/>
          <w:szCs w:val="28"/>
        </w:rPr>
        <w:t>Q:</w:t>
      </w:r>
      <w:r w:rsidR="007F0F7A">
        <w:rPr>
          <w:rFonts w:cstheme="minorHAnsi"/>
          <w:iCs/>
          <w:color w:val="FF0000"/>
          <w:sz w:val="28"/>
          <w:szCs w:val="28"/>
        </w:rPr>
        <w:t xml:space="preserve"> </w:t>
      </w:r>
      <w:r w:rsidR="007F0F7A" w:rsidRPr="005F5DFC">
        <w:rPr>
          <w:rFonts w:cstheme="minorHAnsi"/>
          <w:i/>
          <w:color w:val="auto"/>
          <w:sz w:val="28"/>
          <w:szCs w:val="28"/>
        </w:rPr>
        <w:t xml:space="preserve">Can the Mode of Delivery be changed between face-to-face, online and blended </w:t>
      </w:r>
      <w:r w:rsidR="00750C86" w:rsidRPr="005F5DFC">
        <w:rPr>
          <w:rFonts w:cstheme="minorHAnsi"/>
          <w:i/>
          <w:color w:val="auto"/>
          <w:sz w:val="28"/>
          <w:szCs w:val="28"/>
        </w:rPr>
        <w:t>for the same course, through the year?</w:t>
      </w:r>
    </w:p>
    <w:p w14:paraId="2D885087" w14:textId="62286D71" w:rsidR="004A2D2C" w:rsidRPr="005F5DFC" w:rsidRDefault="008A3F50" w:rsidP="004A2D2C">
      <w:pPr>
        <w:shd w:val="clear" w:color="auto" w:fill="FFFFFF"/>
        <w:spacing w:after="0" w:line="240" w:lineRule="auto"/>
        <w:rPr>
          <w:rFonts w:eastAsia="Times New Roman" w:cstheme="minorHAnsi"/>
          <w:color w:val="262626"/>
          <w:sz w:val="28"/>
          <w:szCs w:val="28"/>
          <w:lang w:eastAsia="en-AU"/>
        </w:rPr>
      </w:pPr>
      <w:r w:rsidRPr="00297F58">
        <w:rPr>
          <w:rFonts w:cstheme="minorHAnsi"/>
          <w:b/>
          <w:bCs/>
          <w:iCs/>
          <w:color w:val="FF0000"/>
          <w:sz w:val="28"/>
          <w:szCs w:val="28"/>
        </w:rPr>
        <w:t>A:</w:t>
      </w:r>
      <w:r w:rsidR="00750C86">
        <w:rPr>
          <w:rFonts w:cstheme="minorHAnsi"/>
          <w:iCs/>
          <w:color w:val="FF0000"/>
          <w:sz w:val="28"/>
          <w:szCs w:val="28"/>
        </w:rPr>
        <w:t xml:space="preserve"> </w:t>
      </w:r>
      <w:r w:rsidR="00750C86" w:rsidRPr="00750C86">
        <w:rPr>
          <w:rFonts w:cstheme="minorHAnsi"/>
          <w:iCs/>
          <w:sz w:val="28"/>
          <w:szCs w:val="28"/>
        </w:rPr>
        <w:t>You cannot change the Mode of Delivery once the class has commenced. However, you</w:t>
      </w:r>
      <w:r w:rsidR="00BB09D5">
        <w:rPr>
          <w:rFonts w:cstheme="minorHAnsi"/>
          <w:iCs/>
          <w:sz w:val="28"/>
          <w:szCs w:val="28"/>
        </w:rPr>
        <w:t xml:space="preserve"> can have different </w:t>
      </w:r>
      <w:r w:rsidR="00750C86">
        <w:rPr>
          <w:rFonts w:cstheme="minorHAnsi"/>
          <w:iCs/>
          <w:sz w:val="28"/>
          <w:szCs w:val="28"/>
        </w:rPr>
        <w:t>M</w:t>
      </w:r>
      <w:r w:rsidR="00750C86" w:rsidRPr="00750C86">
        <w:rPr>
          <w:rFonts w:cstheme="minorHAnsi"/>
          <w:iCs/>
          <w:sz w:val="28"/>
          <w:szCs w:val="28"/>
        </w:rPr>
        <w:t>ode</w:t>
      </w:r>
      <w:r w:rsidR="00BB09D5">
        <w:rPr>
          <w:rFonts w:cstheme="minorHAnsi"/>
          <w:iCs/>
          <w:sz w:val="28"/>
          <w:szCs w:val="28"/>
        </w:rPr>
        <w:t>s</w:t>
      </w:r>
      <w:r w:rsidR="00750C86" w:rsidRPr="00750C86">
        <w:rPr>
          <w:rFonts w:cstheme="minorHAnsi"/>
          <w:iCs/>
          <w:sz w:val="28"/>
          <w:szCs w:val="28"/>
        </w:rPr>
        <w:t xml:space="preserve"> of </w:t>
      </w:r>
      <w:r w:rsidR="00750C86">
        <w:rPr>
          <w:rFonts w:cstheme="minorHAnsi"/>
          <w:iCs/>
          <w:sz w:val="28"/>
          <w:szCs w:val="28"/>
        </w:rPr>
        <w:t>D</w:t>
      </w:r>
      <w:r w:rsidR="00750C86" w:rsidRPr="00750C86">
        <w:rPr>
          <w:rFonts w:cstheme="minorHAnsi"/>
          <w:iCs/>
          <w:sz w:val="28"/>
          <w:szCs w:val="28"/>
        </w:rPr>
        <w:t xml:space="preserve">elivery for the same course if it is </w:t>
      </w:r>
      <w:r w:rsidR="00BB09D5">
        <w:rPr>
          <w:rFonts w:cstheme="minorHAnsi"/>
          <w:iCs/>
          <w:sz w:val="28"/>
          <w:szCs w:val="28"/>
        </w:rPr>
        <w:lastRenderedPageBreak/>
        <w:t xml:space="preserve">for </w:t>
      </w:r>
      <w:r w:rsidR="00750C86" w:rsidRPr="00750C86">
        <w:rPr>
          <w:rFonts w:cstheme="minorHAnsi"/>
          <w:iCs/>
          <w:sz w:val="28"/>
          <w:szCs w:val="28"/>
        </w:rPr>
        <w:t xml:space="preserve">separate </w:t>
      </w:r>
      <w:r w:rsidR="00BB09D5">
        <w:rPr>
          <w:rFonts w:cstheme="minorHAnsi"/>
          <w:iCs/>
          <w:sz w:val="28"/>
          <w:szCs w:val="28"/>
        </w:rPr>
        <w:t>classes</w:t>
      </w:r>
      <w:r w:rsidR="00750C86" w:rsidRPr="00750C86">
        <w:rPr>
          <w:rFonts w:cstheme="minorHAnsi"/>
          <w:iCs/>
          <w:sz w:val="28"/>
          <w:szCs w:val="28"/>
        </w:rPr>
        <w:t xml:space="preserve"> of learners.</w:t>
      </w:r>
      <w:r w:rsidR="00750C86" w:rsidRPr="00750C86">
        <w:rPr>
          <w:rFonts w:ascii="Arial" w:eastAsia="Times New Roman" w:hAnsi="Arial" w:cs="Arial"/>
          <w:sz w:val="21"/>
          <w:szCs w:val="21"/>
          <w:lang w:eastAsia="en-AU"/>
        </w:rPr>
        <w:t xml:space="preserve"> </w:t>
      </w:r>
      <w:r w:rsidR="00750C86" w:rsidRPr="00750C86">
        <w:rPr>
          <w:rFonts w:eastAsia="Times New Roman" w:cstheme="minorHAnsi"/>
          <w:color w:val="262626"/>
          <w:sz w:val="28"/>
          <w:szCs w:val="28"/>
          <w:lang w:eastAsia="en-AU"/>
        </w:rPr>
        <w:t xml:space="preserve">You can list the same course more than once on the Delivery Plan with different Modes of Delivery, for separate groups of learners. You need to choose the </w:t>
      </w:r>
      <w:r w:rsidR="00BB09D5">
        <w:rPr>
          <w:rFonts w:eastAsia="Times New Roman" w:cstheme="minorHAnsi"/>
          <w:color w:val="262626"/>
          <w:sz w:val="28"/>
          <w:szCs w:val="28"/>
          <w:lang w:eastAsia="en-AU"/>
        </w:rPr>
        <w:t>M</w:t>
      </w:r>
      <w:r w:rsidR="00750C86" w:rsidRPr="00750C86">
        <w:rPr>
          <w:rFonts w:eastAsia="Times New Roman" w:cstheme="minorHAnsi"/>
          <w:color w:val="262626"/>
          <w:sz w:val="28"/>
          <w:szCs w:val="28"/>
          <w:lang w:eastAsia="en-AU"/>
        </w:rPr>
        <w:t xml:space="preserve">ode of </w:t>
      </w:r>
      <w:r w:rsidR="00BB09D5">
        <w:rPr>
          <w:rFonts w:eastAsia="Times New Roman" w:cstheme="minorHAnsi"/>
          <w:color w:val="262626"/>
          <w:sz w:val="28"/>
          <w:szCs w:val="28"/>
          <w:lang w:eastAsia="en-AU"/>
        </w:rPr>
        <w:t>D</w:t>
      </w:r>
      <w:r w:rsidR="00750C86" w:rsidRPr="00750C86">
        <w:rPr>
          <w:rFonts w:eastAsia="Times New Roman" w:cstheme="minorHAnsi"/>
          <w:color w:val="262626"/>
          <w:sz w:val="28"/>
          <w:szCs w:val="28"/>
          <w:lang w:eastAsia="en-AU"/>
        </w:rPr>
        <w:t>elivery that best fits</w:t>
      </w:r>
      <w:r w:rsidR="00BB09D5">
        <w:rPr>
          <w:rFonts w:eastAsia="Times New Roman" w:cstheme="minorHAnsi"/>
          <w:color w:val="262626"/>
          <w:sz w:val="28"/>
          <w:szCs w:val="28"/>
          <w:lang w:eastAsia="en-AU"/>
        </w:rPr>
        <w:t xml:space="preserve"> the intent of</w:t>
      </w:r>
      <w:r w:rsidR="00750C86" w:rsidRPr="00750C86">
        <w:rPr>
          <w:rFonts w:eastAsia="Times New Roman" w:cstheme="minorHAnsi"/>
          <w:color w:val="262626"/>
          <w:sz w:val="28"/>
          <w:szCs w:val="28"/>
          <w:lang w:eastAsia="en-AU"/>
        </w:rPr>
        <w:t xml:space="preserve"> </w:t>
      </w:r>
      <w:r w:rsidR="005F5DFC">
        <w:rPr>
          <w:rFonts w:eastAsia="Times New Roman" w:cstheme="minorHAnsi"/>
          <w:color w:val="262626"/>
          <w:sz w:val="28"/>
          <w:szCs w:val="28"/>
          <w:lang w:eastAsia="en-AU"/>
        </w:rPr>
        <w:t>the course</w:t>
      </w:r>
      <w:r w:rsidR="00750C86" w:rsidRPr="00750C86">
        <w:rPr>
          <w:rFonts w:eastAsia="Times New Roman" w:cstheme="minorHAnsi"/>
          <w:color w:val="262626"/>
          <w:sz w:val="28"/>
          <w:szCs w:val="28"/>
          <w:lang w:eastAsia="en-AU"/>
        </w:rPr>
        <w:t>.</w:t>
      </w:r>
      <w:r w:rsidR="00750C86">
        <w:rPr>
          <w:rFonts w:ascii="Arial" w:eastAsia="Times New Roman" w:hAnsi="Arial" w:cs="Arial"/>
          <w:color w:val="262626"/>
          <w:sz w:val="21"/>
          <w:szCs w:val="21"/>
          <w:lang w:eastAsia="en-AU"/>
        </w:rPr>
        <w:t xml:space="preserve"> </w:t>
      </w:r>
      <w:r w:rsidR="005F5DFC" w:rsidRPr="005F5DFC">
        <w:rPr>
          <w:rFonts w:eastAsia="Times New Roman" w:cstheme="minorHAnsi"/>
          <w:color w:val="262626"/>
          <w:sz w:val="28"/>
          <w:szCs w:val="28"/>
          <w:lang w:eastAsia="en-AU"/>
        </w:rPr>
        <w:t xml:space="preserve">Changes to Mode of Delivery should be approved prior to delivery. </w:t>
      </w:r>
    </w:p>
    <w:p w14:paraId="6C927EBC" w14:textId="77777777" w:rsidR="00297F58" w:rsidRPr="005F5DFC" w:rsidRDefault="00297F58" w:rsidP="004A2D2C">
      <w:pPr>
        <w:shd w:val="clear" w:color="auto" w:fill="FFFFFF"/>
        <w:spacing w:after="0" w:line="240" w:lineRule="auto"/>
        <w:rPr>
          <w:rFonts w:eastAsia="Times New Roman" w:cstheme="minorHAnsi"/>
          <w:color w:val="262626"/>
          <w:sz w:val="28"/>
          <w:szCs w:val="28"/>
          <w:lang w:eastAsia="en-AU"/>
        </w:rPr>
      </w:pPr>
    </w:p>
    <w:p w14:paraId="2C8168CD" w14:textId="77777777" w:rsidR="004A2D2C" w:rsidRPr="004A2D2C" w:rsidRDefault="004A2D2C" w:rsidP="004A2D2C">
      <w:pPr>
        <w:shd w:val="clear" w:color="auto" w:fill="FFFFFF"/>
        <w:spacing w:after="0" w:line="240" w:lineRule="auto"/>
        <w:rPr>
          <w:rFonts w:ascii="Arial" w:eastAsia="Times New Roman" w:hAnsi="Arial" w:cs="Arial"/>
          <w:color w:val="262626"/>
          <w:sz w:val="21"/>
          <w:szCs w:val="21"/>
          <w:lang w:eastAsia="en-AU"/>
        </w:rPr>
      </w:pPr>
    </w:p>
    <w:p w14:paraId="2413C780" w14:textId="3A4BDEDA" w:rsidR="00B76B63" w:rsidRDefault="00B76B63" w:rsidP="00B76B63">
      <w:pPr>
        <w:spacing w:after="0" w:line="240" w:lineRule="auto"/>
        <w:rPr>
          <w:rFonts w:ascii="Calibri" w:eastAsia="Times New Roman" w:hAnsi="Calibri" w:cs="Calibri"/>
          <w:color w:val="000000"/>
          <w:lang w:eastAsia="en-AU"/>
        </w:rPr>
      </w:pPr>
    </w:p>
    <w:p w14:paraId="1F4683A9" w14:textId="0843D717" w:rsidR="00C81836" w:rsidRPr="00052FF2" w:rsidRDefault="00C81836" w:rsidP="00052FF2">
      <w:pPr>
        <w:pStyle w:val="Covertitle"/>
        <w:spacing w:before="0"/>
        <w:rPr>
          <w:rFonts w:cstheme="minorHAnsi"/>
          <w:i/>
          <w:color w:val="auto"/>
          <w:sz w:val="28"/>
          <w:szCs w:val="28"/>
        </w:rPr>
      </w:pPr>
      <w:r w:rsidRPr="00C81836">
        <w:rPr>
          <w:rFonts w:cstheme="minorHAnsi"/>
          <w:bCs/>
          <w:iCs/>
          <w:color w:val="FF0000"/>
          <w:sz w:val="28"/>
          <w:szCs w:val="28"/>
        </w:rPr>
        <w:t>Q</w:t>
      </w:r>
      <w:r w:rsidRPr="00052FF2">
        <w:rPr>
          <w:rFonts w:cstheme="minorHAnsi"/>
          <w:i/>
          <w:color w:val="auto"/>
          <w:sz w:val="28"/>
          <w:szCs w:val="28"/>
        </w:rPr>
        <w:t>: Is there further information about the 5 program categories?</w:t>
      </w:r>
    </w:p>
    <w:p w14:paraId="572EEC4F" w14:textId="1D5B5F4B" w:rsidR="00C81836" w:rsidRPr="009E3DEE" w:rsidRDefault="00C81836" w:rsidP="00052FF2">
      <w:pPr>
        <w:pStyle w:val="Covertitle"/>
        <w:spacing w:before="0"/>
        <w:rPr>
          <w:rFonts w:eastAsia="Times New Roman" w:cstheme="minorHAnsi"/>
          <w:color w:val="0563C1" w:themeColor="hyperlink"/>
          <w:kern w:val="24"/>
          <w:sz w:val="28"/>
          <w:szCs w:val="28"/>
          <w:u w:val="single"/>
          <w:lang w:val="en-US" w:eastAsia="en-AU"/>
        </w:rPr>
      </w:pPr>
      <w:r w:rsidRPr="00052FF2">
        <w:rPr>
          <w:rFonts w:cstheme="minorHAnsi"/>
          <w:iCs/>
          <w:color w:val="FF0000"/>
          <w:sz w:val="28"/>
          <w:szCs w:val="28"/>
        </w:rPr>
        <w:t>A:</w:t>
      </w:r>
      <w:r w:rsidRPr="00052FF2">
        <w:rPr>
          <w:rFonts w:cstheme="minorHAnsi"/>
          <w:i/>
          <w:color w:val="FF0000"/>
          <w:sz w:val="28"/>
          <w:szCs w:val="28"/>
        </w:rPr>
        <w:t xml:space="preserve"> </w:t>
      </w:r>
      <w:r w:rsidRPr="00052FF2">
        <w:rPr>
          <w:rFonts w:cstheme="minorHAnsi"/>
          <w:b w:val="0"/>
          <w:bCs/>
          <w:iCs/>
          <w:color w:val="auto"/>
          <w:sz w:val="28"/>
          <w:szCs w:val="28"/>
        </w:rPr>
        <w:t>There</w:t>
      </w:r>
      <w:r w:rsidRPr="00052FF2">
        <w:rPr>
          <w:rFonts w:ascii="Calibri" w:eastAsia="Times New Roman" w:hAnsi="Calibri" w:cs="Calibri"/>
          <w:b w:val="0"/>
          <w:bCs/>
          <w:iCs/>
          <w:color w:val="000000"/>
          <w:sz w:val="28"/>
          <w:szCs w:val="28"/>
          <w:lang w:eastAsia="en-AU"/>
        </w:rPr>
        <w:t xml:space="preserve"> </w:t>
      </w:r>
      <w:r w:rsidRPr="00052FF2">
        <w:rPr>
          <w:rFonts w:ascii="Calibri" w:eastAsia="Times New Roman" w:hAnsi="Calibri" w:cs="Calibri"/>
          <w:b w:val="0"/>
          <w:bCs/>
          <w:color w:val="000000"/>
          <w:sz w:val="28"/>
          <w:szCs w:val="28"/>
          <w:lang w:eastAsia="en-AU"/>
        </w:rPr>
        <w:t xml:space="preserve">are descriptions on page 12 of the </w:t>
      </w:r>
      <w:hyperlink r:id="rId17" w:history="1">
        <w:r w:rsidRPr="00052FF2">
          <w:rPr>
            <w:rStyle w:val="Hyperlink"/>
            <w:rFonts w:eastAsia="Times New Roman" w:cstheme="minorHAnsi"/>
            <w:b w:val="0"/>
            <w:bCs/>
            <w:kern w:val="24"/>
            <w:sz w:val="28"/>
            <w:szCs w:val="28"/>
            <w:lang w:val="en-US" w:eastAsia="en-AU"/>
          </w:rPr>
          <w:t>2021 Pre-accredited Training Delivery Guidelines</w:t>
        </w:r>
      </w:hyperlink>
      <w:r w:rsidRPr="00052FF2">
        <w:rPr>
          <w:rStyle w:val="Hyperlink"/>
          <w:rFonts w:eastAsia="Times New Roman" w:cstheme="minorHAnsi"/>
          <w:b w:val="0"/>
          <w:bCs/>
          <w:kern w:val="24"/>
          <w:sz w:val="28"/>
          <w:szCs w:val="28"/>
          <w:lang w:val="en-US" w:eastAsia="en-AU"/>
        </w:rPr>
        <w:t xml:space="preserve"> </w:t>
      </w:r>
      <w:r w:rsidRPr="00052FF2">
        <w:rPr>
          <w:rFonts w:ascii="Calibri" w:eastAsia="Times New Roman" w:hAnsi="Calibri" w:cs="Calibri"/>
          <w:b w:val="0"/>
          <w:bCs/>
          <w:color w:val="000000"/>
          <w:sz w:val="28"/>
          <w:szCs w:val="28"/>
          <w:lang w:eastAsia="en-AU"/>
        </w:rPr>
        <w:t xml:space="preserve"> for each of the 5 program categories</w:t>
      </w:r>
      <w:r w:rsidRPr="00052FF2">
        <w:rPr>
          <w:rFonts w:eastAsia="Times New Roman" w:cs="Calibri"/>
          <w:b w:val="0"/>
          <w:bCs/>
          <w:color w:val="000000"/>
          <w:sz w:val="28"/>
          <w:szCs w:val="28"/>
          <w:lang w:eastAsia="en-AU"/>
        </w:rPr>
        <w:t>: Language, Literacy and Numeracy, Employability, Vocational and Digital Literacy</w:t>
      </w:r>
      <w:r>
        <w:rPr>
          <w:rFonts w:eastAsia="Times New Roman" w:cs="Calibri"/>
          <w:color w:val="000000"/>
          <w:sz w:val="28"/>
          <w:szCs w:val="28"/>
          <w:lang w:eastAsia="en-AU"/>
        </w:rPr>
        <w:t>.</w:t>
      </w:r>
    </w:p>
    <w:p w14:paraId="49C8563E" w14:textId="77777777" w:rsidR="00C81836" w:rsidRDefault="00C81836" w:rsidP="00B76B63">
      <w:pPr>
        <w:spacing w:after="0" w:line="240" w:lineRule="auto"/>
        <w:rPr>
          <w:rFonts w:ascii="Calibri" w:eastAsia="Times New Roman" w:hAnsi="Calibri" w:cs="Calibri"/>
          <w:color w:val="000000"/>
          <w:lang w:eastAsia="en-AU"/>
        </w:rPr>
      </w:pPr>
    </w:p>
    <w:p w14:paraId="249AB304" w14:textId="77777777" w:rsidR="006A0F99" w:rsidRPr="00F063B5" w:rsidRDefault="006A0F99" w:rsidP="00F063B5">
      <w:pPr>
        <w:spacing w:after="0" w:line="240" w:lineRule="auto"/>
        <w:rPr>
          <w:rFonts w:ascii="Calibri" w:eastAsia="Times New Roman" w:hAnsi="Calibri" w:cs="Calibri"/>
          <w:lang w:eastAsia="en-AU"/>
        </w:rPr>
      </w:pPr>
    </w:p>
    <w:p w14:paraId="6B3DBB20" w14:textId="56E725C9" w:rsidR="009E3DEE" w:rsidRPr="00052FF2" w:rsidRDefault="009E3DEE" w:rsidP="00052FF2">
      <w:pPr>
        <w:pStyle w:val="Covertitle"/>
        <w:spacing w:before="0"/>
        <w:rPr>
          <w:rFonts w:cstheme="minorHAnsi"/>
          <w:i/>
          <w:color w:val="auto"/>
          <w:sz w:val="28"/>
          <w:szCs w:val="28"/>
        </w:rPr>
      </w:pPr>
      <w:r w:rsidRPr="00A430AB">
        <w:rPr>
          <w:rFonts w:cstheme="minorHAnsi"/>
          <w:iCs/>
          <w:color w:val="FF0000"/>
          <w:sz w:val="28"/>
          <w:szCs w:val="28"/>
        </w:rPr>
        <w:t>Q:</w:t>
      </w:r>
      <w:r>
        <w:rPr>
          <w:rFonts w:cstheme="minorHAnsi"/>
          <w:iCs/>
          <w:color w:val="FF0000"/>
          <w:sz w:val="28"/>
          <w:szCs w:val="28"/>
        </w:rPr>
        <w:t xml:space="preserve">  </w:t>
      </w:r>
      <w:r w:rsidRPr="005F5DFC">
        <w:rPr>
          <w:rFonts w:cstheme="minorHAnsi"/>
          <w:i/>
          <w:color w:val="auto"/>
          <w:sz w:val="28"/>
          <w:szCs w:val="28"/>
        </w:rPr>
        <w:t xml:space="preserve">What happens if we have to change training delivery arrangements due </w:t>
      </w:r>
      <w:r w:rsidRPr="00052FF2">
        <w:rPr>
          <w:rFonts w:cstheme="minorHAnsi"/>
          <w:i/>
          <w:color w:val="auto"/>
          <w:sz w:val="28"/>
          <w:szCs w:val="28"/>
        </w:rPr>
        <w:t>to new COVID-19 restrictions?</w:t>
      </w:r>
    </w:p>
    <w:p w14:paraId="3A40A792" w14:textId="77777777" w:rsidR="009E3DEE" w:rsidRDefault="009E3DEE" w:rsidP="00052FF2">
      <w:pPr>
        <w:pStyle w:val="Covertitle"/>
        <w:spacing w:before="0"/>
        <w:rPr>
          <w:rFonts w:cstheme="minorHAnsi"/>
          <w:iCs/>
          <w:color w:val="auto"/>
          <w:sz w:val="28"/>
          <w:szCs w:val="28"/>
        </w:rPr>
      </w:pPr>
      <w:r w:rsidRPr="00052FF2">
        <w:rPr>
          <w:rFonts w:cstheme="minorHAnsi"/>
          <w:iCs/>
          <w:color w:val="FF0000"/>
          <w:sz w:val="28"/>
          <w:szCs w:val="28"/>
        </w:rPr>
        <w:t>A:</w:t>
      </w:r>
      <w:r w:rsidRPr="00052FF2">
        <w:rPr>
          <w:rFonts w:cstheme="minorHAnsi"/>
          <w:b w:val="0"/>
          <w:bCs/>
          <w:iCs/>
          <w:color w:val="FF0000"/>
          <w:sz w:val="28"/>
          <w:szCs w:val="28"/>
        </w:rPr>
        <w:t xml:space="preserve">  </w:t>
      </w:r>
      <w:r w:rsidRPr="00052FF2">
        <w:rPr>
          <w:rFonts w:cstheme="minorHAnsi"/>
          <w:b w:val="0"/>
          <w:bCs/>
          <w:iCs/>
          <w:color w:val="auto"/>
          <w:sz w:val="28"/>
          <w:szCs w:val="28"/>
        </w:rPr>
        <w:t>Please prepare for 2021 based on the Victorian Government’s current proposed timeline</w:t>
      </w:r>
      <w:r w:rsidRPr="00750C86">
        <w:rPr>
          <w:rFonts w:cstheme="minorHAnsi"/>
          <w:b w:val="0"/>
          <w:bCs/>
          <w:iCs/>
          <w:color w:val="auto"/>
          <w:sz w:val="28"/>
          <w:szCs w:val="28"/>
        </w:rPr>
        <w:t xml:space="preserve"> for COVID-normal.  If there is any need to return to restrictions, there will be supplementary guidelines as there were in 2020.</w:t>
      </w:r>
      <w:r w:rsidRPr="00750C86">
        <w:rPr>
          <w:rFonts w:cstheme="minorHAnsi"/>
          <w:iCs/>
          <w:color w:val="auto"/>
          <w:sz w:val="28"/>
          <w:szCs w:val="28"/>
        </w:rPr>
        <w:t xml:space="preserve"> </w:t>
      </w:r>
    </w:p>
    <w:p w14:paraId="105EEAE6" w14:textId="77777777" w:rsidR="00F063B5" w:rsidRDefault="00F063B5" w:rsidP="00DB313E">
      <w:pPr>
        <w:pStyle w:val="Covertitle"/>
        <w:rPr>
          <w:color w:val="FF0000"/>
          <w:sz w:val="28"/>
          <w:szCs w:val="28"/>
        </w:rPr>
      </w:pPr>
    </w:p>
    <w:p w14:paraId="2608DD3F" w14:textId="5E417629" w:rsidR="00DB313E" w:rsidRDefault="00DB313E" w:rsidP="00DB313E">
      <w:pPr>
        <w:pStyle w:val="Covertitle"/>
        <w:rPr>
          <w:color w:val="FF0000"/>
          <w:sz w:val="28"/>
          <w:szCs w:val="28"/>
        </w:rPr>
      </w:pPr>
      <w:r>
        <w:rPr>
          <w:color w:val="FF0000"/>
          <w:sz w:val="28"/>
          <w:szCs w:val="28"/>
        </w:rPr>
        <w:t>2021 LEAP</w:t>
      </w:r>
    </w:p>
    <w:p w14:paraId="43396D33" w14:textId="43FB743F" w:rsidR="00DB313E" w:rsidRPr="005F5DFC" w:rsidRDefault="00DB313E" w:rsidP="00DB313E">
      <w:pPr>
        <w:pStyle w:val="Covertitle"/>
        <w:rPr>
          <w:bCs/>
          <w:i/>
          <w:color w:val="auto"/>
          <w:sz w:val="28"/>
          <w:szCs w:val="28"/>
        </w:rPr>
      </w:pPr>
      <w:r>
        <w:rPr>
          <w:color w:val="FF0000"/>
          <w:sz w:val="28"/>
          <w:szCs w:val="28"/>
        </w:rPr>
        <w:t xml:space="preserve">Q: </w:t>
      </w:r>
      <w:r w:rsidRPr="005F5DFC">
        <w:rPr>
          <w:bCs/>
          <w:i/>
          <w:color w:val="auto"/>
          <w:sz w:val="28"/>
          <w:szCs w:val="28"/>
        </w:rPr>
        <w:t>Does the approval of the 2021 pre-accredited allocation at the 2020 allocation level also apply to LEAP?</w:t>
      </w:r>
    </w:p>
    <w:p w14:paraId="5A269957" w14:textId="77777777" w:rsidR="00FE6486" w:rsidRDefault="00DB313E" w:rsidP="00DB313E">
      <w:pPr>
        <w:shd w:val="clear" w:color="auto" w:fill="FFFFFF"/>
        <w:spacing w:after="0" w:line="240" w:lineRule="auto"/>
        <w:rPr>
          <w:rFonts w:eastAsia="Times New Roman" w:cstheme="minorHAnsi"/>
          <w:color w:val="262626"/>
          <w:sz w:val="28"/>
          <w:szCs w:val="28"/>
          <w:lang w:eastAsia="en-AU"/>
        </w:rPr>
      </w:pPr>
      <w:r w:rsidRPr="00E649B6">
        <w:rPr>
          <w:b/>
          <w:bCs/>
          <w:i/>
          <w:sz w:val="28"/>
          <w:szCs w:val="28"/>
        </w:rPr>
        <w:t xml:space="preserve"> </w:t>
      </w:r>
      <w:r w:rsidRPr="00E649B6">
        <w:rPr>
          <w:b/>
          <w:bCs/>
          <w:color w:val="FF0000"/>
          <w:sz w:val="28"/>
          <w:szCs w:val="28"/>
        </w:rPr>
        <w:t>A:</w:t>
      </w:r>
      <w:r>
        <w:rPr>
          <w:color w:val="FF0000"/>
          <w:sz w:val="28"/>
          <w:szCs w:val="28"/>
        </w:rPr>
        <w:t xml:space="preserve"> </w:t>
      </w:r>
      <w:r w:rsidRPr="00DB313E">
        <w:rPr>
          <w:rFonts w:eastAsia="Times New Roman" w:cstheme="minorHAnsi"/>
          <w:color w:val="262626"/>
          <w:sz w:val="28"/>
          <w:szCs w:val="28"/>
          <w:lang w:eastAsia="en-AU"/>
        </w:rPr>
        <w:t>No,</w:t>
      </w:r>
      <w:r>
        <w:rPr>
          <w:rFonts w:eastAsia="Times New Roman" w:cstheme="minorHAnsi"/>
          <w:color w:val="262626"/>
          <w:sz w:val="28"/>
          <w:szCs w:val="28"/>
          <w:lang w:eastAsia="en-AU"/>
        </w:rPr>
        <w:t xml:space="preserve"> the approval of total hours only applies to each provider’s pre-accredited training allocation for 2021.  It does </w:t>
      </w:r>
      <w:r w:rsidRPr="00DB313E">
        <w:rPr>
          <w:rFonts w:eastAsia="Times New Roman" w:cstheme="minorHAnsi"/>
          <w:color w:val="262626"/>
          <w:sz w:val="28"/>
          <w:szCs w:val="28"/>
          <w:lang w:eastAsia="en-AU"/>
        </w:rPr>
        <w:t xml:space="preserve">not </w:t>
      </w:r>
      <w:r>
        <w:rPr>
          <w:rFonts w:eastAsia="Times New Roman" w:cstheme="minorHAnsi"/>
          <w:color w:val="262626"/>
          <w:sz w:val="28"/>
          <w:szCs w:val="28"/>
          <w:lang w:eastAsia="en-AU"/>
        </w:rPr>
        <w:t xml:space="preserve">apply </w:t>
      </w:r>
      <w:r w:rsidRPr="00DB313E">
        <w:rPr>
          <w:rFonts w:eastAsia="Times New Roman" w:cstheme="minorHAnsi"/>
          <w:color w:val="262626"/>
          <w:sz w:val="28"/>
          <w:szCs w:val="28"/>
          <w:lang w:eastAsia="en-AU"/>
        </w:rPr>
        <w:t xml:space="preserve">for LEAP </w:t>
      </w:r>
      <w:r>
        <w:rPr>
          <w:rFonts w:eastAsia="Times New Roman" w:cstheme="minorHAnsi"/>
          <w:color w:val="262626"/>
          <w:sz w:val="28"/>
          <w:szCs w:val="28"/>
          <w:lang w:eastAsia="en-AU"/>
        </w:rPr>
        <w:t>(</w:t>
      </w:r>
      <w:r w:rsidRPr="00DB313E">
        <w:rPr>
          <w:rFonts w:eastAsia="Times New Roman" w:cstheme="minorHAnsi"/>
          <w:color w:val="262626"/>
          <w:sz w:val="28"/>
          <w:szCs w:val="28"/>
          <w:lang w:eastAsia="en-AU"/>
        </w:rPr>
        <w:t>or for S</w:t>
      </w:r>
      <w:r>
        <w:rPr>
          <w:rFonts w:eastAsia="Times New Roman" w:cstheme="minorHAnsi"/>
          <w:color w:val="262626"/>
          <w:sz w:val="28"/>
          <w:szCs w:val="28"/>
          <w:lang w:eastAsia="en-AU"/>
        </w:rPr>
        <w:t xml:space="preserve">kills for </w:t>
      </w:r>
      <w:r w:rsidRPr="00DB313E">
        <w:rPr>
          <w:rFonts w:eastAsia="Times New Roman" w:cstheme="minorHAnsi"/>
          <w:color w:val="262626"/>
          <w:sz w:val="28"/>
          <w:szCs w:val="28"/>
          <w:lang w:eastAsia="en-AU"/>
        </w:rPr>
        <w:t>W</w:t>
      </w:r>
      <w:r>
        <w:rPr>
          <w:rFonts w:eastAsia="Times New Roman" w:cstheme="minorHAnsi"/>
          <w:color w:val="262626"/>
          <w:sz w:val="28"/>
          <w:szCs w:val="28"/>
          <w:lang w:eastAsia="en-AU"/>
        </w:rPr>
        <w:t xml:space="preserve">ork and </w:t>
      </w:r>
      <w:r w:rsidRPr="00DB313E">
        <w:rPr>
          <w:rFonts w:eastAsia="Times New Roman" w:cstheme="minorHAnsi"/>
          <w:color w:val="262626"/>
          <w:sz w:val="28"/>
          <w:szCs w:val="28"/>
          <w:lang w:eastAsia="en-AU"/>
        </w:rPr>
        <w:t>S</w:t>
      </w:r>
      <w:r>
        <w:rPr>
          <w:rFonts w:eastAsia="Times New Roman" w:cstheme="minorHAnsi"/>
          <w:color w:val="262626"/>
          <w:sz w:val="28"/>
          <w:szCs w:val="28"/>
          <w:lang w:eastAsia="en-AU"/>
        </w:rPr>
        <w:t>tudy)</w:t>
      </w:r>
      <w:r w:rsidRPr="00DB313E">
        <w:rPr>
          <w:rFonts w:eastAsia="Times New Roman" w:cstheme="minorHAnsi"/>
          <w:color w:val="262626"/>
          <w:sz w:val="28"/>
          <w:szCs w:val="28"/>
          <w:lang w:eastAsia="en-AU"/>
        </w:rPr>
        <w:t xml:space="preserve">. LEAP is not </w:t>
      </w:r>
      <w:r>
        <w:rPr>
          <w:rFonts w:eastAsia="Times New Roman" w:cstheme="minorHAnsi"/>
          <w:color w:val="262626"/>
          <w:sz w:val="28"/>
          <w:szCs w:val="28"/>
          <w:lang w:eastAsia="en-AU"/>
        </w:rPr>
        <w:t xml:space="preserve">based on </w:t>
      </w:r>
      <w:r w:rsidRPr="00DB313E">
        <w:rPr>
          <w:rFonts w:eastAsia="Times New Roman" w:cstheme="minorHAnsi"/>
          <w:color w:val="262626"/>
          <w:sz w:val="28"/>
          <w:szCs w:val="28"/>
          <w:lang w:eastAsia="en-AU"/>
        </w:rPr>
        <w:t xml:space="preserve">an allocation process.  It is a fixed pool of SCH and will be competitive.  Each proposed course is assessed against the LEAP assessment criteria. </w:t>
      </w:r>
    </w:p>
    <w:p w14:paraId="38E7E5AF" w14:textId="77777777" w:rsidR="00FE6486" w:rsidRPr="00052FF2" w:rsidRDefault="00FE6486" w:rsidP="00DB313E">
      <w:pPr>
        <w:shd w:val="clear" w:color="auto" w:fill="FFFFFF"/>
        <w:spacing w:after="0" w:line="240" w:lineRule="auto"/>
        <w:rPr>
          <w:rFonts w:eastAsia="Times New Roman" w:cstheme="minorHAnsi"/>
          <w:color w:val="262626"/>
          <w:sz w:val="20"/>
          <w:szCs w:val="20"/>
          <w:lang w:eastAsia="en-AU"/>
        </w:rPr>
      </w:pPr>
    </w:p>
    <w:p w14:paraId="6DC036A7" w14:textId="099B2F2C" w:rsidR="00DB313E" w:rsidRDefault="00FE6486" w:rsidP="00DB313E">
      <w:pPr>
        <w:shd w:val="clear" w:color="auto" w:fill="FFFFFF"/>
        <w:spacing w:after="0" w:line="240" w:lineRule="auto"/>
        <w:rPr>
          <w:rFonts w:eastAsia="Times New Roman" w:cstheme="minorHAnsi"/>
          <w:color w:val="262626"/>
          <w:sz w:val="28"/>
          <w:szCs w:val="28"/>
          <w:lang w:eastAsia="en-AU"/>
        </w:rPr>
      </w:pPr>
      <w:r>
        <w:rPr>
          <w:rFonts w:eastAsia="Times New Roman" w:cstheme="minorHAnsi"/>
          <w:color w:val="262626"/>
          <w:sz w:val="28"/>
          <w:szCs w:val="28"/>
          <w:lang w:eastAsia="en-AU"/>
        </w:rPr>
        <w:t>All providers who are applying to deliver pre-accredited training can also apply for LEAP in addition to their total pre-accredited allocation, as it is a separate program.</w:t>
      </w:r>
    </w:p>
    <w:p w14:paraId="216D56AB" w14:textId="5AAE0339" w:rsidR="003B6791" w:rsidRDefault="003B6791" w:rsidP="00DB313E">
      <w:pPr>
        <w:shd w:val="clear" w:color="auto" w:fill="FFFFFF"/>
        <w:spacing w:after="0" w:line="240" w:lineRule="auto"/>
        <w:rPr>
          <w:rFonts w:eastAsia="Times New Roman" w:cstheme="minorHAnsi"/>
          <w:color w:val="262626"/>
          <w:sz w:val="28"/>
          <w:szCs w:val="28"/>
          <w:lang w:eastAsia="en-AU"/>
        </w:rPr>
      </w:pPr>
    </w:p>
    <w:p w14:paraId="3228B895" w14:textId="77777777" w:rsidR="00052FF2" w:rsidRPr="00DB313E" w:rsidRDefault="00052FF2" w:rsidP="00DB313E">
      <w:pPr>
        <w:shd w:val="clear" w:color="auto" w:fill="FFFFFF"/>
        <w:spacing w:after="0" w:line="240" w:lineRule="auto"/>
        <w:rPr>
          <w:rFonts w:eastAsia="Times New Roman" w:cstheme="minorHAnsi"/>
          <w:color w:val="262626"/>
          <w:sz w:val="28"/>
          <w:szCs w:val="28"/>
          <w:lang w:eastAsia="en-AU"/>
        </w:rPr>
      </w:pPr>
    </w:p>
    <w:p w14:paraId="78A54530" w14:textId="77777777" w:rsidR="00FE6486" w:rsidRDefault="00FE6486" w:rsidP="00FE6486">
      <w:pPr>
        <w:shd w:val="clear" w:color="auto" w:fill="FFFFFF"/>
        <w:spacing w:after="0" w:line="240" w:lineRule="auto"/>
        <w:rPr>
          <w:rFonts w:ascii="Arial" w:eastAsia="Times New Roman" w:hAnsi="Arial" w:cs="Arial"/>
          <w:color w:val="262626"/>
          <w:sz w:val="21"/>
          <w:szCs w:val="21"/>
          <w:highlight w:val="yellow"/>
          <w:lang w:eastAsia="en-AU"/>
        </w:rPr>
      </w:pPr>
    </w:p>
    <w:p w14:paraId="2384A879" w14:textId="77777777" w:rsidR="00856F12" w:rsidRDefault="004D2DA0" w:rsidP="00856F12">
      <w:pPr>
        <w:pStyle w:val="Covertitle"/>
        <w:spacing w:before="0"/>
        <w:rPr>
          <w:bCs/>
          <w:i/>
          <w:color w:val="auto"/>
          <w:sz w:val="28"/>
          <w:szCs w:val="28"/>
        </w:rPr>
      </w:pPr>
      <w:r>
        <w:rPr>
          <w:color w:val="FF0000"/>
          <w:sz w:val="28"/>
          <w:szCs w:val="28"/>
        </w:rPr>
        <w:t xml:space="preserve">Q: </w:t>
      </w:r>
      <w:r w:rsidRPr="005F5DFC">
        <w:rPr>
          <w:bCs/>
          <w:i/>
          <w:color w:val="auto"/>
          <w:sz w:val="28"/>
          <w:szCs w:val="28"/>
        </w:rPr>
        <w:t xml:space="preserve">What is </w:t>
      </w:r>
      <w:r w:rsidRPr="00856F12">
        <w:rPr>
          <w:bCs/>
          <w:i/>
          <w:color w:val="auto"/>
          <w:sz w:val="28"/>
          <w:szCs w:val="28"/>
        </w:rPr>
        <w:t>the duration of LEAP courses?</w:t>
      </w:r>
    </w:p>
    <w:p w14:paraId="318C1EB3" w14:textId="19E28E95" w:rsidR="004D2DA0" w:rsidRPr="00856F12" w:rsidRDefault="004D2DA0" w:rsidP="00856F12">
      <w:pPr>
        <w:pStyle w:val="Covertitle"/>
        <w:spacing w:before="0"/>
        <w:rPr>
          <w:bCs/>
          <w:i/>
          <w:color w:val="auto"/>
          <w:sz w:val="28"/>
          <w:szCs w:val="28"/>
        </w:rPr>
      </w:pPr>
      <w:r w:rsidRPr="00856F12">
        <w:rPr>
          <w:bCs/>
          <w:iCs/>
          <w:color w:val="FF0000"/>
          <w:sz w:val="28"/>
          <w:szCs w:val="28"/>
        </w:rPr>
        <w:t>A:</w:t>
      </w:r>
      <w:r w:rsidRPr="00856F12">
        <w:rPr>
          <w:b w:val="0"/>
          <w:iCs/>
          <w:color w:val="FF0000"/>
          <w:sz w:val="28"/>
          <w:szCs w:val="28"/>
        </w:rPr>
        <w:t xml:space="preserve"> </w:t>
      </w:r>
      <w:r w:rsidRPr="00856F12">
        <w:rPr>
          <w:b w:val="0"/>
          <w:iCs/>
          <w:color w:val="auto"/>
          <w:sz w:val="28"/>
          <w:szCs w:val="28"/>
        </w:rPr>
        <w:t>LE</w:t>
      </w:r>
      <w:r w:rsidRPr="00856F12">
        <w:rPr>
          <w:rFonts w:cstheme="minorHAnsi"/>
          <w:b w:val="0"/>
          <w:iCs/>
          <w:color w:val="auto"/>
          <w:sz w:val="28"/>
          <w:szCs w:val="28"/>
        </w:rPr>
        <w:t>AP</w:t>
      </w:r>
      <w:r w:rsidRPr="00052FF2">
        <w:rPr>
          <w:rFonts w:cstheme="minorHAnsi"/>
          <w:b w:val="0"/>
          <w:bCs/>
          <w:iCs/>
          <w:color w:val="auto"/>
          <w:sz w:val="28"/>
          <w:szCs w:val="28"/>
        </w:rPr>
        <w:t xml:space="preserve"> courses</w:t>
      </w:r>
      <w:r w:rsidRPr="00E071B8">
        <w:rPr>
          <w:b w:val="0"/>
          <w:color w:val="auto"/>
          <w:sz w:val="28"/>
          <w:szCs w:val="28"/>
        </w:rPr>
        <w:t xml:space="preserve"> must be a minimum of 5 SCH and no more than 19 SCH.</w:t>
      </w:r>
      <w:r w:rsidR="00BB09D5">
        <w:rPr>
          <w:b w:val="0"/>
          <w:color w:val="auto"/>
          <w:sz w:val="28"/>
          <w:szCs w:val="28"/>
        </w:rPr>
        <w:t xml:space="preserve"> However, proposed courses of 15 SCH or more will be regarded as exceptions and will require a clear rationale for the course duration. </w:t>
      </w:r>
    </w:p>
    <w:p w14:paraId="16CD85E2" w14:textId="77777777" w:rsidR="004D2DA0" w:rsidRDefault="004D2DA0" w:rsidP="00FE6486">
      <w:pPr>
        <w:shd w:val="clear" w:color="auto" w:fill="FFFFFF"/>
        <w:spacing w:after="0" w:line="240" w:lineRule="auto"/>
        <w:rPr>
          <w:color w:val="FF0000"/>
          <w:sz w:val="28"/>
          <w:szCs w:val="28"/>
        </w:rPr>
      </w:pPr>
    </w:p>
    <w:p w14:paraId="45A01138" w14:textId="77777777" w:rsidR="004D2DA0" w:rsidRDefault="004D2DA0" w:rsidP="00FE6486">
      <w:pPr>
        <w:shd w:val="clear" w:color="auto" w:fill="FFFFFF"/>
        <w:spacing w:after="0" w:line="240" w:lineRule="auto"/>
        <w:rPr>
          <w:color w:val="FF0000"/>
          <w:sz w:val="28"/>
          <w:szCs w:val="28"/>
        </w:rPr>
      </w:pPr>
    </w:p>
    <w:p w14:paraId="0FDC7D01" w14:textId="0FDB30AF" w:rsidR="00142286" w:rsidRPr="00856F12" w:rsidRDefault="00FE6486" w:rsidP="00856F12">
      <w:pPr>
        <w:pStyle w:val="Covertitle"/>
        <w:spacing w:before="0"/>
        <w:rPr>
          <w:i/>
          <w:color w:val="auto"/>
          <w:sz w:val="28"/>
          <w:szCs w:val="28"/>
        </w:rPr>
      </w:pPr>
      <w:r w:rsidRPr="004D2DA0">
        <w:rPr>
          <w:bCs/>
          <w:color w:val="FF0000"/>
          <w:sz w:val="28"/>
          <w:szCs w:val="28"/>
        </w:rPr>
        <w:t>Q:</w:t>
      </w:r>
      <w:r w:rsidR="003B6791">
        <w:rPr>
          <w:color w:val="FF0000"/>
          <w:sz w:val="28"/>
          <w:szCs w:val="28"/>
        </w:rPr>
        <w:t xml:space="preserve"> </w:t>
      </w:r>
      <w:r w:rsidR="003B6791" w:rsidRPr="00856F12">
        <w:rPr>
          <w:i/>
          <w:iCs/>
          <w:color w:val="auto"/>
          <w:sz w:val="28"/>
          <w:szCs w:val="28"/>
        </w:rPr>
        <w:t xml:space="preserve">Can LEAP programs pathway to other programs that other providers </w:t>
      </w:r>
      <w:r w:rsidR="003B6791" w:rsidRPr="00856F12">
        <w:rPr>
          <w:i/>
          <w:color w:val="auto"/>
          <w:sz w:val="28"/>
          <w:szCs w:val="28"/>
        </w:rPr>
        <w:t>deliver?</w:t>
      </w:r>
    </w:p>
    <w:p w14:paraId="4B9D370C" w14:textId="396E3E40" w:rsidR="002A3F7C" w:rsidRDefault="00FE6486" w:rsidP="00856F12">
      <w:pPr>
        <w:pStyle w:val="Covertitle"/>
        <w:spacing w:before="0"/>
        <w:rPr>
          <w:b w:val="0"/>
          <w:iCs/>
          <w:color w:val="auto"/>
          <w:sz w:val="28"/>
          <w:szCs w:val="28"/>
        </w:rPr>
      </w:pPr>
      <w:r w:rsidRPr="00856F12">
        <w:rPr>
          <w:bCs/>
          <w:iCs/>
          <w:color w:val="FF0000"/>
          <w:sz w:val="28"/>
          <w:szCs w:val="28"/>
        </w:rPr>
        <w:t>A:</w:t>
      </w:r>
      <w:r w:rsidR="003B6791" w:rsidRPr="00856F12">
        <w:rPr>
          <w:b w:val="0"/>
          <w:iCs/>
          <w:color w:val="FF0000"/>
          <w:sz w:val="28"/>
          <w:szCs w:val="28"/>
        </w:rPr>
        <w:t xml:space="preserve"> </w:t>
      </w:r>
      <w:r w:rsidR="003B6791" w:rsidRPr="00856F12">
        <w:rPr>
          <w:b w:val="0"/>
          <w:iCs/>
          <w:color w:val="auto"/>
          <w:sz w:val="28"/>
          <w:szCs w:val="28"/>
        </w:rPr>
        <w:t xml:space="preserve">Yes, LEAP programs can pathway to a provider’s own pre-accredited or accredited programs, or those of a different provider. LEAP programs must have a clear engagement purpose. </w:t>
      </w:r>
    </w:p>
    <w:p w14:paraId="5556EC26" w14:textId="02AE51EA" w:rsidR="00856F12" w:rsidRDefault="00856F12" w:rsidP="00856F12">
      <w:pPr>
        <w:pStyle w:val="Covertitle"/>
        <w:spacing w:before="0"/>
        <w:rPr>
          <w:b w:val="0"/>
          <w:iCs/>
          <w:color w:val="auto"/>
          <w:sz w:val="28"/>
          <w:szCs w:val="28"/>
        </w:rPr>
      </w:pPr>
    </w:p>
    <w:p w14:paraId="748924E5" w14:textId="77777777" w:rsidR="00856F12" w:rsidRPr="00856F12" w:rsidRDefault="00856F12" w:rsidP="00856F12">
      <w:pPr>
        <w:pStyle w:val="Covertitle"/>
        <w:spacing w:before="0"/>
        <w:rPr>
          <w:rFonts w:ascii="Arial" w:eastAsia="Times New Roman" w:hAnsi="Arial" w:cs="Arial"/>
          <w:b w:val="0"/>
          <w:iCs/>
          <w:color w:val="auto"/>
          <w:sz w:val="21"/>
          <w:szCs w:val="21"/>
          <w:highlight w:val="yellow"/>
          <w:lang w:eastAsia="en-AU"/>
        </w:rPr>
      </w:pPr>
    </w:p>
    <w:p w14:paraId="2D399792" w14:textId="77777777" w:rsidR="00856F12" w:rsidRDefault="003C52C9" w:rsidP="00856F12">
      <w:pPr>
        <w:pStyle w:val="Covertitle"/>
        <w:spacing w:before="0"/>
        <w:rPr>
          <w:rFonts w:cstheme="minorHAnsi"/>
          <w:i/>
          <w:color w:val="auto"/>
          <w:sz w:val="28"/>
          <w:szCs w:val="28"/>
        </w:rPr>
      </w:pPr>
      <w:r w:rsidRPr="00A430AB">
        <w:rPr>
          <w:rFonts w:cstheme="minorHAnsi"/>
          <w:iCs/>
          <w:color w:val="FF0000"/>
          <w:sz w:val="28"/>
          <w:szCs w:val="28"/>
        </w:rPr>
        <w:t>Q:</w:t>
      </w:r>
      <w:r>
        <w:rPr>
          <w:rFonts w:cstheme="minorHAnsi"/>
          <w:iCs/>
          <w:color w:val="FF0000"/>
          <w:sz w:val="28"/>
          <w:szCs w:val="28"/>
        </w:rPr>
        <w:t xml:space="preserve"> </w:t>
      </w:r>
      <w:r w:rsidRPr="005F5DFC">
        <w:rPr>
          <w:rFonts w:cstheme="minorHAnsi"/>
          <w:i/>
          <w:color w:val="auto"/>
          <w:sz w:val="28"/>
          <w:szCs w:val="28"/>
        </w:rPr>
        <w:t>Is there are maximum total hours per provider for LEAP?</w:t>
      </w:r>
    </w:p>
    <w:p w14:paraId="3B319ED1" w14:textId="1DA710BB" w:rsidR="003C52C9" w:rsidRPr="00856F12" w:rsidRDefault="003C52C9" w:rsidP="00856F12">
      <w:pPr>
        <w:pStyle w:val="Covertitle"/>
        <w:spacing w:before="0"/>
        <w:rPr>
          <w:rFonts w:cstheme="minorHAnsi"/>
          <w:i/>
          <w:color w:val="auto"/>
          <w:sz w:val="28"/>
          <w:szCs w:val="28"/>
        </w:rPr>
      </w:pPr>
      <w:r w:rsidRPr="00856F12">
        <w:rPr>
          <w:rFonts w:cstheme="minorHAnsi"/>
          <w:iCs/>
          <w:color w:val="FF0000"/>
          <w:sz w:val="28"/>
          <w:szCs w:val="28"/>
        </w:rPr>
        <w:t xml:space="preserve">A:  </w:t>
      </w:r>
      <w:r w:rsidRPr="00856F12">
        <w:rPr>
          <w:rFonts w:cstheme="minorHAnsi"/>
          <w:b w:val="0"/>
          <w:bCs/>
          <w:iCs/>
          <w:color w:val="auto"/>
          <w:sz w:val="28"/>
          <w:szCs w:val="28"/>
        </w:rPr>
        <w:t>Yes, as</w:t>
      </w:r>
      <w:r w:rsidRPr="003C52C9">
        <w:rPr>
          <w:rFonts w:cstheme="minorHAnsi"/>
          <w:b w:val="0"/>
          <w:bCs/>
          <w:iCs/>
          <w:color w:val="auto"/>
          <w:sz w:val="28"/>
          <w:szCs w:val="28"/>
        </w:rPr>
        <w:t xml:space="preserve"> </w:t>
      </w:r>
      <w:r w:rsidR="00BB09D5">
        <w:rPr>
          <w:rFonts w:cstheme="minorHAnsi"/>
          <w:b w:val="0"/>
          <w:bCs/>
          <w:iCs/>
          <w:color w:val="auto"/>
          <w:sz w:val="28"/>
          <w:szCs w:val="28"/>
        </w:rPr>
        <w:t>follows</w:t>
      </w:r>
      <w:r w:rsidRPr="003C52C9">
        <w:rPr>
          <w:rFonts w:cstheme="minorHAnsi"/>
          <w:b w:val="0"/>
          <w:bCs/>
          <w:iCs/>
          <w:color w:val="auto"/>
          <w:sz w:val="28"/>
          <w:szCs w:val="28"/>
        </w:rPr>
        <w:t>:</w:t>
      </w:r>
      <w:r w:rsidRPr="003C52C9">
        <w:rPr>
          <w:rFonts w:cstheme="minorHAnsi"/>
          <w:iCs/>
          <w:color w:val="auto"/>
          <w:sz w:val="28"/>
          <w:szCs w:val="28"/>
        </w:rPr>
        <w:t xml:space="preserve"> </w:t>
      </w:r>
    </w:p>
    <w:p w14:paraId="29100E20" w14:textId="77777777" w:rsidR="003C52C9" w:rsidRPr="00A10CD3" w:rsidRDefault="003C52C9" w:rsidP="003C52C9">
      <w:pPr>
        <w:pStyle w:val="Heading3"/>
        <w:numPr>
          <w:ilvl w:val="0"/>
          <w:numId w:val="11"/>
        </w:numPr>
        <w:spacing w:before="120"/>
        <w:ind w:left="1003" w:hanging="357"/>
        <w:rPr>
          <w:rFonts w:ascii="Calibri" w:hAnsi="Calibri" w:cs="Calibri"/>
          <w:b w:val="0"/>
          <w:bCs/>
          <w:sz w:val="28"/>
          <w:szCs w:val="28"/>
          <w:lang w:val="en-AU"/>
        </w:rPr>
      </w:pPr>
      <w:r w:rsidRPr="00A10CD3">
        <w:rPr>
          <w:rFonts w:ascii="Calibri" w:hAnsi="Calibri" w:cs="Calibri"/>
          <w:b w:val="0"/>
          <w:bCs/>
          <w:sz w:val="28"/>
          <w:szCs w:val="28"/>
        </w:rPr>
        <w:t>Providers with an allocation of up to 2,000 SCH for Pre-accredited Training Delivery in 2021 will be offered a maximum of 200 SCH for LEAP</w:t>
      </w:r>
    </w:p>
    <w:p w14:paraId="48961FD0" w14:textId="6EF3E28F" w:rsidR="003C52C9" w:rsidRPr="00A10CD3" w:rsidRDefault="003C52C9" w:rsidP="00DB313E">
      <w:pPr>
        <w:pStyle w:val="Heading3"/>
        <w:numPr>
          <w:ilvl w:val="0"/>
          <w:numId w:val="11"/>
        </w:numPr>
        <w:spacing w:before="120"/>
        <w:ind w:left="1003" w:hanging="357"/>
        <w:rPr>
          <w:rFonts w:ascii="Calibri" w:hAnsi="Calibri" w:cs="Calibri"/>
          <w:b w:val="0"/>
          <w:bCs/>
          <w:sz w:val="28"/>
          <w:szCs w:val="28"/>
        </w:rPr>
      </w:pPr>
      <w:r w:rsidRPr="00A10CD3">
        <w:rPr>
          <w:rFonts w:ascii="Calibri" w:hAnsi="Calibri" w:cs="Calibri"/>
          <w:b w:val="0"/>
          <w:bCs/>
          <w:sz w:val="28"/>
          <w:szCs w:val="28"/>
        </w:rPr>
        <w:t xml:space="preserve">Providers with an allocation of 2,000 SCH or more for Pre-accredited Training Delivery in 2021, will be offered a maximum of 10 per cent of their total pre-accredited SCH allocation, for LEAP.  </w:t>
      </w:r>
    </w:p>
    <w:p w14:paraId="1D476BE8" w14:textId="77777777" w:rsidR="009E3DEE" w:rsidRPr="009E3DEE" w:rsidRDefault="009E3DEE" w:rsidP="009E3DEE">
      <w:pPr>
        <w:rPr>
          <w:lang w:val="en-GB"/>
        </w:rPr>
      </w:pPr>
    </w:p>
    <w:p w14:paraId="382A9DC2" w14:textId="38F05CB9" w:rsidR="003B6791" w:rsidRPr="00AC42B8" w:rsidRDefault="003B6791" w:rsidP="003B6791">
      <w:pPr>
        <w:pStyle w:val="Covertitle"/>
        <w:rPr>
          <w:rFonts w:cstheme="minorHAnsi"/>
          <w:b w:val="0"/>
          <w:bCs/>
          <w:i/>
          <w:color w:val="auto"/>
          <w:sz w:val="28"/>
          <w:szCs w:val="28"/>
        </w:rPr>
      </w:pPr>
      <w:r w:rsidRPr="00A430AB">
        <w:rPr>
          <w:rFonts w:cstheme="minorHAnsi"/>
          <w:iCs/>
          <w:color w:val="FF0000"/>
          <w:sz w:val="28"/>
          <w:szCs w:val="28"/>
        </w:rPr>
        <w:t>Q</w:t>
      </w:r>
      <w:r w:rsidRPr="005F5DFC">
        <w:rPr>
          <w:rFonts w:cstheme="minorHAnsi"/>
          <w:iCs/>
          <w:color w:val="FF0000"/>
          <w:sz w:val="28"/>
          <w:szCs w:val="28"/>
        </w:rPr>
        <w:t xml:space="preserve">:  </w:t>
      </w:r>
      <w:r w:rsidRPr="005F5DFC">
        <w:rPr>
          <w:rFonts w:cstheme="minorHAnsi"/>
          <w:i/>
          <w:color w:val="auto"/>
          <w:sz w:val="28"/>
          <w:szCs w:val="28"/>
        </w:rPr>
        <w:t>How do I report LEAP hours</w:t>
      </w:r>
      <w:r w:rsidR="00C46AD9" w:rsidRPr="005F5DFC">
        <w:rPr>
          <w:rFonts w:cstheme="minorHAnsi"/>
          <w:i/>
          <w:color w:val="auto"/>
          <w:sz w:val="28"/>
          <w:szCs w:val="28"/>
        </w:rPr>
        <w:t xml:space="preserve"> in SVTS</w:t>
      </w:r>
      <w:r w:rsidRPr="005F5DFC">
        <w:rPr>
          <w:rFonts w:cstheme="minorHAnsi"/>
          <w:i/>
          <w:color w:val="auto"/>
          <w:sz w:val="28"/>
          <w:szCs w:val="28"/>
        </w:rPr>
        <w:t>?</w:t>
      </w:r>
    </w:p>
    <w:p w14:paraId="3FC30F7D" w14:textId="77777777" w:rsidR="00AC42B8" w:rsidRDefault="003B6791" w:rsidP="00AC42B8">
      <w:pPr>
        <w:spacing w:after="0" w:line="240" w:lineRule="auto"/>
        <w:rPr>
          <w:rFonts w:ascii="Times New Roman" w:eastAsia="Times New Roman" w:hAnsi="Times New Roman" w:cs="Times New Roman"/>
          <w:sz w:val="28"/>
          <w:szCs w:val="28"/>
          <w:lang w:eastAsia="en-AU"/>
        </w:rPr>
      </w:pPr>
      <w:r w:rsidRPr="00AC42B8">
        <w:rPr>
          <w:rFonts w:cstheme="minorHAnsi"/>
          <w:b/>
          <w:bCs/>
          <w:iCs/>
          <w:color w:val="FF0000"/>
          <w:sz w:val="28"/>
          <w:szCs w:val="28"/>
        </w:rPr>
        <w:t>A:</w:t>
      </w:r>
      <w:r w:rsidRPr="00AC42B8">
        <w:rPr>
          <w:rFonts w:cstheme="minorHAnsi"/>
          <w:iCs/>
          <w:color w:val="FF0000"/>
          <w:sz w:val="28"/>
          <w:szCs w:val="28"/>
        </w:rPr>
        <w:t xml:space="preserve">  </w:t>
      </w:r>
      <w:r w:rsidRPr="00AC42B8">
        <w:rPr>
          <w:rFonts w:cstheme="minorHAnsi"/>
          <w:iCs/>
          <w:sz w:val="28"/>
          <w:szCs w:val="28"/>
        </w:rPr>
        <w:t xml:space="preserve">LEAP is reported in SVTS under the ‘ACE’ </w:t>
      </w:r>
      <w:r w:rsidRPr="002877CF">
        <w:rPr>
          <w:rFonts w:cstheme="minorHAnsi"/>
          <w:iCs/>
          <w:sz w:val="28"/>
          <w:szCs w:val="28"/>
        </w:rPr>
        <w:t xml:space="preserve">Funding Source </w:t>
      </w:r>
      <w:r w:rsidRPr="002877CF">
        <w:rPr>
          <w:rFonts w:eastAsiaTheme="minorEastAsia" w:cs="Calibri"/>
          <w:iCs/>
          <w:kern w:val="24"/>
          <w:sz w:val="28"/>
          <w:szCs w:val="28"/>
          <w:lang w:eastAsia="en-AU"/>
        </w:rPr>
        <w:t>State Code</w:t>
      </w:r>
      <w:r w:rsidRPr="00AC42B8">
        <w:rPr>
          <w:rFonts w:eastAsiaTheme="minorEastAsia" w:cs="Calibri"/>
          <w:kern w:val="24"/>
          <w:sz w:val="28"/>
          <w:szCs w:val="28"/>
          <w:lang w:eastAsia="en-AU"/>
        </w:rPr>
        <w:t xml:space="preserve">, which </w:t>
      </w:r>
      <w:r w:rsidR="00AC42B8">
        <w:rPr>
          <w:rFonts w:eastAsiaTheme="minorEastAsia" w:cs="Calibri"/>
          <w:kern w:val="24"/>
          <w:sz w:val="28"/>
          <w:szCs w:val="28"/>
          <w:lang w:eastAsia="en-AU"/>
        </w:rPr>
        <w:t xml:space="preserve">  also </w:t>
      </w:r>
      <w:r w:rsidRPr="00AC42B8">
        <w:rPr>
          <w:rFonts w:eastAsiaTheme="minorEastAsia" w:cs="Calibri"/>
          <w:kern w:val="24"/>
          <w:sz w:val="28"/>
          <w:szCs w:val="28"/>
          <w:lang w:eastAsia="en-AU"/>
        </w:rPr>
        <w:t>covers ACFE pre-accredited programs.</w:t>
      </w:r>
      <w:r w:rsidR="00AC42B8">
        <w:rPr>
          <w:rFonts w:ascii="Times New Roman" w:eastAsia="Times New Roman" w:hAnsi="Times New Roman" w:cs="Times New Roman"/>
          <w:sz w:val="28"/>
          <w:szCs w:val="28"/>
          <w:lang w:eastAsia="en-AU"/>
        </w:rPr>
        <w:t xml:space="preserve"> </w:t>
      </w:r>
    </w:p>
    <w:p w14:paraId="6A5180A0" w14:textId="77777777" w:rsidR="00AC42B8" w:rsidRPr="00856F12" w:rsidRDefault="00AC42B8" w:rsidP="00AC42B8">
      <w:pPr>
        <w:spacing w:after="0" w:line="240" w:lineRule="auto"/>
        <w:rPr>
          <w:rFonts w:eastAsia="Times New Roman" w:cstheme="minorHAnsi"/>
          <w:sz w:val="16"/>
          <w:szCs w:val="16"/>
          <w:lang w:eastAsia="en-AU"/>
        </w:rPr>
      </w:pPr>
    </w:p>
    <w:p w14:paraId="5BB67351" w14:textId="584113B3" w:rsidR="002877CF" w:rsidRPr="00AC42B8" w:rsidRDefault="00AC42B8" w:rsidP="002877CF">
      <w:pPr>
        <w:pStyle w:val="ESBodyText"/>
        <w:rPr>
          <w:rFonts w:ascii="Calibri" w:hAnsi="Calibri" w:cs="Calibri"/>
          <w:sz w:val="28"/>
          <w:szCs w:val="28"/>
        </w:rPr>
      </w:pPr>
      <w:r w:rsidRPr="002877CF">
        <w:rPr>
          <w:rFonts w:asciiTheme="minorHAnsi" w:hAnsiTheme="minorHAnsi" w:cstheme="minorHAnsi"/>
          <w:iCs/>
          <w:sz w:val="28"/>
          <w:szCs w:val="28"/>
        </w:rPr>
        <w:t xml:space="preserve">LEAP courses must </w:t>
      </w:r>
      <w:r w:rsidR="009E3DEE">
        <w:rPr>
          <w:rFonts w:asciiTheme="minorHAnsi" w:hAnsiTheme="minorHAnsi" w:cstheme="minorHAnsi"/>
          <w:iCs/>
          <w:sz w:val="28"/>
          <w:szCs w:val="28"/>
        </w:rPr>
        <w:t xml:space="preserve">be </w:t>
      </w:r>
      <w:r w:rsidR="002877CF" w:rsidRPr="002877CF">
        <w:rPr>
          <w:rFonts w:asciiTheme="minorHAnsi" w:hAnsiTheme="minorHAnsi" w:cstheme="minorHAnsi"/>
          <w:iCs/>
          <w:sz w:val="28"/>
          <w:szCs w:val="28"/>
        </w:rPr>
        <w:t>reported in SVTS</w:t>
      </w:r>
      <w:r w:rsidR="002877CF">
        <w:rPr>
          <w:rFonts w:cstheme="minorHAnsi"/>
          <w:iCs/>
          <w:sz w:val="28"/>
          <w:szCs w:val="28"/>
        </w:rPr>
        <w:t xml:space="preserve"> </w:t>
      </w:r>
      <w:r w:rsidR="002877CF" w:rsidRPr="00AC42B8">
        <w:rPr>
          <w:rFonts w:ascii="Calibri" w:hAnsi="Calibri" w:cs="Calibri"/>
          <w:sz w:val="28"/>
          <w:szCs w:val="28"/>
        </w:rPr>
        <w:t>with the same Course Code and Course Name used in your Delivery Plan.</w:t>
      </w:r>
    </w:p>
    <w:p w14:paraId="3A0776CE" w14:textId="7DD2D334" w:rsidR="00AC42B8" w:rsidRPr="00AC42B8" w:rsidRDefault="002877CF" w:rsidP="00AC42B8">
      <w:pPr>
        <w:spacing w:after="0" w:line="240" w:lineRule="auto"/>
        <w:rPr>
          <w:rFonts w:ascii="Times New Roman" w:eastAsia="Times New Roman" w:hAnsi="Times New Roman" w:cs="Times New Roman"/>
          <w:sz w:val="28"/>
          <w:szCs w:val="28"/>
          <w:lang w:eastAsia="en-AU"/>
        </w:rPr>
      </w:pPr>
      <w:r>
        <w:rPr>
          <w:rFonts w:cstheme="minorHAnsi"/>
          <w:iCs/>
          <w:sz w:val="28"/>
          <w:szCs w:val="28"/>
        </w:rPr>
        <w:t>LEAP courses must be listed in your Delivery Plan</w:t>
      </w:r>
      <w:r w:rsidR="00AC42B8" w:rsidRPr="00AC42B8">
        <w:rPr>
          <w:rFonts w:cstheme="minorHAnsi"/>
          <w:iCs/>
          <w:sz w:val="28"/>
          <w:szCs w:val="28"/>
        </w:rPr>
        <w:t xml:space="preserve"> as follows:</w:t>
      </w:r>
    </w:p>
    <w:p w14:paraId="07C2CC13" w14:textId="44CA5B47" w:rsidR="003B6791" w:rsidRPr="00AC42B8" w:rsidRDefault="00AC42B8" w:rsidP="00AC42B8">
      <w:pPr>
        <w:pStyle w:val="ListParagraph"/>
        <w:numPr>
          <w:ilvl w:val="1"/>
          <w:numId w:val="8"/>
        </w:numPr>
        <w:spacing w:before="0" w:after="0" w:line="240" w:lineRule="auto"/>
        <w:rPr>
          <w:rFonts w:ascii="Times New Roman" w:eastAsia="Times New Roman" w:hAnsi="Times New Roman"/>
          <w:sz w:val="28"/>
          <w:szCs w:val="28"/>
          <w:lang w:eastAsia="en-AU"/>
        </w:rPr>
      </w:pPr>
      <w:r w:rsidRPr="00AC42B8">
        <w:rPr>
          <w:rFonts w:cstheme="minorHAnsi"/>
          <w:iCs/>
          <w:sz w:val="28"/>
          <w:szCs w:val="28"/>
        </w:rPr>
        <w:t>Course Code prefix ‘ACL21’, followed by your own</w:t>
      </w:r>
      <w:r w:rsidR="002877CF">
        <w:rPr>
          <w:rFonts w:cstheme="minorHAnsi"/>
          <w:iCs/>
          <w:sz w:val="28"/>
          <w:szCs w:val="28"/>
        </w:rPr>
        <w:t xml:space="preserve"> course</w:t>
      </w:r>
      <w:r w:rsidRPr="00AC42B8">
        <w:rPr>
          <w:rFonts w:cstheme="minorHAnsi"/>
          <w:iCs/>
          <w:sz w:val="28"/>
          <w:szCs w:val="28"/>
        </w:rPr>
        <w:t xml:space="preserve"> code, up to a maximum of 12 characters.</w:t>
      </w:r>
    </w:p>
    <w:p w14:paraId="63931D11" w14:textId="643A6413" w:rsidR="00AC42B8" w:rsidRPr="002877CF" w:rsidRDefault="00AC42B8" w:rsidP="00AC42B8">
      <w:pPr>
        <w:pStyle w:val="ListParagraph"/>
        <w:numPr>
          <w:ilvl w:val="1"/>
          <w:numId w:val="8"/>
        </w:numPr>
        <w:spacing w:before="0" w:after="0" w:line="240" w:lineRule="auto"/>
        <w:rPr>
          <w:rFonts w:ascii="Times New Roman" w:eastAsia="Times New Roman" w:hAnsi="Times New Roman"/>
          <w:sz w:val="28"/>
          <w:szCs w:val="28"/>
          <w:lang w:eastAsia="en-AU"/>
        </w:rPr>
      </w:pPr>
      <w:r w:rsidRPr="00AC42B8">
        <w:rPr>
          <w:rFonts w:cstheme="minorHAnsi"/>
          <w:iCs/>
          <w:sz w:val="28"/>
          <w:szCs w:val="28"/>
        </w:rPr>
        <w:t>Course Name prefix ‘LEAP’ followed by your own course name.</w:t>
      </w:r>
    </w:p>
    <w:p w14:paraId="2F1E0A30" w14:textId="77777777" w:rsidR="002877CF" w:rsidRPr="002877CF" w:rsidRDefault="002877CF" w:rsidP="002877CF">
      <w:pPr>
        <w:pStyle w:val="ListParagraph"/>
        <w:spacing w:before="0" w:after="0" w:line="240" w:lineRule="auto"/>
        <w:ind w:left="1440"/>
        <w:rPr>
          <w:rFonts w:ascii="Times New Roman" w:eastAsia="Times New Roman" w:hAnsi="Times New Roman"/>
          <w:sz w:val="28"/>
          <w:szCs w:val="28"/>
          <w:lang w:eastAsia="en-AU"/>
        </w:rPr>
      </w:pPr>
    </w:p>
    <w:p w14:paraId="55F2DB04" w14:textId="3D908EFC" w:rsidR="003B6791" w:rsidRDefault="00AC42B8" w:rsidP="00AC42B8">
      <w:pPr>
        <w:spacing w:after="0" w:line="240" w:lineRule="auto"/>
        <w:rPr>
          <w:rFonts w:cstheme="minorHAnsi"/>
          <w:iCs/>
          <w:sz w:val="28"/>
          <w:szCs w:val="28"/>
        </w:rPr>
      </w:pPr>
      <w:r w:rsidRPr="00AC42B8">
        <w:rPr>
          <w:rFonts w:cstheme="minorHAnsi"/>
          <w:iCs/>
          <w:sz w:val="28"/>
          <w:szCs w:val="28"/>
        </w:rPr>
        <w:t xml:space="preserve">The code prefixes enable the Department to distinguish LEAP </w:t>
      </w:r>
      <w:r>
        <w:rPr>
          <w:rFonts w:cstheme="minorHAnsi"/>
          <w:iCs/>
          <w:sz w:val="28"/>
          <w:szCs w:val="28"/>
        </w:rPr>
        <w:t>course</w:t>
      </w:r>
      <w:r w:rsidRPr="00AC42B8">
        <w:rPr>
          <w:rFonts w:cstheme="minorHAnsi"/>
          <w:iCs/>
          <w:sz w:val="28"/>
          <w:szCs w:val="28"/>
        </w:rPr>
        <w:t xml:space="preserve">s which are reported under the ‘ACE’ Funding Source State Code. </w:t>
      </w:r>
    </w:p>
    <w:p w14:paraId="6DCA394E" w14:textId="77777777" w:rsidR="00297F58" w:rsidRPr="00AC42B8" w:rsidRDefault="00297F58" w:rsidP="00AC42B8">
      <w:pPr>
        <w:spacing w:after="0" w:line="240" w:lineRule="auto"/>
        <w:rPr>
          <w:rFonts w:ascii="Times New Roman" w:eastAsia="Times New Roman" w:hAnsi="Times New Roman"/>
          <w:sz w:val="28"/>
          <w:szCs w:val="28"/>
          <w:lang w:eastAsia="en-AU"/>
        </w:rPr>
      </w:pPr>
    </w:p>
    <w:p w14:paraId="60BCCC1E" w14:textId="323584AE" w:rsidR="009E3DEE" w:rsidRDefault="009E3DEE" w:rsidP="00297F58">
      <w:pPr>
        <w:pStyle w:val="Covertitle"/>
        <w:spacing w:before="0" w:after="0"/>
        <w:rPr>
          <w:rFonts w:cstheme="minorHAnsi"/>
          <w:iCs/>
          <w:color w:val="FF0000"/>
          <w:sz w:val="28"/>
          <w:szCs w:val="28"/>
        </w:rPr>
      </w:pPr>
    </w:p>
    <w:p w14:paraId="4A2FE4F2" w14:textId="77777777" w:rsidR="00856F12" w:rsidRDefault="00856F12" w:rsidP="00297F58">
      <w:pPr>
        <w:pStyle w:val="Covertitle"/>
        <w:spacing w:before="0" w:after="0"/>
        <w:rPr>
          <w:rFonts w:cstheme="minorHAnsi"/>
          <w:iCs/>
          <w:color w:val="FF0000"/>
          <w:sz w:val="28"/>
          <w:szCs w:val="28"/>
        </w:rPr>
      </w:pPr>
    </w:p>
    <w:p w14:paraId="4EDFD0E5" w14:textId="539D9DD5" w:rsidR="003B6791" w:rsidRDefault="00BC7F3C" w:rsidP="00297F58">
      <w:pPr>
        <w:pStyle w:val="Covertitle"/>
        <w:spacing w:before="0" w:after="0"/>
        <w:rPr>
          <w:rFonts w:cstheme="minorHAnsi"/>
          <w:b w:val="0"/>
          <w:bCs/>
          <w:i/>
          <w:color w:val="auto"/>
          <w:sz w:val="28"/>
          <w:szCs w:val="28"/>
        </w:rPr>
      </w:pPr>
      <w:r w:rsidRPr="00A430AB">
        <w:rPr>
          <w:rFonts w:cstheme="minorHAnsi"/>
          <w:iCs/>
          <w:color w:val="FF0000"/>
          <w:sz w:val="28"/>
          <w:szCs w:val="28"/>
        </w:rPr>
        <w:t>Q:</w:t>
      </w:r>
      <w:r>
        <w:rPr>
          <w:rFonts w:cstheme="minorHAnsi"/>
          <w:iCs/>
          <w:color w:val="FF0000"/>
          <w:sz w:val="28"/>
          <w:szCs w:val="28"/>
        </w:rPr>
        <w:t xml:space="preserve"> </w:t>
      </w:r>
      <w:r w:rsidRPr="005F5DFC">
        <w:rPr>
          <w:rFonts w:cstheme="minorHAnsi"/>
          <w:i/>
          <w:color w:val="auto"/>
          <w:sz w:val="28"/>
          <w:szCs w:val="28"/>
        </w:rPr>
        <w:t>Can I bundle together multiple LEAP courses to be a longer pre-accredited course?</w:t>
      </w:r>
    </w:p>
    <w:p w14:paraId="1F1EAA0B" w14:textId="77777777" w:rsidR="00297F58" w:rsidRPr="00297F58" w:rsidRDefault="00297F58" w:rsidP="00297F58">
      <w:pPr>
        <w:pStyle w:val="Covertitle"/>
        <w:spacing w:before="0" w:after="0"/>
        <w:rPr>
          <w:rFonts w:cstheme="minorHAnsi"/>
          <w:iCs/>
          <w:color w:val="FF0000"/>
          <w:sz w:val="20"/>
          <w:szCs w:val="20"/>
        </w:rPr>
      </w:pPr>
    </w:p>
    <w:p w14:paraId="434979EB" w14:textId="6EAB722F" w:rsidR="00BC7F3C" w:rsidRPr="00BC7F3C" w:rsidRDefault="00BC7F3C" w:rsidP="00297F58">
      <w:pPr>
        <w:pStyle w:val="Covertitle"/>
        <w:spacing w:before="0" w:after="0"/>
        <w:rPr>
          <w:rFonts w:cstheme="minorHAnsi"/>
          <w:iCs/>
          <w:color w:val="FF0000"/>
          <w:sz w:val="28"/>
          <w:szCs w:val="28"/>
        </w:rPr>
      </w:pPr>
      <w:r w:rsidRPr="00BC7F3C">
        <w:rPr>
          <w:rFonts w:cstheme="minorHAnsi"/>
          <w:iCs/>
          <w:color w:val="FF0000"/>
          <w:sz w:val="28"/>
          <w:szCs w:val="28"/>
        </w:rPr>
        <w:t>A:</w:t>
      </w:r>
      <w:r>
        <w:rPr>
          <w:rFonts w:cstheme="minorHAnsi"/>
          <w:iCs/>
          <w:color w:val="FF0000"/>
          <w:sz w:val="28"/>
          <w:szCs w:val="28"/>
        </w:rPr>
        <w:t xml:space="preserve"> </w:t>
      </w:r>
      <w:r w:rsidRPr="00BC7F3C">
        <w:rPr>
          <w:rFonts w:cstheme="minorHAnsi"/>
          <w:b w:val="0"/>
          <w:bCs/>
          <w:iCs/>
          <w:color w:val="auto"/>
          <w:sz w:val="28"/>
          <w:szCs w:val="28"/>
        </w:rPr>
        <w:t>No, LEAP courses should have a separate intent from pre-accredited courses, with an engagement purpose. Proposed LEAP courses will be assessed against the LEAP assessment criteria.</w:t>
      </w:r>
      <w:r w:rsidRPr="00BC7F3C">
        <w:rPr>
          <w:rFonts w:cstheme="minorHAnsi"/>
          <w:iCs/>
          <w:color w:val="auto"/>
          <w:sz w:val="28"/>
          <w:szCs w:val="28"/>
        </w:rPr>
        <w:t xml:space="preserve"> </w:t>
      </w:r>
    </w:p>
    <w:p w14:paraId="126639E8" w14:textId="77777777" w:rsidR="009E3DEE" w:rsidRDefault="009E3DEE" w:rsidP="004A2D2C">
      <w:pPr>
        <w:pStyle w:val="Covertitle"/>
        <w:rPr>
          <w:color w:val="FF0000"/>
          <w:sz w:val="28"/>
          <w:szCs w:val="28"/>
        </w:rPr>
      </w:pPr>
    </w:p>
    <w:p w14:paraId="6019FA3B" w14:textId="5FCC0852" w:rsidR="004A2D2C" w:rsidRDefault="004A2D2C" w:rsidP="004A2D2C">
      <w:pPr>
        <w:pStyle w:val="Covertitle"/>
        <w:rPr>
          <w:color w:val="FF0000"/>
          <w:sz w:val="28"/>
          <w:szCs w:val="28"/>
        </w:rPr>
      </w:pPr>
      <w:r>
        <w:rPr>
          <w:color w:val="FF0000"/>
          <w:sz w:val="28"/>
          <w:szCs w:val="28"/>
        </w:rPr>
        <w:t>SKILLS FOR WORK AND STUDY PILOT PROGRAMS</w:t>
      </w:r>
    </w:p>
    <w:p w14:paraId="7E935B64" w14:textId="77777777" w:rsidR="00856F12" w:rsidRDefault="00856F12" w:rsidP="00297F58">
      <w:pPr>
        <w:pStyle w:val="Covertitle"/>
        <w:spacing w:before="0" w:after="0"/>
        <w:rPr>
          <w:color w:val="FF0000"/>
          <w:sz w:val="28"/>
          <w:szCs w:val="28"/>
        </w:rPr>
      </w:pPr>
    </w:p>
    <w:p w14:paraId="40026EE1" w14:textId="2A6EFAAC" w:rsidR="00297F58" w:rsidRPr="005F5DFC" w:rsidRDefault="002A3F7C" w:rsidP="00856F12">
      <w:pPr>
        <w:pStyle w:val="Covertitle"/>
        <w:spacing w:before="0"/>
        <w:rPr>
          <w:i/>
          <w:iCs/>
          <w:color w:val="auto"/>
          <w:sz w:val="28"/>
          <w:szCs w:val="28"/>
        </w:rPr>
      </w:pPr>
      <w:r>
        <w:rPr>
          <w:color w:val="FF0000"/>
          <w:sz w:val="28"/>
          <w:szCs w:val="28"/>
        </w:rPr>
        <w:t xml:space="preserve">Q:  </w:t>
      </w:r>
      <w:r w:rsidRPr="005F5DFC">
        <w:rPr>
          <w:i/>
          <w:iCs/>
          <w:color w:val="auto"/>
          <w:sz w:val="28"/>
          <w:szCs w:val="28"/>
        </w:rPr>
        <w:t xml:space="preserve">If we </w:t>
      </w:r>
      <w:r w:rsidR="00297F58" w:rsidRPr="005F5DFC">
        <w:rPr>
          <w:i/>
          <w:iCs/>
          <w:color w:val="auto"/>
          <w:sz w:val="28"/>
          <w:szCs w:val="28"/>
        </w:rPr>
        <w:t>a</w:t>
      </w:r>
      <w:r w:rsidRPr="005F5DFC">
        <w:rPr>
          <w:i/>
          <w:iCs/>
          <w:color w:val="auto"/>
          <w:sz w:val="28"/>
          <w:szCs w:val="28"/>
        </w:rPr>
        <w:t xml:space="preserve">re interested in the </w:t>
      </w:r>
      <w:r w:rsidR="00297F58" w:rsidRPr="005F5DFC">
        <w:rPr>
          <w:i/>
          <w:iCs/>
          <w:color w:val="auto"/>
          <w:sz w:val="28"/>
          <w:szCs w:val="28"/>
        </w:rPr>
        <w:t>S</w:t>
      </w:r>
      <w:r w:rsidRPr="005F5DFC">
        <w:rPr>
          <w:i/>
          <w:iCs/>
          <w:color w:val="auto"/>
          <w:sz w:val="28"/>
          <w:szCs w:val="28"/>
        </w:rPr>
        <w:t xml:space="preserve">kills for </w:t>
      </w:r>
      <w:r w:rsidR="00297F58" w:rsidRPr="005F5DFC">
        <w:rPr>
          <w:i/>
          <w:iCs/>
          <w:color w:val="auto"/>
          <w:sz w:val="28"/>
          <w:szCs w:val="28"/>
        </w:rPr>
        <w:t>W</w:t>
      </w:r>
      <w:r w:rsidRPr="005F5DFC">
        <w:rPr>
          <w:i/>
          <w:iCs/>
          <w:color w:val="auto"/>
          <w:sz w:val="28"/>
          <w:szCs w:val="28"/>
        </w:rPr>
        <w:t xml:space="preserve">ork </w:t>
      </w:r>
      <w:r w:rsidR="00297F58" w:rsidRPr="005F5DFC">
        <w:rPr>
          <w:i/>
          <w:iCs/>
          <w:color w:val="auto"/>
          <w:sz w:val="28"/>
          <w:szCs w:val="28"/>
        </w:rPr>
        <w:t>and S</w:t>
      </w:r>
      <w:r w:rsidRPr="005F5DFC">
        <w:rPr>
          <w:i/>
          <w:iCs/>
          <w:color w:val="auto"/>
          <w:sz w:val="28"/>
          <w:szCs w:val="28"/>
        </w:rPr>
        <w:t>tudy program will that need to come out of our existing pre-accredited allocated hours?</w:t>
      </w:r>
    </w:p>
    <w:p w14:paraId="35EE75E4" w14:textId="72D7BD4D" w:rsidR="00297F58" w:rsidRDefault="002A3F7C" w:rsidP="00856F12">
      <w:pPr>
        <w:pStyle w:val="Covertitle"/>
        <w:spacing w:before="0"/>
        <w:rPr>
          <w:b w:val="0"/>
          <w:bCs/>
          <w:color w:val="auto"/>
          <w:sz w:val="28"/>
          <w:szCs w:val="28"/>
        </w:rPr>
      </w:pPr>
      <w:r>
        <w:rPr>
          <w:color w:val="FF0000"/>
          <w:sz w:val="28"/>
          <w:szCs w:val="28"/>
        </w:rPr>
        <w:t xml:space="preserve">A:  </w:t>
      </w:r>
      <w:r w:rsidRPr="002A3F7C">
        <w:rPr>
          <w:b w:val="0"/>
          <w:bCs/>
          <w:color w:val="auto"/>
          <w:sz w:val="28"/>
          <w:szCs w:val="28"/>
        </w:rPr>
        <w:t>No, hours are separately available for the Skills for Work and Study pilot programs.</w:t>
      </w:r>
      <w:r>
        <w:rPr>
          <w:b w:val="0"/>
          <w:bCs/>
          <w:color w:val="auto"/>
          <w:sz w:val="28"/>
          <w:szCs w:val="28"/>
        </w:rPr>
        <w:t xml:space="preserve"> It</w:t>
      </w:r>
      <w:r w:rsidRPr="002A3F7C">
        <w:rPr>
          <w:b w:val="0"/>
          <w:bCs/>
          <w:color w:val="auto"/>
          <w:sz w:val="28"/>
          <w:szCs w:val="28"/>
        </w:rPr>
        <w:t xml:space="preserve"> is a separate program with its own</w:t>
      </w:r>
      <w:r w:rsidR="00297F58">
        <w:rPr>
          <w:b w:val="0"/>
          <w:bCs/>
          <w:color w:val="auto"/>
          <w:sz w:val="28"/>
          <w:szCs w:val="28"/>
        </w:rPr>
        <w:t xml:space="preserve"> </w:t>
      </w:r>
      <w:r w:rsidRPr="002A3F7C">
        <w:rPr>
          <w:b w:val="0"/>
          <w:bCs/>
          <w:color w:val="auto"/>
          <w:sz w:val="28"/>
          <w:szCs w:val="28"/>
        </w:rPr>
        <w:t xml:space="preserve"> </w:t>
      </w:r>
      <w:hyperlink r:id="rId18" w:history="1">
        <w:r w:rsidR="00297F58" w:rsidRPr="00297F58">
          <w:rPr>
            <w:rStyle w:val="Hyperlink"/>
            <w:b w:val="0"/>
            <w:bCs/>
            <w:sz w:val="28"/>
            <w:szCs w:val="28"/>
          </w:rPr>
          <w:t>guidelines</w:t>
        </w:r>
      </w:hyperlink>
      <w:r w:rsidR="00297F58">
        <w:rPr>
          <w:b w:val="0"/>
          <w:bCs/>
          <w:color w:val="auto"/>
          <w:sz w:val="28"/>
          <w:szCs w:val="28"/>
        </w:rPr>
        <w:t xml:space="preserve"> </w:t>
      </w:r>
      <w:r>
        <w:rPr>
          <w:b w:val="0"/>
          <w:bCs/>
          <w:color w:val="auto"/>
          <w:sz w:val="28"/>
          <w:szCs w:val="28"/>
        </w:rPr>
        <w:t>and assessment criteria</w:t>
      </w:r>
      <w:r w:rsidR="00297F58">
        <w:rPr>
          <w:b w:val="0"/>
          <w:bCs/>
          <w:color w:val="auto"/>
          <w:sz w:val="28"/>
          <w:szCs w:val="28"/>
        </w:rPr>
        <w:t>.</w:t>
      </w:r>
    </w:p>
    <w:p w14:paraId="1B27195A" w14:textId="36AC4903" w:rsidR="00856F12" w:rsidRDefault="00856F12" w:rsidP="00856F12">
      <w:pPr>
        <w:pStyle w:val="Covertitle"/>
        <w:spacing w:before="0"/>
        <w:rPr>
          <w:b w:val="0"/>
          <w:bCs/>
          <w:color w:val="FF0000"/>
          <w:sz w:val="28"/>
          <w:szCs w:val="28"/>
        </w:rPr>
      </w:pPr>
    </w:p>
    <w:p w14:paraId="0A79B875" w14:textId="77777777" w:rsidR="00856F12" w:rsidRPr="00FE6947" w:rsidRDefault="00856F12" w:rsidP="00856F12">
      <w:pPr>
        <w:pStyle w:val="Covertitle"/>
        <w:spacing w:before="0"/>
        <w:rPr>
          <w:b w:val="0"/>
          <w:bCs/>
          <w:color w:val="FF0000"/>
          <w:sz w:val="28"/>
          <w:szCs w:val="28"/>
        </w:rPr>
      </w:pPr>
    </w:p>
    <w:p w14:paraId="505E299B" w14:textId="291A7D0A" w:rsidR="003C52C9" w:rsidRPr="005F5DFC" w:rsidRDefault="00926F5F" w:rsidP="00856F12">
      <w:pPr>
        <w:pStyle w:val="Covertitle"/>
        <w:spacing w:before="0"/>
        <w:rPr>
          <w:i/>
          <w:iCs/>
          <w:color w:val="auto"/>
          <w:sz w:val="28"/>
          <w:szCs w:val="28"/>
        </w:rPr>
      </w:pPr>
      <w:r>
        <w:rPr>
          <w:color w:val="FF0000"/>
          <w:sz w:val="28"/>
          <w:szCs w:val="28"/>
        </w:rPr>
        <w:t xml:space="preserve">Q: </w:t>
      </w:r>
      <w:r w:rsidRPr="005F5DFC">
        <w:rPr>
          <w:i/>
          <w:iCs/>
          <w:color w:val="auto"/>
          <w:sz w:val="28"/>
          <w:szCs w:val="28"/>
        </w:rPr>
        <w:t>Are all Literacy and Numeracy courses to be funded under Skills for Work and Study?</w:t>
      </w:r>
    </w:p>
    <w:p w14:paraId="23FE5D34" w14:textId="03A892C4" w:rsidR="00856F12" w:rsidRDefault="00926F5F" w:rsidP="00856F12">
      <w:pPr>
        <w:pStyle w:val="Covertitle"/>
        <w:spacing w:before="0"/>
        <w:rPr>
          <w:b w:val="0"/>
          <w:bCs/>
          <w:color w:val="auto"/>
          <w:sz w:val="28"/>
          <w:szCs w:val="28"/>
        </w:rPr>
      </w:pPr>
      <w:r>
        <w:rPr>
          <w:color w:val="FF0000"/>
          <w:sz w:val="28"/>
          <w:szCs w:val="28"/>
        </w:rPr>
        <w:t xml:space="preserve">A: </w:t>
      </w:r>
      <w:r w:rsidRPr="00926F5F">
        <w:rPr>
          <w:b w:val="0"/>
          <w:bCs/>
          <w:color w:val="auto"/>
          <w:sz w:val="28"/>
          <w:szCs w:val="28"/>
        </w:rPr>
        <w:t>No, only the specified courses and associated resources that have been developed under S</w:t>
      </w:r>
      <w:r>
        <w:rPr>
          <w:b w:val="0"/>
          <w:bCs/>
          <w:color w:val="auto"/>
          <w:sz w:val="28"/>
          <w:szCs w:val="28"/>
        </w:rPr>
        <w:t xml:space="preserve">kills </w:t>
      </w:r>
      <w:r w:rsidRPr="00926F5F">
        <w:rPr>
          <w:b w:val="0"/>
          <w:bCs/>
          <w:color w:val="auto"/>
          <w:sz w:val="28"/>
          <w:szCs w:val="28"/>
        </w:rPr>
        <w:t>f</w:t>
      </w:r>
      <w:r>
        <w:rPr>
          <w:b w:val="0"/>
          <w:bCs/>
          <w:color w:val="auto"/>
          <w:sz w:val="28"/>
          <w:szCs w:val="28"/>
        </w:rPr>
        <w:t xml:space="preserve">or </w:t>
      </w:r>
      <w:r w:rsidRPr="00926F5F">
        <w:rPr>
          <w:b w:val="0"/>
          <w:bCs/>
          <w:color w:val="auto"/>
          <w:sz w:val="28"/>
          <w:szCs w:val="28"/>
        </w:rPr>
        <w:t>W</w:t>
      </w:r>
      <w:r>
        <w:rPr>
          <w:b w:val="0"/>
          <w:bCs/>
          <w:color w:val="auto"/>
          <w:sz w:val="28"/>
          <w:szCs w:val="28"/>
        </w:rPr>
        <w:t xml:space="preserve">ork and </w:t>
      </w:r>
      <w:r w:rsidRPr="00926F5F">
        <w:rPr>
          <w:b w:val="0"/>
          <w:bCs/>
          <w:color w:val="auto"/>
          <w:sz w:val="28"/>
          <w:szCs w:val="28"/>
        </w:rPr>
        <w:t>S</w:t>
      </w:r>
      <w:r>
        <w:rPr>
          <w:b w:val="0"/>
          <w:bCs/>
          <w:color w:val="auto"/>
          <w:sz w:val="28"/>
          <w:szCs w:val="28"/>
        </w:rPr>
        <w:t>tudy</w:t>
      </w:r>
      <w:r w:rsidRPr="00926F5F">
        <w:rPr>
          <w:b w:val="0"/>
          <w:bCs/>
          <w:color w:val="auto"/>
          <w:sz w:val="28"/>
          <w:szCs w:val="28"/>
        </w:rPr>
        <w:t xml:space="preserve"> are funded under this program. However, pre-acc</w:t>
      </w:r>
      <w:r>
        <w:rPr>
          <w:b w:val="0"/>
          <w:bCs/>
          <w:color w:val="auto"/>
          <w:sz w:val="28"/>
          <w:szCs w:val="28"/>
        </w:rPr>
        <w:t xml:space="preserve">redited </w:t>
      </w:r>
      <w:r w:rsidRPr="00926F5F">
        <w:rPr>
          <w:b w:val="0"/>
          <w:bCs/>
          <w:color w:val="auto"/>
          <w:sz w:val="28"/>
          <w:szCs w:val="28"/>
        </w:rPr>
        <w:t>literacy and numeracy courses that duplicate these S</w:t>
      </w:r>
      <w:r>
        <w:rPr>
          <w:b w:val="0"/>
          <w:bCs/>
          <w:color w:val="auto"/>
          <w:sz w:val="28"/>
          <w:szCs w:val="28"/>
        </w:rPr>
        <w:t xml:space="preserve">kills </w:t>
      </w:r>
      <w:r w:rsidRPr="00926F5F">
        <w:rPr>
          <w:b w:val="0"/>
          <w:bCs/>
          <w:color w:val="auto"/>
          <w:sz w:val="28"/>
          <w:szCs w:val="28"/>
        </w:rPr>
        <w:t>f</w:t>
      </w:r>
      <w:r>
        <w:rPr>
          <w:b w:val="0"/>
          <w:bCs/>
          <w:color w:val="auto"/>
          <w:sz w:val="28"/>
          <w:szCs w:val="28"/>
        </w:rPr>
        <w:t xml:space="preserve">or </w:t>
      </w:r>
      <w:r w:rsidRPr="00926F5F">
        <w:rPr>
          <w:b w:val="0"/>
          <w:bCs/>
          <w:color w:val="auto"/>
          <w:sz w:val="28"/>
          <w:szCs w:val="28"/>
        </w:rPr>
        <w:t>W</w:t>
      </w:r>
      <w:r>
        <w:rPr>
          <w:b w:val="0"/>
          <w:bCs/>
          <w:color w:val="auto"/>
          <w:sz w:val="28"/>
          <w:szCs w:val="28"/>
        </w:rPr>
        <w:t xml:space="preserve">ork and </w:t>
      </w:r>
      <w:r w:rsidRPr="00926F5F">
        <w:rPr>
          <w:b w:val="0"/>
          <w:bCs/>
          <w:color w:val="auto"/>
          <w:sz w:val="28"/>
          <w:szCs w:val="28"/>
        </w:rPr>
        <w:t>S</w:t>
      </w:r>
      <w:r>
        <w:rPr>
          <w:b w:val="0"/>
          <w:bCs/>
          <w:color w:val="auto"/>
          <w:sz w:val="28"/>
          <w:szCs w:val="28"/>
        </w:rPr>
        <w:t>tudy</w:t>
      </w:r>
      <w:r w:rsidRPr="00926F5F">
        <w:rPr>
          <w:b w:val="0"/>
          <w:bCs/>
          <w:color w:val="auto"/>
          <w:sz w:val="28"/>
          <w:szCs w:val="28"/>
        </w:rPr>
        <w:t xml:space="preserve"> courses will not be funded under pre-acc</w:t>
      </w:r>
      <w:r>
        <w:rPr>
          <w:b w:val="0"/>
          <w:bCs/>
          <w:color w:val="auto"/>
          <w:sz w:val="28"/>
          <w:szCs w:val="28"/>
        </w:rPr>
        <w:t>redited</w:t>
      </w:r>
      <w:r w:rsidRPr="00926F5F">
        <w:rPr>
          <w:b w:val="0"/>
          <w:bCs/>
          <w:color w:val="auto"/>
          <w:sz w:val="28"/>
          <w:szCs w:val="28"/>
        </w:rPr>
        <w:t xml:space="preserve"> training. </w:t>
      </w:r>
    </w:p>
    <w:p w14:paraId="7513091F" w14:textId="16B1CD9B" w:rsidR="00856F12" w:rsidRDefault="00856F12" w:rsidP="00856F12">
      <w:pPr>
        <w:pStyle w:val="Covertitle"/>
        <w:spacing w:before="0"/>
        <w:rPr>
          <w:b w:val="0"/>
          <w:bCs/>
          <w:color w:val="auto"/>
          <w:sz w:val="28"/>
          <w:szCs w:val="28"/>
        </w:rPr>
      </w:pPr>
    </w:p>
    <w:p w14:paraId="3E29747F" w14:textId="77777777" w:rsidR="00856F12" w:rsidRPr="00926F5F" w:rsidRDefault="00856F12" w:rsidP="00856F12">
      <w:pPr>
        <w:pStyle w:val="Covertitle"/>
        <w:spacing w:before="0"/>
        <w:rPr>
          <w:b w:val="0"/>
          <w:bCs/>
          <w:color w:val="auto"/>
          <w:sz w:val="28"/>
          <w:szCs w:val="28"/>
        </w:rPr>
      </w:pPr>
    </w:p>
    <w:p w14:paraId="29585770" w14:textId="4126D373" w:rsidR="00330DDC" w:rsidRDefault="003C52C9" w:rsidP="00856F12">
      <w:pPr>
        <w:pStyle w:val="Covertitle"/>
        <w:spacing w:before="0"/>
        <w:rPr>
          <w:color w:val="FF0000"/>
          <w:sz w:val="28"/>
          <w:szCs w:val="28"/>
        </w:rPr>
      </w:pPr>
      <w:r>
        <w:rPr>
          <w:color w:val="FF0000"/>
          <w:sz w:val="28"/>
          <w:szCs w:val="28"/>
        </w:rPr>
        <w:t xml:space="preserve">Q:  </w:t>
      </w:r>
      <w:r w:rsidRPr="005F5DFC">
        <w:rPr>
          <w:i/>
          <w:iCs/>
          <w:color w:val="auto"/>
          <w:sz w:val="28"/>
          <w:szCs w:val="28"/>
        </w:rPr>
        <w:t>Do we have to submit Course Plan</w:t>
      </w:r>
      <w:r w:rsidR="00605B02" w:rsidRPr="005F5DFC">
        <w:rPr>
          <w:i/>
          <w:iCs/>
          <w:color w:val="auto"/>
          <w:sz w:val="28"/>
          <w:szCs w:val="28"/>
        </w:rPr>
        <w:t>s</w:t>
      </w:r>
      <w:r w:rsidRPr="005F5DFC">
        <w:rPr>
          <w:i/>
          <w:iCs/>
          <w:color w:val="auto"/>
          <w:sz w:val="28"/>
          <w:szCs w:val="28"/>
        </w:rPr>
        <w:t xml:space="preserve"> and Session Plan</w:t>
      </w:r>
      <w:r w:rsidR="00605B02" w:rsidRPr="005F5DFC">
        <w:rPr>
          <w:i/>
          <w:iCs/>
          <w:color w:val="auto"/>
          <w:sz w:val="28"/>
          <w:szCs w:val="28"/>
        </w:rPr>
        <w:t>s</w:t>
      </w:r>
      <w:r w:rsidRPr="005F5DFC">
        <w:rPr>
          <w:i/>
          <w:iCs/>
          <w:color w:val="auto"/>
          <w:sz w:val="28"/>
          <w:szCs w:val="28"/>
        </w:rPr>
        <w:t xml:space="preserve"> for Skills for Work and Study</w:t>
      </w:r>
      <w:r w:rsidR="00605B02" w:rsidRPr="005F5DFC">
        <w:rPr>
          <w:i/>
          <w:iCs/>
          <w:color w:val="auto"/>
          <w:sz w:val="28"/>
          <w:szCs w:val="28"/>
        </w:rPr>
        <w:t xml:space="preserve"> proposed courses?</w:t>
      </w:r>
    </w:p>
    <w:p w14:paraId="677F384D" w14:textId="57670706" w:rsidR="00605B02" w:rsidRDefault="003C52C9" w:rsidP="00856F12">
      <w:pPr>
        <w:pStyle w:val="Covertitle"/>
        <w:spacing w:before="0" w:after="0"/>
        <w:rPr>
          <w:b w:val="0"/>
          <w:bCs/>
          <w:color w:val="auto"/>
          <w:sz w:val="28"/>
          <w:szCs w:val="28"/>
        </w:rPr>
      </w:pPr>
      <w:r>
        <w:rPr>
          <w:color w:val="FF0000"/>
          <w:sz w:val="28"/>
          <w:szCs w:val="28"/>
        </w:rPr>
        <w:t xml:space="preserve">A:  </w:t>
      </w:r>
      <w:r w:rsidR="00605B02" w:rsidRPr="00605B02">
        <w:rPr>
          <w:b w:val="0"/>
          <w:bCs/>
          <w:color w:val="auto"/>
          <w:sz w:val="28"/>
          <w:szCs w:val="28"/>
        </w:rPr>
        <w:t xml:space="preserve">No, the Course Plans and Session Plans </w:t>
      </w:r>
      <w:r w:rsidR="00605B02">
        <w:rPr>
          <w:b w:val="0"/>
          <w:bCs/>
          <w:color w:val="auto"/>
          <w:sz w:val="28"/>
          <w:szCs w:val="28"/>
        </w:rPr>
        <w:t>are provided</w:t>
      </w:r>
      <w:r w:rsidR="00605B02" w:rsidRPr="00605B02">
        <w:rPr>
          <w:b w:val="0"/>
          <w:bCs/>
          <w:color w:val="auto"/>
          <w:sz w:val="28"/>
          <w:szCs w:val="28"/>
        </w:rPr>
        <w:t xml:space="preserve"> for each of the 7 industry contextualised programs, along with teacher and learner resources.  Providers will use these prepared Course Plans and Session Plans.  You do need to submit</w:t>
      </w:r>
      <w:r w:rsidR="00605B02">
        <w:rPr>
          <w:b w:val="0"/>
          <w:bCs/>
          <w:color w:val="auto"/>
          <w:sz w:val="28"/>
          <w:szCs w:val="28"/>
        </w:rPr>
        <w:t>:</w:t>
      </w:r>
    </w:p>
    <w:p w14:paraId="4A227395" w14:textId="2488B9E4" w:rsidR="003C52C9" w:rsidRPr="009E3DEE" w:rsidRDefault="00605B02" w:rsidP="00856F12">
      <w:pPr>
        <w:pStyle w:val="Covertitle"/>
        <w:numPr>
          <w:ilvl w:val="0"/>
          <w:numId w:val="14"/>
        </w:numPr>
        <w:spacing w:before="0" w:after="0"/>
        <w:rPr>
          <w:color w:val="auto"/>
          <w:sz w:val="28"/>
          <w:szCs w:val="28"/>
        </w:rPr>
      </w:pPr>
      <w:r w:rsidRPr="009E3DEE">
        <w:rPr>
          <w:b w:val="0"/>
          <w:bCs/>
          <w:color w:val="auto"/>
          <w:sz w:val="28"/>
          <w:szCs w:val="28"/>
        </w:rPr>
        <w:t>Delivery Plan listing the proposed course(s) by industry category and LGA.</w:t>
      </w:r>
    </w:p>
    <w:p w14:paraId="38E416CC" w14:textId="5723317A" w:rsidR="00BB09D5" w:rsidRDefault="00605B02" w:rsidP="00856F12">
      <w:pPr>
        <w:pStyle w:val="Covertitle"/>
        <w:numPr>
          <w:ilvl w:val="0"/>
          <w:numId w:val="14"/>
        </w:numPr>
        <w:spacing w:before="0" w:after="0"/>
        <w:rPr>
          <w:color w:val="auto"/>
          <w:sz w:val="28"/>
          <w:szCs w:val="28"/>
        </w:rPr>
      </w:pPr>
      <w:r w:rsidRPr="009E3DEE">
        <w:rPr>
          <w:b w:val="0"/>
          <w:bCs/>
          <w:color w:val="auto"/>
          <w:sz w:val="28"/>
          <w:szCs w:val="28"/>
        </w:rPr>
        <w:t xml:space="preserve">Expression of Interest Application Form at Attachment 1 of the </w:t>
      </w:r>
      <w:hyperlink r:id="rId19" w:history="1">
        <w:r w:rsidRPr="009E3DEE">
          <w:rPr>
            <w:rStyle w:val="Hyperlink"/>
            <w:b w:val="0"/>
            <w:bCs/>
            <w:color w:val="auto"/>
            <w:sz w:val="28"/>
            <w:szCs w:val="28"/>
          </w:rPr>
          <w:t>guidelines</w:t>
        </w:r>
      </w:hyperlink>
    </w:p>
    <w:p w14:paraId="7C2E0BDB" w14:textId="77777777" w:rsidR="005F5DFC" w:rsidRPr="005F5DFC" w:rsidRDefault="005F5DFC" w:rsidP="005F5DFC">
      <w:pPr>
        <w:pStyle w:val="Covertitle"/>
        <w:ind w:left="780"/>
        <w:rPr>
          <w:color w:val="auto"/>
          <w:sz w:val="28"/>
          <w:szCs w:val="28"/>
        </w:rPr>
      </w:pPr>
    </w:p>
    <w:p w14:paraId="2483E815" w14:textId="26963964" w:rsidR="00BB09D5" w:rsidRPr="00856F12" w:rsidRDefault="00BB09D5" w:rsidP="00856F12">
      <w:pPr>
        <w:pStyle w:val="Covertitle"/>
        <w:spacing w:before="0"/>
        <w:rPr>
          <w:b w:val="0"/>
          <w:bCs/>
          <w:i/>
          <w:iCs/>
          <w:color w:val="auto"/>
          <w:sz w:val="28"/>
          <w:szCs w:val="28"/>
        </w:rPr>
      </w:pPr>
      <w:r w:rsidRPr="00416793">
        <w:rPr>
          <w:color w:val="FF0000"/>
          <w:sz w:val="28"/>
          <w:szCs w:val="28"/>
        </w:rPr>
        <w:t>Q:</w:t>
      </w:r>
      <w:r>
        <w:rPr>
          <w:color w:val="FF0000"/>
          <w:sz w:val="28"/>
          <w:szCs w:val="28"/>
        </w:rPr>
        <w:t xml:space="preserve"> </w:t>
      </w:r>
      <w:r w:rsidRPr="005F5DFC">
        <w:rPr>
          <w:i/>
          <w:iCs/>
          <w:color w:val="auto"/>
          <w:sz w:val="28"/>
          <w:szCs w:val="28"/>
        </w:rPr>
        <w:t>What are the requirements for work experience in Skills for Work and Study programs?</w:t>
      </w:r>
    </w:p>
    <w:p w14:paraId="736B20A7" w14:textId="07D34E91" w:rsidR="00BB09D5" w:rsidRPr="005A1AAE" w:rsidRDefault="00BB09D5" w:rsidP="00856F12">
      <w:pPr>
        <w:pStyle w:val="Covertitle"/>
        <w:spacing w:before="0"/>
        <w:rPr>
          <w:rStyle w:val="Hyperlink"/>
          <w:b w:val="0"/>
          <w:bCs/>
          <w:sz w:val="28"/>
          <w:szCs w:val="28"/>
        </w:rPr>
      </w:pPr>
      <w:r w:rsidRPr="00416793">
        <w:rPr>
          <w:color w:val="FF0000"/>
          <w:sz w:val="28"/>
          <w:szCs w:val="28"/>
        </w:rPr>
        <w:t>A:</w:t>
      </w:r>
      <w:r>
        <w:rPr>
          <w:color w:val="FF0000"/>
          <w:sz w:val="28"/>
          <w:szCs w:val="28"/>
        </w:rPr>
        <w:t xml:space="preserve">   </w:t>
      </w:r>
      <w:r w:rsidRPr="00BB09D5">
        <w:rPr>
          <w:b w:val="0"/>
          <w:bCs/>
          <w:color w:val="auto"/>
          <w:sz w:val="28"/>
          <w:szCs w:val="28"/>
        </w:rPr>
        <w:t>The same requirements apply for Skills for Work and Study as for pre-accredited work experience</w:t>
      </w:r>
      <w:r>
        <w:rPr>
          <w:rFonts w:cs="Arial"/>
          <w:b w:val="0"/>
          <w:bCs/>
          <w:color w:val="auto"/>
          <w:sz w:val="28"/>
          <w:szCs w:val="28"/>
          <w:lang w:val="en"/>
        </w:rPr>
        <w:t>. See link to</w:t>
      </w:r>
      <w:r w:rsidRPr="007F0F7A">
        <w:rPr>
          <w:b w:val="0"/>
          <w:bCs/>
          <w:color w:val="auto"/>
          <w:sz w:val="28"/>
          <w:szCs w:val="28"/>
        </w:rPr>
        <w:t xml:space="preserve"> the </w:t>
      </w:r>
      <w:r w:rsidR="005A1AAE">
        <w:rPr>
          <w:b w:val="0"/>
          <w:bCs/>
          <w:sz w:val="28"/>
          <w:szCs w:val="28"/>
        </w:rPr>
        <w:fldChar w:fldCharType="begin"/>
      </w:r>
      <w:r w:rsidR="005A1AAE">
        <w:rPr>
          <w:b w:val="0"/>
          <w:bCs/>
          <w:sz w:val="28"/>
          <w:szCs w:val="28"/>
        </w:rPr>
        <w:instrText xml:space="preserve"> HYPERLINK "https://www.vic.gov.au/pre-accredited-work-experience-learn-local-providers" </w:instrText>
      </w:r>
      <w:r w:rsidR="005A1AAE">
        <w:rPr>
          <w:b w:val="0"/>
          <w:bCs/>
          <w:sz w:val="28"/>
          <w:szCs w:val="28"/>
        </w:rPr>
        <w:fldChar w:fldCharType="separate"/>
      </w:r>
      <w:r w:rsidRPr="005A1AAE">
        <w:rPr>
          <w:rStyle w:val="Hyperlink"/>
          <w:b w:val="0"/>
          <w:bCs/>
          <w:sz w:val="28"/>
          <w:szCs w:val="28"/>
        </w:rPr>
        <w:t>Pre-accredited Work Experience Guidelines</w:t>
      </w:r>
    </w:p>
    <w:p w14:paraId="510741C6" w14:textId="019E34F7" w:rsidR="00856F12" w:rsidRPr="00C46AD9" w:rsidRDefault="005A1AAE" w:rsidP="00856F12">
      <w:pPr>
        <w:pStyle w:val="Covertitle"/>
        <w:spacing w:before="0"/>
        <w:rPr>
          <w:b w:val="0"/>
          <w:bCs/>
          <w:sz w:val="28"/>
          <w:szCs w:val="28"/>
          <w:u w:val="single"/>
        </w:rPr>
      </w:pPr>
      <w:r>
        <w:rPr>
          <w:b w:val="0"/>
          <w:bCs/>
          <w:sz w:val="28"/>
          <w:szCs w:val="28"/>
        </w:rPr>
        <w:fldChar w:fldCharType="end"/>
      </w:r>
    </w:p>
    <w:p w14:paraId="631045F2" w14:textId="4D385620" w:rsidR="00BB09D5" w:rsidRPr="005F5DFC" w:rsidRDefault="00926F5F" w:rsidP="00856F12">
      <w:pPr>
        <w:pStyle w:val="Covertitle"/>
        <w:spacing w:before="0"/>
        <w:rPr>
          <w:i/>
          <w:iCs/>
          <w:color w:val="auto"/>
          <w:sz w:val="28"/>
          <w:szCs w:val="28"/>
        </w:rPr>
      </w:pPr>
      <w:bookmarkStart w:id="3" w:name="_Hlk52198486"/>
      <w:r w:rsidRPr="00416793">
        <w:rPr>
          <w:color w:val="FF0000"/>
          <w:sz w:val="28"/>
          <w:szCs w:val="28"/>
        </w:rPr>
        <w:lastRenderedPageBreak/>
        <w:t>Q:</w:t>
      </w:r>
      <w:r>
        <w:rPr>
          <w:color w:val="FF0000"/>
          <w:sz w:val="28"/>
          <w:szCs w:val="28"/>
        </w:rPr>
        <w:t xml:space="preserve"> </w:t>
      </w:r>
      <w:bookmarkEnd w:id="3"/>
      <w:r w:rsidRPr="005F5DFC">
        <w:rPr>
          <w:i/>
          <w:iCs/>
          <w:color w:val="auto"/>
          <w:sz w:val="28"/>
          <w:szCs w:val="28"/>
        </w:rPr>
        <w:t>Can Skills for Work and Study courses be delivered online or blended?</w:t>
      </w:r>
    </w:p>
    <w:p w14:paraId="3965775C" w14:textId="5E046E20" w:rsidR="00856F12" w:rsidRDefault="00926F5F" w:rsidP="00856F12">
      <w:pPr>
        <w:pStyle w:val="Covertitle"/>
        <w:spacing w:before="0"/>
        <w:rPr>
          <w:color w:val="auto"/>
          <w:sz w:val="28"/>
          <w:szCs w:val="28"/>
        </w:rPr>
      </w:pPr>
      <w:r w:rsidRPr="00416793">
        <w:rPr>
          <w:color w:val="FF0000"/>
          <w:sz w:val="28"/>
          <w:szCs w:val="28"/>
        </w:rPr>
        <w:t>A</w:t>
      </w:r>
      <w:r w:rsidRPr="00FF561B">
        <w:rPr>
          <w:b w:val="0"/>
          <w:bCs/>
          <w:color w:val="auto"/>
          <w:sz w:val="28"/>
          <w:szCs w:val="28"/>
        </w:rPr>
        <w:t xml:space="preserve">:   The primary focus of Skills for Work and Study should be face-to-face delivery.  However, </w:t>
      </w:r>
      <w:r w:rsidR="00FF561B" w:rsidRPr="00FF561B">
        <w:rPr>
          <w:b w:val="0"/>
          <w:bCs/>
          <w:color w:val="auto"/>
          <w:sz w:val="28"/>
          <w:szCs w:val="28"/>
        </w:rPr>
        <w:t>should the context require it, online or blended delivery will be considered.</w:t>
      </w:r>
      <w:r w:rsidR="00FF561B" w:rsidRPr="00FF561B">
        <w:rPr>
          <w:color w:val="auto"/>
          <w:sz w:val="28"/>
          <w:szCs w:val="28"/>
        </w:rPr>
        <w:t xml:space="preserve"> </w:t>
      </w:r>
    </w:p>
    <w:p w14:paraId="273FA742" w14:textId="77777777" w:rsidR="00856F12" w:rsidRDefault="00856F12" w:rsidP="00856F12">
      <w:pPr>
        <w:pStyle w:val="Covertitle"/>
        <w:spacing w:before="0"/>
        <w:rPr>
          <w:color w:val="FF0000"/>
          <w:sz w:val="28"/>
          <w:szCs w:val="28"/>
        </w:rPr>
      </w:pPr>
    </w:p>
    <w:p w14:paraId="237DCACC" w14:textId="3F711E2E" w:rsidR="009E3DEE" w:rsidRPr="005F5DFC" w:rsidRDefault="00FF561B" w:rsidP="00856F12">
      <w:pPr>
        <w:pStyle w:val="Covertitle"/>
        <w:spacing w:before="0"/>
        <w:rPr>
          <w:i/>
          <w:iCs/>
          <w:color w:val="auto"/>
          <w:sz w:val="28"/>
          <w:szCs w:val="28"/>
        </w:rPr>
      </w:pPr>
      <w:r w:rsidRPr="005F5DFC">
        <w:rPr>
          <w:i/>
          <w:iCs/>
          <w:color w:val="FF0000"/>
          <w:sz w:val="28"/>
          <w:szCs w:val="28"/>
        </w:rPr>
        <w:t xml:space="preserve">Q: </w:t>
      </w:r>
      <w:r w:rsidRPr="005F5DFC">
        <w:rPr>
          <w:i/>
          <w:iCs/>
          <w:color w:val="auto"/>
          <w:sz w:val="28"/>
          <w:szCs w:val="28"/>
        </w:rPr>
        <w:t>Can the duration of Skills for Work and Study courses be shortened?</w:t>
      </w:r>
    </w:p>
    <w:p w14:paraId="6F84E101" w14:textId="20FA50A3" w:rsidR="00FF561B" w:rsidRDefault="00FF561B" w:rsidP="00856F12">
      <w:pPr>
        <w:pStyle w:val="Covertitle"/>
        <w:spacing w:before="0"/>
        <w:rPr>
          <w:b w:val="0"/>
          <w:bCs/>
          <w:color w:val="auto"/>
          <w:sz w:val="28"/>
          <w:szCs w:val="28"/>
        </w:rPr>
      </w:pPr>
      <w:r w:rsidRPr="00416793">
        <w:rPr>
          <w:color w:val="FF0000"/>
          <w:sz w:val="28"/>
          <w:szCs w:val="28"/>
        </w:rPr>
        <w:t>A</w:t>
      </w:r>
      <w:r w:rsidRPr="00FF561B">
        <w:rPr>
          <w:b w:val="0"/>
          <w:bCs/>
          <w:color w:val="auto"/>
          <w:sz w:val="28"/>
          <w:szCs w:val="28"/>
        </w:rPr>
        <w:t xml:space="preserve">:   </w:t>
      </w:r>
      <w:r>
        <w:rPr>
          <w:b w:val="0"/>
          <w:bCs/>
          <w:color w:val="auto"/>
          <w:sz w:val="28"/>
          <w:szCs w:val="28"/>
        </w:rPr>
        <w:t xml:space="preserve">No, the courses with associated A-frames and resources need to be delivered as designed, for the pilot programs. </w:t>
      </w:r>
    </w:p>
    <w:p w14:paraId="3DF43D21" w14:textId="77777777" w:rsidR="005F5DFC" w:rsidRPr="005F5DFC" w:rsidRDefault="005F5DFC" w:rsidP="004A2D2C">
      <w:pPr>
        <w:pStyle w:val="Covertitle"/>
        <w:rPr>
          <w:b w:val="0"/>
          <w:bCs/>
          <w:color w:val="auto"/>
          <w:sz w:val="28"/>
          <w:szCs w:val="28"/>
        </w:rPr>
      </w:pPr>
    </w:p>
    <w:p w14:paraId="53A94D65" w14:textId="77777777" w:rsidR="009E3DEE" w:rsidRDefault="009E3DEE" w:rsidP="009E3DEE">
      <w:pPr>
        <w:pStyle w:val="Covertitle"/>
        <w:rPr>
          <w:color w:val="FF0000"/>
          <w:sz w:val="28"/>
          <w:szCs w:val="28"/>
        </w:rPr>
      </w:pPr>
      <w:r>
        <w:rPr>
          <w:color w:val="FF0000"/>
          <w:sz w:val="28"/>
          <w:szCs w:val="28"/>
        </w:rPr>
        <w:t>SARA – FINANCIAL WELLBEING FOR WOMEN PROGRAM</w:t>
      </w:r>
    </w:p>
    <w:p w14:paraId="407C65E9" w14:textId="57491807" w:rsidR="009E3DEE" w:rsidRPr="00856F12" w:rsidRDefault="009E3DEE" w:rsidP="00856F12">
      <w:pPr>
        <w:pStyle w:val="Covertitle"/>
        <w:spacing w:before="0"/>
        <w:rPr>
          <w:b w:val="0"/>
          <w:i/>
          <w:color w:val="auto"/>
          <w:sz w:val="28"/>
          <w:szCs w:val="28"/>
        </w:rPr>
      </w:pPr>
      <w:r>
        <w:rPr>
          <w:color w:val="FF0000"/>
          <w:sz w:val="28"/>
          <w:szCs w:val="28"/>
        </w:rPr>
        <w:t xml:space="preserve">Q:  </w:t>
      </w:r>
      <w:r w:rsidRPr="005F5DFC">
        <w:rPr>
          <w:bCs/>
          <w:i/>
          <w:color w:val="auto"/>
          <w:sz w:val="28"/>
          <w:szCs w:val="28"/>
        </w:rPr>
        <w:t>Will the SARA course be delivered in 2021 and will there be any pre-accredited Student Contact Hours available?</w:t>
      </w:r>
    </w:p>
    <w:p w14:paraId="7F5E679E" w14:textId="25492F7B" w:rsidR="009E3DEE" w:rsidRDefault="009E3DEE" w:rsidP="00856F12">
      <w:pPr>
        <w:pStyle w:val="Covertitle"/>
        <w:spacing w:before="0"/>
        <w:rPr>
          <w:b w:val="0"/>
          <w:color w:val="auto"/>
          <w:sz w:val="28"/>
          <w:szCs w:val="28"/>
        </w:rPr>
      </w:pPr>
      <w:r>
        <w:rPr>
          <w:color w:val="FF0000"/>
          <w:sz w:val="28"/>
          <w:szCs w:val="28"/>
        </w:rPr>
        <w:t xml:space="preserve">A:   </w:t>
      </w:r>
      <w:r>
        <w:rPr>
          <w:b w:val="0"/>
          <w:color w:val="auto"/>
          <w:sz w:val="28"/>
          <w:szCs w:val="28"/>
        </w:rPr>
        <w:t xml:space="preserve">The Expression of Interest for SARA course delivery and associated information </w:t>
      </w:r>
      <w:r w:rsidR="00483728">
        <w:rPr>
          <w:b w:val="0"/>
          <w:color w:val="auto"/>
          <w:sz w:val="28"/>
          <w:szCs w:val="28"/>
        </w:rPr>
        <w:t>will</w:t>
      </w:r>
      <w:r>
        <w:rPr>
          <w:b w:val="0"/>
          <w:color w:val="auto"/>
          <w:sz w:val="28"/>
          <w:szCs w:val="28"/>
        </w:rPr>
        <w:t xml:space="preserve"> be released </w:t>
      </w:r>
      <w:r w:rsidR="00483728">
        <w:rPr>
          <w:b w:val="0"/>
          <w:color w:val="auto"/>
          <w:sz w:val="28"/>
          <w:szCs w:val="28"/>
        </w:rPr>
        <w:t xml:space="preserve">when available </w:t>
      </w:r>
      <w:r>
        <w:rPr>
          <w:b w:val="0"/>
          <w:color w:val="auto"/>
          <w:sz w:val="28"/>
          <w:szCs w:val="28"/>
        </w:rPr>
        <w:t>via General Memo.</w:t>
      </w:r>
    </w:p>
    <w:p w14:paraId="32581809" w14:textId="77777777" w:rsidR="00A167F9" w:rsidRDefault="00A167F9" w:rsidP="00416793">
      <w:pPr>
        <w:pStyle w:val="Covertitle"/>
        <w:rPr>
          <w:color w:val="FF0000"/>
          <w:sz w:val="28"/>
          <w:szCs w:val="28"/>
        </w:rPr>
      </w:pPr>
    </w:p>
    <w:p w14:paraId="02163536" w14:textId="77777777" w:rsidR="00A167F9" w:rsidRDefault="00A167F9" w:rsidP="00416793">
      <w:pPr>
        <w:pStyle w:val="Covertitle"/>
        <w:rPr>
          <w:color w:val="FF0000"/>
          <w:sz w:val="28"/>
          <w:szCs w:val="28"/>
        </w:rPr>
      </w:pPr>
    </w:p>
    <w:p w14:paraId="6260CE39" w14:textId="77777777" w:rsidR="0010614B" w:rsidRPr="00A430AB" w:rsidRDefault="0010614B" w:rsidP="00A430AB">
      <w:pPr>
        <w:rPr>
          <w:rFonts w:ascii="Arial" w:hAnsi="Arial" w:cs="Arial"/>
          <w:iCs/>
        </w:rPr>
      </w:pPr>
    </w:p>
    <w:p w14:paraId="36D439F3" w14:textId="77777777" w:rsidR="00A430AB" w:rsidRDefault="00A430AB" w:rsidP="00A430AB">
      <w:pPr>
        <w:rPr>
          <w:rFonts w:ascii="Arial" w:hAnsi="Arial" w:cs="Arial"/>
          <w:iCs/>
        </w:rPr>
      </w:pPr>
    </w:p>
    <w:p w14:paraId="06BFDF92" w14:textId="77777777" w:rsidR="00A430AB" w:rsidRPr="00A430AB" w:rsidRDefault="00A430AB" w:rsidP="00A430AB">
      <w:pPr>
        <w:rPr>
          <w:rFonts w:ascii="Arial" w:hAnsi="Arial" w:cs="Arial"/>
          <w:iCs/>
        </w:rPr>
      </w:pPr>
    </w:p>
    <w:p w14:paraId="09F091AD" w14:textId="77777777" w:rsidR="00A430AB" w:rsidRPr="007903A2" w:rsidRDefault="00A430AB" w:rsidP="00416793">
      <w:pPr>
        <w:pStyle w:val="Covertitle"/>
        <w:rPr>
          <w:color w:val="FF0000"/>
          <w:sz w:val="28"/>
          <w:szCs w:val="28"/>
        </w:rPr>
      </w:pPr>
    </w:p>
    <w:p w14:paraId="6D113EB6" w14:textId="77777777" w:rsidR="00416793" w:rsidRDefault="00416793" w:rsidP="00416793">
      <w:pPr>
        <w:pStyle w:val="Covertitle"/>
        <w:rPr>
          <w:sz w:val="48"/>
          <w:szCs w:val="48"/>
        </w:rPr>
      </w:pPr>
    </w:p>
    <w:p w14:paraId="499FB40B" w14:textId="77777777" w:rsidR="00A430AB" w:rsidRPr="008A7A0F" w:rsidRDefault="00A430AB" w:rsidP="00416793">
      <w:pPr>
        <w:pStyle w:val="Covertitle"/>
        <w:rPr>
          <w:sz w:val="48"/>
          <w:szCs w:val="48"/>
        </w:rPr>
      </w:pPr>
    </w:p>
    <w:p w14:paraId="0ECAE171" w14:textId="77777777" w:rsidR="004977AD" w:rsidRDefault="004977AD"/>
    <w:p w14:paraId="1CDFC991" w14:textId="77777777" w:rsidR="005A4732" w:rsidRDefault="005A4732"/>
    <w:sectPr w:rsidR="005A4732" w:rsidSect="00976B89">
      <w:headerReference w:type="default" r:id="rId20"/>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A9593" w14:textId="77777777" w:rsidR="00DE527E" w:rsidRDefault="00DE527E" w:rsidP="00416793">
      <w:pPr>
        <w:spacing w:after="0" w:line="240" w:lineRule="auto"/>
      </w:pPr>
      <w:r>
        <w:separator/>
      </w:r>
    </w:p>
  </w:endnote>
  <w:endnote w:type="continuationSeparator" w:id="0">
    <w:p w14:paraId="7E64AFDB" w14:textId="77777777" w:rsidR="00DE527E" w:rsidRDefault="00DE527E" w:rsidP="00416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3131D" w14:textId="77777777" w:rsidR="00DE527E" w:rsidRDefault="00DE527E" w:rsidP="00416793">
      <w:pPr>
        <w:spacing w:after="0" w:line="240" w:lineRule="auto"/>
      </w:pPr>
      <w:r>
        <w:separator/>
      </w:r>
    </w:p>
  </w:footnote>
  <w:footnote w:type="continuationSeparator" w:id="0">
    <w:p w14:paraId="2271DAD4" w14:textId="77777777" w:rsidR="00DE527E" w:rsidRDefault="00DE527E" w:rsidP="00416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D752D" w14:textId="77777777" w:rsidR="00416793" w:rsidRDefault="00416793">
    <w:pPr>
      <w:pStyle w:val="Header"/>
    </w:pPr>
    <w:r>
      <w:rPr>
        <w:noProof/>
        <w:lang w:eastAsia="en-AU"/>
      </w:rPr>
      <w:drawing>
        <wp:anchor distT="0" distB="0" distL="114300" distR="114300" simplePos="0" relativeHeight="251659264" behindDoc="1" locked="0" layoutInCell="1" allowOverlap="1" wp14:anchorId="3A9C40DB" wp14:editId="1770EE53">
          <wp:simplePos x="0" y="0"/>
          <wp:positionH relativeFrom="page">
            <wp:posOffset>6350</wp:posOffset>
          </wp:positionH>
          <wp:positionV relativeFrom="page">
            <wp:posOffset>-1905</wp:posOffset>
          </wp:positionV>
          <wp:extent cx="7549515" cy="1276315"/>
          <wp:effectExtent l="0" t="0" r="0" b="635"/>
          <wp:wrapNone/>
          <wp:docPr id="6" name="Picture 6" descr="Victoria State Government Education and Training"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 DET Corporate covers_logo.jpg"/>
                  <pic:cNvPicPr/>
                </pic:nvPicPr>
                <pic:blipFill rotWithShape="1">
                  <a:blip r:embed="rId1">
                    <a:extLst>
                      <a:ext uri="{28A0092B-C50C-407E-A947-70E740481C1C}">
                        <a14:useLocalDpi xmlns:a14="http://schemas.microsoft.com/office/drawing/2010/main" val="0"/>
                      </a:ext>
                    </a:extLst>
                  </a:blip>
                  <a:srcRect b="87557"/>
                  <a:stretch/>
                </pic:blipFill>
                <pic:spPr bwMode="auto">
                  <a:xfrm>
                    <a:off x="0" y="0"/>
                    <a:ext cx="7549515" cy="1276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9521CE" w14:textId="77777777" w:rsidR="00416793" w:rsidRDefault="004167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4627D"/>
    <w:multiLevelType w:val="hybridMultilevel"/>
    <w:tmpl w:val="2DE05282"/>
    <w:lvl w:ilvl="0" w:tplc="68E2452C">
      <w:start w:val="1"/>
      <w:numFmt w:val="bullet"/>
      <w:lvlText w:val="•"/>
      <w:lvlJc w:val="left"/>
      <w:pPr>
        <w:tabs>
          <w:tab w:val="num" w:pos="720"/>
        </w:tabs>
        <w:ind w:left="720" w:hanging="360"/>
      </w:pPr>
      <w:rPr>
        <w:rFonts w:ascii="Arial" w:hAnsi="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8CDC7B52" w:tentative="1">
      <w:start w:val="1"/>
      <w:numFmt w:val="bullet"/>
      <w:lvlText w:val="•"/>
      <w:lvlJc w:val="left"/>
      <w:pPr>
        <w:tabs>
          <w:tab w:val="num" w:pos="2160"/>
        </w:tabs>
        <w:ind w:left="2160" w:hanging="360"/>
      </w:pPr>
      <w:rPr>
        <w:rFonts w:ascii="Arial" w:hAnsi="Arial" w:hint="default"/>
      </w:rPr>
    </w:lvl>
    <w:lvl w:ilvl="3" w:tplc="5E4845EA" w:tentative="1">
      <w:start w:val="1"/>
      <w:numFmt w:val="bullet"/>
      <w:lvlText w:val="•"/>
      <w:lvlJc w:val="left"/>
      <w:pPr>
        <w:tabs>
          <w:tab w:val="num" w:pos="2880"/>
        </w:tabs>
        <w:ind w:left="2880" w:hanging="360"/>
      </w:pPr>
      <w:rPr>
        <w:rFonts w:ascii="Arial" w:hAnsi="Arial" w:hint="default"/>
      </w:rPr>
    </w:lvl>
    <w:lvl w:ilvl="4" w:tplc="9C3C4740" w:tentative="1">
      <w:start w:val="1"/>
      <w:numFmt w:val="bullet"/>
      <w:lvlText w:val="•"/>
      <w:lvlJc w:val="left"/>
      <w:pPr>
        <w:tabs>
          <w:tab w:val="num" w:pos="3600"/>
        </w:tabs>
        <w:ind w:left="3600" w:hanging="360"/>
      </w:pPr>
      <w:rPr>
        <w:rFonts w:ascii="Arial" w:hAnsi="Arial" w:hint="default"/>
      </w:rPr>
    </w:lvl>
    <w:lvl w:ilvl="5" w:tplc="F6FEF44A" w:tentative="1">
      <w:start w:val="1"/>
      <w:numFmt w:val="bullet"/>
      <w:lvlText w:val="•"/>
      <w:lvlJc w:val="left"/>
      <w:pPr>
        <w:tabs>
          <w:tab w:val="num" w:pos="4320"/>
        </w:tabs>
        <w:ind w:left="4320" w:hanging="360"/>
      </w:pPr>
      <w:rPr>
        <w:rFonts w:ascii="Arial" w:hAnsi="Arial" w:hint="default"/>
      </w:rPr>
    </w:lvl>
    <w:lvl w:ilvl="6" w:tplc="62BC63D2" w:tentative="1">
      <w:start w:val="1"/>
      <w:numFmt w:val="bullet"/>
      <w:lvlText w:val="•"/>
      <w:lvlJc w:val="left"/>
      <w:pPr>
        <w:tabs>
          <w:tab w:val="num" w:pos="5040"/>
        </w:tabs>
        <w:ind w:left="5040" w:hanging="360"/>
      </w:pPr>
      <w:rPr>
        <w:rFonts w:ascii="Arial" w:hAnsi="Arial" w:hint="default"/>
      </w:rPr>
    </w:lvl>
    <w:lvl w:ilvl="7" w:tplc="E25C6768" w:tentative="1">
      <w:start w:val="1"/>
      <w:numFmt w:val="bullet"/>
      <w:lvlText w:val="•"/>
      <w:lvlJc w:val="left"/>
      <w:pPr>
        <w:tabs>
          <w:tab w:val="num" w:pos="5760"/>
        </w:tabs>
        <w:ind w:left="5760" w:hanging="360"/>
      </w:pPr>
      <w:rPr>
        <w:rFonts w:ascii="Arial" w:hAnsi="Arial" w:hint="default"/>
      </w:rPr>
    </w:lvl>
    <w:lvl w:ilvl="8" w:tplc="9C04D31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1D0711"/>
    <w:multiLevelType w:val="hybridMultilevel"/>
    <w:tmpl w:val="2CAE6012"/>
    <w:lvl w:ilvl="0" w:tplc="9CCCBA8C">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2FD6C0E"/>
    <w:multiLevelType w:val="hybridMultilevel"/>
    <w:tmpl w:val="412ECCA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304A43A7"/>
    <w:multiLevelType w:val="hybridMultilevel"/>
    <w:tmpl w:val="31FCF62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312F1D38"/>
    <w:multiLevelType w:val="hybridMultilevel"/>
    <w:tmpl w:val="34CA974A"/>
    <w:lvl w:ilvl="0" w:tplc="68E2452C">
      <w:start w:val="1"/>
      <w:numFmt w:val="bullet"/>
      <w:lvlText w:val="•"/>
      <w:lvlJc w:val="left"/>
      <w:pPr>
        <w:tabs>
          <w:tab w:val="num" w:pos="720"/>
        </w:tabs>
        <w:ind w:left="720" w:hanging="360"/>
      </w:pPr>
      <w:rPr>
        <w:rFonts w:ascii="Arial" w:hAnsi="Arial" w:hint="default"/>
      </w:rPr>
    </w:lvl>
    <w:lvl w:ilvl="1" w:tplc="2E5C0A68">
      <w:start w:val="1"/>
      <w:numFmt w:val="bullet"/>
      <w:lvlText w:val="•"/>
      <w:lvlJc w:val="left"/>
      <w:pPr>
        <w:tabs>
          <w:tab w:val="num" w:pos="1440"/>
        </w:tabs>
        <w:ind w:left="1440" w:hanging="360"/>
      </w:pPr>
      <w:rPr>
        <w:rFonts w:ascii="Arial" w:hAnsi="Arial" w:hint="default"/>
      </w:rPr>
    </w:lvl>
    <w:lvl w:ilvl="2" w:tplc="8CDC7B52" w:tentative="1">
      <w:start w:val="1"/>
      <w:numFmt w:val="bullet"/>
      <w:lvlText w:val="•"/>
      <w:lvlJc w:val="left"/>
      <w:pPr>
        <w:tabs>
          <w:tab w:val="num" w:pos="2160"/>
        </w:tabs>
        <w:ind w:left="2160" w:hanging="360"/>
      </w:pPr>
      <w:rPr>
        <w:rFonts w:ascii="Arial" w:hAnsi="Arial" w:hint="default"/>
      </w:rPr>
    </w:lvl>
    <w:lvl w:ilvl="3" w:tplc="5E4845EA" w:tentative="1">
      <w:start w:val="1"/>
      <w:numFmt w:val="bullet"/>
      <w:lvlText w:val="•"/>
      <w:lvlJc w:val="left"/>
      <w:pPr>
        <w:tabs>
          <w:tab w:val="num" w:pos="2880"/>
        </w:tabs>
        <w:ind w:left="2880" w:hanging="360"/>
      </w:pPr>
      <w:rPr>
        <w:rFonts w:ascii="Arial" w:hAnsi="Arial" w:hint="default"/>
      </w:rPr>
    </w:lvl>
    <w:lvl w:ilvl="4" w:tplc="9C3C4740" w:tentative="1">
      <w:start w:val="1"/>
      <w:numFmt w:val="bullet"/>
      <w:lvlText w:val="•"/>
      <w:lvlJc w:val="left"/>
      <w:pPr>
        <w:tabs>
          <w:tab w:val="num" w:pos="3600"/>
        </w:tabs>
        <w:ind w:left="3600" w:hanging="360"/>
      </w:pPr>
      <w:rPr>
        <w:rFonts w:ascii="Arial" w:hAnsi="Arial" w:hint="default"/>
      </w:rPr>
    </w:lvl>
    <w:lvl w:ilvl="5" w:tplc="F6FEF44A" w:tentative="1">
      <w:start w:val="1"/>
      <w:numFmt w:val="bullet"/>
      <w:lvlText w:val="•"/>
      <w:lvlJc w:val="left"/>
      <w:pPr>
        <w:tabs>
          <w:tab w:val="num" w:pos="4320"/>
        </w:tabs>
        <w:ind w:left="4320" w:hanging="360"/>
      </w:pPr>
      <w:rPr>
        <w:rFonts w:ascii="Arial" w:hAnsi="Arial" w:hint="default"/>
      </w:rPr>
    </w:lvl>
    <w:lvl w:ilvl="6" w:tplc="62BC63D2" w:tentative="1">
      <w:start w:val="1"/>
      <w:numFmt w:val="bullet"/>
      <w:lvlText w:val="•"/>
      <w:lvlJc w:val="left"/>
      <w:pPr>
        <w:tabs>
          <w:tab w:val="num" w:pos="5040"/>
        </w:tabs>
        <w:ind w:left="5040" w:hanging="360"/>
      </w:pPr>
      <w:rPr>
        <w:rFonts w:ascii="Arial" w:hAnsi="Arial" w:hint="default"/>
      </w:rPr>
    </w:lvl>
    <w:lvl w:ilvl="7" w:tplc="E25C6768" w:tentative="1">
      <w:start w:val="1"/>
      <w:numFmt w:val="bullet"/>
      <w:lvlText w:val="•"/>
      <w:lvlJc w:val="left"/>
      <w:pPr>
        <w:tabs>
          <w:tab w:val="num" w:pos="5760"/>
        </w:tabs>
        <w:ind w:left="5760" w:hanging="360"/>
      </w:pPr>
      <w:rPr>
        <w:rFonts w:ascii="Arial" w:hAnsi="Arial" w:hint="default"/>
      </w:rPr>
    </w:lvl>
    <w:lvl w:ilvl="8" w:tplc="9C04D3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8B701A8"/>
    <w:multiLevelType w:val="hybridMultilevel"/>
    <w:tmpl w:val="8FFAE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6976F3"/>
    <w:multiLevelType w:val="hybridMultilevel"/>
    <w:tmpl w:val="20A85670"/>
    <w:lvl w:ilvl="0" w:tplc="5B5AF2AE">
      <w:start w:val="1"/>
      <w:numFmt w:val="decimal"/>
      <w:lvlText w:val="%1."/>
      <w:lvlJc w:val="left"/>
      <w:pPr>
        <w:tabs>
          <w:tab w:val="num" w:pos="720"/>
        </w:tabs>
        <w:ind w:left="720" w:hanging="360"/>
      </w:pPr>
    </w:lvl>
    <w:lvl w:ilvl="1" w:tplc="8370E316" w:tentative="1">
      <w:start w:val="1"/>
      <w:numFmt w:val="decimal"/>
      <w:lvlText w:val="%2."/>
      <w:lvlJc w:val="left"/>
      <w:pPr>
        <w:tabs>
          <w:tab w:val="num" w:pos="1440"/>
        </w:tabs>
        <w:ind w:left="1440" w:hanging="360"/>
      </w:pPr>
    </w:lvl>
    <w:lvl w:ilvl="2" w:tplc="67A464E2" w:tentative="1">
      <w:start w:val="1"/>
      <w:numFmt w:val="decimal"/>
      <w:lvlText w:val="%3."/>
      <w:lvlJc w:val="left"/>
      <w:pPr>
        <w:tabs>
          <w:tab w:val="num" w:pos="2160"/>
        </w:tabs>
        <w:ind w:left="2160" w:hanging="360"/>
      </w:pPr>
    </w:lvl>
    <w:lvl w:ilvl="3" w:tplc="A722374A" w:tentative="1">
      <w:start w:val="1"/>
      <w:numFmt w:val="decimal"/>
      <w:lvlText w:val="%4."/>
      <w:lvlJc w:val="left"/>
      <w:pPr>
        <w:tabs>
          <w:tab w:val="num" w:pos="2880"/>
        </w:tabs>
        <w:ind w:left="2880" w:hanging="360"/>
      </w:pPr>
    </w:lvl>
    <w:lvl w:ilvl="4" w:tplc="91341E36" w:tentative="1">
      <w:start w:val="1"/>
      <w:numFmt w:val="decimal"/>
      <w:lvlText w:val="%5."/>
      <w:lvlJc w:val="left"/>
      <w:pPr>
        <w:tabs>
          <w:tab w:val="num" w:pos="3600"/>
        </w:tabs>
        <w:ind w:left="3600" w:hanging="360"/>
      </w:pPr>
    </w:lvl>
    <w:lvl w:ilvl="5" w:tplc="551CA2A4" w:tentative="1">
      <w:start w:val="1"/>
      <w:numFmt w:val="decimal"/>
      <w:lvlText w:val="%6."/>
      <w:lvlJc w:val="left"/>
      <w:pPr>
        <w:tabs>
          <w:tab w:val="num" w:pos="4320"/>
        </w:tabs>
        <w:ind w:left="4320" w:hanging="360"/>
      </w:pPr>
    </w:lvl>
    <w:lvl w:ilvl="6" w:tplc="E2D8373C" w:tentative="1">
      <w:start w:val="1"/>
      <w:numFmt w:val="decimal"/>
      <w:lvlText w:val="%7."/>
      <w:lvlJc w:val="left"/>
      <w:pPr>
        <w:tabs>
          <w:tab w:val="num" w:pos="5040"/>
        </w:tabs>
        <w:ind w:left="5040" w:hanging="360"/>
      </w:pPr>
    </w:lvl>
    <w:lvl w:ilvl="7" w:tplc="67C67334" w:tentative="1">
      <w:start w:val="1"/>
      <w:numFmt w:val="decimal"/>
      <w:lvlText w:val="%8."/>
      <w:lvlJc w:val="left"/>
      <w:pPr>
        <w:tabs>
          <w:tab w:val="num" w:pos="5760"/>
        </w:tabs>
        <w:ind w:left="5760" w:hanging="360"/>
      </w:pPr>
    </w:lvl>
    <w:lvl w:ilvl="8" w:tplc="1556F68C" w:tentative="1">
      <w:start w:val="1"/>
      <w:numFmt w:val="decimal"/>
      <w:lvlText w:val="%9."/>
      <w:lvlJc w:val="left"/>
      <w:pPr>
        <w:tabs>
          <w:tab w:val="num" w:pos="6480"/>
        </w:tabs>
        <w:ind w:left="6480" w:hanging="360"/>
      </w:pPr>
    </w:lvl>
  </w:abstractNum>
  <w:abstractNum w:abstractNumId="7" w15:restartNumberingAfterBreak="0">
    <w:nsid w:val="481A5F55"/>
    <w:multiLevelType w:val="hybridMultilevel"/>
    <w:tmpl w:val="99F003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41C081A"/>
    <w:multiLevelType w:val="hybridMultilevel"/>
    <w:tmpl w:val="2ED86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667D20"/>
    <w:multiLevelType w:val="hybridMultilevel"/>
    <w:tmpl w:val="135ACC38"/>
    <w:lvl w:ilvl="0" w:tplc="184438C6">
      <w:start w:val="1"/>
      <w:numFmt w:val="bullet"/>
      <w:lvlText w:val="•"/>
      <w:lvlJc w:val="left"/>
      <w:pPr>
        <w:tabs>
          <w:tab w:val="num" w:pos="720"/>
        </w:tabs>
        <w:ind w:left="720" w:hanging="360"/>
      </w:pPr>
      <w:rPr>
        <w:rFonts w:ascii="Arial" w:hAnsi="Arial" w:hint="default"/>
      </w:rPr>
    </w:lvl>
    <w:lvl w:ilvl="1" w:tplc="84287458" w:tentative="1">
      <w:start w:val="1"/>
      <w:numFmt w:val="bullet"/>
      <w:lvlText w:val="•"/>
      <w:lvlJc w:val="left"/>
      <w:pPr>
        <w:tabs>
          <w:tab w:val="num" w:pos="1440"/>
        </w:tabs>
        <w:ind w:left="1440" w:hanging="360"/>
      </w:pPr>
      <w:rPr>
        <w:rFonts w:ascii="Arial" w:hAnsi="Arial" w:hint="default"/>
      </w:rPr>
    </w:lvl>
    <w:lvl w:ilvl="2" w:tplc="B394BC10" w:tentative="1">
      <w:start w:val="1"/>
      <w:numFmt w:val="bullet"/>
      <w:lvlText w:val="•"/>
      <w:lvlJc w:val="left"/>
      <w:pPr>
        <w:tabs>
          <w:tab w:val="num" w:pos="2160"/>
        </w:tabs>
        <w:ind w:left="2160" w:hanging="360"/>
      </w:pPr>
      <w:rPr>
        <w:rFonts w:ascii="Arial" w:hAnsi="Arial" w:hint="default"/>
      </w:rPr>
    </w:lvl>
    <w:lvl w:ilvl="3" w:tplc="43D4A0D0" w:tentative="1">
      <w:start w:val="1"/>
      <w:numFmt w:val="bullet"/>
      <w:lvlText w:val="•"/>
      <w:lvlJc w:val="left"/>
      <w:pPr>
        <w:tabs>
          <w:tab w:val="num" w:pos="2880"/>
        </w:tabs>
        <w:ind w:left="2880" w:hanging="360"/>
      </w:pPr>
      <w:rPr>
        <w:rFonts w:ascii="Arial" w:hAnsi="Arial" w:hint="default"/>
      </w:rPr>
    </w:lvl>
    <w:lvl w:ilvl="4" w:tplc="C55E5AFC" w:tentative="1">
      <w:start w:val="1"/>
      <w:numFmt w:val="bullet"/>
      <w:lvlText w:val="•"/>
      <w:lvlJc w:val="left"/>
      <w:pPr>
        <w:tabs>
          <w:tab w:val="num" w:pos="3600"/>
        </w:tabs>
        <w:ind w:left="3600" w:hanging="360"/>
      </w:pPr>
      <w:rPr>
        <w:rFonts w:ascii="Arial" w:hAnsi="Arial" w:hint="default"/>
      </w:rPr>
    </w:lvl>
    <w:lvl w:ilvl="5" w:tplc="CCF091CE" w:tentative="1">
      <w:start w:val="1"/>
      <w:numFmt w:val="bullet"/>
      <w:lvlText w:val="•"/>
      <w:lvlJc w:val="left"/>
      <w:pPr>
        <w:tabs>
          <w:tab w:val="num" w:pos="4320"/>
        </w:tabs>
        <w:ind w:left="4320" w:hanging="360"/>
      </w:pPr>
      <w:rPr>
        <w:rFonts w:ascii="Arial" w:hAnsi="Arial" w:hint="default"/>
      </w:rPr>
    </w:lvl>
    <w:lvl w:ilvl="6" w:tplc="2C9CBB04" w:tentative="1">
      <w:start w:val="1"/>
      <w:numFmt w:val="bullet"/>
      <w:lvlText w:val="•"/>
      <w:lvlJc w:val="left"/>
      <w:pPr>
        <w:tabs>
          <w:tab w:val="num" w:pos="5040"/>
        </w:tabs>
        <w:ind w:left="5040" w:hanging="360"/>
      </w:pPr>
      <w:rPr>
        <w:rFonts w:ascii="Arial" w:hAnsi="Arial" w:hint="default"/>
      </w:rPr>
    </w:lvl>
    <w:lvl w:ilvl="7" w:tplc="38B86EA4" w:tentative="1">
      <w:start w:val="1"/>
      <w:numFmt w:val="bullet"/>
      <w:lvlText w:val="•"/>
      <w:lvlJc w:val="left"/>
      <w:pPr>
        <w:tabs>
          <w:tab w:val="num" w:pos="5760"/>
        </w:tabs>
        <w:ind w:left="5760" w:hanging="360"/>
      </w:pPr>
      <w:rPr>
        <w:rFonts w:ascii="Arial" w:hAnsi="Arial" w:hint="default"/>
      </w:rPr>
    </w:lvl>
    <w:lvl w:ilvl="8" w:tplc="00FC293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C391B09"/>
    <w:multiLevelType w:val="hybridMultilevel"/>
    <w:tmpl w:val="5F5EF0A4"/>
    <w:lvl w:ilvl="0" w:tplc="0C09000F">
      <w:start w:val="2"/>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AF96F11"/>
    <w:multiLevelType w:val="hybridMultilevel"/>
    <w:tmpl w:val="3DEE308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7F441F04"/>
    <w:multiLevelType w:val="hybridMultilevel"/>
    <w:tmpl w:val="C01EB9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7"/>
  </w:num>
  <w:num w:numId="3">
    <w:abstractNumId w:val="7"/>
  </w:num>
  <w:num w:numId="4">
    <w:abstractNumId w:val="12"/>
  </w:num>
  <w:num w:numId="5">
    <w:abstractNumId w:val="10"/>
  </w:num>
  <w:num w:numId="6">
    <w:abstractNumId w:val="9"/>
  </w:num>
  <w:num w:numId="7">
    <w:abstractNumId w:val="4"/>
  </w:num>
  <w:num w:numId="8">
    <w:abstractNumId w:val="0"/>
  </w:num>
  <w:num w:numId="9">
    <w:abstractNumId w:val="1"/>
  </w:num>
  <w:num w:numId="10">
    <w:abstractNumId w:val="6"/>
  </w:num>
  <w:num w:numId="11">
    <w:abstractNumId w:val="2"/>
  </w:num>
  <w:num w:numId="12">
    <w:abstractNumId w:val="3"/>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793"/>
    <w:rsid w:val="00002266"/>
    <w:rsid w:val="00042F78"/>
    <w:rsid w:val="00043777"/>
    <w:rsid w:val="00052FF2"/>
    <w:rsid w:val="00083077"/>
    <w:rsid w:val="000B1DD2"/>
    <w:rsid w:val="000E230A"/>
    <w:rsid w:val="0010416F"/>
    <w:rsid w:val="0010614B"/>
    <w:rsid w:val="00140EB0"/>
    <w:rsid w:val="00142286"/>
    <w:rsid w:val="001F6611"/>
    <w:rsid w:val="002877CF"/>
    <w:rsid w:val="00297F58"/>
    <w:rsid w:val="002A0AC1"/>
    <w:rsid w:val="002A3F7C"/>
    <w:rsid w:val="002D41E1"/>
    <w:rsid w:val="00324485"/>
    <w:rsid w:val="00330DDC"/>
    <w:rsid w:val="003847E1"/>
    <w:rsid w:val="003B6791"/>
    <w:rsid w:val="003C4DC1"/>
    <w:rsid w:val="003C52C9"/>
    <w:rsid w:val="003D7F7C"/>
    <w:rsid w:val="00416793"/>
    <w:rsid w:val="004401A4"/>
    <w:rsid w:val="00465E4D"/>
    <w:rsid w:val="00483728"/>
    <w:rsid w:val="004977AD"/>
    <w:rsid w:val="004A2D2C"/>
    <w:rsid w:val="004A6C7A"/>
    <w:rsid w:val="004D199E"/>
    <w:rsid w:val="004D2DA0"/>
    <w:rsid w:val="004D661E"/>
    <w:rsid w:val="00507822"/>
    <w:rsid w:val="005234AA"/>
    <w:rsid w:val="005A1AAE"/>
    <w:rsid w:val="005A4732"/>
    <w:rsid w:val="005F5DFC"/>
    <w:rsid w:val="00605B02"/>
    <w:rsid w:val="00607946"/>
    <w:rsid w:val="00656003"/>
    <w:rsid w:val="00670448"/>
    <w:rsid w:val="006A0F99"/>
    <w:rsid w:val="006C5FC4"/>
    <w:rsid w:val="006E2961"/>
    <w:rsid w:val="007043DF"/>
    <w:rsid w:val="00750C86"/>
    <w:rsid w:val="00754764"/>
    <w:rsid w:val="00770D15"/>
    <w:rsid w:val="00787FD7"/>
    <w:rsid w:val="007903A2"/>
    <w:rsid w:val="007A0C3A"/>
    <w:rsid w:val="007C52AC"/>
    <w:rsid w:val="007F0543"/>
    <w:rsid w:val="007F0F7A"/>
    <w:rsid w:val="007F7B96"/>
    <w:rsid w:val="008133FA"/>
    <w:rsid w:val="00856F12"/>
    <w:rsid w:val="00890DBE"/>
    <w:rsid w:val="008A3F50"/>
    <w:rsid w:val="00926F5F"/>
    <w:rsid w:val="00931E7B"/>
    <w:rsid w:val="00951C08"/>
    <w:rsid w:val="009539BB"/>
    <w:rsid w:val="00976B89"/>
    <w:rsid w:val="009E3DEE"/>
    <w:rsid w:val="00A05D57"/>
    <w:rsid w:val="00A10CD3"/>
    <w:rsid w:val="00A167F9"/>
    <w:rsid w:val="00A16E7F"/>
    <w:rsid w:val="00A430AB"/>
    <w:rsid w:val="00A56C94"/>
    <w:rsid w:val="00AA1065"/>
    <w:rsid w:val="00AC2A9E"/>
    <w:rsid w:val="00AC42B8"/>
    <w:rsid w:val="00AC4C61"/>
    <w:rsid w:val="00B174C2"/>
    <w:rsid w:val="00B42500"/>
    <w:rsid w:val="00B76B63"/>
    <w:rsid w:val="00B7776F"/>
    <w:rsid w:val="00BA2139"/>
    <w:rsid w:val="00BB09D5"/>
    <w:rsid w:val="00BC7F3C"/>
    <w:rsid w:val="00BD2FBB"/>
    <w:rsid w:val="00BE0619"/>
    <w:rsid w:val="00BF4D91"/>
    <w:rsid w:val="00C22BD5"/>
    <w:rsid w:val="00C46AD9"/>
    <w:rsid w:val="00C81836"/>
    <w:rsid w:val="00CA5481"/>
    <w:rsid w:val="00CC338D"/>
    <w:rsid w:val="00D35853"/>
    <w:rsid w:val="00D41DEB"/>
    <w:rsid w:val="00DB313E"/>
    <w:rsid w:val="00DE527E"/>
    <w:rsid w:val="00E071B8"/>
    <w:rsid w:val="00E1518F"/>
    <w:rsid w:val="00E27C1A"/>
    <w:rsid w:val="00E649B6"/>
    <w:rsid w:val="00EF0526"/>
    <w:rsid w:val="00EF63A4"/>
    <w:rsid w:val="00F063B5"/>
    <w:rsid w:val="00F16AB3"/>
    <w:rsid w:val="00F51229"/>
    <w:rsid w:val="00F835C7"/>
    <w:rsid w:val="00FA3304"/>
    <w:rsid w:val="00FE2EF6"/>
    <w:rsid w:val="00FE6486"/>
    <w:rsid w:val="00FE6947"/>
    <w:rsid w:val="00FF56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BCFB3"/>
  <w15:chartTrackingRefBased/>
  <w15:docId w15:val="{CAC68B47-6F3B-4CE1-A486-E5D825FB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3C52C9"/>
    <w:pPr>
      <w:keepNext/>
      <w:keepLines/>
      <w:spacing w:before="40" w:after="120" w:line="280" w:lineRule="atLeast"/>
      <w:outlineLvl w:val="2"/>
    </w:pPr>
    <w:rPr>
      <w:rFonts w:asciiTheme="majorHAnsi" w:eastAsiaTheme="majorEastAsia" w:hAnsiTheme="majorHAnsi" w:cstheme="majorBidi"/>
      <w:b/>
      <w:color w:val="000000" w:themeColor="text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16793"/>
    <w:pPr>
      <w:spacing w:before="12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6793"/>
    <w:rPr>
      <w:rFonts w:asciiTheme="majorHAnsi" w:eastAsiaTheme="majorEastAsia" w:hAnsiTheme="majorHAnsi" w:cstheme="majorBidi"/>
      <w:spacing w:val="-10"/>
      <w:kern w:val="28"/>
      <w:sz w:val="56"/>
      <w:szCs w:val="56"/>
    </w:rPr>
  </w:style>
  <w:style w:type="paragraph" w:customStyle="1" w:styleId="Covertitle">
    <w:name w:val="Cover title"/>
    <w:basedOn w:val="Normal"/>
    <w:qFormat/>
    <w:rsid w:val="00416793"/>
    <w:pPr>
      <w:spacing w:before="360" w:after="120" w:line="240" w:lineRule="auto"/>
    </w:pPr>
    <w:rPr>
      <w:b/>
      <w:color w:val="5B9BD5" w:themeColor="accent1"/>
      <w:sz w:val="44"/>
      <w:szCs w:val="24"/>
    </w:rPr>
  </w:style>
  <w:style w:type="paragraph" w:styleId="Header">
    <w:name w:val="header"/>
    <w:basedOn w:val="Normal"/>
    <w:link w:val="HeaderChar"/>
    <w:uiPriority w:val="99"/>
    <w:unhideWhenUsed/>
    <w:rsid w:val="004167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793"/>
  </w:style>
  <w:style w:type="paragraph" w:styleId="Footer">
    <w:name w:val="footer"/>
    <w:basedOn w:val="Normal"/>
    <w:link w:val="FooterChar"/>
    <w:uiPriority w:val="99"/>
    <w:unhideWhenUsed/>
    <w:rsid w:val="00416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793"/>
  </w:style>
  <w:style w:type="character" w:styleId="Hyperlink">
    <w:name w:val="Hyperlink"/>
    <w:basedOn w:val="DefaultParagraphFont"/>
    <w:uiPriority w:val="99"/>
    <w:unhideWhenUsed/>
    <w:rsid w:val="007903A2"/>
    <w:rPr>
      <w:color w:val="0563C1" w:themeColor="hyperlink"/>
      <w:u w:val="single"/>
    </w:rPr>
  </w:style>
  <w:style w:type="paragraph" w:styleId="ListParagraph">
    <w:name w:val="List Paragraph"/>
    <w:basedOn w:val="Normal"/>
    <w:link w:val="ListParagraphChar"/>
    <w:uiPriority w:val="34"/>
    <w:qFormat/>
    <w:rsid w:val="00A430AB"/>
    <w:pPr>
      <w:spacing w:before="120"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rsid w:val="00A430AB"/>
    <w:rPr>
      <w:rFonts w:ascii="Calibri" w:eastAsia="Calibri" w:hAnsi="Calibri" w:cs="Times New Roman"/>
    </w:rPr>
  </w:style>
  <w:style w:type="character" w:styleId="FollowedHyperlink">
    <w:name w:val="FollowedHyperlink"/>
    <w:basedOn w:val="DefaultParagraphFont"/>
    <w:uiPriority w:val="99"/>
    <w:semiHidden/>
    <w:unhideWhenUsed/>
    <w:rsid w:val="0010614B"/>
    <w:rPr>
      <w:color w:val="954F72" w:themeColor="followedHyperlink"/>
      <w:u w:val="single"/>
    </w:rPr>
  </w:style>
  <w:style w:type="paragraph" w:styleId="NormalWeb">
    <w:name w:val="Normal (Web)"/>
    <w:basedOn w:val="Normal"/>
    <w:uiPriority w:val="99"/>
    <w:unhideWhenUsed/>
    <w:rsid w:val="00B42500"/>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59"/>
    <w:rsid w:val="00B42500"/>
    <w:pPr>
      <w:spacing w:after="0" w:line="240" w:lineRule="auto"/>
    </w:pPr>
    <w:rPr>
      <w:sz w:val="20"/>
      <w:szCs w:val="24"/>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5B9BD5" w:themeFill="accent1"/>
      </w:tcPr>
    </w:tblStylePr>
    <w:tblStylePr w:type="firstCol">
      <w:rPr>
        <w:color w:val="5B9BD5" w:themeColor="accent1"/>
      </w:rPr>
    </w:tblStylePr>
  </w:style>
  <w:style w:type="paragraph" w:customStyle="1" w:styleId="paragraph">
    <w:name w:val="paragraph"/>
    <w:basedOn w:val="Normal"/>
    <w:rsid w:val="00042F7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042F78"/>
  </w:style>
  <w:style w:type="character" w:styleId="UnresolvedMention">
    <w:name w:val="Unresolved Mention"/>
    <w:basedOn w:val="DefaultParagraphFont"/>
    <w:uiPriority w:val="99"/>
    <w:semiHidden/>
    <w:unhideWhenUsed/>
    <w:rsid w:val="004D199E"/>
    <w:rPr>
      <w:color w:val="605E5C"/>
      <w:shd w:val="clear" w:color="auto" w:fill="E1DFDD"/>
    </w:rPr>
  </w:style>
  <w:style w:type="paragraph" w:customStyle="1" w:styleId="activity-body">
    <w:name w:val="activity-body"/>
    <w:basedOn w:val="Normal"/>
    <w:rsid w:val="00AC4C6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SBodyText">
    <w:name w:val="ES_Body Text"/>
    <w:basedOn w:val="Normal"/>
    <w:link w:val="ESBodyTextChar"/>
    <w:qFormat/>
    <w:rsid w:val="00AC42B8"/>
    <w:pPr>
      <w:spacing w:before="120" w:after="120" w:line="260" w:lineRule="atLeast"/>
    </w:pPr>
    <w:rPr>
      <w:rFonts w:ascii="Calibri Light" w:eastAsiaTheme="minorEastAsia" w:hAnsi="Calibri Light" w:cs="Arial"/>
      <w:szCs w:val="18"/>
      <w:lang w:val="en-US"/>
    </w:rPr>
  </w:style>
  <w:style w:type="character" w:customStyle="1" w:styleId="ESBodyTextChar">
    <w:name w:val="ES_Body Text Char"/>
    <w:link w:val="ESBodyText"/>
    <w:rsid w:val="00AC42B8"/>
    <w:rPr>
      <w:rFonts w:ascii="Calibri Light" w:eastAsiaTheme="minorEastAsia" w:hAnsi="Calibri Light" w:cs="Arial"/>
      <w:szCs w:val="18"/>
      <w:lang w:val="en-US"/>
    </w:rPr>
  </w:style>
  <w:style w:type="character" w:customStyle="1" w:styleId="Heading3Char">
    <w:name w:val="Heading 3 Char"/>
    <w:basedOn w:val="DefaultParagraphFont"/>
    <w:link w:val="Heading3"/>
    <w:uiPriority w:val="9"/>
    <w:rsid w:val="003C52C9"/>
    <w:rPr>
      <w:rFonts w:asciiTheme="majorHAnsi" w:eastAsiaTheme="majorEastAsia" w:hAnsiTheme="majorHAnsi" w:cstheme="majorBidi"/>
      <w:b/>
      <w:color w:val="000000" w:themeColor="text1"/>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05050">
      <w:bodyDiv w:val="1"/>
      <w:marLeft w:val="0"/>
      <w:marRight w:val="0"/>
      <w:marTop w:val="0"/>
      <w:marBottom w:val="0"/>
      <w:divBdr>
        <w:top w:val="none" w:sz="0" w:space="0" w:color="auto"/>
        <w:left w:val="none" w:sz="0" w:space="0" w:color="auto"/>
        <w:bottom w:val="none" w:sz="0" w:space="0" w:color="auto"/>
        <w:right w:val="none" w:sz="0" w:space="0" w:color="auto"/>
      </w:divBdr>
    </w:div>
    <w:div w:id="483545492">
      <w:bodyDiv w:val="1"/>
      <w:marLeft w:val="0"/>
      <w:marRight w:val="0"/>
      <w:marTop w:val="0"/>
      <w:marBottom w:val="0"/>
      <w:divBdr>
        <w:top w:val="none" w:sz="0" w:space="0" w:color="auto"/>
        <w:left w:val="none" w:sz="0" w:space="0" w:color="auto"/>
        <w:bottom w:val="none" w:sz="0" w:space="0" w:color="auto"/>
        <w:right w:val="none" w:sz="0" w:space="0" w:color="auto"/>
      </w:divBdr>
      <w:divsChild>
        <w:div w:id="313341159">
          <w:marLeft w:val="547"/>
          <w:marRight w:val="0"/>
          <w:marTop w:val="120"/>
          <w:marBottom w:val="120"/>
          <w:divBdr>
            <w:top w:val="none" w:sz="0" w:space="0" w:color="auto"/>
            <w:left w:val="none" w:sz="0" w:space="0" w:color="auto"/>
            <w:bottom w:val="none" w:sz="0" w:space="0" w:color="auto"/>
            <w:right w:val="none" w:sz="0" w:space="0" w:color="auto"/>
          </w:divBdr>
        </w:div>
      </w:divsChild>
    </w:div>
    <w:div w:id="577595731">
      <w:bodyDiv w:val="1"/>
      <w:marLeft w:val="0"/>
      <w:marRight w:val="0"/>
      <w:marTop w:val="0"/>
      <w:marBottom w:val="0"/>
      <w:divBdr>
        <w:top w:val="none" w:sz="0" w:space="0" w:color="auto"/>
        <w:left w:val="none" w:sz="0" w:space="0" w:color="auto"/>
        <w:bottom w:val="none" w:sz="0" w:space="0" w:color="auto"/>
        <w:right w:val="none" w:sz="0" w:space="0" w:color="auto"/>
      </w:divBdr>
      <w:divsChild>
        <w:div w:id="2137797857">
          <w:marLeft w:val="547"/>
          <w:marRight w:val="0"/>
          <w:marTop w:val="120"/>
          <w:marBottom w:val="120"/>
          <w:divBdr>
            <w:top w:val="none" w:sz="0" w:space="0" w:color="auto"/>
            <w:left w:val="none" w:sz="0" w:space="0" w:color="auto"/>
            <w:bottom w:val="none" w:sz="0" w:space="0" w:color="auto"/>
            <w:right w:val="none" w:sz="0" w:space="0" w:color="auto"/>
          </w:divBdr>
        </w:div>
        <w:div w:id="382564901">
          <w:marLeft w:val="547"/>
          <w:marRight w:val="0"/>
          <w:marTop w:val="120"/>
          <w:marBottom w:val="120"/>
          <w:divBdr>
            <w:top w:val="none" w:sz="0" w:space="0" w:color="auto"/>
            <w:left w:val="none" w:sz="0" w:space="0" w:color="auto"/>
            <w:bottom w:val="none" w:sz="0" w:space="0" w:color="auto"/>
            <w:right w:val="none" w:sz="0" w:space="0" w:color="auto"/>
          </w:divBdr>
        </w:div>
        <w:div w:id="1403869685">
          <w:marLeft w:val="446"/>
          <w:marRight w:val="0"/>
          <w:marTop w:val="120"/>
          <w:marBottom w:val="120"/>
          <w:divBdr>
            <w:top w:val="none" w:sz="0" w:space="0" w:color="auto"/>
            <w:left w:val="none" w:sz="0" w:space="0" w:color="auto"/>
            <w:bottom w:val="none" w:sz="0" w:space="0" w:color="auto"/>
            <w:right w:val="none" w:sz="0" w:space="0" w:color="auto"/>
          </w:divBdr>
        </w:div>
      </w:divsChild>
    </w:div>
    <w:div w:id="1160926367">
      <w:bodyDiv w:val="1"/>
      <w:marLeft w:val="0"/>
      <w:marRight w:val="0"/>
      <w:marTop w:val="0"/>
      <w:marBottom w:val="0"/>
      <w:divBdr>
        <w:top w:val="none" w:sz="0" w:space="0" w:color="auto"/>
        <w:left w:val="none" w:sz="0" w:space="0" w:color="auto"/>
        <w:bottom w:val="none" w:sz="0" w:space="0" w:color="auto"/>
        <w:right w:val="none" w:sz="0" w:space="0" w:color="auto"/>
      </w:divBdr>
    </w:div>
    <w:div w:id="1196768006">
      <w:bodyDiv w:val="1"/>
      <w:marLeft w:val="0"/>
      <w:marRight w:val="0"/>
      <w:marTop w:val="0"/>
      <w:marBottom w:val="0"/>
      <w:divBdr>
        <w:top w:val="none" w:sz="0" w:space="0" w:color="auto"/>
        <w:left w:val="none" w:sz="0" w:space="0" w:color="auto"/>
        <w:bottom w:val="none" w:sz="0" w:space="0" w:color="auto"/>
        <w:right w:val="none" w:sz="0" w:space="0" w:color="auto"/>
      </w:divBdr>
    </w:div>
    <w:div w:id="1354578470">
      <w:bodyDiv w:val="1"/>
      <w:marLeft w:val="0"/>
      <w:marRight w:val="0"/>
      <w:marTop w:val="0"/>
      <w:marBottom w:val="0"/>
      <w:divBdr>
        <w:top w:val="none" w:sz="0" w:space="0" w:color="auto"/>
        <w:left w:val="none" w:sz="0" w:space="0" w:color="auto"/>
        <w:bottom w:val="none" w:sz="0" w:space="0" w:color="auto"/>
        <w:right w:val="none" w:sz="0" w:space="0" w:color="auto"/>
      </w:divBdr>
    </w:div>
    <w:div w:id="1510876423">
      <w:bodyDiv w:val="1"/>
      <w:marLeft w:val="0"/>
      <w:marRight w:val="0"/>
      <w:marTop w:val="0"/>
      <w:marBottom w:val="0"/>
      <w:divBdr>
        <w:top w:val="none" w:sz="0" w:space="0" w:color="auto"/>
        <w:left w:val="none" w:sz="0" w:space="0" w:color="auto"/>
        <w:bottom w:val="none" w:sz="0" w:space="0" w:color="auto"/>
        <w:right w:val="none" w:sz="0" w:space="0" w:color="auto"/>
      </w:divBdr>
      <w:divsChild>
        <w:div w:id="1895848245">
          <w:marLeft w:val="446"/>
          <w:marRight w:val="0"/>
          <w:marTop w:val="120"/>
          <w:marBottom w:val="0"/>
          <w:divBdr>
            <w:top w:val="none" w:sz="0" w:space="0" w:color="auto"/>
            <w:left w:val="none" w:sz="0" w:space="0" w:color="auto"/>
            <w:bottom w:val="none" w:sz="0" w:space="0" w:color="auto"/>
            <w:right w:val="none" w:sz="0" w:space="0" w:color="auto"/>
          </w:divBdr>
        </w:div>
      </w:divsChild>
    </w:div>
    <w:div w:id="1740320292">
      <w:bodyDiv w:val="1"/>
      <w:marLeft w:val="0"/>
      <w:marRight w:val="0"/>
      <w:marTop w:val="0"/>
      <w:marBottom w:val="0"/>
      <w:divBdr>
        <w:top w:val="none" w:sz="0" w:space="0" w:color="auto"/>
        <w:left w:val="none" w:sz="0" w:space="0" w:color="auto"/>
        <w:bottom w:val="none" w:sz="0" w:space="0" w:color="auto"/>
        <w:right w:val="none" w:sz="0" w:space="0" w:color="auto"/>
      </w:divBdr>
    </w:div>
    <w:div w:id="1741323375">
      <w:bodyDiv w:val="1"/>
      <w:marLeft w:val="0"/>
      <w:marRight w:val="0"/>
      <w:marTop w:val="0"/>
      <w:marBottom w:val="0"/>
      <w:divBdr>
        <w:top w:val="none" w:sz="0" w:space="0" w:color="auto"/>
        <w:left w:val="none" w:sz="0" w:space="0" w:color="auto"/>
        <w:bottom w:val="none" w:sz="0" w:space="0" w:color="auto"/>
        <w:right w:val="none" w:sz="0" w:space="0" w:color="auto"/>
      </w:divBdr>
    </w:div>
    <w:div w:id="1794595727">
      <w:bodyDiv w:val="1"/>
      <w:marLeft w:val="0"/>
      <w:marRight w:val="0"/>
      <w:marTop w:val="0"/>
      <w:marBottom w:val="0"/>
      <w:divBdr>
        <w:top w:val="none" w:sz="0" w:space="0" w:color="auto"/>
        <w:left w:val="none" w:sz="0" w:space="0" w:color="auto"/>
        <w:bottom w:val="none" w:sz="0" w:space="0" w:color="auto"/>
        <w:right w:val="none" w:sz="0" w:space="0" w:color="auto"/>
      </w:divBdr>
    </w:div>
    <w:div w:id="2024547396">
      <w:bodyDiv w:val="1"/>
      <w:marLeft w:val="0"/>
      <w:marRight w:val="0"/>
      <w:marTop w:val="0"/>
      <w:marBottom w:val="0"/>
      <w:divBdr>
        <w:top w:val="none" w:sz="0" w:space="0" w:color="auto"/>
        <w:left w:val="none" w:sz="0" w:space="0" w:color="auto"/>
        <w:bottom w:val="none" w:sz="0" w:space="0" w:color="auto"/>
        <w:right w:val="none" w:sz="0" w:space="0" w:color="auto"/>
      </w:divBdr>
      <w:divsChild>
        <w:div w:id="1294218877">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ic.gov.au/pre-accredited-training-and-programs" TargetMode="External"/><Relationship Id="rId18" Type="http://schemas.openxmlformats.org/officeDocument/2006/relationships/hyperlink" Target="https://www.vic.gov.au/sites/default/files/2020-12/2021-Skills-for-Work-and-Study-Guidelines.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training.participation@education.vic.gov.au" TargetMode="External"/><Relationship Id="rId17" Type="http://schemas.openxmlformats.org/officeDocument/2006/relationships/hyperlink" Target="https://www.vic.gov.au/sites/default/files/2020-12/2021-Pre-accredited-Training-Delivery-Guidelines.docx" TargetMode="External"/><Relationship Id="rId2" Type="http://schemas.openxmlformats.org/officeDocument/2006/relationships/customXml" Target="../customXml/item2.xml"/><Relationship Id="rId16" Type="http://schemas.openxmlformats.org/officeDocument/2006/relationships/hyperlink" Target="https://www.vic.gov.au/pre-accredited-work-experience-learn-local-provide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ic.gov.au/pre-accredited-quality-framework" TargetMode="External"/><Relationship Id="rId10" Type="http://schemas.openxmlformats.org/officeDocument/2006/relationships/footnotes" Target="footnotes.xml"/><Relationship Id="rId19" Type="http://schemas.openxmlformats.org/officeDocument/2006/relationships/hyperlink" Target="https://www.education.vic.gov.au/Documents/training/providers/learnlocal/grants/2021%20Skills%20for%20Work%20and%20Study%20Guidelines.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about/programs/Pages/AsylumseekerVETprogram.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GA xmlns="483f79c1-66ca-45ce-88f9-109c9a998fd0" xsi:nil="true"/>
    <Project_Name xmlns="483f79c1-66ca-45ce-88f9-109c9a998fd0">Unspecified</Project_Name>
    <ACFE_Region xmlns="483f79c1-66ca-45ce-88f9-109c9a998fd0">
      <Value>Central</Value>
    </ACFE_Region>
    <TaxCatchAll xmlns="8340ccf1-19cc-436c-918b-8d6c0cc500c3"/>
    <Document_Type_TAG xmlns="483f79c1-66ca-45ce-88f9-109c9a998fd0">Guideline</Document_Type_TAG>
    <Provider_Name xmlns="483f79c1-66ca-45ce-88f9-109c9a998fd0">None</Provider_Name>
    <Program_Name xmlns="483f79c1-66ca-45ce-88f9-109c9a998fd0">Pre-Accredited Training</Program_Name>
    <Year xmlns="483f79c1-66ca-45ce-88f9-109c9a998fd0">2021</Year>
    <DET_Region xmlns="483f79c1-66ca-45ce-88f9-109c9a998fd0">
      <Value>Central DET</Value>
    </DET_Region>
    <Sector xmlns="483f79c1-66ca-45ce-88f9-109c9a998fd0">Learn Local Sector</Sector>
    <Unit xmlns="483f79c1-66ca-45ce-88f9-109c9a998fd0">Regional Engagement and Support Unit (Central)</Unit>
    <PublishingContactName xmlns="http://schemas.microsoft.com/sharepoint/v3" xsi:nil="true"/>
    <DET_EDRMS_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8E762D40846F3A48AA3FDFE2352C3EB5004AB568912628C74288D8702887550F03" ma:contentTypeVersion="35" ma:contentTypeDescription="DET Document" ma:contentTypeScope="" ma:versionID="fc47e2852e83ed9ea00c39ded873200a">
  <xsd:schema xmlns:xsd="http://www.w3.org/2001/XMLSchema" xmlns:xs="http://www.w3.org/2001/XMLSchema" xmlns:p="http://schemas.microsoft.com/office/2006/metadata/properties" xmlns:ns1="http://schemas.microsoft.com/sharepoint/v3" xmlns:ns2="483f79c1-66ca-45ce-88f9-109c9a998fd0" xmlns:ns4="http://schemas.microsoft.com/Sharepoint/v3" xmlns:ns5="8340ccf1-19cc-436c-918b-8d6c0cc500c3" targetNamespace="http://schemas.microsoft.com/office/2006/metadata/properties" ma:root="true" ma:fieldsID="f6c122bb88adf6d32ad7c2cca933119f" ns1:_="" ns2:_="" ns4:_="" ns5:_="">
    <xsd:import namespace="http://schemas.microsoft.com/sharepoint/v3"/>
    <xsd:import namespace="483f79c1-66ca-45ce-88f9-109c9a998fd0"/>
    <xsd:import namespace="http://schemas.microsoft.com/Sharepoint/v3"/>
    <xsd:import namespace="8340ccf1-19cc-436c-918b-8d6c0cc500c3"/>
    <xsd:element name="properties">
      <xsd:complexType>
        <xsd:sequence>
          <xsd:element name="documentManagement">
            <xsd:complexType>
              <xsd:all>
                <xsd:element ref="ns2:Document_Type_TAG"/>
                <xsd:element ref="ns2:DET_Region" minOccurs="0"/>
                <xsd:element ref="ns2:ACFE_Region" minOccurs="0"/>
                <xsd:element ref="ns2:Unit" minOccurs="0"/>
                <xsd:element ref="ns2:Sector" minOccurs="0"/>
                <xsd:element ref="ns2:LGA" minOccurs="0"/>
                <xsd:element ref="ns2:Program_Name" minOccurs="0"/>
                <xsd:element ref="ns2:Project_Name"/>
                <xsd:element ref="ns2:Year" minOccurs="0"/>
                <xsd:element ref="ns2:Provider_Name"/>
                <xsd:element ref="ns1:PublishingContactName" minOccurs="0"/>
                <xsd:element ref="ns4:DET_EDRMS_Description" minOccurs="0"/>
                <xsd:element ref="ns5:TaxCatchAll" minOccurs="0"/>
                <xsd:element ref="ns5: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1"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3f79c1-66ca-45ce-88f9-109c9a998fd0" elementFormDefault="qualified">
    <xsd:import namespace="http://schemas.microsoft.com/office/2006/documentManagement/types"/>
    <xsd:import namespace="http://schemas.microsoft.com/office/infopath/2007/PartnerControls"/>
    <xsd:element name="Document_Type_TAG" ma:index="1" ma:displayName="Document Type TAG" ma:format="Dropdown" ma:internalName="Document_Type_TAG" ma:readOnly="false">
      <xsd:simpleType>
        <xsd:restriction base="dms:Choice">
          <xsd:enumeration value="Advice"/>
          <xsd:enumeration value="Agenda"/>
          <xsd:enumeration value="Application"/>
          <xsd:enumeration value="Assessment"/>
          <xsd:enumeration value="Brief"/>
          <xsd:enumeration value="Budget"/>
          <xsd:enumeration value="Business Case"/>
          <xsd:enumeration value="Certificate"/>
          <xsd:enumeration value="Common Funding Agreement"/>
          <xsd:enumeration value="Chart"/>
          <xsd:enumeration value="Contract"/>
          <xsd:enumeration value="Correspondence"/>
          <xsd:enumeration value="CV/Resume"/>
          <xsd:enumeration value="Deed of Termination"/>
          <xsd:enumeration value="Deed of Variation"/>
          <xsd:enumeration value="Email"/>
          <xsd:enumeration value="File Note"/>
          <xsd:enumeration value="Form"/>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Plan"/>
          <xsd:enumeration value="Project Plan/Charter"/>
          <xsd:enumeration value="Proposal"/>
          <xsd:enumeration value="Report"/>
          <xsd:enumeration value="Research Paper"/>
          <xsd:enumeration value="Specification"/>
          <xsd:enumeration value="Survey/Questionnaire"/>
          <xsd:enumeration value="Template"/>
          <xsd:enumeration value="Procurement"/>
        </xsd:restriction>
      </xsd:simpleType>
    </xsd:element>
    <xsd:element name="DET_Region" ma:index="2" nillable="true" ma:displayName="DET Region" ma:internalName="DET_Region">
      <xsd:complexType>
        <xsd:complexContent>
          <xsd:extension base="dms:MultiChoice">
            <xsd:sequence>
              <xsd:element name="Value" maxOccurs="unbounded" minOccurs="0" nillable="true">
                <xsd:simpleType>
                  <xsd:restriction base="dms:Choice">
                    <xsd:enumeration value="Central DET"/>
                    <xsd:enumeration value="North Eastern Victoria"/>
                    <xsd:enumeration value="North Western Victoria"/>
                    <xsd:enumeration value="South Eastern Victoria"/>
                    <xsd:enumeration value="South Western Victoria"/>
                  </xsd:restriction>
                </xsd:simpleType>
              </xsd:element>
            </xsd:sequence>
          </xsd:extension>
        </xsd:complexContent>
      </xsd:complexType>
    </xsd:element>
    <xsd:element name="ACFE_Region" ma:index="3" nillable="true" ma:displayName="ACFE Region" ma:internalName="ACFE_Region">
      <xsd:complexType>
        <xsd:complexContent>
          <xsd:extension base="dms:MultiChoice">
            <xsd:sequence>
              <xsd:element name="Value" maxOccurs="unbounded" minOccurs="0" nillable="true">
                <xsd:simpleType>
                  <xsd:restriction base="dms:Choice">
                    <xsd:enumeration value="Barwon-South Western"/>
                    <xsd:enumeration value="Eastern Metropolitan"/>
                    <xsd:enumeration value="Gippsland"/>
                    <xsd:enumeration value="Grampians"/>
                    <xsd:enumeration value="Hume"/>
                    <xsd:enumeration value="Loddon Mallee"/>
                    <xsd:enumeration value="North West Metropolitan"/>
                    <xsd:enumeration value="Southern Metropolitan"/>
                    <xsd:enumeration value="Central"/>
                  </xsd:restriction>
                </xsd:simpleType>
              </xsd:element>
            </xsd:sequence>
          </xsd:extension>
        </xsd:complexContent>
      </xsd:complexType>
    </xsd:element>
    <xsd:element name="Unit" ma:index="4" nillable="true" ma:displayName="Unit" ma:format="Dropdown" ma:internalName="Unit">
      <xsd:simpleType>
        <xsd:restriction base="dms:Choice">
          <xsd:enumeration value="ACFE Projects and Research Unit"/>
          <xsd:enumeration value="ACFE Planning and Secretariat Unit"/>
          <xsd:enumeration value="LNE Strategy Unit"/>
          <xsd:enumeration value="Program Management Unit"/>
          <xsd:enumeration value="Regional Advisory Unit (Central)"/>
          <xsd:enumeration value="Regional Engagement and Support Unit (Central)"/>
          <xsd:enumeration value="North Western Victoria Unit"/>
          <xsd:enumeration value="North Eastern Victoria Unit"/>
          <xsd:enumeration value="South Eastern Victoria Unit"/>
          <xsd:enumeration value="South Western Victoria Unit"/>
        </xsd:restriction>
      </xsd:simpleType>
    </xsd:element>
    <xsd:element name="Sector" ma:index="5" nillable="true" ma:displayName="Sector" ma:format="Dropdown" ma:internalName="Sector">
      <xsd:simpleType>
        <xsd:restriction base="dms:Choice">
          <xsd:enumeration value="VET Sector"/>
          <xsd:enumeration value="Learn Local Sector"/>
          <xsd:enumeration value="University Sector"/>
          <xsd:enumeration value="TAFE Sector"/>
        </xsd:restriction>
      </xsd:simpleType>
    </xsd:element>
    <xsd:element name="LGA" ma:index="6" nillable="true" ma:displayName="LGA" ma:format="Dropdown" ma:internalName="LGA">
      <xsd:simpleType>
        <xsd:restriction base="dms:Choice">
          <xsd:enumeration value="Alpine"/>
          <xsd:enumeration value="Ararat"/>
          <xsd:enumeration value="Ballarat"/>
          <xsd:enumeration value="Banyule"/>
          <xsd:enumeration value="Bass Coast"/>
          <xsd:enumeration value="Baw Baw"/>
          <xsd:enumeration value="Bayside"/>
          <xsd:enumeration value="Benalla"/>
          <xsd:enumeration value="Boroondara"/>
          <xsd:enumeration value="Brimbank"/>
          <xsd:enumeration value="Buloke"/>
          <xsd:enumeration value="Campaspe"/>
          <xsd:enumeration value="Cardinia"/>
          <xsd:enumeration value="Casey"/>
          <xsd:enumeration value="Central Goldfields"/>
          <xsd:enumeration value="Colac-Otway"/>
          <xsd:enumeration value="Corangamite"/>
          <xsd:enumeration value="Darebin"/>
          <xsd:enumeration value="East Gippsland"/>
          <xsd:enumeration value="Frankston"/>
          <xsd:enumeration value="Gannawarra"/>
          <xsd:enumeration value="Glen Eira"/>
          <xsd:enumeration value="Glenelg"/>
          <xsd:enumeration value="Golden Plains"/>
          <xsd:enumeration value="Greater Bendigo"/>
          <xsd:enumeration value="Greater Dandenong"/>
          <xsd:enumeration value="Greater Geelong"/>
          <xsd:enumeration value="Greater Shepparton"/>
          <xsd:enumeration value="Hepburn"/>
          <xsd:enumeration value="Hindmarsh"/>
          <xsd:enumeration value="Hobsons Bay"/>
          <xsd:enumeration value="Horsham"/>
          <xsd:enumeration value="Hume"/>
          <xsd:enumeration value="Indigo"/>
          <xsd:enumeration value="Kingston"/>
          <xsd:enumeration value="Knox"/>
          <xsd:enumeration value="Latrobe"/>
          <xsd:enumeration value="Loddon"/>
          <xsd:enumeration value="Macedon Ranges"/>
          <xsd:enumeration value="Manningham"/>
          <xsd:enumeration value="Mansfield"/>
          <xsd:enumeration value="Maribyrnong"/>
          <xsd:enumeration value="Maroondah"/>
          <xsd:enumeration value="Melbourne"/>
          <xsd:enumeration value="Melton"/>
          <xsd:enumeration value="Mildura"/>
          <xsd:enumeration value="Mitchell"/>
          <xsd:enumeration value="Moira"/>
          <xsd:enumeration value="Monash"/>
          <xsd:enumeration value="Moonee Valley"/>
          <xsd:enumeration value="Moorabool"/>
          <xsd:enumeration value="Moreland"/>
          <xsd:enumeration value="Mornington Peninsula"/>
          <xsd:enumeration value="Mount Alexander"/>
          <xsd:enumeration value="Moyne"/>
          <xsd:enumeration value="Murrindindi"/>
          <xsd:enumeration value="Nillumbik"/>
          <xsd:enumeration value="Northern Grampians"/>
          <xsd:enumeration value="Port Phillip"/>
          <xsd:enumeration value="Pyrenees"/>
          <xsd:enumeration value="Queenscliffe"/>
          <xsd:enumeration value="South Gippsland"/>
          <xsd:enumeration value="Southern Grampians"/>
          <xsd:enumeration value="Stonnington"/>
          <xsd:enumeration value="Strathbogie"/>
          <xsd:enumeration value="Surf Coast"/>
          <xsd:enumeration value="Swan Hill"/>
          <xsd:enumeration value="Towong"/>
          <xsd:enumeration value="Wangaratta"/>
          <xsd:enumeration value="Warrnambool"/>
          <xsd:enumeration value="Wellington"/>
          <xsd:enumeration value="West Wimmera"/>
          <xsd:enumeration value="Whitehorse"/>
          <xsd:enumeration value="Whittlesea"/>
          <xsd:enumeration value="Wodonga"/>
          <xsd:enumeration value="Wyndham"/>
          <xsd:enumeration value="Yarra"/>
          <xsd:enumeration value="Yarra Ranges"/>
          <xsd:enumeration value="Yarriambiack"/>
        </xsd:restriction>
      </xsd:simpleType>
    </xsd:element>
    <xsd:element name="Program_Name" ma:index="7" nillable="true" ma:displayName="Program Name" ma:format="Dropdown" ma:internalName="Program_Name">
      <xsd:simpleType>
        <xsd:restriction base="dms:Choice">
          <xsd:enumeration value="2016 Pre-accredited Delivery Plan"/>
          <xsd:enumeration value="2017 Pre-accredited Delivery Plan"/>
          <xsd:enumeration value="2018 Pre-accredited Delivery Plan"/>
          <xsd:enumeration value="2019 Pre-accredited Procurement"/>
          <xsd:enumeration value="2020 Family Learning Partnerships"/>
          <xsd:enumeration value="2020 Pre-accredited Procurement"/>
          <xsd:enumeration value="A Frame"/>
          <xsd:enumeration value="ACFE-TAFE Partnership"/>
          <xsd:enumeration value="ACFE-TAFE Relationships"/>
          <xsd:enumeration value="Asylum Seekers"/>
          <xsd:enumeration value="AUSLAN"/>
          <xsd:enumeration value="Business Cases"/>
          <xsd:enumeration value="CAE Course Guide"/>
          <xsd:enumeration value="CAIF"/>
          <xsd:enumeration value="CAIF 10"/>
          <xsd:enumeration value="CAIF 11"/>
          <xsd:enumeration value="CAIF 12"/>
          <xsd:enumeration value="CAIF 9"/>
          <xsd:enumeration value="CAIF Evaluation"/>
          <xsd:enumeration value="CAIF Outcomes Analysis Project"/>
          <xsd:enumeration value="Deaf and Hard of Hearing"/>
          <xsd:enumeration value="Digital Literacy for Older Victorians"/>
          <xsd:enumeration value="Family Learning Partnerships"/>
          <xsd:enumeration value="Family Learning Support"/>
          <xsd:enumeration value="Future Digital Literacy Needs"/>
          <xsd:enumeration value="Future Opportunities for Adult Learners"/>
          <xsd:enumeration value="FVPrevention LL-Pathways"/>
          <xsd:enumeration value="General"/>
          <xsd:enumeration value="Growing Pre-accredited Research Trials"/>
          <xsd:enumeration value="Guidelines"/>
          <xsd:enumeration value="Intel Learn Easy Steps"/>
          <xsd:enumeration value="Intensive Bail and Youth Control Orders"/>
          <xsd:enumeration value="International Specialised Skills Institute (ISSI)"/>
          <xsd:enumeration value="JVEN"/>
          <xsd:enumeration value="Lead LNE in Victoria"/>
          <xsd:enumeration value="LeAF - Flexible Family Support (FFS)"/>
          <xsd:enumeration value="Learner Engagement A-Frame Program Pilot (LEAP)"/>
          <xsd:enumeration value="LL Quality Partnerships"/>
          <xsd:enumeration value="LLN Initiative"/>
          <xsd:enumeration value="LLNE"/>
          <xsd:enumeration value="Local Learning and Employment Network"/>
          <xsd:enumeration value="Ministerial Taskforce on Youth Offending"/>
          <xsd:enumeration value="Organisational Responsiveness Grant"/>
          <xsd:enumeration value="Partnership for Access"/>
          <xsd:enumeration value="Pre-accredited allocations"/>
          <xsd:enumeration value="Pre-Accredited Training"/>
          <xsd:enumeration value="REALS Grant Program (Reconnect)"/>
          <xsd:enumeration value="Reconnect Evaluation"/>
          <xsd:enumeration value="Reconnect State-wide Forum"/>
          <xsd:enumeration value="Regional Partnerships Facilitation Fund"/>
          <xsd:enumeration value="Regional Partnerships Facilitation Fund Evaluation"/>
          <xsd:enumeration value="Review Pre-accredited Programs"/>
          <xsd:enumeration value="Skills and Job Centres"/>
          <xsd:enumeration value="Skills First Reconnect"/>
          <xsd:enumeration value="Small Business Mentoring Scheme"/>
          <xsd:enumeration value="Training Participation Support Grant"/>
          <xsd:enumeration value="U3A Network"/>
          <xsd:enumeration value="Unspecified"/>
          <xsd:enumeration value="VAEAI"/>
          <xsd:enumeration value="VALBEC"/>
          <xsd:enumeration value="VET Development Centre"/>
          <xsd:enumeration value="VET Literacy and Numeracy Reform"/>
          <xsd:enumeration value="WLC"/>
          <xsd:enumeration value="Young People Transitioning from Care Initiative"/>
          <xsd:enumeration value="Youth Access Initiative"/>
          <xsd:enumeration value="Youth Foyers"/>
          <xsd:enumeration value="Youth Taskforce"/>
        </xsd:restriction>
      </xsd:simpleType>
    </xsd:element>
    <xsd:element name="Project_Name" ma:index="8" ma:displayName="Project Name" ma:format="Dropdown" ma:internalName="Project_Name" ma:readOnly="false">
      <xsd:simpleType>
        <xsd:restriction base="dms:Choice">
          <xsd:enumeration value="A Frame Exchange"/>
          <xsd:enumeration value="ACE Summit"/>
          <xsd:enumeration value="ACFE Board Hume Project"/>
          <xsd:enumeration value="ACFE Communications Strategy"/>
          <xsd:enumeration value="ACFE Regional Council Resources Hub"/>
          <xsd:enumeration value="ACFEB Strategy"/>
          <xsd:enumeration value="ACFEB Web"/>
          <xsd:enumeration value="ACFE-TAFE Partnership"/>
          <xsd:enumeration value="ACFE-TAFE Relationships"/>
          <xsd:enumeration value="Asylum Seekers"/>
          <xsd:enumeration value="AUSLAN"/>
          <xsd:enumeration value="Brand and Value Proposition"/>
          <xsd:enumeration value="Brimbank Learning Futures"/>
          <xsd:enumeration value="Business Cases"/>
          <xsd:enumeration value="CAE Course Guide"/>
          <xsd:enumeration value="CAIF Evaluation"/>
          <xsd:enumeration value="CAIF Outcomes Analysis Project"/>
          <xsd:enumeration value="Cert GE"/>
          <xsd:enumeration value="Cert I Developing Independence"/>
          <xsd:enumeration value="Community Solutions"/>
          <xsd:enumeration value="Community Solutions - Casey"/>
          <xsd:enumeration value="Community Solutions - Sunshine"/>
          <xsd:enumeration value="Compliance Project"/>
          <xsd:enumeration value="Cross Sector Activities"/>
          <xsd:enumeration value="Deaf and Hard of Hearing"/>
          <xsd:enumeration value="Digital Literacy for Older Victorians"/>
          <xsd:enumeration value="Future Digital Literacy Needs"/>
          <xsd:enumeration value="Future Opportunities for Adult Learners"/>
          <xsd:enumeration value="FVPrevention LL-Pathways"/>
          <xsd:enumeration value="General"/>
          <xsd:enumeration value="Growing Pre-accredited Research Trials"/>
          <xsd:enumeration value="Guidelines"/>
          <xsd:enumeration value="IME Audit Pilot Project"/>
          <xsd:enumeration value="Indigenous Reporting"/>
          <xsd:enumeration value="Intel Learn Easy Steps"/>
          <xsd:enumeration value="Intensive Bail and Youth Control Orders"/>
          <xsd:enumeration value="International Specialised Skills Institute (ISSI)"/>
          <xsd:enumeration value="JVEN"/>
          <xsd:enumeration value="Lead LNE in Victoria"/>
          <xsd:enumeration value="LeAF"/>
          <xsd:enumeration value="LeAF - Flexible Family Support (FFS)"/>
          <xsd:enumeration value="Learn Local"/>
          <xsd:enumeration value="Learn Local Brand Management Strategy"/>
          <xsd:enumeration value="Learn Local Brand Promotion Strategy Group"/>
          <xsd:enumeration value="Learn Local Conference"/>
          <xsd:enumeration value="Learn Local Digital Strategy"/>
          <xsd:enumeration value="Learn Local Focusing on the Future"/>
          <xsd:enumeration value="Learn Local Partnership Support Package"/>
          <xsd:enumeration value="Learn Local PD"/>
          <xsd:enumeration value="Learner Engagement A-Frame Program Pilot (LEAP)"/>
          <xsd:enumeration value="LL Quality Partnerships"/>
          <xsd:enumeration value="LLN Initiative"/>
          <xsd:enumeration value="LLNE"/>
          <xsd:enumeration value="Local Learning and Employment Network"/>
          <xsd:enumeration value="Microsoft Licensing Agreement"/>
          <xsd:enumeration value="Ministerial Taskforce on Youth Offending"/>
          <xsd:enumeration value="Organisational Responsiveness Grant"/>
          <xsd:enumeration value="Partnership for Access"/>
          <xsd:enumeration value="PQF Redesign"/>
          <xsd:enumeration value="Pre-accredited Dashboard"/>
          <xsd:enumeration value="Pre-Accredited Learner Outcome Analysis"/>
          <xsd:enumeration value="Pre-accredited Quality Framework"/>
          <xsd:enumeration value="Pre-accredited Training Research Project"/>
          <xsd:enumeration value="Pre-accredited Training Work Experience"/>
          <xsd:enumeration value="SARA Project"/>
          <xsd:enumeration value="Raising Expectations"/>
          <xsd:enumeration value="RAS"/>
          <xsd:enumeration value="REALS Grant Program (Reconnect)"/>
          <xsd:enumeration value="Reconnect Evaluation"/>
          <xsd:enumeration value="Reconnect State-wide Forum"/>
          <xsd:enumeration value="Regional Council Projects"/>
          <xsd:enumeration value="Regional Partnerships Facilitation Fund"/>
          <xsd:enumeration value="Regional Partnerships Facilitation Fund Evaluation"/>
          <xsd:enumeration value="Research Strategy"/>
          <xsd:enumeration value="Review Pre-accredited Programs"/>
          <xsd:enumeration value="SAMS"/>
          <xsd:enumeration value="Senior Victorians Project"/>
          <xsd:enumeration value="Shared Experience Seminar"/>
          <xsd:enumeration value="Shared Local Solutions"/>
          <xsd:enumeration value="Shared Local Solutions - Mildura"/>
          <xsd:enumeration value="Shared Local Solutions - Morwell"/>
          <xsd:enumeration value="SharePoint"/>
          <xsd:enumeration value="Skills and Job Centres"/>
          <xsd:enumeration value="Skills First Reconnect"/>
          <xsd:enumeration value="Small Business Mentoring Scheme"/>
          <xsd:enumeration value="Strategic Dialogues"/>
          <xsd:enumeration value="Stronger TAFE Fund Round 1 2017"/>
          <xsd:enumeration value="Student Management System (SMS) Project"/>
          <xsd:enumeration value="Student Satisfaction Survey"/>
          <xsd:enumeration value="U3A Network"/>
          <xsd:enumeration value="Unspecified"/>
          <xsd:enumeration value="VAEAI"/>
          <xsd:enumeration value="VALBEC"/>
          <xsd:enumeration value="VET Development Centre"/>
          <xsd:enumeration value="VET Literacy and Numeracy Reform"/>
          <xsd:enumeration value="Victorian Learn Local Awards"/>
          <xsd:enumeration value="WLC"/>
          <xsd:enumeration value="Wurreker Implementation Reporting"/>
          <xsd:enumeration value="Young People Transitioning from Care Initiative"/>
          <xsd:enumeration value="Youth Access Initiative"/>
          <xsd:enumeration value="Youth Foyers"/>
          <xsd:enumeration value="Youth Taskforce"/>
        </xsd:restriction>
      </xsd:simpleType>
    </xsd:element>
    <xsd:element name="Year" ma:index="9" nillable="true" ma:displayName="Year" ma:format="Dropdown" ma:internalName="Year">
      <xsd:simpleType>
        <xsd:restriction base="dms:Choice">
          <xsd:enumeration value="2017"/>
          <xsd:enumeration value="2018"/>
          <xsd:enumeration value="2019"/>
          <xsd:enumeration value="2020"/>
          <xsd:enumeration value="2021"/>
          <xsd:enumeration value="2022"/>
        </xsd:restriction>
      </xsd:simpleType>
    </xsd:element>
    <xsd:element name="Provider_Name" ma:index="10" ma:displayName="Provider Name" ma:format="Dropdown" ma:internalName="Provider_Name" ma:readOnly="false">
      <xsd:simpleType>
        <xsd:restriction base="dms:Choice">
          <xsd:enumeration value="None"/>
          <xsd:enumeration value="Multiple"/>
          <xsd:enumeration value="Access Australia Group Limited"/>
          <xsd:enumeration value="Alamein Neighbourhood &amp; Learning Centre Inc"/>
          <xsd:enumeration value="Albury Wodonga Community College Limited"/>
          <xsd:enumeration value="Albury-Wodonga Volunteer Resource Bureau Inc"/>
          <xsd:enumeration value="AMES Australia"/>
          <xsd:enumeration value="Anglesea Community House Inc"/>
          <xsd:enumeration value="Angliss Neighbourhood House Inc"/>
          <xsd:enumeration value="Arrabri Community House Inc"/>
          <xsd:enumeration value="Art Resource Collective Inc"/>
          <xsd:enumeration value="Australian Croatian Community Services Inc"/>
          <xsd:enumeration value="Australian Multicultural Community Services Inc"/>
          <xsd:enumeration value="Australian Romanian Community Welfare, Health and Services Association of Victoria Inc"/>
          <xsd:enumeration value="Australian Vietnamese Women's Association Inc"/>
          <xsd:enumeration value="Avenue Neighbourhood House At Eley Inc."/>
          <xsd:enumeration value="Bacchus Marsh Community College Inc"/>
          <xsd:enumeration value="Ballan &amp; District Community House and Adult Education Centre Inc"/>
          <xsd:enumeration value="Ballarat Neighbourhood Centre Inc"/>
          <xsd:enumeration value="Banksia Gardens Association Incorporated"/>
          <xsd:enumeration value="Bass Coast Adult Education Centre Inc"/>
          <xsd:enumeration value="Beaufort Community House and Learning Centre Inc"/>
          <xsd:enumeration value="Belgium Avenue Neighbourhood House Inc"/>
          <xsd:enumeration value="Bellarine Living and Learning Centre Inc"/>
          <xsd:enumeration value="Bellarine Training and Community Hub Incorporated"/>
          <xsd:enumeration value="Belvedere Community Centre Inc"/>
          <xsd:enumeration value="Bendigo Neighbourhood Hub Inc."/>
          <xsd:enumeration value="Berry Street Victoria Incorporated"/>
          <xsd:enumeration value="Beulah Historical, Learning and Progress Association Inc"/>
          <xsd:enumeration value="Birallee Park Neighbourhood House Inc"/>
          <xsd:enumeration value="Bnym Aboriginal Corporation"/>
          <xsd:enumeration value="Boort Resource And Information Centre Inc"/>
          <xsd:enumeration value="BRACE Education Training &amp; Employment Limited"/>
          <xsd:enumeration value="Brotherhood of St Laurence"/>
          <xsd:enumeration value="Brunswick Neighbourhood House Co-Operative Limited"/>
          <xsd:enumeration value="Bubup Wilam For Early Learning Inc"/>
          <xsd:enumeration value="Buchan District Outreach Inc"/>
          <xsd:enumeration value="Carlton Neighbourhood Learning Centre Inc"/>
          <xsd:enumeration value="Carringbush Adult Education Inc"/>
          <xsd:enumeration value="Castlemaine Community House Inc"/>
          <xsd:enumeration value="Central Highlands Group Training Inc"/>
          <xsd:enumeration value="Central Ringwood Community Centre Inc"/>
          <xsd:enumeration value="Centre for Adult Education"/>
          <xsd:enumeration value="Centre for Participation Inc"/>
          <xsd:enumeration value="CERES Inc"/>
          <xsd:enumeration value="Cheltenham Community Centre Inc."/>
          <xsd:enumeration value="Child and Family Care Network Inc"/>
          <xsd:enumeration value="Christie Centre Inc"/>
          <xsd:enumeration value="Churchill Neighbourhood Centre Inc"/>
          <xsd:enumeration value="CIRE Services Incorporated"/>
          <xsd:enumeration value="Clota Cottage Neighbourhood House Inc"/>
          <xsd:enumeration value="Cloverdale Community Centre Inc"/>
          <xsd:enumeration value="Cobram Community House Inc"/>
          <xsd:enumeration value="Cohuna Neighbourhood House Incorporated"/>
          <xsd:enumeration value="Comm Unity Plus Services Ltd"/>
          <xsd:enumeration value="Community College Gippsland Limited"/>
          <xsd:enumeration value="Community Hub Inc"/>
          <xsd:enumeration value="Concern Australia Welfare Inc"/>
          <xsd:enumeration value="Continuing Education and Arts Centre of Alexandra Inc"/>
          <xsd:enumeration value="Coonara Community House Inc"/>
          <xsd:enumeration value="Corinella &amp; District Community Centre Inc"/>
          <xsd:enumeration value="Corryong Neighbourhood House Inc"/>
          <xsd:enumeration value="Craigieburn Education and Community Centre Inc"/>
          <xsd:enumeration value="Cranbourne Community House Inc"/>
          <xsd:enumeration value="Dallas Neighbourhood House Inc"/>
          <xsd:enumeration value="Dandenong Neighbourhood House Inc"/>
          <xsd:enumeration value="Daylesford Neighbourhood Centre Inc"/>
          <xsd:enumeration value="Diamond Valley Learning Centre Inc."/>
          <xsd:enumeration value="Dingley Village Neighbourhood Centre Inc"/>
          <xsd:enumeration value="Djerriwarrh Employment &amp; Education Services Inc"/>
          <xsd:enumeration value="Donald Learning Group Inc."/>
          <xsd:enumeration value="Doveton Neighbourhood Learning Centre Inc"/>
          <xsd:enumeration value="Duke Street Community House Association Inc"/>
          <xsd:enumeration value="East End Community House Inc."/>
          <xsd:enumeration value="Echuca Community Education Group Inc"/>
          <xsd:enumeration value="Echuca Neighbourhood House Inc."/>
          <xsd:enumeration value="Elwood-St Kilda Neighbourhood Learning Centre Inc"/>
          <xsd:enumeration value="Emerald Community House Inc"/>
          <xsd:enumeration value="Encompass Community Services Incorporated"/>
          <xsd:enumeration value="Endeavour Hills Neighbourhood Centre Inc"/>
          <xsd:enumeration value="Euroa Health Inc"/>
          <xsd:enumeration value="Farnham Street Neighbourhood Learning Centre Inc"/>
          <xsd:enumeration value="Fitzroy Learning Network Inc"/>
          <xsd:enumeration value="Footscray Community Arts Centre Limited"/>
          <xsd:enumeration value="Foundation 61 Inc."/>
          <xsd:enumeration value="Frankston City Council"/>
          <xsd:enumeration value="Gateway BEET Inc"/>
          <xsd:enumeration value="Gateway Social Support Options Inc."/>
          <xsd:enumeration value="Geelong Ethnic Communities Council Incorporated"/>
          <xsd:enumeration value="Gippsland Employment Skills Training Inc."/>
          <xsd:enumeration value="Glen Eira Adult Learning Centre Inc"/>
          <xsd:enumeration value="Glen Park Community Centre Inc"/>
          <xsd:enumeration value="Glenroy Neighbourhood Learning Centre Inc"/>
          <xsd:enumeration value="Godfrey Street Community House Inc"/>
          <xsd:enumeration value="Goldfields Employment and Learning Centre Inc"/>
          <xsd:enumeration value="Grampians Community Health"/>
          <xsd:enumeration value="Haddon Community Learning Centre Inc"/>
          <xsd:enumeration value="Hallam Community Learning Centre Inc"/>
          <xsd:enumeration value="Hampton Community Centre Inc"/>
          <xsd:enumeration value="Hampton Park Care Group Inc"/>
          <xsd:enumeration value="Healesville Living &amp; Learning Centre Inc"/>
          <xsd:enumeration value="Heidelberg Training and Resources Centre Inc"/>
          <xsd:enumeration value="Heyfield Community Resource Centre Inc"/>
          <xsd:enumeration value="Holden Street Neighbourhood House Inc"/>
          <xsd:enumeration value="Horsham Community House Inc"/>
          <xsd:enumeration value="&quot;Hume City Council"/>
          <xsd:enumeration value="Homestead Community &amp; Learning Centre&quot;"/>
          <xsd:enumeration value="Inclusion Melbourne Inc"/>
          <xsd:enumeration value="Inner Melbourne VET Cluster Inc"/>
          <xsd:enumeration value="Japara Neighbourhood House Inc"/>
          <xsd:enumeration value="Jesuit Social Services Limited"/>
          <xsd:enumeration value="Jewish Care (Victoria) Inc."/>
          <xsd:enumeration value="Jika Jika Community Centre Inc"/>
          <xsd:enumeration value="JobCo Employment Services Inc"/>
          <xsd:enumeration value="K.Y.M. (Victoria) Incorporated"/>
          <xsd:enumeration value="Kangaroo Flat Community Group Inc."/>
          <xsd:enumeration value="Karingal St Laurence Limited"/>
          <xsd:enumeration value="Kensington Neighbourhood House Inc"/>
          <xsd:enumeration value="Kerang and District Community Centre Inc."/>
          <xsd:enumeration value="Kerrie Neighbourhood House Inc"/>
          <xsd:enumeration value="Kew Neighbourhood Learning Centre Inc"/>
          <xsd:enumeration value="King Valley Learning Exchange Inc."/>
          <xsd:enumeration value="Kinglake Ranges Neighbourhood House Inc"/>
          <xsd:enumeration value="Kyabram Community and Learning Centre Inc"/>
          <xsd:enumeration value="Kyneton Community &amp; Learning Centre Inc"/>
          <xsd:enumeration value="Lalor Living and Learning Centre Inc"/>
          <xsd:enumeration value="Langwarrin Community Centre Inc"/>
          <xsd:enumeration value="Lara Community Centre Inc"/>
          <xsd:enumeration value="Laverton Community Integrated Services Inc"/>
          <xsd:enumeration value="Leopold Community and Learning Centre Inc."/>
          <xsd:enumeration value="Link Health and Community Limited"/>
          <xsd:enumeration value="LINK Neighbourhood House Inc"/>
          <xsd:enumeration value="Living and Learning at Ajani Inc."/>
          <xsd:enumeration value="Living Learning Pakenham Inc."/>
          <xsd:enumeration value="Loddon Campaspe Multicultural Services Inc"/>
          <xsd:enumeration value="Longbeach Place Inc"/>
          <xsd:enumeration value="Lyrebird Community Centre Inc."/>
          <xsd:enumeration value="MACE Inc."/>
          <xsd:enumeration value="Macedon Ranges Further Education Centre Inc."/>
          <xsd:enumeration value="MADEC Australia"/>
          <xsd:enumeration value="Maldon Neighbourhood Centre Inc"/>
          <xsd:enumeration value="Mallacoota District Health &amp; Support Service Inc"/>
          <xsd:enumeration value="Manna Gum Community House Inc"/>
          <xsd:enumeration value="Meadow Heights Learning Shop Inc"/>
          <xsd:enumeration value="Melbourne City Mission"/>
          <xsd:enumeration value="Melton South Community Centre Inc"/>
          <xsd:enumeration value="Meredith Community Centre Inc"/>
          <xsd:enumeration value="Merinda Park Learning and Community Centre Inc."/>
          <xsd:enumeration value="Micare Ltd"/>
          <xsd:enumeration value="Migrant Resource Centre, North West Region Inc"/>
          <xsd:enumeration value="MiLife-Victoria Inc"/>
          <xsd:enumeration value="Mill Park Community Services Group Inc"/>
          <xsd:enumeration value="Milpara Community House Inc"/>
          <xsd:enumeration value="Mirrimbeena Aboriginal Education Group Inc"/>
          <xsd:enumeration value="Mitcham Community House Incorporated"/>
          <xsd:enumeration value="&quot;Moe Life-Skills Community Centre Inc"/>
          <xsd:enumeration value="&quot;"/>
          <xsd:enumeration value="Moe Neighbourhood House Inc"/>
          <xsd:enumeration value="Moongala Women's Collective Inc."/>
          <xsd:enumeration value="Mordialloc Neighbourhood House Inc"/>
          <xsd:enumeration value="Mount Beauty Neighbourhood Centre Inc."/>
          <xsd:enumeration value="Mount Eliza Neighbourhood House Inc"/>
          <xsd:enumeration value="Mountain District Women's Co-operative Limited"/>
          <xsd:enumeration value="Murray Adult Community Education – Swan Hill Inc"/>
          <xsd:enumeration value="Murray Human Services Inc"/>
          <xsd:enumeration value="Myrtleford Neighbourhood Centre Inc"/>
          <xsd:enumeration value="Narre Community Learning Centre Inc"/>
          <xsd:enumeration value="Ngwala Willumbong Limited"/>
          <xsd:enumeration value="Nhill Neighbourhood House Learning Centre Inc."/>
          <xsd:enumeration value="&quot;Nillumbik Shire Council"/>
          <xsd:enumeration value="(Living &amp; Learning Nillumbik)&quot;"/>
          <xsd:enumeration value="Noble Park Community Centre Inc."/>
          <xsd:enumeration value="North Carlton Railway Station Neighbourhood House Inc."/>
          <xsd:enumeration value="North Melbourne Language and Learning Inc"/>
          <xsd:enumeration value="North Ringwood Community House Incorporated"/>
          <xsd:enumeration value="North Shepparton Community &amp; Learning Centre Inc"/>
          <xsd:enumeration value="Noweyung Limited"/>
          <xsd:enumeration value="Numurkah Community Learning Centre Inc."/>
          <xsd:enumeration value="Olympic Adult Education Inc."/>
          <xsd:enumeration value="Open Door Neighbourhood House Inc"/>
          <xsd:enumeration value="Orana Neighbourhood House Inc."/>
          <xsd:enumeration value="Orbost Education Centre Incorporated"/>
          <xsd:enumeration value="Otway Health"/>
          <xsd:enumeration value="Outlets Co-operative Neighbourhood House Limited"/>
          <xsd:enumeration value="Outlook (Vic.) Inc."/>
          <xsd:enumeration value="Pangerang Community House Inc."/>
          <xsd:enumeration value="Park Orchards Community House &amp; Learning Centre Inc"/>
          <xsd:enumeration value="Paynesville Neighbourhood Centre Inc"/>
          <xsd:enumeration value="Peninsula Adult Education and Literacy Inc"/>
          <xsd:enumeration value="Peninsula Training and Employment Program Inc"/>
          <xsd:enumeration value="Phillip Island Community And Learning Centre Inc."/>
          <xsd:enumeration value="Pines Learning Inc"/>
          <xsd:enumeration value="Port Fairy Community Group Inc"/>
          <xsd:enumeration value="Port Phillip Community Group Limited"/>
          <xsd:enumeration value="Portland Workskills Inc"/>
          <xsd:enumeration value="Prahran Community Learning Centre Inc"/>
          <xsd:enumeration value="Preston Neighbourhood House Inc"/>
          <xsd:enumeration value="Preston Reservoir Adult Community Education Inc"/>
          <xsd:enumeration value="Pyramid Hill Neighbourhood House"/>
          <xsd:enumeration value="Quantin Binnah Community Centre Inc"/>
          <xsd:enumeration value="Quantum Support Services Inc."/>
          <xsd:enumeration value="Red Cliffs Community Resource Centre Inc"/>
          <xsd:enumeration value="Rejoice Chinese Christian Communications Centre Inc."/>
          <xsd:enumeration value="Resurrection Catholic Church Keysborough"/>
          <xsd:enumeration value="Reynard Street Neighbourhood House Incorporated"/>
          <xsd:enumeration value="Richmond Community Learning Centre Inc"/>
          <xsd:enumeration value="Robinvale Network House Inc"/>
          <xsd:enumeration value="Rosanna Fire Station Community House Inc"/>
          <xsd:enumeration value="Rosewall Neighbourhood Centre Inc."/>
          <xsd:enumeration value="Rowville Neighbourhood Learning Centre Inc"/>
          <xsd:enumeration value="Rural Industries Skill Training Centre Inc"/>
          <xsd:enumeration value="Rushworth Community House Inc"/>
          <xsd:enumeration value="Sale Neighbourhood House Inc"/>
          <xsd:enumeration value="Sandybeach Community Co-operative Society Limited"/>
          <xsd:enumeration value="SCAA Shearer Woolhandler Training Inc"/>
          <xsd:enumeration value="Selby Community House Inc"/>
          <xsd:enumeration value="Shepparton Access"/>
          <xsd:enumeration value="Shepparton Adult and Community Education College Inc"/>
          <xsd:enumeration value="Simpson &amp; District Community Centre Inc"/>
          <xsd:enumeration value="SkillsPlus Ltd"/>
          <xsd:enumeration value="Sorrento Community Centre Inc"/>
          <xsd:enumeration value="South Shepparton Community Centre Inc"/>
          <xsd:enumeration value="Southern Grampians Adult Education Inc"/>
          <xsd:enumeration value="Southern Migrant and Refugee Centre Inc"/>
          <xsd:enumeration value="Southport Community Centre Incorporated"/>
          <xsd:enumeration value="Span Community House Inc."/>
          <xsd:enumeration value="Springdale Neighbourhood Centre Inc"/>
          <xsd:enumeration value="Springvale Indo-Chinese Mutual Assistance Association Inc"/>
          <xsd:enumeration value="Springvale Learning and Activities Centre Incorporated"/>
          <xsd:enumeration value="Springvale Neighbourhood House Inc"/>
          <xsd:enumeration value="St. Arnaud Neighbourhood House Inc"/>
          <xsd:enumeration value="Stawell Neighbourhood House Inc"/>
          <xsd:enumeration value="Sunraysia Mallee Ethnic Communities Council Inc"/>
          <xsd:enumeration value="Sunraysia Regional Consulting"/>
          <xsd:enumeration value="Sussex Neighbourhood House Inc"/>
          <xsd:enumeration value="Swan Hill Neighbourhood House Inc"/>
          <xsd:enumeration value="Task Force Community Agency Inc"/>
          <xsd:enumeration value="Tatura Community House Inc"/>
          <xsd:enumeration value="The Basin Community House Inc"/>
          <xsd:enumeration value="The Centre for Continuing Education Inc"/>
          <xsd:enumeration value="The Centre: Connecting Community In North &amp; West Melbourne Inc"/>
          <xsd:enumeration value="The Kevin Heinze Garden Centre Incorporated"/>
          <xsd:enumeration value="The Old Courthouse Committee of Management Inc"/>
          <xsd:enumeration value="The Onemda Association Inc"/>
          <xsd:enumeration value="The Social Studio Inc"/>
          <xsd:enumeration value="The South Kingsville Community Centre Inc"/>
          <xsd:enumeration value="Tongala Community Activities Centre Inc"/>
          <xsd:enumeration value="Traralgon Neighbourhood Learning House Inc."/>
          <xsd:enumeration value="Trudewind Road Neighbourhood House Inc"/>
          <xsd:enumeration value="United-Spanish Latin American Welfare Centre Inc"/>
          <xsd:enumeration value="Uniting (Victoria and Tasmania) Limited"/>
          <xsd:enumeration value="Upper Beaconsfield Community Centre"/>
          <xsd:enumeration value="Vermont South Community House Incorporated"/>
          <xsd:enumeration value="VICSEG New Futures"/>
          <xsd:enumeration value="Victorian Aboriginal Community Services Association Limited"/>
          <xsd:enumeration value="Victorian Deaf Society"/>
          <xsd:enumeration value="Victorian Vocational Rehabilitation Association"/>
          <xsd:enumeration value="Waminda Inc"/>
          <xsd:enumeration value="Warracknabeal Neighbourhood House and Learning Centre Inc"/>
          <xsd:enumeration value="Warragul Community House Inc"/>
          <xsd:enumeration value="Warrandyte Neighbourhood House"/>
          <xsd:enumeration value="Waverley Adult Literacy Program Inc"/>
          <xsd:enumeration value="Waverley Community Learning Centre Inc"/>
          <xsd:enumeration value="Wedderburn Community House Inc"/>
          <xsd:enumeration value="Wellsprings For Women Incorporated"/>
          <xsd:enumeration value="Wendouree Neighbourhood Centre Inc"/>
          <xsd:enumeration value="Westgate Community Initiatives Group Inc"/>
          <xsd:enumeration value="Whittlesea Community Connections Inc"/>
          <xsd:enumeration value="Whittlesea Community House Inc"/>
          <xsd:enumeration value="Williamstown Community and Education Centre Inc"/>
          <xsd:enumeration value="Winchelsea Community House Incorporated"/>
          <xsd:enumeration value="Wingate Avenue Community Centre Inc"/>
          <xsd:enumeration value="Wonga Park Community Cottage Inc"/>
          <xsd:enumeration value="Workforce Plus Inc."/>
          <xsd:enumeration value="Wycheproof Community Resource Centre Inc"/>
          <xsd:enumeration value="Wyndham Community and Education Centre Inc"/>
          <xsd:enumeration value="Yarraville Community Centre Inc"/>
          <xsd:enumeration value="Yarrawonga Neighbourhood House Inc."/>
          <xsd:enumeration value="Yarrunga Community Centre Inc"/>
          <xsd:enumeration value="Yooralla"/>
          <xsd:enumeration value="Youth Projects Limited"/>
          <xsd:enumeration value="YouthNow Inc"/>
          <xsd:enumeration value="Zoe Support Australi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9"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20"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0519D-3860-447F-89D6-DE246870B867}">
  <ds:schemaRefs>
    <ds:schemaRef ds:uri="http://schemas.microsoft.com/office/2006/metadata/properties"/>
    <ds:schemaRef ds:uri="http://schemas.microsoft.com/office/infopath/2007/PartnerControls"/>
    <ds:schemaRef ds:uri="483f79c1-66ca-45ce-88f9-109c9a998fd0"/>
    <ds:schemaRef ds:uri="8340ccf1-19cc-436c-918b-8d6c0cc500c3"/>
    <ds:schemaRef ds:uri="http://schemas.microsoft.com/sharepoint/v3"/>
    <ds:schemaRef ds:uri="http://schemas.microsoft.com/Sharepoint/v3"/>
  </ds:schemaRefs>
</ds:datastoreItem>
</file>

<file path=customXml/itemProps2.xml><?xml version="1.0" encoding="utf-8"?>
<ds:datastoreItem xmlns:ds="http://schemas.openxmlformats.org/officeDocument/2006/customXml" ds:itemID="{5628F48F-E17C-4F18-9C01-DE6D68F11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3f79c1-66ca-45ce-88f9-109c9a998fd0"/>
    <ds:schemaRef ds:uri="http://schemas.microsoft.com/Sharepoint/v3"/>
    <ds:schemaRef ds:uri="8340ccf1-19cc-436c-918b-8d6c0cc50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2C9438-FC4A-47E2-A518-83D35921216F}">
  <ds:schemaRefs>
    <ds:schemaRef ds:uri="http://schemas.microsoft.com/sharepoint/events"/>
  </ds:schemaRefs>
</ds:datastoreItem>
</file>

<file path=customXml/itemProps4.xml><?xml version="1.0" encoding="utf-8"?>
<ds:datastoreItem xmlns:ds="http://schemas.openxmlformats.org/officeDocument/2006/customXml" ds:itemID="{79972707-3D3B-42AD-B77E-49AD4708CA74}">
  <ds:schemaRefs>
    <ds:schemaRef ds:uri="http://schemas.microsoft.com/sharepoint/v3/contenttype/forms"/>
  </ds:schemaRefs>
</ds:datastoreItem>
</file>

<file path=customXml/itemProps5.xml><?xml version="1.0" encoding="utf-8"?>
<ds:datastoreItem xmlns:ds="http://schemas.openxmlformats.org/officeDocument/2006/customXml" ds:itemID="{26BD4AAE-D673-407A-A4F2-C6A79CBDA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1987</Words>
  <Characters>11327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Kaighin, Andrew M</dc:creator>
  <cp:keywords/>
  <dc:description/>
  <cp:lastModifiedBy>Georgie Marinucci</cp:lastModifiedBy>
  <cp:revision>11</cp:revision>
  <dcterms:created xsi:type="dcterms:W3CDTF">2021-05-03T22:46:00Z</dcterms:created>
  <dcterms:modified xsi:type="dcterms:W3CDTF">2021-05-03T23:58:00Z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0x0101008E762D40846F3A48AA3FDFE2352C3EB5004AB568912628C74288D8702887550F03</vt:lpwstr>
  </property>
  <property fmtid="{D5CDD505-2E9C-101B-9397-08002B2CF9AE}" pid="3" name="RecordPoint_WorkflowType">
    <vt:lpwstr>ActiveSubmitStub</vt:lpwstr>
  </property>
  <property fmtid="{D5CDD505-2E9C-101B-9397-08002B2CF9AE}" pid="4" name="RecordPoint_ActiveItemListId">
    <vt:lpwstr>{483f79c1-66ca-45ce-88f9-109c9a998fd0}</vt:lpwstr>
  </property>
  <property fmtid="{D5CDD505-2E9C-101B-9397-08002B2CF9AE}" pid="5" name="RecordPoint_ActiveItemUniqueId">
    <vt:lpwstr>{788f16f9-f716-4868-ac8c-37bd27bdeffb}</vt:lpwstr>
  </property>
  <property fmtid="{D5CDD505-2E9C-101B-9397-08002B2CF9AE}" pid="6" name="RecordPoint_ActiveItemWebId">
    <vt:lpwstr>{3ed742c5-94af-4432-8895-d50f327830af}</vt:lpwstr>
  </property>
  <property fmtid="{D5CDD505-2E9C-101B-9397-08002B2CF9AE}" pid="7" name="RecordPoint_ActiveItemSiteId">
    <vt:lpwstr>{702d8416-5cfb-418e-b259-4c75e5c77461}</vt:lpwstr>
  </property>
</Properties>
</file>