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0C6B0E">
            <w:pPr>
              <w:pStyle w:val="Header"/>
              <w:rPr>
                <w:b/>
                <w:bCs/>
                <w:color w:val="364283"/>
                <w:sz w:val="28"/>
                <w:szCs w:val="28"/>
              </w:rPr>
            </w:pPr>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19BA54CB" w:rsidR="00724E76" w:rsidRPr="005B0E05" w:rsidRDefault="00E055AF" w:rsidP="005B0E05">
            <w:pPr>
              <w:pStyle w:val="Header"/>
              <w:spacing w:before="120" w:after="120" w:line="480" w:lineRule="atLeast"/>
              <w:ind w:left="146"/>
              <w:rPr>
                <w:b/>
                <w:bCs/>
                <w:color w:val="364283"/>
                <w:sz w:val="36"/>
                <w:szCs w:val="36"/>
              </w:rPr>
            </w:pPr>
            <w:r>
              <w:rPr>
                <w:b/>
                <w:bCs/>
                <w:color w:val="364283"/>
                <w:sz w:val="36"/>
                <w:szCs w:val="36"/>
              </w:rPr>
              <w:t>2022 ACFE Training Delivery Information Session</w:t>
            </w:r>
          </w:p>
          <w:p w14:paraId="17EE144E" w14:textId="4823B955" w:rsidR="00724E76" w:rsidRPr="00724E76" w:rsidRDefault="00E055AF" w:rsidP="005B0E05">
            <w:pPr>
              <w:pStyle w:val="Header"/>
              <w:spacing w:before="120"/>
              <w:ind w:left="146"/>
              <w:rPr>
                <w:b/>
                <w:bCs/>
                <w:color w:val="364283"/>
                <w:sz w:val="48"/>
                <w:szCs w:val="48"/>
              </w:rPr>
            </w:pPr>
            <w:r>
              <w:rPr>
                <w:b/>
                <w:bCs/>
                <w:color w:val="364283"/>
                <w:sz w:val="48"/>
                <w:szCs w:val="48"/>
              </w:rPr>
              <w:t>FREQUENTLY ASKED QUESTIONS</w:t>
            </w:r>
          </w:p>
        </w:tc>
      </w:tr>
      <w:tr w:rsidR="009D33A3" w:rsidRPr="009D33A3" w14:paraId="4203A29F" w14:textId="77777777" w:rsidTr="005B0E05">
        <w:tc>
          <w:tcPr>
            <w:tcW w:w="3540" w:type="dxa"/>
            <w:tcBorders>
              <w:bottom w:val="single" w:sz="8" w:space="0" w:color="364283"/>
            </w:tcBorders>
          </w:tcPr>
          <w:p w14:paraId="56501FEF" w14:textId="59463DDD" w:rsidR="009D33A3" w:rsidRPr="009D33A3" w:rsidRDefault="009D33A3" w:rsidP="000C6B0E">
            <w:pPr>
              <w:pStyle w:val="Header"/>
              <w:rPr>
                <w:b/>
                <w:bCs/>
                <w:color w:val="364283"/>
                <w:sz w:val="12"/>
                <w:szCs w:val="12"/>
              </w:rPr>
            </w:pPr>
          </w:p>
        </w:tc>
        <w:tc>
          <w:tcPr>
            <w:tcW w:w="6098" w:type="dxa"/>
            <w:tcBorders>
              <w:bottom w:val="single" w:sz="8" w:space="0" w:color="364283"/>
            </w:tcBorders>
          </w:tcPr>
          <w:p w14:paraId="5AE5EEB6" w14:textId="77777777" w:rsidR="009D33A3" w:rsidRPr="009D33A3" w:rsidRDefault="009D33A3" w:rsidP="000C6B0E">
            <w:pPr>
              <w:pStyle w:val="Header"/>
              <w:rPr>
                <w:b/>
                <w:bCs/>
                <w:color w:val="364283"/>
                <w:sz w:val="12"/>
                <w:szCs w:val="12"/>
              </w:rP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0C6B0E">
            <w:pPr>
              <w:pStyle w:val="Header"/>
              <w:rPr>
                <w:b/>
                <w:bCs/>
                <w:color w:val="364283"/>
                <w:sz w:val="12"/>
                <w:szCs w:val="12"/>
              </w:rPr>
            </w:pPr>
          </w:p>
        </w:tc>
        <w:tc>
          <w:tcPr>
            <w:tcW w:w="6098" w:type="dxa"/>
            <w:tcBorders>
              <w:top w:val="single" w:sz="8" w:space="0" w:color="364283"/>
            </w:tcBorders>
          </w:tcPr>
          <w:p w14:paraId="1F817E47" w14:textId="77777777" w:rsidR="009D33A3" w:rsidRPr="009D33A3" w:rsidRDefault="009D33A3" w:rsidP="000C6B0E">
            <w:pPr>
              <w:pStyle w:val="Header"/>
              <w:rPr>
                <w:b/>
                <w:bCs/>
                <w:color w:val="364283"/>
                <w:sz w:val="12"/>
                <w:szCs w:val="12"/>
              </w:rPr>
            </w:pPr>
          </w:p>
        </w:tc>
      </w:tr>
    </w:tbl>
    <w:p w14:paraId="3D6EB291" w14:textId="591C38DC" w:rsidR="00034913" w:rsidRDefault="002545C9" w:rsidP="00FD341E">
      <w:pPr>
        <w:rPr>
          <w:b/>
          <w:bCs/>
          <w:i/>
          <w:iCs/>
          <w:color w:val="364283"/>
        </w:rPr>
      </w:pPr>
      <w:r w:rsidRPr="002545C9">
        <w:rPr>
          <w:b/>
          <w:bCs/>
          <w:i/>
          <w:iCs/>
          <w:color w:val="364283"/>
        </w:rPr>
        <w:t xml:space="preserve">This factsheet </w:t>
      </w:r>
      <w:r w:rsidR="00034913">
        <w:rPr>
          <w:b/>
          <w:bCs/>
          <w:i/>
          <w:iCs/>
          <w:color w:val="364283"/>
        </w:rPr>
        <w:t xml:space="preserve">provides </w:t>
      </w:r>
      <w:r w:rsidR="00E055AF">
        <w:rPr>
          <w:b/>
          <w:bCs/>
          <w:i/>
          <w:iCs/>
          <w:color w:val="364283"/>
        </w:rPr>
        <w:t>answers to common questions raised in the</w:t>
      </w:r>
      <w:r w:rsidR="00034913" w:rsidRPr="00034913">
        <w:rPr>
          <w:b/>
          <w:bCs/>
          <w:i/>
          <w:iCs/>
          <w:color w:val="364283"/>
        </w:rPr>
        <w:t xml:space="preserve"> 2022 ACFE </w:t>
      </w:r>
      <w:r w:rsidR="00E055AF">
        <w:rPr>
          <w:b/>
          <w:bCs/>
          <w:i/>
          <w:iCs/>
          <w:color w:val="364283"/>
        </w:rPr>
        <w:t>training delivery Information Sessions on 9, 14 and 16 September 2021.</w:t>
      </w:r>
    </w:p>
    <w:p w14:paraId="5BDFB62A" w14:textId="77777777" w:rsidR="00C45FD0" w:rsidRDefault="00C45FD0" w:rsidP="00F0601E">
      <w:pPr>
        <w:pStyle w:val="Heading1"/>
      </w:pPr>
    </w:p>
    <w:p w14:paraId="36C2ADAD" w14:textId="1745627B" w:rsidR="00C45FD0" w:rsidRDefault="00C45FD0" w:rsidP="00F0601E">
      <w:pPr>
        <w:pStyle w:val="Heading1"/>
      </w:pPr>
      <w:r>
        <w:t>2022 ACFE Training Delivery Plan</w:t>
      </w:r>
    </w:p>
    <w:p w14:paraId="3301AAA6" w14:textId="3C4178C3" w:rsidR="00E5740B" w:rsidRPr="00C45FD0" w:rsidRDefault="00E5740B" w:rsidP="00F0601E">
      <w:pPr>
        <w:pStyle w:val="Heading1"/>
        <w:rPr>
          <w:color w:val="auto"/>
          <w:sz w:val="24"/>
          <w:szCs w:val="24"/>
        </w:rPr>
      </w:pPr>
      <w:r w:rsidRPr="00C45FD0">
        <w:rPr>
          <w:color w:val="auto"/>
          <w:sz w:val="24"/>
          <w:szCs w:val="24"/>
        </w:rPr>
        <w:t xml:space="preserve">Where can </w:t>
      </w:r>
      <w:r w:rsidR="00E055AF" w:rsidRPr="00C45FD0">
        <w:rPr>
          <w:color w:val="auto"/>
          <w:sz w:val="24"/>
          <w:szCs w:val="24"/>
        </w:rPr>
        <w:t>I access the 2022 ACFE Training Delivery Plan</w:t>
      </w:r>
      <w:r w:rsidRPr="00C45FD0">
        <w:rPr>
          <w:color w:val="auto"/>
          <w:sz w:val="24"/>
          <w:szCs w:val="24"/>
        </w:rPr>
        <w:t>?</w:t>
      </w:r>
    </w:p>
    <w:p w14:paraId="0B22A22C" w14:textId="5F9BD300" w:rsidR="003B7336" w:rsidRPr="003B7336" w:rsidRDefault="00E055AF" w:rsidP="00E5740B">
      <w:pPr>
        <w:rPr>
          <w:color w:val="0563C1" w:themeColor="hyperlink"/>
          <w:u w:val="single"/>
        </w:rPr>
      </w:pPr>
      <w:r>
        <w:t>The 2022 ACFE Training Delivery Plan is available on the Learn Local website:</w:t>
      </w:r>
      <w:r w:rsidR="003B7336">
        <w:rPr>
          <w:rStyle w:val="Hyperlink"/>
        </w:rPr>
        <w:t xml:space="preserve"> </w:t>
      </w:r>
      <w:hyperlink r:id="rId12" w:history="1">
        <w:r w:rsidR="003B7336">
          <w:rPr>
            <w:rStyle w:val="Hyperlink"/>
          </w:rPr>
          <w:t>2022 ACFE Training Delivery Plan</w:t>
        </w:r>
      </w:hyperlink>
    </w:p>
    <w:p w14:paraId="6D88BD4D" w14:textId="5FFF76D0" w:rsidR="00E5740B" w:rsidRDefault="002C3800" w:rsidP="00E5740B">
      <w:r>
        <w:t>P</w:t>
      </w:r>
      <w:r w:rsidR="00E055AF" w:rsidRPr="003B07DD">
        <w:t xml:space="preserve">lease contact your </w:t>
      </w:r>
      <w:r w:rsidR="00E055AF">
        <w:t>R</w:t>
      </w:r>
      <w:r w:rsidR="00E055AF" w:rsidRPr="003B07DD">
        <w:t xml:space="preserve">egional </w:t>
      </w:r>
      <w:r w:rsidR="00E055AF">
        <w:t>O</w:t>
      </w:r>
      <w:r w:rsidR="00E055AF" w:rsidRPr="003B07DD">
        <w:t>ffice</w:t>
      </w:r>
      <w:r w:rsidR="00E055AF">
        <w:t xml:space="preserve"> for additional support</w:t>
      </w:r>
      <w:r>
        <w:t xml:space="preserve"> if required</w:t>
      </w:r>
      <w:r w:rsidR="00E055AF" w:rsidRPr="003B07DD">
        <w:t>.</w:t>
      </w:r>
    </w:p>
    <w:p w14:paraId="667DE02D" w14:textId="77777777" w:rsidR="00C45FD0" w:rsidRDefault="00C45FD0" w:rsidP="00E5740B"/>
    <w:p w14:paraId="7D7D4CD4" w14:textId="0B73F80F" w:rsidR="00A23803" w:rsidRPr="00C45FD0" w:rsidRDefault="002C3800" w:rsidP="00F0601E">
      <w:pPr>
        <w:pStyle w:val="Heading1"/>
        <w:rPr>
          <w:color w:val="auto"/>
          <w:sz w:val="24"/>
          <w:szCs w:val="24"/>
        </w:rPr>
      </w:pPr>
      <w:r w:rsidRPr="00C45FD0">
        <w:rPr>
          <w:color w:val="auto"/>
          <w:sz w:val="24"/>
          <w:szCs w:val="24"/>
        </w:rPr>
        <w:t>Where can I access further information regarding th</w:t>
      </w:r>
      <w:r w:rsidR="00A23803" w:rsidRPr="00C45FD0">
        <w:rPr>
          <w:color w:val="auto"/>
          <w:sz w:val="24"/>
          <w:szCs w:val="24"/>
        </w:rPr>
        <w:t>e Delivery Plan?</w:t>
      </w:r>
    </w:p>
    <w:p w14:paraId="15369413" w14:textId="7CB43285" w:rsidR="00A06B89" w:rsidRDefault="002C3800" w:rsidP="00A23803">
      <w:r>
        <w:t xml:space="preserve">A Fact Sheet is available on the Learn Local website: </w:t>
      </w:r>
      <w:hyperlink r:id="rId13" w:history="1">
        <w:r w:rsidR="003B7336">
          <w:rPr>
            <w:rStyle w:val="Hyperlink"/>
          </w:rPr>
          <w:t>2022 ACFE Delivery Plan Fact Sheet</w:t>
        </w:r>
      </w:hyperlink>
    </w:p>
    <w:p w14:paraId="7F3CB758" w14:textId="77777777" w:rsidR="003B7336" w:rsidRDefault="003B7336" w:rsidP="00A23803"/>
    <w:p w14:paraId="01653E77" w14:textId="7FE407E0" w:rsidR="002C3800" w:rsidRPr="002C3800" w:rsidRDefault="002C3800" w:rsidP="002C3800">
      <w:pPr>
        <w:rPr>
          <w:color w:val="auto"/>
        </w:rPr>
      </w:pPr>
      <w:r w:rsidRPr="002C3800">
        <w:rPr>
          <w:color w:val="auto"/>
        </w:rPr>
        <w:t>The Fact Sheet provides guid</w:t>
      </w:r>
      <w:r w:rsidR="001C2E6F">
        <w:rPr>
          <w:color w:val="auto"/>
        </w:rPr>
        <w:t>ance</w:t>
      </w:r>
      <w:r w:rsidRPr="002C3800">
        <w:rPr>
          <w:color w:val="auto"/>
        </w:rPr>
        <w:t xml:space="preserve"> on completing the 2022 ACFE Training Delivery Plan.</w:t>
      </w:r>
    </w:p>
    <w:p w14:paraId="393D1F2F" w14:textId="6A0F1E00" w:rsidR="002C3800" w:rsidRDefault="002C3800" w:rsidP="002C3800">
      <w:pPr>
        <w:spacing w:after="80" w:line="240" w:lineRule="auto"/>
        <w:contextualSpacing/>
        <w:rPr>
          <w:rFonts w:eastAsia="Arial"/>
          <w:color w:val="auto"/>
          <w:spacing w:val="-2"/>
          <w:kern w:val="24"/>
          <w:shd w:val="clear" w:color="auto" w:fill="auto"/>
          <w:lang w:eastAsia="en-AU"/>
        </w:rPr>
      </w:pPr>
      <w:r w:rsidRPr="002C3800">
        <w:rPr>
          <w:rFonts w:eastAsia="Arial"/>
          <w:color w:val="auto"/>
          <w:spacing w:val="-2"/>
          <w:kern w:val="24"/>
          <w:shd w:val="clear" w:color="auto" w:fill="auto"/>
          <w:lang w:eastAsia="en-AU"/>
        </w:rPr>
        <w:t xml:space="preserve">When you complete your Learn Local Details in the </w:t>
      </w:r>
      <w:r>
        <w:rPr>
          <w:rFonts w:eastAsia="Arial"/>
          <w:color w:val="auto"/>
          <w:spacing w:val="-2"/>
          <w:kern w:val="24"/>
          <w:shd w:val="clear" w:color="auto" w:fill="auto"/>
          <w:lang w:eastAsia="en-AU"/>
        </w:rPr>
        <w:t>Delivery Plan</w:t>
      </w:r>
      <w:r w:rsidRPr="002C3800">
        <w:rPr>
          <w:rFonts w:eastAsia="Arial"/>
          <w:color w:val="auto"/>
          <w:spacing w:val="-2"/>
          <w:kern w:val="24"/>
          <w:shd w:val="clear" w:color="auto" w:fill="auto"/>
          <w:lang w:eastAsia="en-AU"/>
        </w:rPr>
        <w:t>, you will be provided with the most appropriated Department contacts, who can ensure any problems are resolved quickly. A list of all Department contacts is also provided at the end of the Factsheet.</w:t>
      </w:r>
    </w:p>
    <w:p w14:paraId="60FEC921" w14:textId="2976DCBE" w:rsidR="001C2E6F" w:rsidRDefault="001C2E6F" w:rsidP="002C3800">
      <w:pPr>
        <w:spacing w:after="80" w:line="240" w:lineRule="auto"/>
        <w:contextualSpacing/>
        <w:rPr>
          <w:rFonts w:eastAsia="Arial"/>
          <w:color w:val="auto"/>
          <w:spacing w:val="-2"/>
          <w:kern w:val="24"/>
          <w:shd w:val="clear" w:color="auto" w:fill="auto"/>
          <w:lang w:eastAsia="en-AU"/>
        </w:rPr>
      </w:pPr>
    </w:p>
    <w:p w14:paraId="4FFF3220" w14:textId="77777777" w:rsidR="001C2E6F" w:rsidRDefault="001C2E6F" w:rsidP="002C3800">
      <w:pPr>
        <w:spacing w:after="80" w:line="240" w:lineRule="auto"/>
        <w:contextualSpacing/>
        <w:rPr>
          <w:rFonts w:eastAsia="Arial"/>
          <w:color w:val="auto"/>
          <w:spacing w:val="-2"/>
          <w:kern w:val="24"/>
          <w:shd w:val="clear" w:color="auto" w:fill="auto"/>
          <w:lang w:eastAsia="en-AU"/>
        </w:rPr>
      </w:pPr>
    </w:p>
    <w:p w14:paraId="6C2B7D17" w14:textId="66A9E3C2" w:rsidR="001C2E6F" w:rsidRPr="001C2E6F" w:rsidRDefault="001C2E6F" w:rsidP="001C2E6F">
      <w:pPr>
        <w:rPr>
          <w:b/>
          <w:bCs/>
          <w:sz w:val="24"/>
          <w:szCs w:val="24"/>
        </w:rPr>
      </w:pPr>
      <w:r w:rsidRPr="001C2E6F">
        <w:rPr>
          <w:b/>
          <w:bCs/>
          <w:sz w:val="24"/>
          <w:szCs w:val="24"/>
        </w:rPr>
        <w:t>Do you need to enter</w:t>
      </w:r>
      <w:r>
        <w:rPr>
          <w:b/>
          <w:bCs/>
          <w:sz w:val="24"/>
          <w:szCs w:val="24"/>
        </w:rPr>
        <w:t xml:space="preserve"> course</w:t>
      </w:r>
      <w:r w:rsidRPr="001C2E6F">
        <w:rPr>
          <w:b/>
          <w:bCs/>
          <w:sz w:val="24"/>
          <w:szCs w:val="24"/>
        </w:rPr>
        <w:t xml:space="preserve"> information before using the </w:t>
      </w:r>
      <w:bookmarkStart w:id="0" w:name="_Hlk82096691"/>
      <w:r>
        <w:rPr>
          <w:b/>
          <w:bCs/>
          <w:sz w:val="24"/>
          <w:szCs w:val="24"/>
        </w:rPr>
        <w:t>‘E</w:t>
      </w:r>
      <w:r w:rsidRPr="001C2E6F">
        <w:rPr>
          <w:b/>
          <w:bCs/>
          <w:sz w:val="24"/>
          <w:szCs w:val="24"/>
        </w:rPr>
        <w:t>dit</w:t>
      </w:r>
      <w:r>
        <w:rPr>
          <w:b/>
          <w:bCs/>
          <w:sz w:val="24"/>
          <w:szCs w:val="24"/>
        </w:rPr>
        <w:t>/D</w:t>
      </w:r>
      <w:r w:rsidRPr="001C2E6F">
        <w:rPr>
          <w:b/>
          <w:bCs/>
          <w:sz w:val="24"/>
          <w:szCs w:val="24"/>
        </w:rPr>
        <w:t>elete</w:t>
      </w:r>
      <w:r>
        <w:rPr>
          <w:b/>
          <w:bCs/>
          <w:sz w:val="24"/>
          <w:szCs w:val="24"/>
        </w:rPr>
        <w:t xml:space="preserve"> Course’</w:t>
      </w:r>
      <w:r w:rsidRPr="001C2E6F">
        <w:rPr>
          <w:b/>
          <w:bCs/>
          <w:sz w:val="24"/>
          <w:szCs w:val="24"/>
        </w:rPr>
        <w:t xml:space="preserve"> function</w:t>
      </w:r>
      <w:bookmarkEnd w:id="0"/>
      <w:r w:rsidRPr="001C2E6F">
        <w:rPr>
          <w:b/>
          <w:bCs/>
          <w:sz w:val="24"/>
          <w:szCs w:val="24"/>
        </w:rPr>
        <w:t xml:space="preserve">? </w:t>
      </w:r>
    </w:p>
    <w:p w14:paraId="22210582" w14:textId="67722DBE" w:rsidR="001C2E6F" w:rsidRDefault="001C2E6F" w:rsidP="001C2E6F">
      <w:r>
        <w:t>Yes, you must enter course details via</w:t>
      </w:r>
      <w:r w:rsidRPr="001C2E6F">
        <w:t xml:space="preserve"> </w:t>
      </w:r>
      <w:r>
        <w:t xml:space="preserve">the ‘Add Course’ button, before selecting the ‘Edit/Delete Course’ button, or it will display an error message. </w:t>
      </w:r>
    </w:p>
    <w:p w14:paraId="1EF539EC" w14:textId="77777777" w:rsidR="002C3800" w:rsidRPr="002C3800" w:rsidRDefault="002C3800" w:rsidP="002C3800">
      <w:pPr>
        <w:spacing w:after="80" w:line="240" w:lineRule="auto"/>
        <w:contextualSpacing/>
        <w:rPr>
          <w:rFonts w:eastAsia="Times New Roman"/>
          <w:color w:val="auto"/>
          <w:shd w:val="clear" w:color="auto" w:fill="auto"/>
          <w:lang w:eastAsia="en-AU"/>
        </w:rPr>
      </w:pPr>
    </w:p>
    <w:p w14:paraId="68B658BD" w14:textId="692267E3" w:rsidR="002C3800" w:rsidRPr="00C45FD0" w:rsidRDefault="00C45FD0" w:rsidP="00C45FD0">
      <w:pPr>
        <w:pStyle w:val="Heading1"/>
      </w:pPr>
      <w:r w:rsidRPr="00C45FD0">
        <w:t>Digital Skills</w:t>
      </w:r>
    </w:p>
    <w:p w14:paraId="48335CE6" w14:textId="520F3972" w:rsidR="00C45FD0" w:rsidRDefault="00C45FD0" w:rsidP="00C45FD0">
      <w:pPr>
        <w:rPr>
          <w:b/>
          <w:bCs/>
          <w:color w:val="auto"/>
          <w:sz w:val="24"/>
          <w:szCs w:val="24"/>
        </w:rPr>
      </w:pPr>
      <w:r w:rsidRPr="00C45FD0">
        <w:rPr>
          <w:b/>
          <w:bCs/>
          <w:color w:val="auto"/>
          <w:sz w:val="24"/>
          <w:szCs w:val="24"/>
        </w:rPr>
        <w:t>Where can we access</w:t>
      </w:r>
      <w:r>
        <w:rPr>
          <w:b/>
          <w:bCs/>
          <w:color w:val="auto"/>
          <w:sz w:val="24"/>
          <w:szCs w:val="24"/>
        </w:rPr>
        <w:t xml:space="preserve"> the </w:t>
      </w:r>
      <w:proofErr w:type="gramStart"/>
      <w:r>
        <w:rPr>
          <w:b/>
          <w:bCs/>
          <w:color w:val="auto"/>
          <w:sz w:val="24"/>
          <w:szCs w:val="24"/>
        </w:rPr>
        <w:t>centrally-developed</w:t>
      </w:r>
      <w:proofErr w:type="gramEnd"/>
      <w:r w:rsidRPr="00C45FD0">
        <w:rPr>
          <w:b/>
          <w:bCs/>
          <w:color w:val="auto"/>
          <w:sz w:val="24"/>
          <w:szCs w:val="24"/>
        </w:rPr>
        <w:t xml:space="preserve"> </w:t>
      </w:r>
      <w:r>
        <w:rPr>
          <w:b/>
          <w:bCs/>
          <w:color w:val="auto"/>
          <w:sz w:val="24"/>
          <w:szCs w:val="24"/>
        </w:rPr>
        <w:t>d</w:t>
      </w:r>
      <w:r w:rsidRPr="00C45FD0">
        <w:rPr>
          <w:b/>
          <w:bCs/>
          <w:color w:val="auto"/>
          <w:sz w:val="24"/>
          <w:szCs w:val="24"/>
        </w:rPr>
        <w:t>igital literacy</w:t>
      </w:r>
      <w:r>
        <w:rPr>
          <w:b/>
          <w:bCs/>
          <w:color w:val="auto"/>
          <w:sz w:val="24"/>
          <w:szCs w:val="24"/>
        </w:rPr>
        <w:t xml:space="preserve"> resources</w:t>
      </w:r>
      <w:r w:rsidRPr="00C45FD0">
        <w:rPr>
          <w:b/>
          <w:bCs/>
          <w:color w:val="auto"/>
          <w:sz w:val="24"/>
          <w:szCs w:val="24"/>
        </w:rPr>
        <w:t>?</w:t>
      </w:r>
    </w:p>
    <w:p w14:paraId="668D1B6F" w14:textId="1C5BAF7F" w:rsidR="00C45FD0" w:rsidRPr="00C45FD0" w:rsidRDefault="00C45FD0" w:rsidP="00C45FD0">
      <w:proofErr w:type="gramStart"/>
      <w:r w:rsidRPr="00C45FD0">
        <w:t>Centrally-developed</w:t>
      </w:r>
      <w:proofErr w:type="gramEnd"/>
      <w:r w:rsidRPr="00C45FD0">
        <w:t xml:space="preserve"> </w:t>
      </w:r>
      <w:r w:rsidR="005B35B8">
        <w:t xml:space="preserve">digital skills </w:t>
      </w:r>
      <w:r w:rsidRPr="00C45FD0">
        <w:t>A-frames and associated resources currently available on the Learn Local website include:</w:t>
      </w:r>
    </w:p>
    <w:p w14:paraId="7893F113" w14:textId="450DF61D" w:rsidR="00C45FD0" w:rsidRPr="00F4265F" w:rsidRDefault="00C45FD0" w:rsidP="00C45FD0">
      <w:pPr>
        <w:pStyle w:val="ListParagraph"/>
        <w:numPr>
          <w:ilvl w:val="0"/>
          <w:numId w:val="22"/>
        </w:numPr>
        <w:rPr>
          <w:b/>
          <w:bCs/>
        </w:rPr>
      </w:pPr>
      <w:r w:rsidRPr="00F4265F">
        <w:rPr>
          <w:b/>
          <w:bCs/>
        </w:rPr>
        <w:t>Digital Essentials Level 1</w:t>
      </w:r>
    </w:p>
    <w:p w14:paraId="43A7A188" w14:textId="3E4AADBA" w:rsidR="00C45FD0" w:rsidRPr="00F4265F" w:rsidRDefault="00C45FD0" w:rsidP="00C45FD0">
      <w:pPr>
        <w:pStyle w:val="ListParagraph"/>
        <w:numPr>
          <w:ilvl w:val="0"/>
          <w:numId w:val="22"/>
        </w:numPr>
        <w:rPr>
          <w:b/>
          <w:bCs/>
        </w:rPr>
      </w:pPr>
      <w:r w:rsidRPr="00F4265F">
        <w:rPr>
          <w:b/>
          <w:bCs/>
        </w:rPr>
        <w:t>Digital Essentials Level 2</w:t>
      </w:r>
    </w:p>
    <w:p w14:paraId="555494C0" w14:textId="2C032BCC" w:rsidR="00C45FD0" w:rsidRDefault="00C45FD0" w:rsidP="00C45FD0">
      <w:pPr>
        <w:rPr>
          <w:rStyle w:val="Hyperlink"/>
        </w:rPr>
      </w:pPr>
      <w:r w:rsidRPr="00C45FD0">
        <w:t xml:space="preserve">Link: </w:t>
      </w:r>
      <w:hyperlink r:id="rId14" w:history="1">
        <w:r w:rsidRPr="00C45FD0">
          <w:rPr>
            <w:rStyle w:val="Hyperlink"/>
          </w:rPr>
          <w:t>https://learnlocal.org.au/resources/de/</w:t>
        </w:r>
      </w:hyperlink>
    </w:p>
    <w:p w14:paraId="2D285787" w14:textId="0DFB16CA" w:rsidR="00A9677E" w:rsidRDefault="00F4265F" w:rsidP="00A9677E">
      <w:r>
        <w:lastRenderedPageBreak/>
        <w:t>Products and resources will be developed to</w:t>
      </w:r>
      <w:r w:rsidRPr="00F4265F">
        <w:t xml:space="preserve"> support</w:t>
      </w:r>
      <w:r w:rsidRPr="00F4265F">
        <w:rPr>
          <w:b/>
          <w:bCs/>
        </w:rPr>
        <w:t xml:space="preserve"> Digital Skills for Employability</w:t>
      </w:r>
      <w:r w:rsidR="00A9677E">
        <w:rPr>
          <w:b/>
          <w:bCs/>
        </w:rPr>
        <w:t xml:space="preserve"> </w:t>
      </w:r>
      <w:r w:rsidR="00A9677E" w:rsidRPr="00A9677E">
        <w:t>and are anticipated to be available at the</w:t>
      </w:r>
      <w:r w:rsidR="00A9677E">
        <w:rPr>
          <w:b/>
          <w:bCs/>
        </w:rPr>
        <w:t xml:space="preserve"> </w:t>
      </w:r>
      <w:r w:rsidR="00A9677E">
        <w:t>end of 2021 or beginning of 2022</w:t>
      </w:r>
      <w:r>
        <w:t>.  More information will be available shortly.</w:t>
      </w:r>
      <w:r w:rsidR="00A9677E">
        <w:t xml:space="preserve">  </w:t>
      </w:r>
    </w:p>
    <w:p w14:paraId="62B28DD8" w14:textId="7FB2AE61" w:rsidR="00F4265F" w:rsidRDefault="00F4265F" w:rsidP="00C45FD0"/>
    <w:p w14:paraId="470C64FD" w14:textId="2CCD4AF6" w:rsidR="00A9677E" w:rsidRPr="00A9677E" w:rsidRDefault="00A9677E" w:rsidP="00C45FD0">
      <w:pPr>
        <w:rPr>
          <w:b/>
          <w:bCs/>
          <w:color w:val="auto"/>
        </w:rPr>
      </w:pPr>
      <w:r w:rsidRPr="00A9677E">
        <w:rPr>
          <w:rFonts w:eastAsia="Arial"/>
          <w:color w:val="auto"/>
          <w:kern w:val="24"/>
        </w:rPr>
        <w:t xml:space="preserve">Locally developed Digital Skills for Employability courses are those that provide adult Victorians with core employability skills </w:t>
      </w:r>
      <w:proofErr w:type="gramStart"/>
      <w:r w:rsidRPr="00A9677E">
        <w:rPr>
          <w:rFonts w:eastAsia="Arial"/>
          <w:color w:val="auto"/>
          <w:kern w:val="24"/>
        </w:rPr>
        <w:t>training</w:t>
      </w:r>
      <w:proofErr w:type="gramEnd"/>
      <w:r w:rsidRPr="00A9677E">
        <w:rPr>
          <w:rFonts w:eastAsia="Arial"/>
          <w:color w:val="auto"/>
          <w:kern w:val="24"/>
        </w:rPr>
        <w:t xml:space="preserve"> </w:t>
      </w:r>
      <w:r>
        <w:rPr>
          <w:rFonts w:eastAsia="Arial"/>
          <w:color w:val="auto"/>
          <w:kern w:val="24"/>
        </w:rPr>
        <w:t xml:space="preserve">and </w:t>
      </w:r>
      <w:r w:rsidRPr="00A9677E">
        <w:rPr>
          <w:rFonts w:eastAsia="Arial"/>
          <w:color w:val="auto"/>
          <w:kern w:val="24"/>
        </w:rPr>
        <w:t>which embed a digital component</w:t>
      </w:r>
      <w:r>
        <w:rPr>
          <w:rFonts w:eastAsia="Arial"/>
          <w:color w:val="auto"/>
          <w:kern w:val="24"/>
        </w:rPr>
        <w:t>.</w:t>
      </w:r>
    </w:p>
    <w:p w14:paraId="03602B58" w14:textId="1FE30138" w:rsidR="00C45FD0" w:rsidRDefault="00F4265F" w:rsidP="00C45FD0">
      <w:pPr>
        <w:rPr>
          <w:b/>
          <w:bCs/>
          <w:u w:val="single"/>
        </w:rPr>
      </w:pPr>
      <w:r>
        <w:t>P</w:t>
      </w:r>
      <w:r w:rsidRPr="003B07DD">
        <w:t xml:space="preserve">lease contact your </w:t>
      </w:r>
      <w:r>
        <w:t>R</w:t>
      </w:r>
      <w:r w:rsidRPr="003B07DD">
        <w:t xml:space="preserve">egional </w:t>
      </w:r>
      <w:r>
        <w:t>O</w:t>
      </w:r>
      <w:r w:rsidRPr="003B07DD">
        <w:t>ffice</w:t>
      </w:r>
      <w:r>
        <w:t xml:space="preserve"> for additional support if required</w:t>
      </w:r>
      <w:r w:rsidRPr="003B07DD">
        <w:t>.</w:t>
      </w:r>
    </w:p>
    <w:p w14:paraId="2D1BA53B" w14:textId="40C62629" w:rsidR="00C45FD0" w:rsidRDefault="00C45FD0" w:rsidP="00C45FD0">
      <w:pPr>
        <w:rPr>
          <w:b/>
          <w:bCs/>
          <w:color w:val="auto"/>
          <w:sz w:val="24"/>
          <w:szCs w:val="24"/>
        </w:rPr>
      </w:pPr>
    </w:p>
    <w:p w14:paraId="0CB2D74D" w14:textId="0AC6FF9A" w:rsidR="00F4265F" w:rsidRDefault="00F4265F" w:rsidP="00C45FD0">
      <w:pPr>
        <w:rPr>
          <w:b/>
          <w:bCs/>
          <w:color w:val="auto"/>
          <w:sz w:val="24"/>
          <w:szCs w:val="24"/>
        </w:rPr>
      </w:pPr>
      <w:r>
        <w:rPr>
          <w:b/>
          <w:bCs/>
          <w:color w:val="auto"/>
          <w:sz w:val="24"/>
          <w:szCs w:val="24"/>
        </w:rPr>
        <w:t>Can we include digital literacy courses in General Pre-accredited training delivery?</w:t>
      </w:r>
    </w:p>
    <w:p w14:paraId="580C551E" w14:textId="6E343DDF" w:rsidR="00A656A1" w:rsidRDefault="007A50B8" w:rsidP="00C45FD0">
      <w:pPr>
        <w:rPr>
          <w:color w:val="auto"/>
        </w:rPr>
      </w:pPr>
      <w:r>
        <w:rPr>
          <w:color w:val="auto"/>
        </w:rPr>
        <w:t xml:space="preserve">No. </w:t>
      </w:r>
      <w:r w:rsidR="00F4265F" w:rsidRPr="00A656A1">
        <w:rPr>
          <w:color w:val="auto"/>
        </w:rPr>
        <w:t xml:space="preserve">All digital literacy courses should be included under the Digital Skills program stream. </w:t>
      </w:r>
      <w:r w:rsidR="00A656A1">
        <w:rPr>
          <w:color w:val="auto"/>
        </w:rPr>
        <w:t xml:space="preserve"> This includes the centralised Digital Essentials Level 1 and 2, and local digital literacy courses, or a customised combination of central and local resources.</w:t>
      </w:r>
    </w:p>
    <w:p w14:paraId="0F486CAC" w14:textId="6C2A53E3" w:rsidR="00F4265F" w:rsidRPr="00A656A1" w:rsidRDefault="00F4265F" w:rsidP="00C45FD0">
      <w:pPr>
        <w:rPr>
          <w:color w:val="auto"/>
        </w:rPr>
      </w:pPr>
      <w:r w:rsidRPr="00A656A1">
        <w:rPr>
          <w:color w:val="auto"/>
        </w:rPr>
        <w:t>There is no program category for digital literacy under General Pre-accredi</w:t>
      </w:r>
      <w:r w:rsidR="00A656A1" w:rsidRPr="00A656A1">
        <w:rPr>
          <w:color w:val="auto"/>
        </w:rPr>
        <w:t>ted.</w:t>
      </w:r>
    </w:p>
    <w:p w14:paraId="290D3BAC" w14:textId="77777777" w:rsidR="00D241EB" w:rsidRDefault="00D241EB" w:rsidP="00443DBF">
      <w:pPr>
        <w:pStyle w:val="Heading1"/>
        <w:rPr>
          <w:color w:val="auto"/>
          <w:sz w:val="24"/>
          <w:szCs w:val="24"/>
        </w:rPr>
      </w:pPr>
    </w:p>
    <w:p w14:paraId="62FEAADA" w14:textId="3C0835EB" w:rsidR="00581E02" w:rsidRPr="00D241EB" w:rsidRDefault="00D241EB" w:rsidP="00443DBF">
      <w:pPr>
        <w:pStyle w:val="Heading1"/>
        <w:rPr>
          <w:color w:val="auto"/>
          <w:sz w:val="24"/>
          <w:szCs w:val="24"/>
        </w:rPr>
      </w:pPr>
      <w:r w:rsidRPr="00D241EB">
        <w:rPr>
          <w:color w:val="auto"/>
          <w:sz w:val="24"/>
          <w:szCs w:val="24"/>
        </w:rPr>
        <w:t xml:space="preserve">If </w:t>
      </w:r>
      <w:r>
        <w:rPr>
          <w:color w:val="auto"/>
          <w:sz w:val="24"/>
          <w:szCs w:val="24"/>
        </w:rPr>
        <w:t>we</w:t>
      </w:r>
      <w:r w:rsidRPr="00D241EB">
        <w:rPr>
          <w:color w:val="auto"/>
          <w:sz w:val="24"/>
          <w:szCs w:val="24"/>
        </w:rPr>
        <w:t xml:space="preserve"> </w:t>
      </w:r>
      <w:r>
        <w:rPr>
          <w:color w:val="auto"/>
          <w:sz w:val="24"/>
          <w:szCs w:val="24"/>
        </w:rPr>
        <w:t>move some of our proposed General Pre-accredited delivery hours to</w:t>
      </w:r>
      <w:r w:rsidR="00030662">
        <w:rPr>
          <w:color w:val="auto"/>
          <w:sz w:val="24"/>
          <w:szCs w:val="24"/>
        </w:rPr>
        <w:t xml:space="preserve"> the</w:t>
      </w:r>
      <w:r>
        <w:rPr>
          <w:color w:val="auto"/>
          <w:sz w:val="24"/>
          <w:szCs w:val="24"/>
        </w:rPr>
        <w:t xml:space="preserve"> Digital Skills program stream, </w:t>
      </w:r>
      <w:r w:rsidRPr="00D241EB">
        <w:rPr>
          <w:color w:val="auto"/>
          <w:sz w:val="24"/>
          <w:szCs w:val="24"/>
        </w:rPr>
        <w:t xml:space="preserve">will this reduce the </w:t>
      </w:r>
      <w:r>
        <w:rPr>
          <w:color w:val="auto"/>
          <w:sz w:val="24"/>
          <w:szCs w:val="24"/>
        </w:rPr>
        <w:t xml:space="preserve">General Pre-accredited </w:t>
      </w:r>
      <w:r w:rsidRPr="00D241EB">
        <w:rPr>
          <w:color w:val="auto"/>
          <w:sz w:val="24"/>
          <w:szCs w:val="24"/>
        </w:rPr>
        <w:t xml:space="preserve">hours </w:t>
      </w:r>
      <w:r>
        <w:rPr>
          <w:color w:val="auto"/>
          <w:sz w:val="24"/>
          <w:szCs w:val="24"/>
        </w:rPr>
        <w:t>we</w:t>
      </w:r>
      <w:r w:rsidRPr="00D241EB">
        <w:rPr>
          <w:color w:val="auto"/>
          <w:sz w:val="24"/>
          <w:szCs w:val="24"/>
        </w:rPr>
        <w:t xml:space="preserve"> receive in future years?</w:t>
      </w:r>
    </w:p>
    <w:p w14:paraId="0569EAB2" w14:textId="331D7955" w:rsidR="00D241EB" w:rsidRDefault="00D241EB" w:rsidP="00D241EB">
      <w:r>
        <w:t xml:space="preserve">No, we will consider your total delivery </w:t>
      </w:r>
      <w:r w:rsidR="00030662">
        <w:t xml:space="preserve">of hours </w:t>
      </w:r>
      <w:r>
        <w:t xml:space="preserve">across </w:t>
      </w:r>
      <w:r w:rsidR="00030662">
        <w:t xml:space="preserve">all applicable program streams </w:t>
      </w:r>
      <w:r>
        <w:t>in future years.</w:t>
      </w:r>
    </w:p>
    <w:p w14:paraId="043E6CAE" w14:textId="77777777" w:rsidR="00D241EB" w:rsidRPr="00D241EB" w:rsidRDefault="00D241EB" w:rsidP="00D241EB"/>
    <w:p w14:paraId="46270D52" w14:textId="775DC294" w:rsidR="007A50B8" w:rsidRDefault="007A50B8" w:rsidP="00443DBF">
      <w:pPr>
        <w:pStyle w:val="Heading1"/>
      </w:pPr>
      <w:r>
        <w:t>Learner Eligibility</w:t>
      </w:r>
    </w:p>
    <w:p w14:paraId="75DBC206" w14:textId="4E8D624A" w:rsidR="007A50B8" w:rsidRPr="00443DBF" w:rsidRDefault="007A50B8" w:rsidP="00C45FD0">
      <w:pPr>
        <w:rPr>
          <w:b/>
          <w:bCs/>
          <w:color w:val="auto"/>
          <w:sz w:val="24"/>
          <w:szCs w:val="24"/>
        </w:rPr>
      </w:pPr>
      <w:r w:rsidRPr="00443DBF">
        <w:rPr>
          <w:b/>
          <w:bCs/>
          <w:sz w:val="24"/>
          <w:szCs w:val="24"/>
        </w:rPr>
        <w:t>Is there a guide about learner eligibility including reference to asylum seekers?</w:t>
      </w:r>
    </w:p>
    <w:p w14:paraId="02EC59FB" w14:textId="72D2851D" w:rsidR="007A50B8" w:rsidRPr="00443DBF" w:rsidRDefault="00443DBF" w:rsidP="00C45FD0">
      <w:pPr>
        <w:rPr>
          <w:color w:val="auto"/>
        </w:rPr>
      </w:pPr>
      <w:r w:rsidRPr="00443DBF">
        <w:rPr>
          <w:color w:val="auto"/>
        </w:rPr>
        <w:t xml:space="preserve">The learner eligibility table is on page 9 of the </w:t>
      </w:r>
      <w:hyperlink r:id="rId15" w:history="1">
        <w:r w:rsidRPr="00443DBF">
          <w:rPr>
            <w:rStyle w:val="Hyperlink"/>
          </w:rPr>
          <w:t>ACFE 2022-Training-Delivery-Guidelines.docx</w:t>
        </w:r>
      </w:hyperlink>
    </w:p>
    <w:p w14:paraId="35383880" w14:textId="2100A240" w:rsidR="005A31CF" w:rsidRPr="005A31CF" w:rsidRDefault="00443DBF" w:rsidP="00C45FD0">
      <w:pPr>
        <w:rPr>
          <w:color w:val="auto"/>
        </w:rPr>
      </w:pPr>
      <w:r w:rsidRPr="00443DBF">
        <w:rPr>
          <w:color w:val="auto"/>
        </w:rPr>
        <w:t xml:space="preserve">This includes reference to the specific eligibility exemption for </w:t>
      </w:r>
      <w:r>
        <w:rPr>
          <w:color w:val="auto"/>
        </w:rPr>
        <w:t>a</w:t>
      </w:r>
      <w:r w:rsidRPr="00443DBF">
        <w:rPr>
          <w:rFonts w:eastAsiaTheme="minorEastAsia"/>
        </w:rPr>
        <w:t>sylum seekers holding valid Bridging Visa E (BE), Temporary Protection Visa (TPV) or Safe Haven Enterprise Visa (SHEV), that have been referred by Jobs Victoria Mentoring Service providers to pre-accredited pre-employment programs.</w:t>
      </w:r>
    </w:p>
    <w:p w14:paraId="05D23CCF" w14:textId="6261AB47" w:rsidR="00443DBF" w:rsidRDefault="00443DBF" w:rsidP="00C45FD0">
      <w:pPr>
        <w:rPr>
          <w:rFonts w:eastAsiaTheme="minorEastAsia"/>
        </w:rPr>
      </w:pPr>
      <w:r>
        <w:rPr>
          <w:rFonts w:eastAsiaTheme="minorEastAsia"/>
        </w:rPr>
        <w:t xml:space="preserve">Further details for learner eligibility evidence are in the </w:t>
      </w:r>
      <w:hyperlink r:id="rId16" w:history="1">
        <w:r w:rsidR="004F732E">
          <w:rPr>
            <w:rStyle w:val="Hyperlink"/>
            <w:rFonts w:eastAsiaTheme="minorEastAsia"/>
          </w:rPr>
          <w:t>ACFE 2022 Fact Sheet 1 - Learner Eligibility Assessment and Evidence.docx</w:t>
        </w:r>
      </w:hyperlink>
    </w:p>
    <w:p w14:paraId="36E4A414" w14:textId="77777777" w:rsidR="00443DBF" w:rsidRDefault="00443DBF" w:rsidP="00C45FD0">
      <w:pPr>
        <w:rPr>
          <w:b/>
          <w:bCs/>
          <w:color w:val="auto"/>
          <w:sz w:val="24"/>
          <w:szCs w:val="24"/>
        </w:rPr>
      </w:pPr>
    </w:p>
    <w:p w14:paraId="38E7B478" w14:textId="4C9A3A3E" w:rsidR="00F4265F" w:rsidRPr="00D569F3" w:rsidRDefault="00A656A1" w:rsidP="00D569F3">
      <w:pPr>
        <w:pStyle w:val="Heading1"/>
      </w:pPr>
      <w:r w:rsidRPr="00D569F3">
        <w:t>Reporting Guidelines</w:t>
      </w:r>
    </w:p>
    <w:p w14:paraId="53B93C35" w14:textId="16FF663E" w:rsidR="00A656A1" w:rsidRDefault="00A656A1" w:rsidP="00C45FD0">
      <w:pPr>
        <w:rPr>
          <w:b/>
          <w:bCs/>
          <w:color w:val="auto"/>
          <w:sz w:val="24"/>
          <w:szCs w:val="24"/>
        </w:rPr>
      </w:pPr>
      <w:r>
        <w:rPr>
          <w:b/>
          <w:bCs/>
          <w:color w:val="auto"/>
          <w:sz w:val="24"/>
          <w:szCs w:val="24"/>
        </w:rPr>
        <w:t>Are the 2022 Reporting Guidelines available?</w:t>
      </w:r>
    </w:p>
    <w:p w14:paraId="7D5F0B8C" w14:textId="0257311B" w:rsidR="00037CCD" w:rsidRDefault="00A656A1" w:rsidP="00037CCD">
      <w:r>
        <w:t xml:space="preserve">The current </w:t>
      </w:r>
      <w:hyperlink r:id="rId17" w:history="1">
        <w:r w:rsidR="005B35B8">
          <w:rPr>
            <w:rStyle w:val="Hyperlink"/>
          </w:rPr>
          <w:t>2021 Pre-accredited Data Reporting Guidelines</w:t>
        </w:r>
      </w:hyperlink>
      <w:r w:rsidR="005B35B8">
        <w:t xml:space="preserve"> </w:t>
      </w:r>
      <w:r>
        <w:t>are on the Learn Local website</w:t>
      </w:r>
      <w:r w:rsidR="005B35B8">
        <w:t>.</w:t>
      </w:r>
      <w:r w:rsidR="00037CCD">
        <w:t xml:space="preserve"> </w:t>
      </w:r>
    </w:p>
    <w:p w14:paraId="424AE9E1" w14:textId="2629291F" w:rsidR="00037CCD" w:rsidRDefault="00037CCD" w:rsidP="00037CCD">
      <w:r>
        <w:t>The 2022 Reporting Guidelines will be uploaded in Jan</w:t>
      </w:r>
      <w:r w:rsidR="005B35B8">
        <w:t>uary</w:t>
      </w:r>
      <w:r>
        <w:t xml:space="preserve"> 2022.</w:t>
      </w:r>
    </w:p>
    <w:p w14:paraId="406623B3" w14:textId="258F9341" w:rsidR="00F27069" w:rsidRDefault="00F27069" w:rsidP="00C45FD0">
      <w:pPr>
        <w:rPr>
          <w:b/>
          <w:bCs/>
          <w:color w:val="auto"/>
          <w:sz w:val="24"/>
          <w:szCs w:val="24"/>
        </w:rPr>
      </w:pPr>
    </w:p>
    <w:p w14:paraId="380CDC5C" w14:textId="04AA0105" w:rsidR="00A656A1" w:rsidRPr="00D569F3" w:rsidRDefault="005B35B8" w:rsidP="00D569F3">
      <w:pPr>
        <w:pStyle w:val="Heading1"/>
      </w:pPr>
      <w:r w:rsidRPr="00D569F3">
        <w:lastRenderedPageBreak/>
        <w:t>A-frame</w:t>
      </w:r>
    </w:p>
    <w:p w14:paraId="08F5BEEA" w14:textId="23ACE170" w:rsidR="005B35B8" w:rsidRDefault="005B35B8" w:rsidP="00C45FD0">
      <w:pPr>
        <w:rPr>
          <w:b/>
          <w:bCs/>
          <w:color w:val="auto"/>
          <w:sz w:val="24"/>
          <w:szCs w:val="24"/>
        </w:rPr>
      </w:pPr>
      <w:r>
        <w:rPr>
          <w:b/>
          <w:bCs/>
          <w:color w:val="auto"/>
          <w:sz w:val="24"/>
          <w:szCs w:val="24"/>
        </w:rPr>
        <w:t>What elements of the A-frame need to be submitted?</w:t>
      </w:r>
    </w:p>
    <w:p w14:paraId="309FAB1E" w14:textId="2385231A" w:rsidR="005B35B8" w:rsidRDefault="005B35B8" w:rsidP="005B35B8">
      <w:r>
        <w:t>A-frames include Course Plan</w:t>
      </w:r>
      <w:r w:rsidR="007219D2">
        <w:t>s (Overview)</w:t>
      </w:r>
      <w:r>
        <w:t xml:space="preserve"> which provide an overview of the course, and Session Plans which provide an outline of individual training sessions.</w:t>
      </w:r>
    </w:p>
    <w:p w14:paraId="5EFDF5AB" w14:textId="17F4BB7E" w:rsidR="007219D2" w:rsidRDefault="007219D2" w:rsidP="005B35B8">
      <w:r>
        <w:t>The following elements of the A-frame need to be submitted for each applicable program stream:</w:t>
      </w:r>
    </w:p>
    <w:p w14:paraId="22C98719" w14:textId="166432CD" w:rsidR="007219D2" w:rsidRDefault="007219D2" w:rsidP="007219D2">
      <w:pPr>
        <w:pStyle w:val="ListParagraph"/>
        <w:numPr>
          <w:ilvl w:val="0"/>
          <w:numId w:val="24"/>
        </w:numPr>
      </w:pPr>
      <w:r>
        <w:t>Learner Engagement A-frame Program (LEAP): Course Plan only.</w:t>
      </w:r>
    </w:p>
    <w:p w14:paraId="5D4C3BBD" w14:textId="0A0F5E5F" w:rsidR="007219D2" w:rsidRDefault="007219D2" w:rsidP="008F75E4">
      <w:pPr>
        <w:pStyle w:val="ListParagraph"/>
        <w:numPr>
          <w:ilvl w:val="0"/>
          <w:numId w:val="24"/>
        </w:numPr>
      </w:pPr>
      <w:r>
        <w:t>Digital Skills: Course Plan for existing local courses.  Course Plan and Session Plan for new or substantially amended courses</w:t>
      </w:r>
      <w:r w:rsidR="008F75E4">
        <w:t xml:space="preserve">. Course Plan and Session Plan for </w:t>
      </w:r>
      <w:r>
        <w:t>existing centrally developed digital skills A-frames</w:t>
      </w:r>
      <w:r w:rsidR="008F75E4">
        <w:t xml:space="preserve"> or a combination of central and local A-frames. </w:t>
      </w:r>
      <w:r w:rsidR="00A9677E">
        <w:t xml:space="preserve"> </w:t>
      </w:r>
    </w:p>
    <w:p w14:paraId="4398226B" w14:textId="2F247F9F" w:rsidR="007219D2" w:rsidRDefault="007219D2" w:rsidP="007219D2">
      <w:pPr>
        <w:pStyle w:val="ListParagraph"/>
        <w:numPr>
          <w:ilvl w:val="0"/>
          <w:numId w:val="24"/>
        </w:numPr>
      </w:pPr>
      <w:r>
        <w:t>General Pre-accredited Training: Course Plan for existing local courses.  Course Plan and Session Plan for new or substantially amended courses</w:t>
      </w:r>
      <w:r w:rsidR="008F3897">
        <w:t>.</w:t>
      </w:r>
      <w:r w:rsidR="00581E02">
        <w:t xml:space="preserve">  </w:t>
      </w:r>
      <w:r w:rsidR="008F75E4">
        <w:t>Course Plan and Session Plan for central Skills for Work and Study A-frames or a combination of central and local A-frames.</w:t>
      </w:r>
    </w:p>
    <w:p w14:paraId="6976FEF0" w14:textId="3E6D4733" w:rsidR="007219D2" w:rsidRDefault="007219D2" w:rsidP="007219D2">
      <w:pPr>
        <w:pStyle w:val="ListParagraph"/>
      </w:pPr>
    </w:p>
    <w:p w14:paraId="3A515171" w14:textId="77777777" w:rsidR="005B35B8" w:rsidRDefault="005B35B8" w:rsidP="00C45FD0">
      <w:pPr>
        <w:rPr>
          <w:b/>
          <w:bCs/>
          <w:color w:val="auto"/>
          <w:sz w:val="24"/>
          <w:szCs w:val="24"/>
        </w:rPr>
      </w:pPr>
    </w:p>
    <w:p w14:paraId="5CBB7110" w14:textId="6A1D342A" w:rsidR="007219D2" w:rsidRPr="00D569F3" w:rsidRDefault="007219D2" w:rsidP="00D569F3">
      <w:pPr>
        <w:pStyle w:val="Heading1"/>
      </w:pPr>
      <w:r w:rsidRPr="00D569F3">
        <w:t>Allocation of Student Contact Hours (SCH)</w:t>
      </w:r>
    </w:p>
    <w:p w14:paraId="7D672DA9" w14:textId="7A452FB2" w:rsidR="007219D2" w:rsidRPr="007219D2" w:rsidRDefault="007219D2" w:rsidP="007219D2">
      <w:pPr>
        <w:rPr>
          <w:b/>
          <w:bCs/>
          <w:color w:val="002060"/>
          <w:sz w:val="24"/>
          <w:szCs w:val="24"/>
        </w:rPr>
      </w:pPr>
      <w:r w:rsidRPr="007219D2">
        <w:rPr>
          <w:b/>
          <w:bCs/>
          <w:color w:val="002060"/>
          <w:sz w:val="24"/>
          <w:szCs w:val="24"/>
        </w:rPr>
        <w:t>How many Student Contact Hours can we apply for?</w:t>
      </w:r>
    </w:p>
    <w:p w14:paraId="3137A353" w14:textId="0F426269" w:rsidR="00D569F3" w:rsidRDefault="00D569F3" w:rsidP="00D569F3">
      <w:r>
        <w:t xml:space="preserve">Learn Local providers should apply </w:t>
      </w:r>
      <w:proofErr w:type="gramStart"/>
      <w:r>
        <w:t>for the amount of</w:t>
      </w:r>
      <w:proofErr w:type="gramEnd"/>
      <w:r>
        <w:t xml:space="preserve"> Student Contact Hours that they anticipate they can deliver, for each program stream as applicable, following analysis of demand and local need and delivery capacity.   </w:t>
      </w:r>
    </w:p>
    <w:p w14:paraId="3E74B287" w14:textId="77777777" w:rsidR="002A24A3" w:rsidRDefault="002A24A3" w:rsidP="00D569F3">
      <w:pPr>
        <w:rPr>
          <w:u w:val="single"/>
        </w:rPr>
      </w:pPr>
    </w:p>
    <w:p w14:paraId="51B43C39" w14:textId="72FF1279" w:rsidR="00D569F3" w:rsidRPr="00D569F3" w:rsidRDefault="00D569F3" w:rsidP="00D569F3">
      <w:r w:rsidRPr="00D569F3">
        <w:rPr>
          <w:u w:val="single"/>
        </w:rPr>
        <w:t>LEAP</w:t>
      </w:r>
      <w:r w:rsidRPr="00D569F3">
        <w:t>:</w:t>
      </w:r>
    </w:p>
    <w:p w14:paraId="2CB6DEF6" w14:textId="35E6AA9A" w:rsidR="00D569F3" w:rsidRPr="00D569F3" w:rsidRDefault="00D569F3" w:rsidP="00D569F3">
      <w:r w:rsidRPr="00D569F3">
        <w:t xml:space="preserve">LEAP has a fixed budget </w:t>
      </w:r>
      <w:r w:rsidR="00374949">
        <w:t xml:space="preserve">with limited total SCH. The </w:t>
      </w:r>
      <w:r w:rsidRPr="00D569F3">
        <w:t>Expression of Interest (EOI) round will be competitive for these Student Contact Hours (SCH) against the program criteria.</w:t>
      </w:r>
    </w:p>
    <w:p w14:paraId="03A5C7E7" w14:textId="5D442763" w:rsidR="00D569F3" w:rsidRPr="00D569F3" w:rsidRDefault="00D569F3" w:rsidP="00D569F3">
      <w:pPr>
        <w:keepNext/>
        <w:keepLines/>
        <w:spacing w:before="120" w:after="120" w:line="280" w:lineRule="atLeast"/>
        <w:outlineLvl w:val="2"/>
        <w:rPr>
          <w:rFonts w:eastAsiaTheme="majorEastAsia"/>
          <w:bCs/>
          <w:color w:val="000000" w:themeColor="text1"/>
        </w:rPr>
      </w:pPr>
      <w:r w:rsidRPr="00D569F3">
        <w:rPr>
          <w:rFonts w:eastAsiaTheme="majorEastAsia"/>
          <w:bCs/>
          <w:color w:val="000000" w:themeColor="text1"/>
          <w:lang w:val="en-GB"/>
        </w:rPr>
        <w:t>Providers with an allocation of up to 2,000 SCH for General Pre-accredited Training Delivery in 2022 will be offered a maximum of 200 SCH for LEAP.</w:t>
      </w:r>
      <w:r w:rsidR="00AC2D03">
        <w:rPr>
          <w:rFonts w:eastAsiaTheme="majorEastAsia"/>
          <w:bCs/>
          <w:color w:val="000000" w:themeColor="text1"/>
        </w:rPr>
        <w:t xml:space="preserve">  </w:t>
      </w:r>
      <w:r w:rsidRPr="00D569F3">
        <w:rPr>
          <w:rFonts w:eastAsiaTheme="majorEastAsia"/>
          <w:bCs/>
          <w:color w:val="000000" w:themeColor="text1"/>
          <w:lang w:val="en-GB"/>
        </w:rPr>
        <w:t xml:space="preserve">Providers with an allocation of 2,000 SCH or more for General Pre-accredited Training Delivery in 2022, will be offered a maximum of 10 per cent of their total pre-accredited SCH allocation, for LEAP.  </w:t>
      </w:r>
    </w:p>
    <w:p w14:paraId="214B3515" w14:textId="77777777" w:rsidR="00D569F3" w:rsidRDefault="00D569F3" w:rsidP="00D569F3"/>
    <w:p w14:paraId="406A6FE2" w14:textId="6BAD55A3" w:rsidR="00D569F3" w:rsidRDefault="00D569F3" w:rsidP="00D569F3">
      <w:r w:rsidRPr="00D569F3">
        <w:rPr>
          <w:u w:val="single"/>
        </w:rPr>
        <w:t>Digital Skills</w:t>
      </w:r>
      <w:r>
        <w:t>:</w:t>
      </w:r>
    </w:p>
    <w:p w14:paraId="7FDC9A71" w14:textId="5475DE25" w:rsidR="0067541E" w:rsidRPr="0067541E" w:rsidRDefault="0067541E" w:rsidP="0067541E">
      <w:pPr>
        <w:pStyle w:val="NormalWeb"/>
        <w:spacing w:before="0" w:beforeAutospacing="0" w:after="0" w:afterAutospacing="0"/>
        <w:rPr>
          <w:rFonts w:ascii="Arial" w:eastAsia="Arial" w:hAnsi="Arial" w:cs="Arial"/>
          <w:kern w:val="24"/>
          <w:sz w:val="21"/>
          <w:szCs w:val="21"/>
        </w:rPr>
      </w:pPr>
      <w:r w:rsidRPr="0067541E">
        <w:rPr>
          <w:rFonts w:ascii="Arial" w:eastAsia="Arial" w:hAnsi="Arial" w:cs="Arial"/>
          <w:kern w:val="24"/>
          <w:sz w:val="21"/>
          <w:szCs w:val="21"/>
        </w:rPr>
        <w:t xml:space="preserve">Funding through the Victorian Budget 2021-22 provides additional training places in 2022 under the tackling the digital skills divide initiative.   </w:t>
      </w:r>
    </w:p>
    <w:p w14:paraId="48D824AE" w14:textId="77777777" w:rsidR="0067541E" w:rsidRPr="0067541E" w:rsidRDefault="0067541E" w:rsidP="0067541E">
      <w:pPr>
        <w:pStyle w:val="NormalWeb"/>
        <w:spacing w:before="0" w:beforeAutospacing="0" w:after="0" w:afterAutospacing="0"/>
        <w:rPr>
          <w:rFonts w:ascii="Arial" w:hAnsi="Arial" w:cs="Arial"/>
          <w:sz w:val="21"/>
          <w:szCs w:val="21"/>
        </w:rPr>
      </w:pPr>
    </w:p>
    <w:p w14:paraId="72BCFC77" w14:textId="0510EECD" w:rsidR="0067541E" w:rsidRDefault="0067541E" w:rsidP="0067541E">
      <w:pPr>
        <w:rPr>
          <w:color w:val="auto"/>
          <w:lang w:val="en-US"/>
        </w:rPr>
      </w:pPr>
      <w:r w:rsidRPr="0067541E">
        <w:rPr>
          <w:color w:val="auto"/>
          <w:lang w:val="en-US"/>
        </w:rPr>
        <w:t>This is a time limited funding opportunity for Learn Local providers to deliver digital literacy courses in 2022.  All digital literacy courses will be funded from the Digital Skills program for this round. There will be no digital literacy courses funded under the General Pre-accredited Training program.</w:t>
      </w:r>
    </w:p>
    <w:p w14:paraId="75A5D8E1" w14:textId="4B2A74C2" w:rsidR="005A31CF" w:rsidRDefault="005A31CF" w:rsidP="0067541E">
      <w:pPr>
        <w:rPr>
          <w:color w:val="auto"/>
          <w:lang w:val="en-US"/>
        </w:rPr>
      </w:pPr>
      <w:r>
        <w:rPr>
          <w:rFonts w:eastAsiaTheme="minorEastAsia"/>
          <w:kern w:val="24"/>
          <w:lang w:val="en-US"/>
        </w:rPr>
        <w:t>Availability of SCH for General Pre-accredited training will not be impacted if providers are applying under the Digital Skills program stream, as there are additional SCH available for Digital Skills.</w:t>
      </w:r>
    </w:p>
    <w:p w14:paraId="60E84EF8" w14:textId="77777777" w:rsidR="005A31CF" w:rsidRPr="0067541E" w:rsidRDefault="005A31CF" w:rsidP="0067541E">
      <w:pPr>
        <w:rPr>
          <w:color w:val="auto"/>
          <w:lang w:val="en-US"/>
        </w:rPr>
      </w:pPr>
    </w:p>
    <w:p w14:paraId="73BB316B" w14:textId="4794356B" w:rsidR="00D569F3" w:rsidRPr="0067541E" w:rsidRDefault="0067541E" w:rsidP="00D569F3">
      <w:pPr>
        <w:rPr>
          <w:u w:val="single"/>
        </w:rPr>
      </w:pPr>
      <w:r w:rsidRPr="0067541E">
        <w:rPr>
          <w:u w:val="single"/>
        </w:rPr>
        <w:t>General Pre-accredited Training:</w:t>
      </w:r>
    </w:p>
    <w:p w14:paraId="787B68CB" w14:textId="1C104BC6" w:rsidR="00C14F5B" w:rsidRDefault="0067541E" w:rsidP="0067541E">
      <w:pPr>
        <w:pStyle w:val="NormalWeb"/>
        <w:overflowPunct w:val="0"/>
        <w:spacing w:before="120" w:beforeAutospacing="0" w:after="120" w:afterAutospacing="0"/>
        <w:rPr>
          <w:rFonts w:ascii="Arial" w:eastAsiaTheme="minorEastAsia" w:hAnsi="Arial" w:cs="Arial"/>
          <w:kern w:val="24"/>
          <w:sz w:val="21"/>
          <w:szCs w:val="21"/>
          <w:lang w:val="en-US"/>
        </w:rPr>
      </w:pPr>
      <w:r w:rsidRPr="0067541E">
        <w:rPr>
          <w:rFonts w:ascii="Arial" w:eastAsiaTheme="minorEastAsia" w:hAnsi="Arial" w:cs="Arial"/>
          <w:kern w:val="24"/>
          <w:sz w:val="21"/>
          <w:szCs w:val="21"/>
          <w:lang w:val="en-US"/>
        </w:rPr>
        <w:t xml:space="preserve">The ACFE Board has allocated </w:t>
      </w:r>
      <w:r>
        <w:rPr>
          <w:rFonts w:ascii="Arial" w:eastAsiaTheme="minorEastAsia" w:hAnsi="Arial" w:cs="Arial"/>
          <w:kern w:val="24"/>
          <w:sz w:val="21"/>
          <w:szCs w:val="21"/>
          <w:lang w:val="en-US"/>
        </w:rPr>
        <w:t>SCH</w:t>
      </w:r>
      <w:r w:rsidRPr="0067541E">
        <w:rPr>
          <w:rFonts w:ascii="Arial" w:eastAsiaTheme="minorEastAsia" w:hAnsi="Arial" w:cs="Arial"/>
          <w:kern w:val="24"/>
          <w:sz w:val="21"/>
          <w:szCs w:val="21"/>
          <w:lang w:val="en-US"/>
        </w:rPr>
        <w:t xml:space="preserve"> for General Pre-accredited Training, across the 8 ACFE regional areas under a fixed annual budget. </w:t>
      </w:r>
    </w:p>
    <w:p w14:paraId="6A6411EB" w14:textId="3837B7E2" w:rsidR="005A31CF" w:rsidRDefault="00C14F5B" w:rsidP="0067541E">
      <w:pPr>
        <w:pStyle w:val="NormalWeb"/>
        <w:overflowPunct w:val="0"/>
        <w:spacing w:before="120" w:beforeAutospacing="0" w:after="120" w:afterAutospacing="0"/>
        <w:rPr>
          <w:rFonts w:ascii="Arial" w:eastAsiaTheme="minorEastAsia" w:hAnsi="Arial" w:cs="Arial"/>
          <w:kern w:val="24"/>
          <w:sz w:val="21"/>
          <w:szCs w:val="21"/>
          <w:lang w:val="en-US"/>
        </w:rPr>
      </w:pPr>
      <w:r>
        <w:rPr>
          <w:rFonts w:ascii="Arial" w:eastAsiaTheme="minorEastAsia" w:hAnsi="Arial" w:cs="Arial"/>
          <w:kern w:val="24"/>
          <w:sz w:val="21"/>
          <w:szCs w:val="21"/>
          <w:lang w:val="en-US"/>
        </w:rPr>
        <w:t xml:space="preserve">Availability of SCH for General Pre-accredited training will not be impacted if providers are applying under the Digital Skills program stream, as there are additional SCH available for Digital Skills. </w:t>
      </w:r>
    </w:p>
    <w:p w14:paraId="381E47AE" w14:textId="54F8DDDC" w:rsidR="00C14F5B" w:rsidRDefault="002A24A3" w:rsidP="0067541E">
      <w:pPr>
        <w:pStyle w:val="NormalWeb"/>
        <w:overflowPunct w:val="0"/>
        <w:spacing w:before="120" w:beforeAutospacing="0" w:after="120" w:afterAutospacing="0"/>
        <w:rPr>
          <w:rFonts w:ascii="Arial" w:eastAsiaTheme="minorEastAsia" w:hAnsi="Arial" w:cs="Arial"/>
          <w:kern w:val="24"/>
          <w:sz w:val="21"/>
          <w:szCs w:val="21"/>
          <w:lang w:val="en-US"/>
        </w:rPr>
      </w:pPr>
      <w:r>
        <w:rPr>
          <w:rFonts w:ascii="Arial" w:eastAsiaTheme="minorEastAsia" w:hAnsi="Arial" w:cs="Arial"/>
          <w:kern w:val="24"/>
          <w:sz w:val="21"/>
          <w:szCs w:val="21"/>
          <w:lang w:val="en-US"/>
        </w:rPr>
        <w:t>The Department</w:t>
      </w:r>
      <w:r w:rsidR="00C14F5B">
        <w:rPr>
          <w:rFonts w:ascii="Arial" w:eastAsiaTheme="minorEastAsia" w:hAnsi="Arial" w:cs="Arial"/>
          <w:kern w:val="24"/>
          <w:sz w:val="21"/>
          <w:szCs w:val="21"/>
          <w:lang w:val="en-US"/>
        </w:rPr>
        <w:t xml:space="preserve"> will monitor training delivery against targets across all program streams. </w:t>
      </w:r>
    </w:p>
    <w:p w14:paraId="4963594F" w14:textId="77777777" w:rsidR="0067541E" w:rsidRPr="0067541E" w:rsidRDefault="0067541E" w:rsidP="0067541E">
      <w:pPr>
        <w:pStyle w:val="NormalWeb"/>
        <w:overflowPunct w:val="0"/>
        <w:spacing w:before="120" w:beforeAutospacing="0" w:after="120" w:afterAutospacing="0"/>
        <w:rPr>
          <w:rFonts w:ascii="Arial" w:hAnsi="Arial" w:cs="Arial"/>
          <w:sz w:val="21"/>
          <w:szCs w:val="21"/>
        </w:rPr>
      </w:pPr>
    </w:p>
    <w:p w14:paraId="33762F94" w14:textId="004C039B" w:rsidR="00336DF8" w:rsidRDefault="00336DF8" w:rsidP="00336DF8">
      <w:pPr>
        <w:pStyle w:val="Heading1"/>
      </w:pPr>
      <w:r>
        <w:t>Skills for Work and Study</w:t>
      </w:r>
      <w:r w:rsidR="00AE4CEE">
        <w:t>, Pathways to TAFE and Learn Local TAFE Support program</w:t>
      </w:r>
      <w:r>
        <w:t xml:space="preserve"> extension to 2022</w:t>
      </w:r>
    </w:p>
    <w:p w14:paraId="41B3C7A4" w14:textId="7476BCB2" w:rsidR="00336DF8" w:rsidRPr="00336DF8" w:rsidRDefault="00336DF8" w:rsidP="00D569F3">
      <w:pPr>
        <w:rPr>
          <w:b/>
          <w:bCs/>
          <w:sz w:val="24"/>
          <w:szCs w:val="24"/>
        </w:rPr>
      </w:pPr>
      <w:r w:rsidRPr="00336DF8">
        <w:rPr>
          <w:b/>
          <w:bCs/>
          <w:sz w:val="24"/>
          <w:szCs w:val="24"/>
        </w:rPr>
        <w:t xml:space="preserve">How will the extension of </w:t>
      </w:r>
      <w:r w:rsidR="00AE4CEE">
        <w:rPr>
          <w:b/>
          <w:bCs/>
          <w:sz w:val="24"/>
          <w:szCs w:val="24"/>
        </w:rPr>
        <w:t xml:space="preserve">delivery timeframes </w:t>
      </w:r>
      <w:r w:rsidRPr="00336DF8">
        <w:rPr>
          <w:b/>
          <w:bCs/>
          <w:sz w:val="24"/>
          <w:szCs w:val="24"/>
        </w:rPr>
        <w:t>from 2021 to 2022 work</w:t>
      </w:r>
      <w:r w:rsidR="00AE4CEE">
        <w:rPr>
          <w:b/>
          <w:bCs/>
          <w:sz w:val="24"/>
          <w:szCs w:val="24"/>
        </w:rPr>
        <w:t>, for Skills for Work and Study, Pathways to TAFE and Learn Local TAFE Support?</w:t>
      </w:r>
    </w:p>
    <w:p w14:paraId="62F259C4" w14:textId="2D6C25B1" w:rsidR="00336DF8" w:rsidRDefault="00336DF8" w:rsidP="00160D8D">
      <w:pPr>
        <w:pStyle w:val="NormalWeb"/>
        <w:spacing w:before="0" w:beforeAutospacing="0" w:after="0" w:afterAutospacing="0"/>
        <w:rPr>
          <w:rFonts w:ascii="Arial" w:eastAsiaTheme="minorHAnsi" w:hAnsi="Arial" w:cs="Arial"/>
          <w:sz w:val="21"/>
          <w:szCs w:val="21"/>
          <w:shd w:val="clear" w:color="auto" w:fill="FFFFFF"/>
          <w:lang w:val="en-US" w:eastAsia="en-US"/>
        </w:rPr>
      </w:pPr>
      <w:r w:rsidRPr="00336DF8">
        <w:rPr>
          <w:rFonts w:ascii="Arial" w:eastAsiaTheme="minorHAnsi" w:hAnsi="Arial" w:cs="Arial"/>
          <w:sz w:val="21"/>
          <w:szCs w:val="21"/>
          <w:shd w:val="clear" w:color="auto" w:fill="FFFFFF"/>
          <w:lang w:val="en-US" w:eastAsia="en-US"/>
        </w:rPr>
        <w:t>The training delivery timeline for</w:t>
      </w:r>
      <w:r w:rsidR="00AE4CEE" w:rsidRPr="00160D8D">
        <w:rPr>
          <w:rFonts w:ascii="Arial" w:eastAsiaTheme="minorHAnsi" w:hAnsi="Arial" w:cs="Arial"/>
          <w:sz w:val="21"/>
          <w:szCs w:val="21"/>
          <w:shd w:val="clear" w:color="auto" w:fill="FFFFFF"/>
          <w:lang w:val="en-US" w:eastAsia="en-US"/>
        </w:rPr>
        <w:t xml:space="preserve"> Skills for Work and Study, Pathways to TAFE and Learn Local TAFE Support</w:t>
      </w:r>
      <w:r w:rsidRPr="00336DF8">
        <w:rPr>
          <w:rFonts w:ascii="Arial" w:eastAsiaTheme="minorHAnsi" w:hAnsi="Arial" w:cs="Arial"/>
          <w:sz w:val="21"/>
          <w:szCs w:val="21"/>
          <w:shd w:val="clear" w:color="auto" w:fill="FFFFFF"/>
          <w:lang w:val="en-US" w:eastAsia="en-US"/>
        </w:rPr>
        <w:t xml:space="preserve"> programs </w:t>
      </w:r>
      <w:r w:rsidR="00AE4CEE" w:rsidRPr="00160D8D">
        <w:rPr>
          <w:rFonts w:ascii="Arial" w:eastAsiaTheme="minorHAnsi" w:hAnsi="Arial" w:cs="Arial"/>
          <w:sz w:val="21"/>
          <w:szCs w:val="21"/>
          <w:shd w:val="clear" w:color="auto" w:fill="FFFFFF"/>
          <w:lang w:val="en-US" w:eastAsia="en-US"/>
        </w:rPr>
        <w:t>(</w:t>
      </w:r>
      <w:r w:rsidRPr="00336DF8">
        <w:rPr>
          <w:rFonts w:ascii="Arial" w:eastAsiaTheme="minorHAnsi" w:hAnsi="Arial" w:cs="Arial"/>
          <w:sz w:val="21"/>
          <w:szCs w:val="21"/>
          <w:shd w:val="clear" w:color="auto" w:fill="FFFFFF"/>
          <w:lang w:val="en-US" w:eastAsia="en-US"/>
        </w:rPr>
        <w:t>under the Literacy, Numeracy and Employability Initiative</w:t>
      </w:r>
      <w:r w:rsidR="00AE4CEE" w:rsidRPr="00160D8D">
        <w:rPr>
          <w:rFonts w:ascii="Arial" w:eastAsiaTheme="minorHAnsi" w:hAnsi="Arial" w:cs="Arial"/>
          <w:sz w:val="21"/>
          <w:szCs w:val="21"/>
          <w:shd w:val="clear" w:color="auto" w:fill="FFFFFF"/>
          <w:lang w:val="en-US" w:eastAsia="en-US"/>
        </w:rPr>
        <w:t>) will be extended</w:t>
      </w:r>
      <w:r w:rsidRPr="00336DF8">
        <w:rPr>
          <w:rFonts w:ascii="Arial" w:eastAsiaTheme="minorHAnsi" w:hAnsi="Arial" w:cs="Arial"/>
          <w:sz w:val="21"/>
          <w:szCs w:val="21"/>
          <w:shd w:val="clear" w:color="auto" w:fill="FFFFFF"/>
          <w:lang w:val="en-US" w:eastAsia="en-US"/>
        </w:rPr>
        <w:t>, from 2021 contracted delivery to the end of 2022. </w:t>
      </w:r>
    </w:p>
    <w:p w14:paraId="28EECBE6" w14:textId="77777777" w:rsidR="00160D8D" w:rsidRPr="00336DF8" w:rsidRDefault="00160D8D" w:rsidP="00160D8D">
      <w:pPr>
        <w:pStyle w:val="NormalWeb"/>
        <w:spacing w:before="0" w:beforeAutospacing="0" w:after="0" w:afterAutospacing="0"/>
        <w:rPr>
          <w:rFonts w:ascii="Arial" w:eastAsiaTheme="minorHAnsi" w:hAnsi="Arial" w:cs="Arial"/>
          <w:sz w:val="21"/>
          <w:szCs w:val="21"/>
          <w:shd w:val="clear" w:color="auto" w:fill="FFFFFF"/>
          <w:lang w:val="en-US" w:eastAsia="en-US"/>
        </w:rPr>
      </w:pPr>
    </w:p>
    <w:p w14:paraId="066A9829" w14:textId="4BAE9DA3" w:rsidR="00336DF8" w:rsidRDefault="00336DF8" w:rsidP="00160D8D">
      <w:pPr>
        <w:pStyle w:val="NormalWeb"/>
        <w:spacing w:before="0" w:beforeAutospacing="0" w:after="0" w:afterAutospacing="0"/>
        <w:rPr>
          <w:rFonts w:ascii="Arial" w:eastAsiaTheme="minorHAnsi" w:hAnsi="Arial" w:cs="Arial"/>
          <w:sz w:val="21"/>
          <w:szCs w:val="21"/>
          <w:shd w:val="clear" w:color="auto" w:fill="FFFFFF"/>
          <w:lang w:val="en-US" w:eastAsia="en-US"/>
        </w:rPr>
      </w:pPr>
      <w:r w:rsidRPr="00336DF8">
        <w:rPr>
          <w:rFonts w:ascii="Arial" w:eastAsiaTheme="minorHAnsi" w:hAnsi="Arial" w:cs="Arial"/>
          <w:sz w:val="21"/>
          <w:szCs w:val="21"/>
          <w:shd w:val="clear" w:color="auto" w:fill="FFFFFF"/>
          <w:lang w:val="en-US" w:eastAsia="en-US"/>
        </w:rPr>
        <w:t>Learn Local providers contracted to deliver the</w:t>
      </w:r>
      <w:r w:rsidR="00AE4CEE" w:rsidRPr="00160D8D">
        <w:rPr>
          <w:rFonts w:ascii="Arial" w:eastAsiaTheme="minorHAnsi" w:hAnsi="Arial" w:cs="Arial"/>
          <w:sz w:val="21"/>
          <w:szCs w:val="21"/>
          <w:shd w:val="clear" w:color="auto" w:fill="FFFFFF"/>
          <w:lang w:val="en-US" w:eastAsia="en-US"/>
        </w:rPr>
        <w:t xml:space="preserve">se </w:t>
      </w:r>
      <w:r w:rsidRPr="00336DF8">
        <w:rPr>
          <w:rFonts w:ascii="Arial" w:eastAsiaTheme="minorHAnsi" w:hAnsi="Arial" w:cs="Arial"/>
          <w:sz w:val="21"/>
          <w:szCs w:val="21"/>
          <w:shd w:val="clear" w:color="auto" w:fill="FFFFFF"/>
          <w:lang w:val="en-US" w:eastAsia="en-US"/>
        </w:rPr>
        <w:t>programs in 2021 are encouraged to keep delivering this year as much as possible but will have their Commitment timelines in SAMS2 extended to December 2022</w:t>
      </w:r>
      <w:r w:rsidR="00AE4CEE" w:rsidRPr="00160D8D">
        <w:rPr>
          <w:rFonts w:ascii="Arial" w:eastAsiaTheme="minorHAnsi" w:hAnsi="Arial" w:cs="Arial"/>
          <w:sz w:val="21"/>
          <w:szCs w:val="21"/>
          <w:shd w:val="clear" w:color="auto" w:fill="FFFFFF"/>
          <w:lang w:val="en-US" w:eastAsia="en-US"/>
        </w:rPr>
        <w:t>.</w:t>
      </w:r>
    </w:p>
    <w:p w14:paraId="4A1C8BB9" w14:textId="77777777" w:rsidR="00160D8D" w:rsidRPr="00336DF8" w:rsidRDefault="00160D8D" w:rsidP="00160D8D">
      <w:pPr>
        <w:pStyle w:val="NormalWeb"/>
        <w:spacing w:before="0" w:beforeAutospacing="0" w:after="0" w:afterAutospacing="0"/>
        <w:rPr>
          <w:rFonts w:ascii="Arial" w:eastAsiaTheme="minorHAnsi" w:hAnsi="Arial" w:cs="Arial"/>
          <w:sz w:val="21"/>
          <w:szCs w:val="21"/>
          <w:shd w:val="clear" w:color="auto" w:fill="FFFFFF"/>
          <w:lang w:val="en-US" w:eastAsia="en-US"/>
        </w:rPr>
      </w:pPr>
    </w:p>
    <w:p w14:paraId="12B8D190" w14:textId="423686AA" w:rsidR="00336DF8" w:rsidRDefault="00AE4CEE" w:rsidP="00160D8D">
      <w:pPr>
        <w:pStyle w:val="NormalWeb"/>
        <w:spacing w:before="0" w:beforeAutospacing="0" w:after="0" w:afterAutospacing="0"/>
        <w:rPr>
          <w:rFonts w:ascii="Arial" w:eastAsia="Arial" w:hAnsi="Arial" w:cs="Arial"/>
          <w:kern w:val="24"/>
          <w:sz w:val="21"/>
          <w:szCs w:val="21"/>
        </w:rPr>
      </w:pPr>
      <w:r w:rsidRPr="00160D8D">
        <w:rPr>
          <w:rFonts w:ascii="Arial" w:eastAsia="Arial" w:hAnsi="Arial" w:cs="Arial"/>
          <w:kern w:val="24"/>
          <w:sz w:val="21"/>
          <w:szCs w:val="21"/>
        </w:rPr>
        <w:t xml:space="preserve">The extension of delivery timelines will not </w:t>
      </w:r>
      <w:r w:rsidR="00160D8D" w:rsidRPr="00160D8D">
        <w:rPr>
          <w:rFonts w:ascii="Arial" w:eastAsia="Arial" w:hAnsi="Arial" w:cs="Arial"/>
          <w:kern w:val="24"/>
          <w:sz w:val="21"/>
          <w:szCs w:val="21"/>
        </w:rPr>
        <w:t>restrict</w:t>
      </w:r>
      <w:r w:rsidRPr="00160D8D">
        <w:rPr>
          <w:rFonts w:ascii="Arial" w:eastAsia="Arial" w:hAnsi="Arial" w:cs="Arial"/>
          <w:kern w:val="24"/>
          <w:sz w:val="21"/>
          <w:szCs w:val="21"/>
        </w:rPr>
        <w:t xml:space="preserve"> Learn Local providers’ </w:t>
      </w:r>
      <w:r w:rsidR="00160D8D" w:rsidRPr="00160D8D">
        <w:rPr>
          <w:rFonts w:ascii="Arial" w:eastAsia="Arial" w:hAnsi="Arial" w:cs="Arial"/>
          <w:kern w:val="24"/>
          <w:sz w:val="21"/>
          <w:szCs w:val="21"/>
        </w:rPr>
        <w:t xml:space="preserve">capacity to apply for SCH under any of the </w:t>
      </w:r>
      <w:r w:rsidR="00581E02">
        <w:rPr>
          <w:rFonts w:ascii="Arial" w:eastAsia="Arial" w:hAnsi="Arial" w:cs="Arial"/>
          <w:kern w:val="24"/>
          <w:sz w:val="21"/>
          <w:szCs w:val="21"/>
        </w:rPr>
        <w:t>three</w:t>
      </w:r>
      <w:r w:rsidR="00160D8D" w:rsidRPr="00160D8D">
        <w:rPr>
          <w:rFonts w:ascii="Arial" w:eastAsia="Arial" w:hAnsi="Arial" w:cs="Arial"/>
          <w:kern w:val="24"/>
          <w:sz w:val="21"/>
          <w:szCs w:val="21"/>
        </w:rPr>
        <w:t xml:space="preserve"> available program streams in 2022.</w:t>
      </w:r>
    </w:p>
    <w:p w14:paraId="4704112B" w14:textId="02138A39" w:rsidR="004D5A80" w:rsidRDefault="004D5A80" w:rsidP="00160D8D">
      <w:pPr>
        <w:pStyle w:val="NormalWeb"/>
        <w:spacing w:before="0" w:beforeAutospacing="0" w:after="0" w:afterAutospacing="0"/>
        <w:rPr>
          <w:rFonts w:ascii="Arial" w:eastAsia="Arial" w:hAnsi="Arial" w:cs="Arial"/>
          <w:kern w:val="24"/>
          <w:sz w:val="21"/>
          <w:szCs w:val="21"/>
        </w:rPr>
      </w:pPr>
    </w:p>
    <w:p w14:paraId="42AA59E4" w14:textId="5B2E57C7" w:rsidR="004D5A80" w:rsidRDefault="004D5A80" w:rsidP="00160D8D">
      <w:pPr>
        <w:pStyle w:val="NormalWeb"/>
        <w:spacing w:before="0" w:beforeAutospacing="0" w:after="0" w:afterAutospacing="0"/>
        <w:rPr>
          <w:rFonts w:ascii="Arial" w:eastAsia="Arial" w:hAnsi="Arial" w:cs="Arial"/>
          <w:kern w:val="24"/>
          <w:sz w:val="21"/>
          <w:szCs w:val="21"/>
        </w:rPr>
      </w:pPr>
      <w:r>
        <w:rPr>
          <w:rFonts w:ascii="Arial" w:eastAsia="Arial" w:hAnsi="Arial" w:cs="Arial"/>
          <w:kern w:val="24"/>
          <w:sz w:val="21"/>
          <w:szCs w:val="21"/>
        </w:rPr>
        <w:t xml:space="preserve">The extension of delivery timelines does not need to be indicated on the 2022 ACFE Training Delivery Plan as it is an extension of the existing 2021 Delivery Plan(s) for these programs. </w:t>
      </w:r>
    </w:p>
    <w:p w14:paraId="52741B20" w14:textId="77777777" w:rsidR="00160D8D" w:rsidRPr="00336DF8" w:rsidRDefault="00160D8D" w:rsidP="00160D8D">
      <w:pPr>
        <w:pStyle w:val="NormalWeb"/>
        <w:spacing w:before="0" w:beforeAutospacing="0" w:after="0" w:afterAutospacing="0"/>
        <w:rPr>
          <w:rFonts w:ascii="Arial" w:eastAsia="Arial" w:hAnsi="Arial" w:cs="Arial"/>
          <w:kern w:val="24"/>
          <w:sz w:val="21"/>
          <w:szCs w:val="21"/>
        </w:rPr>
      </w:pPr>
    </w:p>
    <w:p w14:paraId="7F357472" w14:textId="77777777" w:rsidR="00AE4CEE" w:rsidRPr="00160D8D" w:rsidRDefault="00AE4CEE" w:rsidP="00160D8D">
      <w:pPr>
        <w:pStyle w:val="NormalWeb"/>
        <w:spacing w:before="0" w:beforeAutospacing="0" w:after="0" w:afterAutospacing="0"/>
        <w:rPr>
          <w:rFonts w:ascii="Arial" w:eastAsia="Arial" w:hAnsi="Arial" w:cs="Arial"/>
          <w:kern w:val="24"/>
          <w:sz w:val="21"/>
          <w:szCs w:val="21"/>
        </w:rPr>
      </w:pPr>
      <w:r w:rsidRPr="00160D8D">
        <w:rPr>
          <w:rFonts w:ascii="Arial" w:eastAsia="Arial" w:hAnsi="Arial" w:cs="Arial"/>
          <w:kern w:val="24"/>
          <w:sz w:val="21"/>
          <w:szCs w:val="21"/>
        </w:rPr>
        <w:t xml:space="preserve">See Branch Memo on 31 August 2021: </w:t>
      </w:r>
    </w:p>
    <w:p w14:paraId="5E24B499" w14:textId="369DC056" w:rsidR="00AE4CEE" w:rsidRPr="00AE4CEE" w:rsidRDefault="00335C2A" w:rsidP="00AE4CEE">
      <w:hyperlink r:id="rId18" w:history="1">
        <w:r w:rsidR="00AE4CEE">
          <w:rPr>
            <w:rStyle w:val="Hyperlink"/>
          </w:rPr>
          <w:t>https://www.vic.gov.au/det-learn-local-sector-31-august-important-information-regarding-upcoming-eoi-processes-acfe-board</w:t>
        </w:r>
      </w:hyperlink>
    </w:p>
    <w:p w14:paraId="47C1AD79" w14:textId="77777777" w:rsidR="00AE4CEE" w:rsidRDefault="00AE4CEE" w:rsidP="00336DF8">
      <w:pPr>
        <w:spacing w:before="100" w:beforeAutospacing="1" w:after="100" w:afterAutospacing="1" w:line="360" w:lineRule="atLeast"/>
        <w:rPr>
          <w:rFonts w:eastAsia="Times New Roman"/>
          <w:b/>
          <w:bCs/>
          <w:color w:val="auto"/>
          <w:sz w:val="24"/>
          <w:szCs w:val="24"/>
          <w:shd w:val="clear" w:color="auto" w:fill="auto"/>
          <w:lang w:val="en" w:eastAsia="en-AU"/>
        </w:rPr>
      </w:pPr>
    </w:p>
    <w:p w14:paraId="14E9FC19" w14:textId="1990D890" w:rsidR="00AE4CEE" w:rsidRPr="00AE4CEE" w:rsidRDefault="00AE4CEE" w:rsidP="00336DF8">
      <w:pPr>
        <w:spacing w:before="100" w:beforeAutospacing="1" w:after="100" w:afterAutospacing="1" w:line="360" w:lineRule="atLeast"/>
        <w:rPr>
          <w:rFonts w:eastAsia="Times New Roman"/>
          <w:b/>
          <w:bCs/>
          <w:color w:val="auto"/>
          <w:sz w:val="24"/>
          <w:szCs w:val="24"/>
          <w:shd w:val="clear" w:color="auto" w:fill="auto"/>
          <w:lang w:val="en" w:eastAsia="en-AU"/>
        </w:rPr>
      </w:pPr>
      <w:r w:rsidRPr="00AE4CEE">
        <w:rPr>
          <w:rFonts w:eastAsia="Times New Roman"/>
          <w:b/>
          <w:bCs/>
          <w:color w:val="auto"/>
          <w:sz w:val="24"/>
          <w:szCs w:val="24"/>
          <w:shd w:val="clear" w:color="auto" w:fill="auto"/>
          <w:lang w:val="en" w:eastAsia="en-AU"/>
        </w:rPr>
        <w:t xml:space="preserve">Can we apply for additional </w:t>
      </w:r>
      <w:r w:rsidR="002A24A3">
        <w:rPr>
          <w:rFonts w:eastAsia="Times New Roman"/>
          <w:b/>
          <w:bCs/>
          <w:color w:val="auto"/>
          <w:sz w:val="24"/>
          <w:szCs w:val="24"/>
          <w:shd w:val="clear" w:color="auto" w:fill="auto"/>
          <w:lang w:val="en" w:eastAsia="en-AU"/>
        </w:rPr>
        <w:t>Student Contact Hours (</w:t>
      </w:r>
      <w:r w:rsidRPr="00AE4CEE">
        <w:rPr>
          <w:rFonts w:eastAsia="Times New Roman"/>
          <w:b/>
          <w:bCs/>
          <w:color w:val="auto"/>
          <w:sz w:val="24"/>
          <w:szCs w:val="24"/>
          <w:shd w:val="clear" w:color="auto" w:fill="auto"/>
          <w:lang w:val="en" w:eastAsia="en-AU"/>
        </w:rPr>
        <w:t>SCH</w:t>
      </w:r>
      <w:r w:rsidR="002A24A3">
        <w:rPr>
          <w:rFonts w:eastAsia="Times New Roman"/>
          <w:b/>
          <w:bCs/>
          <w:color w:val="auto"/>
          <w:sz w:val="24"/>
          <w:szCs w:val="24"/>
          <w:shd w:val="clear" w:color="auto" w:fill="auto"/>
          <w:lang w:val="en" w:eastAsia="en-AU"/>
        </w:rPr>
        <w:t>)</w:t>
      </w:r>
      <w:r w:rsidRPr="00AE4CEE">
        <w:rPr>
          <w:rFonts w:eastAsia="Times New Roman"/>
          <w:b/>
          <w:bCs/>
          <w:color w:val="auto"/>
          <w:sz w:val="24"/>
          <w:szCs w:val="24"/>
          <w:shd w:val="clear" w:color="auto" w:fill="auto"/>
          <w:lang w:val="en" w:eastAsia="en-AU"/>
        </w:rPr>
        <w:t xml:space="preserve"> under the Skills for Work and Study program in 2022?</w:t>
      </w:r>
    </w:p>
    <w:p w14:paraId="3D63D6F5" w14:textId="484124C2" w:rsidR="002A24A3" w:rsidRDefault="002A24A3" w:rsidP="00336DF8">
      <w:pPr>
        <w:rPr>
          <w:rFonts w:cstheme="minorHAnsi"/>
          <w:lang w:val="en-US"/>
        </w:rPr>
      </w:pPr>
      <w:r>
        <w:rPr>
          <w:rFonts w:cstheme="minorHAnsi"/>
          <w:lang w:val="en-US"/>
        </w:rPr>
        <w:t>There are no further student contact hours available under the Skills for Work and Study pilot program for delivery in 2022.</w:t>
      </w:r>
    </w:p>
    <w:p w14:paraId="7283CE24" w14:textId="50DACE16" w:rsidR="00AE4CEE" w:rsidRDefault="002A24A3" w:rsidP="00336DF8">
      <w:pPr>
        <w:rPr>
          <w:rFonts w:cstheme="minorHAnsi"/>
          <w:lang w:val="en-US"/>
        </w:rPr>
      </w:pPr>
      <w:r>
        <w:rPr>
          <w:rFonts w:cstheme="minorHAnsi"/>
          <w:lang w:val="en-US"/>
        </w:rPr>
        <w:t xml:space="preserve">However, </w:t>
      </w:r>
      <w:r w:rsidR="00AE4CEE" w:rsidRPr="00AE4CEE">
        <w:rPr>
          <w:rFonts w:cstheme="minorHAnsi"/>
          <w:lang w:val="en-US"/>
        </w:rPr>
        <w:t xml:space="preserve">Learn Local providers who have the capacity to deliver additional student contact hours to those previously allocated in 2021 for Skills for Work and Study may use the Skills for Work and Study A-frames and resources, as part of their application for General Pre-accredited SCH in 2022. </w:t>
      </w:r>
    </w:p>
    <w:p w14:paraId="5674674B" w14:textId="0D024B55" w:rsidR="00336DF8" w:rsidRDefault="00AE4CEE" w:rsidP="00336DF8">
      <w:pPr>
        <w:rPr>
          <w:rFonts w:cstheme="minorHAnsi"/>
          <w:lang w:val="en-US"/>
        </w:rPr>
      </w:pPr>
      <w:r w:rsidRPr="00AE4CEE">
        <w:rPr>
          <w:rFonts w:cstheme="minorHAnsi"/>
          <w:lang w:val="en-US"/>
        </w:rPr>
        <w:t>In addition, providers who were not contracted for Skills for Work and Study in 2021 may also use these resources in their General Pre-accredited offerings</w:t>
      </w:r>
      <w:r>
        <w:rPr>
          <w:rFonts w:cstheme="minorHAnsi"/>
          <w:lang w:val="en-US"/>
        </w:rPr>
        <w:t xml:space="preserve"> for 2022</w:t>
      </w:r>
      <w:r w:rsidRPr="00AE4CEE">
        <w:rPr>
          <w:rFonts w:cstheme="minorHAnsi"/>
          <w:lang w:val="en-US"/>
        </w:rPr>
        <w:t>.</w:t>
      </w:r>
    </w:p>
    <w:p w14:paraId="3DB1A0F9" w14:textId="4110DF76" w:rsidR="004D5A80" w:rsidRDefault="005A31CF" w:rsidP="00336DF8">
      <w:pPr>
        <w:rPr>
          <w:rFonts w:cstheme="minorHAnsi"/>
          <w:lang w:val="en-US"/>
        </w:rPr>
      </w:pPr>
      <w:r>
        <w:rPr>
          <w:rFonts w:cstheme="minorHAnsi"/>
          <w:lang w:val="en-US"/>
        </w:rPr>
        <w:lastRenderedPageBreak/>
        <w:t>Providers should select the General Pre-accredited program stream if they are applying for SCH to deliver courses which use</w:t>
      </w:r>
      <w:r w:rsidR="00581E02">
        <w:rPr>
          <w:rFonts w:cstheme="minorHAnsi"/>
          <w:lang w:val="en-US"/>
        </w:rPr>
        <w:t xml:space="preserve"> or adapt</w:t>
      </w:r>
      <w:r>
        <w:rPr>
          <w:rFonts w:cstheme="minorHAnsi"/>
          <w:lang w:val="en-US"/>
        </w:rPr>
        <w:t xml:space="preserve"> the Skills for Work and Study central resources.</w:t>
      </w:r>
    </w:p>
    <w:p w14:paraId="5CE36398" w14:textId="77777777" w:rsidR="002A24A3" w:rsidRPr="002A24A3" w:rsidRDefault="002A24A3" w:rsidP="002A24A3">
      <w:pPr>
        <w:pStyle w:val="NormalWeb"/>
        <w:spacing w:before="200" w:beforeAutospacing="0" w:after="0" w:afterAutospacing="0" w:line="216" w:lineRule="auto"/>
        <w:rPr>
          <w:rFonts w:ascii="Arial" w:hAnsi="Arial" w:cs="Arial"/>
          <w:sz w:val="21"/>
          <w:szCs w:val="21"/>
        </w:rPr>
      </w:pPr>
      <w:r w:rsidRPr="002A24A3">
        <w:rPr>
          <w:rFonts w:ascii="Arial" w:hAnsi="Arial" w:cs="Arial"/>
          <w:sz w:val="21"/>
          <w:szCs w:val="21"/>
        </w:rPr>
        <w:t xml:space="preserve">The </w:t>
      </w:r>
      <w:proofErr w:type="gramStart"/>
      <w:r w:rsidRPr="002A24A3">
        <w:rPr>
          <w:rFonts w:ascii="Arial" w:hAnsi="Arial" w:cs="Arial"/>
          <w:sz w:val="21"/>
          <w:szCs w:val="21"/>
        </w:rPr>
        <w:t>centrally-developed</w:t>
      </w:r>
      <w:proofErr w:type="gramEnd"/>
      <w:r w:rsidRPr="002A24A3">
        <w:rPr>
          <w:rFonts w:ascii="Arial" w:hAnsi="Arial" w:cs="Arial"/>
          <w:sz w:val="21"/>
          <w:szCs w:val="21"/>
        </w:rPr>
        <w:t xml:space="preserve"> A-frames and resources for Skills for Work and Study courses available for use in General Pre-accredited training in 2022 are on the Learn Local resources hub: </w:t>
      </w:r>
      <w:hyperlink r:id="rId19" w:history="1">
        <w:r w:rsidRPr="002A24A3">
          <w:rPr>
            <w:rFonts w:ascii="Arial" w:eastAsia="Arial" w:hAnsi="Arial" w:cs="Arial"/>
            <w:color w:val="5B9BD5" w:themeColor="accent1"/>
            <w:kern w:val="24"/>
            <w:sz w:val="21"/>
            <w:szCs w:val="21"/>
            <w:u w:val="single"/>
          </w:rPr>
          <w:t>https://learnlocal.org.au/resources/</w:t>
        </w:r>
      </w:hyperlink>
    </w:p>
    <w:p w14:paraId="111BAC95" w14:textId="1A70A759" w:rsidR="002A24A3" w:rsidRDefault="002A24A3" w:rsidP="002A24A3"/>
    <w:p w14:paraId="69F11FC8" w14:textId="3F598989" w:rsidR="00336DF8" w:rsidRDefault="00336DF8" w:rsidP="00336DF8"/>
    <w:p w14:paraId="68FE142D" w14:textId="77777777" w:rsidR="00581E02" w:rsidRPr="00160D8D" w:rsidRDefault="00581E02" w:rsidP="00336DF8"/>
    <w:p w14:paraId="23A7EEEF" w14:textId="5DF6F7B9" w:rsidR="00AE09C2" w:rsidRDefault="00AE09C2" w:rsidP="00AE09C2">
      <w:pPr>
        <w:pStyle w:val="Heading1"/>
      </w:pPr>
      <w:r>
        <w:t>Additional non-financial reporting milestone (31 May 2022)</w:t>
      </w:r>
    </w:p>
    <w:p w14:paraId="668A5B28" w14:textId="4D211329" w:rsidR="00AE09C2" w:rsidRPr="00AE09C2" w:rsidRDefault="00AE09C2" w:rsidP="00AE09C2">
      <w:pPr>
        <w:rPr>
          <w:b/>
          <w:bCs/>
          <w:color w:val="auto"/>
          <w:sz w:val="24"/>
          <w:szCs w:val="24"/>
        </w:rPr>
      </w:pPr>
      <w:r w:rsidRPr="00AE09C2">
        <w:rPr>
          <w:b/>
          <w:bCs/>
          <w:color w:val="auto"/>
          <w:sz w:val="24"/>
          <w:szCs w:val="24"/>
        </w:rPr>
        <w:t>What will the non-financial progress report require?</w:t>
      </w:r>
    </w:p>
    <w:p w14:paraId="298CC99C" w14:textId="7658E028" w:rsidR="00336DF8" w:rsidRDefault="00AE09C2" w:rsidP="00336DF8">
      <w:r>
        <w:t>There will be an additional non-financial reporting milestone on 31 May 2022.  Learn Local providers are required to provide up-to-date training delivery SCH data in SVTS (for all applicable program streams).  The additional milestone is required so the ACFE Board and Department can have an earlier understanding of the progress of training delivery including any potential impacts from COVID-19.</w:t>
      </w:r>
    </w:p>
    <w:p w14:paraId="7E180506" w14:textId="6BEEA5B1" w:rsidR="00AE09C2" w:rsidRDefault="00AE09C2" w:rsidP="00336DF8">
      <w:r>
        <w:t xml:space="preserve">Learn Local providers are not required to submit any further information other than up-to-date training delivery SCH data. </w:t>
      </w:r>
    </w:p>
    <w:p w14:paraId="2B3ED698" w14:textId="1A18599A" w:rsidR="00AE09C2" w:rsidRDefault="00AE09C2" w:rsidP="00AE09C2">
      <w:pPr>
        <w:pStyle w:val="Heading1"/>
      </w:pPr>
    </w:p>
    <w:p w14:paraId="275ECB8B" w14:textId="77777777" w:rsidR="00661061" w:rsidRPr="00D569F3" w:rsidRDefault="00661061" w:rsidP="00661061">
      <w:pPr>
        <w:pStyle w:val="Heading1"/>
      </w:pPr>
      <w:r>
        <w:t>Fee concessions</w:t>
      </w:r>
    </w:p>
    <w:p w14:paraId="7AB35175" w14:textId="77777777" w:rsidR="00661061" w:rsidRPr="00160D8D" w:rsidRDefault="00661061" w:rsidP="00661061">
      <w:pPr>
        <w:rPr>
          <w:b/>
          <w:bCs/>
          <w:sz w:val="24"/>
          <w:szCs w:val="24"/>
        </w:rPr>
      </w:pPr>
      <w:r w:rsidRPr="00160D8D">
        <w:rPr>
          <w:b/>
          <w:bCs/>
          <w:sz w:val="24"/>
          <w:szCs w:val="24"/>
        </w:rPr>
        <w:t>How do we access fee concession?</w:t>
      </w:r>
    </w:p>
    <w:p w14:paraId="4C48FE06" w14:textId="77777777" w:rsidR="00661061" w:rsidRPr="009B6396" w:rsidRDefault="00661061" w:rsidP="00661061">
      <w:pPr>
        <w:rPr>
          <w:color w:val="auto"/>
        </w:rPr>
      </w:pPr>
      <w:r w:rsidRPr="009B6396">
        <w:rPr>
          <w:rFonts w:eastAsia="Arial"/>
          <w:color w:val="auto"/>
          <w:kern w:val="24"/>
        </w:rPr>
        <w:t xml:space="preserve">The ACFE Board will reimburse providers for a proportion of the revenue foregone by granting fee concessions to learners in pre-accredited courses, based on reported data in SVTS.  </w:t>
      </w:r>
    </w:p>
    <w:p w14:paraId="27460439" w14:textId="77777777" w:rsidR="00661061" w:rsidRPr="00160D8D" w:rsidRDefault="00661061" w:rsidP="00661061">
      <w:r>
        <w:t xml:space="preserve">Fee concessions are </w:t>
      </w:r>
      <w:r w:rsidRPr="00160D8D">
        <w:t>calculated in arrears, based on delivery of SCH to learners reported as eligible for fee concession.</w:t>
      </w:r>
    </w:p>
    <w:p w14:paraId="441CC298" w14:textId="77777777" w:rsidR="00661061" w:rsidRPr="00160D8D" w:rsidRDefault="00661061" w:rsidP="00661061">
      <w:r>
        <w:t>Fee concessions are r</w:t>
      </w:r>
      <w:r w:rsidRPr="00160D8D">
        <w:t>eimbursed from a fixed pool.</w:t>
      </w:r>
    </w:p>
    <w:p w14:paraId="33322FC1" w14:textId="77777777" w:rsidR="00661061" w:rsidRPr="00661061" w:rsidRDefault="00661061" w:rsidP="00661061"/>
    <w:p w14:paraId="5AFE762B" w14:textId="1D63085B" w:rsidR="00AE09C2" w:rsidRDefault="00AE09C2" w:rsidP="00AE09C2">
      <w:pPr>
        <w:pStyle w:val="Heading1"/>
      </w:pPr>
      <w:r>
        <w:t>Regional loading</w:t>
      </w:r>
      <w:r w:rsidR="00E44DF9">
        <w:t xml:space="preserve"> and </w:t>
      </w:r>
      <w:proofErr w:type="spellStart"/>
      <w:r w:rsidR="00E44DF9">
        <w:t>Koorie</w:t>
      </w:r>
      <w:proofErr w:type="spellEnd"/>
      <w:r w:rsidR="00E44DF9">
        <w:t xml:space="preserve"> loading</w:t>
      </w:r>
    </w:p>
    <w:p w14:paraId="38F11B21" w14:textId="46CD702E" w:rsidR="00AE09C2" w:rsidRPr="00661061" w:rsidRDefault="00AE09C2" w:rsidP="00AE09C2">
      <w:pPr>
        <w:rPr>
          <w:b/>
          <w:bCs/>
          <w:sz w:val="24"/>
          <w:szCs w:val="24"/>
        </w:rPr>
      </w:pPr>
      <w:r w:rsidRPr="00661061">
        <w:rPr>
          <w:b/>
          <w:bCs/>
          <w:sz w:val="24"/>
          <w:szCs w:val="24"/>
        </w:rPr>
        <w:t xml:space="preserve">How is </w:t>
      </w:r>
      <w:r w:rsidR="00E44DF9" w:rsidRPr="00661061">
        <w:rPr>
          <w:b/>
          <w:bCs/>
          <w:sz w:val="24"/>
          <w:szCs w:val="24"/>
        </w:rPr>
        <w:t>the r</w:t>
      </w:r>
      <w:r w:rsidRPr="00661061">
        <w:rPr>
          <w:b/>
          <w:bCs/>
          <w:sz w:val="24"/>
          <w:szCs w:val="24"/>
        </w:rPr>
        <w:t>egional loading paid?</w:t>
      </w:r>
    </w:p>
    <w:p w14:paraId="3DC893B6" w14:textId="57714537" w:rsidR="00AE09C2" w:rsidRPr="00AE09C2" w:rsidRDefault="00E44DF9" w:rsidP="00AE09C2">
      <w:pPr>
        <w:rPr>
          <w:color w:val="auto"/>
        </w:rPr>
      </w:pPr>
      <w:r>
        <w:rPr>
          <w:rFonts w:eastAsia="Arial"/>
          <w:color w:val="auto"/>
          <w:kern w:val="24"/>
        </w:rPr>
        <w:t>A</w:t>
      </w:r>
      <w:r w:rsidR="00AE09C2" w:rsidRPr="00AE09C2">
        <w:rPr>
          <w:rFonts w:eastAsia="Arial"/>
          <w:color w:val="auto"/>
          <w:kern w:val="24"/>
        </w:rPr>
        <w:t xml:space="preserve"> 20 per cent loading on regional</w:t>
      </w:r>
      <w:r>
        <w:rPr>
          <w:rFonts w:eastAsia="Arial"/>
          <w:color w:val="auto"/>
          <w:kern w:val="24"/>
        </w:rPr>
        <w:t xml:space="preserve"> training</w:t>
      </w:r>
      <w:r w:rsidR="00AE09C2" w:rsidRPr="00AE09C2">
        <w:rPr>
          <w:rFonts w:eastAsia="Arial"/>
          <w:color w:val="auto"/>
          <w:kern w:val="24"/>
        </w:rPr>
        <w:t xml:space="preserve"> delivery will be paid</w:t>
      </w:r>
      <w:r>
        <w:rPr>
          <w:rFonts w:eastAsia="Arial"/>
          <w:color w:val="auto"/>
          <w:kern w:val="24"/>
        </w:rPr>
        <w:t xml:space="preserve"> for all applicable program streams</w:t>
      </w:r>
      <w:r w:rsidR="00AE09C2" w:rsidRPr="00AE09C2">
        <w:rPr>
          <w:rFonts w:eastAsia="Arial"/>
          <w:color w:val="auto"/>
          <w:kern w:val="24"/>
        </w:rPr>
        <w:t xml:space="preserve">, based on reported data in SVTS.  </w:t>
      </w:r>
    </w:p>
    <w:p w14:paraId="04752D4C" w14:textId="77777777" w:rsidR="00E44DF9" w:rsidRPr="00E44DF9" w:rsidRDefault="00E44DF9" w:rsidP="00E44DF9">
      <w:pPr>
        <w:spacing w:before="120" w:line="260" w:lineRule="atLeast"/>
        <w:rPr>
          <w:rFonts w:eastAsiaTheme="minorEastAsia"/>
          <w:szCs w:val="18"/>
        </w:rPr>
      </w:pPr>
      <w:r w:rsidRPr="00E44DF9">
        <w:rPr>
          <w:rFonts w:eastAsiaTheme="minorEastAsia"/>
          <w:szCs w:val="18"/>
        </w:rPr>
        <w:t>The first payment of the pre-accredited regional loading will be processed in May 2022 and will be based upon 2022 contracted delivery.</w:t>
      </w:r>
    </w:p>
    <w:p w14:paraId="1E576453" w14:textId="77777777" w:rsidR="00E44DF9" w:rsidRPr="00E44DF9" w:rsidRDefault="00E44DF9" w:rsidP="00E44DF9">
      <w:pPr>
        <w:spacing w:before="120" w:line="260" w:lineRule="atLeast"/>
        <w:rPr>
          <w:rFonts w:eastAsiaTheme="minorEastAsia"/>
          <w:szCs w:val="18"/>
        </w:rPr>
      </w:pPr>
      <w:r w:rsidRPr="00E44DF9">
        <w:rPr>
          <w:rFonts w:eastAsiaTheme="minorEastAsia"/>
          <w:szCs w:val="18"/>
        </w:rPr>
        <w:t>The payment will be calculated by multiplying the loading rate by 50% of the total 2022 contracted delivery hours.</w:t>
      </w:r>
    </w:p>
    <w:p w14:paraId="19B081F9" w14:textId="086B37C4" w:rsidR="00E44DF9" w:rsidRPr="00E44DF9" w:rsidRDefault="00581E02" w:rsidP="00E44DF9">
      <w:pPr>
        <w:spacing w:before="120" w:line="260" w:lineRule="atLeast"/>
        <w:rPr>
          <w:rFonts w:eastAsiaTheme="minorEastAsia"/>
          <w:szCs w:val="18"/>
        </w:rPr>
      </w:pPr>
      <w:r>
        <w:rPr>
          <w:rFonts w:eastAsiaTheme="minorEastAsia"/>
          <w:szCs w:val="18"/>
        </w:rPr>
        <w:t>A s</w:t>
      </w:r>
      <w:r w:rsidR="00E44DF9" w:rsidRPr="00E44DF9">
        <w:rPr>
          <w:rFonts w:eastAsiaTheme="minorEastAsia"/>
          <w:szCs w:val="18"/>
        </w:rPr>
        <w:t>ubsequent payment will be processed based on a reconciliation of 2022 training delivery data reported in SVTS for eligible delivery hours and paid in May 2023.</w:t>
      </w:r>
    </w:p>
    <w:p w14:paraId="7A191C80" w14:textId="3E0FFA00" w:rsidR="00E44DF9" w:rsidRPr="00661061" w:rsidRDefault="00E44DF9" w:rsidP="00E44DF9">
      <w:pPr>
        <w:rPr>
          <w:b/>
          <w:bCs/>
          <w:sz w:val="24"/>
          <w:szCs w:val="24"/>
        </w:rPr>
      </w:pPr>
      <w:r w:rsidRPr="00661061">
        <w:rPr>
          <w:b/>
          <w:bCs/>
          <w:sz w:val="24"/>
          <w:szCs w:val="24"/>
        </w:rPr>
        <w:lastRenderedPageBreak/>
        <w:t xml:space="preserve">How is the </w:t>
      </w:r>
      <w:proofErr w:type="spellStart"/>
      <w:r w:rsidRPr="00661061">
        <w:rPr>
          <w:b/>
          <w:bCs/>
          <w:sz w:val="24"/>
          <w:szCs w:val="24"/>
        </w:rPr>
        <w:t>Koorie</w:t>
      </w:r>
      <w:proofErr w:type="spellEnd"/>
      <w:r w:rsidRPr="00661061">
        <w:rPr>
          <w:b/>
          <w:bCs/>
          <w:sz w:val="24"/>
          <w:szCs w:val="24"/>
        </w:rPr>
        <w:t xml:space="preserve"> loading paid?</w:t>
      </w:r>
    </w:p>
    <w:p w14:paraId="302BFAAB" w14:textId="77777777" w:rsidR="00E44DF9" w:rsidRDefault="00E44DF9" w:rsidP="00E44DF9">
      <w:pPr>
        <w:spacing w:before="120" w:line="260" w:lineRule="atLeast"/>
        <w:rPr>
          <w:rFonts w:eastAsiaTheme="minorEastAsia"/>
          <w:color w:val="auto"/>
          <w:szCs w:val="18"/>
        </w:rPr>
      </w:pPr>
      <w:r w:rsidRPr="00E44DF9">
        <w:rPr>
          <w:rFonts w:eastAsiaTheme="minorEastAsia"/>
          <w:color w:val="auto"/>
          <w:szCs w:val="18"/>
        </w:rPr>
        <w:t>A 50</w:t>
      </w:r>
      <w:r>
        <w:rPr>
          <w:rFonts w:eastAsiaTheme="minorEastAsia"/>
          <w:color w:val="auto"/>
          <w:szCs w:val="18"/>
        </w:rPr>
        <w:t xml:space="preserve"> per cent</w:t>
      </w:r>
      <w:r w:rsidRPr="00E44DF9">
        <w:rPr>
          <w:rFonts w:eastAsiaTheme="minorEastAsia"/>
          <w:color w:val="auto"/>
          <w:szCs w:val="18"/>
        </w:rPr>
        <w:t xml:space="preserve"> loading applies for </w:t>
      </w:r>
      <w:proofErr w:type="spellStart"/>
      <w:r w:rsidRPr="00E44DF9">
        <w:rPr>
          <w:rFonts w:eastAsiaTheme="minorEastAsia"/>
          <w:color w:val="auto"/>
          <w:szCs w:val="18"/>
        </w:rPr>
        <w:t>Koorie</w:t>
      </w:r>
      <w:proofErr w:type="spellEnd"/>
      <w:r w:rsidRPr="00E44DF9">
        <w:rPr>
          <w:rFonts w:eastAsiaTheme="minorEastAsia"/>
          <w:color w:val="auto"/>
          <w:szCs w:val="18"/>
        </w:rPr>
        <w:t xml:space="preserve"> learners in pre-accredited training. The loading aims to increase engagement of </w:t>
      </w:r>
      <w:proofErr w:type="spellStart"/>
      <w:r w:rsidRPr="00E44DF9">
        <w:rPr>
          <w:rFonts w:eastAsiaTheme="minorEastAsia"/>
          <w:color w:val="auto"/>
          <w:szCs w:val="18"/>
        </w:rPr>
        <w:t>Koorie</w:t>
      </w:r>
      <w:proofErr w:type="spellEnd"/>
      <w:r w:rsidRPr="00E44DF9">
        <w:rPr>
          <w:rFonts w:eastAsiaTheme="minorEastAsia"/>
          <w:color w:val="auto"/>
          <w:szCs w:val="18"/>
        </w:rPr>
        <w:t xml:space="preserve"> learners in pre-accredited training and support </w:t>
      </w:r>
      <w:proofErr w:type="spellStart"/>
      <w:r w:rsidRPr="00E44DF9">
        <w:rPr>
          <w:rFonts w:eastAsiaTheme="minorEastAsia"/>
          <w:color w:val="auto"/>
          <w:szCs w:val="18"/>
        </w:rPr>
        <w:t>Koorie</w:t>
      </w:r>
      <w:proofErr w:type="spellEnd"/>
      <w:r w:rsidRPr="00E44DF9">
        <w:rPr>
          <w:rFonts w:eastAsiaTheme="minorEastAsia"/>
          <w:color w:val="auto"/>
          <w:szCs w:val="18"/>
        </w:rPr>
        <w:t xml:space="preserve"> communities.  </w:t>
      </w:r>
    </w:p>
    <w:p w14:paraId="202453AE" w14:textId="77777777" w:rsidR="00E44DF9" w:rsidRPr="00E44DF9" w:rsidRDefault="00E44DF9" w:rsidP="00E44DF9">
      <w:pPr>
        <w:spacing w:before="120" w:line="260" w:lineRule="atLeast"/>
        <w:rPr>
          <w:rFonts w:eastAsiaTheme="minorEastAsia"/>
          <w:szCs w:val="18"/>
        </w:rPr>
      </w:pPr>
      <w:r w:rsidRPr="00E44DF9">
        <w:rPr>
          <w:rFonts w:eastAsiaTheme="minorEastAsia"/>
          <w:szCs w:val="18"/>
        </w:rPr>
        <w:t xml:space="preserve">The first </w:t>
      </w:r>
      <w:proofErr w:type="spellStart"/>
      <w:r w:rsidRPr="00E44DF9">
        <w:rPr>
          <w:rFonts w:eastAsiaTheme="minorEastAsia"/>
          <w:szCs w:val="18"/>
        </w:rPr>
        <w:t>Koorie</w:t>
      </w:r>
      <w:proofErr w:type="spellEnd"/>
      <w:r w:rsidRPr="00E44DF9">
        <w:rPr>
          <w:rFonts w:eastAsiaTheme="minorEastAsia"/>
          <w:szCs w:val="18"/>
        </w:rPr>
        <w:t xml:space="preserve"> loading payment will be processed in May 2022 based on a census of </w:t>
      </w:r>
      <w:proofErr w:type="spellStart"/>
      <w:r w:rsidRPr="00E44DF9">
        <w:rPr>
          <w:rFonts w:eastAsiaTheme="minorEastAsia"/>
          <w:szCs w:val="18"/>
        </w:rPr>
        <w:t>Koorie</w:t>
      </w:r>
      <w:proofErr w:type="spellEnd"/>
      <w:r w:rsidRPr="00E44DF9">
        <w:rPr>
          <w:rFonts w:eastAsiaTheme="minorEastAsia"/>
          <w:szCs w:val="18"/>
        </w:rPr>
        <w:t xml:space="preserve"> learner enrolments reported in SVTS as </w:t>
      </w:r>
      <w:proofErr w:type="gramStart"/>
      <w:r w:rsidRPr="00E44DF9">
        <w:rPr>
          <w:rFonts w:eastAsiaTheme="minorEastAsia"/>
          <w:szCs w:val="18"/>
        </w:rPr>
        <w:t>at</w:t>
      </w:r>
      <w:proofErr w:type="gramEnd"/>
      <w:r w:rsidRPr="00E44DF9">
        <w:rPr>
          <w:rFonts w:eastAsiaTheme="minorEastAsia"/>
          <w:szCs w:val="18"/>
        </w:rPr>
        <w:t xml:space="preserve"> 31 March 2022.</w:t>
      </w:r>
    </w:p>
    <w:p w14:paraId="2CAB0644" w14:textId="31762FA7" w:rsidR="00E44DF9" w:rsidRPr="00E44DF9" w:rsidRDefault="00E44DF9" w:rsidP="00E44DF9">
      <w:pPr>
        <w:spacing w:before="120" w:line="260" w:lineRule="atLeast"/>
        <w:rPr>
          <w:rFonts w:eastAsiaTheme="minorEastAsia"/>
          <w:szCs w:val="18"/>
        </w:rPr>
      </w:pPr>
      <w:r w:rsidRPr="00E44DF9">
        <w:rPr>
          <w:rFonts w:eastAsiaTheme="minorEastAsia"/>
          <w:szCs w:val="18"/>
        </w:rPr>
        <w:t xml:space="preserve">A subsequent payment will be processed based on a census of </w:t>
      </w:r>
      <w:proofErr w:type="spellStart"/>
      <w:r w:rsidRPr="00E44DF9">
        <w:rPr>
          <w:rFonts w:eastAsiaTheme="minorEastAsia"/>
          <w:szCs w:val="18"/>
        </w:rPr>
        <w:t>Koorie</w:t>
      </w:r>
      <w:proofErr w:type="spellEnd"/>
      <w:r w:rsidRPr="00E44DF9">
        <w:rPr>
          <w:rFonts w:eastAsiaTheme="minorEastAsia"/>
          <w:szCs w:val="18"/>
        </w:rPr>
        <w:t xml:space="preserve"> learner enrolments reported in SVTS as </w:t>
      </w:r>
      <w:proofErr w:type="gramStart"/>
      <w:r w:rsidRPr="00E44DF9">
        <w:rPr>
          <w:rFonts w:eastAsiaTheme="minorEastAsia"/>
          <w:szCs w:val="18"/>
        </w:rPr>
        <w:t>at</w:t>
      </w:r>
      <w:proofErr w:type="gramEnd"/>
      <w:r w:rsidRPr="00E44DF9">
        <w:rPr>
          <w:rFonts w:eastAsiaTheme="minorEastAsia"/>
          <w:szCs w:val="18"/>
        </w:rPr>
        <w:t xml:space="preserve"> 30 September 2022, to capture any enrolled hours not paid in first census.</w:t>
      </w:r>
      <w:r>
        <w:rPr>
          <w:rFonts w:eastAsiaTheme="minorEastAsia"/>
          <w:szCs w:val="18"/>
        </w:rPr>
        <w:t xml:space="preserve"> Any remaining payments will be made following a reconciliation of </w:t>
      </w:r>
      <w:proofErr w:type="spellStart"/>
      <w:r>
        <w:rPr>
          <w:rFonts w:eastAsiaTheme="minorEastAsia"/>
          <w:szCs w:val="18"/>
        </w:rPr>
        <w:t>Koorie</w:t>
      </w:r>
      <w:proofErr w:type="spellEnd"/>
      <w:r>
        <w:rPr>
          <w:rFonts w:eastAsiaTheme="minorEastAsia"/>
          <w:szCs w:val="18"/>
        </w:rPr>
        <w:t xml:space="preserve"> enrolments after 15 January 2023.</w:t>
      </w:r>
    </w:p>
    <w:p w14:paraId="06F337F4" w14:textId="77777777" w:rsidR="004E108C" w:rsidRDefault="004E108C" w:rsidP="004E108C"/>
    <w:p w14:paraId="3BB64CFB" w14:textId="77777777" w:rsidR="004E108C" w:rsidRPr="00D569F3" w:rsidRDefault="004E108C" w:rsidP="004E108C">
      <w:pPr>
        <w:pStyle w:val="Heading1"/>
      </w:pPr>
      <w:r w:rsidRPr="00D569F3">
        <w:t>Business and Governance Status (BGS)</w:t>
      </w:r>
    </w:p>
    <w:p w14:paraId="5BB3FBA5" w14:textId="77777777" w:rsidR="004E108C" w:rsidRPr="005B35B8" w:rsidRDefault="004E108C" w:rsidP="004E108C">
      <w:pPr>
        <w:rPr>
          <w:b/>
          <w:bCs/>
          <w:sz w:val="24"/>
          <w:szCs w:val="24"/>
        </w:rPr>
      </w:pPr>
      <w:r w:rsidRPr="005B35B8">
        <w:rPr>
          <w:b/>
          <w:bCs/>
          <w:sz w:val="24"/>
          <w:szCs w:val="24"/>
        </w:rPr>
        <w:t>When is the BGS due?</w:t>
      </w:r>
    </w:p>
    <w:p w14:paraId="22C9C734" w14:textId="77777777" w:rsidR="004E108C" w:rsidRDefault="004E108C" w:rsidP="004E108C">
      <w:r>
        <w:t>Learn Local providers who are operating on a financial year (other than those who have a current Skills First contract) need to submit a satisfactory BGS by 30 September 2021.</w:t>
      </w:r>
    </w:p>
    <w:p w14:paraId="31EBDCB3" w14:textId="77777777" w:rsidR="004E108C" w:rsidRDefault="004E108C" w:rsidP="004E108C">
      <w:r>
        <w:t>The BGS is a prerequisite for contracting for 2022 ACFE training delivery.</w:t>
      </w:r>
    </w:p>
    <w:p w14:paraId="407E8B74" w14:textId="77777777" w:rsidR="004E108C" w:rsidRDefault="004E108C" w:rsidP="004E108C">
      <w:r>
        <w:t>Any delays in submitting the BGS, including delays to auditing processes, may delay the contracting process.</w:t>
      </w:r>
    </w:p>
    <w:p w14:paraId="51B8C578" w14:textId="77777777" w:rsidR="004E108C" w:rsidRDefault="004E108C" w:rsidP="004E108C">
      <w:r>
        <w:t xml:space="preserve">Learn Local Registered Training Organisations with a current Skills First contract </w:t>
      </w:r>
      <w:proofErr w:type="gramStart"/>
      <w:r>
        <w:t>do</w:t>
      </w:r>
      <w:proofErr w:type="gramEnd"/>
      <w:r>
        <w:t xml:space="preserve"> not need to submit a BGS.</w:t>
      </w:r>
    </w:p>
    <w:p w14:paraId="3E43E3FA" w14:textId="77777777" w:rsidR="00336DF8" w:rsidRDefault="00336DF8" w:rsidP="00D569F3"/>
    <w:p w14:paraId="4B43C5A3" w14:textId="0201CF5E" w:rsidR="007219D2" w:rsidRDefault="007219D2" w:rsidP="007219D2">
      <w:pPr>
        <w:rPr>
          <w:b/>
          <w:bCs/>
          <w:color w:val="002060"/>
          <w:sz w:val="28"/>
          <w:szCs w:val="28"/>
        </w:rPr>
      </w:pPr>
    </w:p>
    <w:p w14:paraId="1A7CF1C3" w14:textId="77777777" w:rsidR="007219D2" w:rsidRDefault="007219D2" w:rsidP="007219D2">
      <w:pPr>
        <w:rPr>
          <w:b/>
          <w:bCs/>
          <w:color w:val="002060"/>
          <w:sz w:val="28"/>
          <w:szCs w:val="28"/>
        </w:rPr>
      </w:pPr>
    </w:p>
    <w:p w14:paraId="0DB700CA" w14:textId="40A5FF74" w:rsidR="00A656A1" w:rsidRDefault="00A656A1" w:rsidP="00C45FD0">
      <w:pPr>
        <w:rPr>
          <w:b/>
          <w:bCs/>
          <w:color w:val="auto"/>
          <w:sz w:val="24"/>
          <w:szCs w:val="24"/>
        </w:rPr>
      </w:pPr>
    </w:p>
    <w:p w14:paraId="3B45D637" w14:textId="0137C3FE" w:rsidR="00A656A1" w:rsidRDefault="00A656A1" w:rsidP="00C45FD0">
      <w:pPr>
        <w:rPr>
          <w:b/>
          <w:bCs/>
          <w:color w:val="auto"/>
          <w:sz w:val="24"/>
          <w:szCs w:val="24"/>
        </w:rPr>
      </w:pPr>
    </w:p>
    <w:p w14:paraId="536689BD" w14:textId="77777777" w:rsidR="00A656A1" w:rsidRPr="00C45FD0" w:rsidRDefault="00A656A1" w:rsidP="00C45FD0">
      <w:pPr>
        <w:rPr>
          <w:b/>
          <w:bCs/>
          <w:color w:val="auto"/>
          <w:sz w:val="24"/>
          <w:szCs w:val="24"/>
        </w:rPr>
      </w:pPr>
    </w:p>
    <w:p w14:paraId="67F86A6C" w14:textId="77777777" w:rsidR="00C45FD0" w:rsidRPr="002C3800" w:rsidRDefault="00C45FD0" w:rsidP="00A23803">
      <w:pPr>
        <w:rPr>
          <w:color w:val="auto"/>
          <w:sz w:val="29"/>
          <w:szCs w:val="29"/>
        </w:rPr>
      </w:pPr>
    </w:p>
    <w:sectPr w:rsidR="00C45FD0" w:rsidRPr="002C3800" w:rsidSect="005B0E05">
      <w:headerReference w:type="even" r:id="rId20"/>
      <w:headerReference w:type="default" r:id="rId21"/>
      <w:footerReference w:type="even" r:id="rId22"/>
      <w:footerReference w:type="default" r:id="rId23"/>
      <w:footerReference w:type="first" r:id="rId24"/>
      <w:pgSz w:w="11906" w:h="16838"/>
      <w:pgMar w:top="709"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E938" w14:textId="77777777" w:rsidR="00B22479" w:rsidRDefault="00B22479" w:rsidP="002100ED">
      <w:r>
        <w:separator/>
      </w:r>
    </w:p>
    <w:p w14:paraId="084BE3A3" w14:textId="77777777" w:rsidR="00B22479" w:rsidRDefault="00B22479"/>
  </w:endnote>
  <w:endnote w:type="continuationSeparator" w:id="0">
    <w:p w14:paraId="60DB1B1E" w14:textId="77777777" w:rsidR="00B22479" w:rsidRDefault="00B22479" w:rsidP="002100ED">
      <w:r>
        <w:continuationSeparator/>
      </w:r>
    </w:p>
    <w:p w14:paraId="50AC44BC" w14:textId="77777777" w:rsidR="00B22479" w:rsidRDefault="00B2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5B0E05">
      <w:tc>
        <w:tcPr>
          <w:tcW w:w="4817" w:type="dxa"/>
          <w:vAlign w:val="bottom"/>
        </w:tcPr>
        <w:sdt>
          <w:sdtPr>
            <w:rPr>
              <w:b/>
              <w:bCs/>
              <w:color w:val="364283"/>
              <w:sz w:val="20"/>
              <w:szCs w:val="20"/>
            </w:rPr>
            <w:id w:val="-963423568"/>
            <w:docPartObj>
              <w:docPartGallery w:val="Page Numbers (Bottom of Page)"/>
              <w:docPartUnique/>
            </w:docPartObj>
          </w:sdtPr>
          <w:sdtEndPr/>
          <w:sdtContent>
            <w:sdt>
              <w:sdtPr>
                <w:rPr>
                  <w:b/>
                  <w:bCs/>
                  <w:color w:val="364283"/>
                  <w:sz w:val="20"/>
                  <w:szCs w:val="20"/>
                </w:rPr>
                <w:id w:val="2040235685"/>
                <w:docPartObj>
                  <w:docPartGallery w:val="Page Numbers (Top of Page)"/>
                  <w:docPartUnique/>
                </w:docPartObj>
              </w:sdtPr>
              <w:sdtEndPr/>
              <w:sdtContent>
                <w:p w14:paraId="1A113FF2" w14:textId="3AAAD8AF" w:rsidR="005B0E05" w:rsidRPr="000F6D03" w:rsidRDefault="005B0E05" w:rsidP="005B0E05">
                  <w:pPr>
                    <w:pStyle w:val="Footer"/>
                    <w:spacing w:after="80"/>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c>
        <w:tcPr>
          <w:tcW w:w="4817" w:type="dxa"/>
          <w:vMerge w:val="restart"/>
          <w:vAlign w:val="bottom"/>
        </w:tcPr>
        <w:p w14:paraId="1695AF63" w14:textId="224D83E1" w:rsidR="005B0E05" w:rsidRPr="000F6D03" w:rsidRDefault="005B0E05" w:rsidP="005B0E05">
          <w:pPr>
            <w:pStyle w:val="Footer"/>
            <w:spacing w:after="80"/>
            <w:jc w:val="right"/>
            <w:rPr>
              <w:b/>
              <w:bCs/>
              <w:color w:val="364283"/>
              <w:sz w:val="20"/>
              <w:szCs w:val="20"/>
            </w:rPr>
          </w:pPr>
          <w:r w:rsidRPr="00724E76">
            <w:rPr>
              <w:bCs/>
              <w:color w:val="364283"/>
              <w:sz w:val="20"/>
              <w:szCs w:val="20"/>
            </w:rPr>
            <w:t xml:space="preserve">Published </w:t>
          </w:r>
          <w:r w:rsidR="00E474FD">
            <w:rPr>
              <w:bCs/>
              <w:color w:val="364283"/>
              <w:sz w:val="20"/>
              <w:szCs w:val="20"/>
            </w:rPr>
            <w:t>1</w:t>
          </w:r>
          <w:r w:rsidR="004F76CA">
            <w:rPr>
              <w:bCs/>
              <w:color w:val="364283"/>
              <w:sz w:val="20"/>
              <w:szCs w:val="20"/>
            </w:rPr>
            <w:t>3</w:t>
          </w:r>
          <w:r>
            <w:rPr>
              <w:bCs/>
              <w:color w:val="364283"/>
              <w:sz w:val="20"/>
              <w:szCs w:val="20"/>
            </w:rPr>
            <w:t xml:space="preserve"> </w:t>
          </w:r>
          <w:r w:rsidR="00840F94">
            <w:rPr>
              <w:bCs/>
              <w:color w:val="364283"/>
              <w:sz w:val="20"/>
              <w:szCs w:val="20"/>
            </w:rPr>
            <w:t>September</w:t>
          </w:r>
          <w:r w:rsidRPr="00724E76">
            <w:rPr>
              <w:bCs/>
              <w:color w:val="364283"/>
              <w:sz w:val="20"/>
              <w:szCs w:val="20"/>
            </w:rPr>
            <w:t xml:space="preserve"> 2021</w:t>
          </w:r>
          <w:r>
            <w:rPr>
              <w:bCs/>
              <w:color w:val="364283"/>
              <w:sz w:val="20"/>
              <w:szCs w:val="20"/>
            </w:rPr>
            <w:br/>
          </w:r>
          <w:r w:rsidRPr="00724E76">
            <w:rPr>
              <w:i/>
              <w:color w:val="364283"/>
              <w:sz w:val="20"/>
              <w:szCs w:val="20"/>
            </w:rPr>
            <w:t>This is a guide only and subject to change</w:t>
          </w:r>
        </w:p>
      </w:tc>
    </w:tr>
    <w:tr w:rsidR="005B0E05" w14:paraId="7C0259FC" w14:textId="077624C3" w:rsidTr="005B0E05">
      <w:tc>
        <w:tcPr>
          <w:tcW w:w="4817" w:type="dxa"/>
          <w:vAlign w:val="bottom"/>
        </w:tcPr>
        <w:p w14:paraId="45D79F2D" w14:textId="77777777" w:rsidR="005B0E05" w:rsidRPr="00C66042" w:rsidRDefault="005B0E05" w:rsidP="005B0E05">
          <w:pPr>
            <w:pStyle w:val="Footer"/>
            <w:rPr>
              <w:sz w:val="20"/>
              <w:szCs w:val="20"/>
            </w:rP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5B0E05">
          <w:pPr>
            <w:pStyle w:val="Footer"/>
            <w:jc w:val="right"/>
            <w:rPr>
              <w:noProof/>
            </w:rPr>
          </w:pPr>
        </w:p>
      </w:tc>
    </w:tr>
  </w:tbl>
  <w:p w14:paraId="23DA8D75" w14:textId="77777777" w:rsidR="005B0E05" w:rsidRPr="005B0E05" w:rsidRDefault="005B0E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724E76" w:rsidRPr="00724E76" w14:paraId="3AAA9B19" w14:textId="77777777" w:rsidTr="00724E76">
      <w:tc>
        <w:tcPr>
          <w:tcW w:w="4815" w:type="dxa"/>
          <w:vMerge w:val="restart"/>
          <w:vAlign w:val="bottom"/>
        </w:tcPr>
        <w:p w14:paraId="7053C579" w14:textId="4A8E939D" w:rsidR="00724E76" w:rsidRPr="00724E76" w:rsidRDefault="00724E76" w:rsidP="00724E76">
          <w:pPr>
            <w:pStyle w:val="Footer"/>
            <w:rPr>
              <w:color w:val="364283"/>
            </w:rPr>
          </w:pPr>
          <w:r w:rsidRPr="00724E76">
            <w:rPr>
              <w:bCs/>
              <w:color w:val="364283"/>
              <w:sz w:val="20"/>
              <w:szCs w:val="20"/>
            </w:rPr>
            <w:t xml:space="preserve">Published </w:t>
          </w:r>
          <w:r w:rsidR="00E474FD">
            <w:rPr>
              <w:bCs/>
              <w:color w:val="364283"/>
              <w:sz w:val="20"/>
              <w:szCs w:val="20"/>
            </w:rPr>
            <w:t>1</w:t>
          </w:r>
          <w:r w:rsidR="004F76CA">
            <w:rPr>
              <w:bCs/>
              <w:color w:val="364283"/>
              <w:sz w:val="20"/>
              <w:szCs w:val="20"/>
            </w:rPr>
            <w:t>3</w:t>
          </w:r>
          <w:r w:rsidR="00E474FD">
            <w:rPr>
              <w:bCs/>
              <w:color w:val="364283"/>
              <w:sz w:val="20"/>
              <w:szCs w:val="20"/>
            </w:rPr>
            <w:t xml:space="preserve"> September</w:t>
          </w:r>
          <w:r w:rsidR="00E474FD" w:rsidRPr="00724E76">
            <w:rPr>
              <w:bCs/>
              <w:color w:val="364283"/>
              <w:sz w:val="20"/>
              <w:szCs w:val="20"/>
            </w:rPr>
            <w:t xml:space="preserve"> 2021</w:t>
          </w:r>
          <w:r>
            <w:rPr>
              <w:bCs/>
              <w:color w:val="364283"/>
              <w:sz w:val="20"/>
              <w:szCs w:val="20"/>
            </w:rPr>
            <w:br/>
          </w:r>
          <w:r w:rsidRPr="00724E76">
            <w:rPr>
              <w:i/>
              <w:color w:val="364283"/>
              <w:sz w:val="20"/>
              <w:szCs w:val="20"/>
            </w:rPr>
            <w:t>This is a guide only and subject to change</w:t>
          </w:r>
        </w:p>
      </w:tc>
      <w:tc>
        <w:tcPr>
          <w:tcW w:w="4813" w:type="dxa"/>
        </w:tcPr>
        <w:sdt>
          <w:sdtPr>
            <w:rPr>
              <w:b/>
              <w:bCs/>
              <w:color w:val="364283"/>
              <w:sz w:val="20"/>
              <w:szCs w:val="20"/>
            </w:rPr>
            <w:id w:val="-666636751"/>
            <w:docPartObj>
              <w:docPartGallery w:val="Page Numbers (Bottom of Page)"/>
              <w:docPartUnique/>
            </w:docPartObj>
          </w:sdtPr>
          <w:sdtEndPr/>
          <w:sdtContent>
            <w:sdt>
              <w:sdtPr>
                <w:rPr>
                  <w:b/>
                  <w:bCs/>
                  <w:color w:val="364283"/>
                  <w:sz w:val="20"/>
                  <w:szCs w:val="20"/>
                </w:rPr>
                <w:id w:val="-1769616900"/>
                <w:docPartObj>
                  <w:docPartGallery w:val="Page Numbers (Top of Page)"/>
                  <w:docPartUnique/>
                </w:docPartObj>
              </w:sdtPr>
              <w:sdtEndPr/>
              <w:sdtContent>
                <w:p w14:paraId="17F8B0FD" w14:textId="2783BE67" w:rsidR="00724E76" w:rsidRPr="000F6D03" w:rsidRDefault="00724E76" w:rsidP="00724E76">
                  <w:pPr>
                    <w:pStyle w:val="Footer"/>
                    <w:spacing w:after="80"/>
                    <w:jc w:val="right"/>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r>
    <w:tr w:rsidR="00724E76" w14:paraId="3FDCE093" w14:textId="77777777" w:rsidTr="00724E76">
      <w:tc>
        <w:tcPr>
          <w:tcW w:w="4815" w:type="dxa"/>
          <w:vMerge/>
        </w:tcPr>
        <w:p w14:paraId="73AEDD67" w14:textId="77777777" w:rsidR="00724E76" w:rsidRPr="00C66042" w:rsidRDefault="00724E76" w:rsidP="002100ED">
          <w:pPr>
            <w:pStyle w:val="Footer"/>
            <w:rPr>
              <w:bCs/>
              <w:sz w:val="20"/>
              <w:szCs w:val="20"/>
            </w:rPr>
          </w:pPr>
        </w:p>
      </w:tc>
      <w:tc>
        <w:tcPr>
          <w:tcW w:w="4813" w:type="dxa"/>
        </w:tcPr>
        <w:p w14:paraId="7A879E9D" w14:textId="298E11BE" w:rsidR="00724E76" w:rsidRPr="00C66042" w:rsidRDefault="00724E76" w:rsidP="00724E76">
          <w:pPr>
            <w:pStyle w:val="Footer"/>
            <w:jc w:val="right"/>
            <w:rPr>
              <w:sz w:val="20"/>
              <w:szCs w:val="20"/>
            </w:rPr>
          </w:pPr>
          <w:r>
            <w:rPr>
              <w:noProof/>
            </w:rPr>
            <w:drawing>
              <wp:inline distT="0" distB="0" distL="0" distR="0" wp14:anchorId="4A4B7599" wp14:editId="4BEB44AD">
                <wp:extent cx="2471931" cy="494115"/>
                <wp:effectExtent l="0" t="0" r="5080" b="1270"/>
                <wp:docPr id="17"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33B6C519" w14:textId="2E908B30" w:rsidR="00724E76" w:rsidRPr="00724E76" w:rsidRDefault="00724E76" w:rsidP="00724E7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5B0E05" w:rsidRPr="00724E76" w14:paraId="2281BE55" w14:textId="77777777" w:rsidTr="000C6B0E">
      <w:tc>
        <w:tcPr>
          <w:tcW w:w="4815" w:type="dxa"/>
          <w:vMerge w:val="restart"/>
          <w:vAlign w:val="bottom"/>
        </w:tcPr>
        <w:p w14:paraId="6E9DD115" w14:textId="68AA132F" w:rsidR="005B0E05" w:rsidRPr="00724E76" w:rsidRDefault="005B0E05" w:rsidP="005B0E05">
          <w:pPr>
            <w:pStyle w:val="Footer"/>
            <w:rPr>
              <w:color w:val="364283"/>
            </w:rPr>
          </w:pPr>
          <w:r w:rsidRPr="00724E76">
            <w:rPr>
              <w:bCs/>
              <w:color w:val="364283"/>
              <w:sz w:val="20"/>
              <w:szCs w:val="20"/>
            </w:rPr>
            <w:t xml:space="preserve">Published </w:t>
          </w:r>
          <w:r>
            <w:rPr>
              <w:bCs/>
              <w:color w:val="364283"/>
              <w:sz w:val="20"/>
              <w:szCs w:val="20"/>
            </w:rPr>
            <w:t>1</w:t>
          </w:r>
          <w:r w:rsidR="004F76CA">
            <w:rPr>
              <w:bCs/>
              <w:color w:val="364283"/>
              <w:sz w:val="20"/>
              <w:szCs w:val="20"/>
            </w:rPr>
            <w:t>3 September</w:t>
          </w:r>
          <w:r w:rsidRPr="00724E76">
            <w:rPr>
              <w:bCs/>
              <w:color w:val="364283"/>
              <w:sz w:val="20"/>
              <w:szCs w:val="20"/>
            </w:rPr>
            <w:t xml:space="preserve"> 2021</w:t>
          </w:r>
          <w:r>
            <w:rPr>
              <w:bCs/>
              <w:color w:val="364283"/>
              <w:sz w:val="20"/>
              <w:szCs w:val="20"/>
            </w:rPr>
            <w:br/>
          </w:r>
          <w:r w:rsidRPr="00724E76">
            <w:rPr>
              <w:i/>
              <w:color w:val="364283"/>
              <w:sz w:val="20"/>
              <w:szCs w:val="20"/>
            </w:rPr>
            <w:t>This is a guide only and subject to change</w:t>
          </w:r>
        </w:p>
      </w:tc>
      <w:tc>
        <w:tcPr>
          <w:tcW w:w="4813" w:type="dxa"/>
        </w:tcPr>
        <w:sdt>
          <w:sdtPr>
            <w:rPr>
              <w:b/>
              <w:bCs/>
              <w:color w:val="364283"/>
              <w:sz w:val="20"/>
              <w:szCs w:val="20"/>
            </w:rPr>
            <w:id w:val="-956797330"/>
            <w:docPartObj>
              <w:docPartGallery w:val="Page Numbers (Bottom of Page)"/>
              <w:docPartUnique/>
            </w:docPartObj>
          </w:sdtPr>
          <w:sdtEndPr/>
          <w:sdtContent>
            <w:sdt>
              <w:sdtPr>
                <w:rPr>
                  <w:b/>
                  <w:bCs/>
                  <w:color w:val="364283"/>
                  <w:sz w:val="20"/>
                  <w:szCs w:val="20"/>
                </w:rPr>
                <w:id w:val="-798141160"/>
                <w:docPartObj>
                  <w:docPartGallery w:val="Page Numbers (Top of Page)"/>
                  <w:docPartUnique/>
                </w:docPartObj>
              </w:sdtPr>
              <w:sdtEndPr/>
              <w:sdtContent>
                <w:p w14:paraId="376B17ED" w14:textId="633E8EF7" w:rsidR="005B0E05" w:rsidRPr="000F6D03" w:rsidRDefault="005B0E05" w:rsidP="005B0E05">
                  <w:pPr>
                    <w:pStyle w:val="Footer"/>
                    <w:spacing w:after="80"/>
                    <w:jc w:val="right"/>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r>
    <w:tr w:rsidR="005B0E05" w14:paraId="7677E6E2" w14:textId="77777777" w:rsidTr="000C6B0E">
      <w:tc>
        <w:tcPr>
          <w:tcW w:w="4815" w:type="dxa"/>
          <w:vMerge/>
        </w:tcPr>
        <w:p w14:paraId="666F978C" w14:textId="77777777" w:rsidR="005B0E05" w:rsidRPr="00C66042" w:rsidRDefault="005B0E05" w:rsidP="005B0E05">
          <w:pPr>
            <w:pStyle w:val="Footer"/>
            <w:rPr>
              <w:bCs/>
              <w:sz w:val="20"/>
              <w:szCs w:val="20"/>
            </w:rPr>
          </w:pPr>
        </w:p>
      </w:tc>
      <w:tc>
        <w:tcPr>
          <w:tcW w:w="4813" w:type="dxa"/>
        </w:tcPr>
        <w:p w14:paraId="6215B970" w14:textId="77777777" w:rsidR="005B0E05" w:rsidRPr="00C66042" w:rsidRDefault="005B0E05" w:rsidP="005B0E05">
          <w:pPr>
            <w:pStyle w:val="Footer"/>
            <w:jc w:val="right"/>
            <w:rPr>
              <w:sz w:val="20"/>
              <w:szCs w:val="20"/>
            </w:rPr>
          </w:pPr>
          <w:r>
            <w:rPr>
              <w:noProof/>
            </w:rPr>
            <w:drawing>
              <wp:inline distT="0" distB="0" distL="0" distR="0" wp14:anchorId="70E16D33" wp14:editId="13273C89">
                <wp:extent cx="2471931" cy="494115"/>
                <wp:effectExtent l="0" t="0" r="5080" b="1270"/>
                <wp:docPr id="18" name="Picture 18"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28DA8DBE" w14:textId="77777777" w:rsidR="005B0E05" w:rsidRPr="005B0E05" w:rsidRDefault="005B0E0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3069" w14:textId="77777777" w:rsidR="00B22479" w:rsidRDefault="00B22479" w:rsidP="002100ED">
      <w:r>
        <w:separator/>
      </w:r>
    </w:p>
    <w:p w14:paraId="502D2AB3" w14:textId="77777777" w:rsidR="00B22479" w:rsidRDefault="00B22479"/>
  </w:footnote>
  <w:footnote w:type="continuationSeparator" w:id="0">
    <w:p w14:paraId="7C63FA28" w14:textId="77777777" w:rsidR="00B22479" w:rsidRDefault="00B22479" w:rsidP="002100ED">
      <w:r>
        <w:continuationSeparator/>
      </w:r>
    </w:p>
    <w:p w14:paraId="2280BCF4" w14:textId="77777777" w:rsidR="00B22479" w:rsidRDefault="00B22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5B0E05">
      <w:tc>
        <w:tcPr>
          <w:tcW w:w="6372" w:type="dxa"/>
        </w:tcPr>
        <w:p w14:paraId="375F9039" w14:textId="764C37FC" w:rsidR="005B0E05" w:rsidRPr="005B0E05" w:rsidRDefault="0038748B" w:rsidP="0038748B">
          <w:pPr>
            <w:pStyle w:val="Header"/>
            <w:spacing w:before="120" w:after="120" w:line="260" w:lineRule="atLeast"/>
            <w:ind w:left="147"/>
            <w:rPr>
              <w:b/>
              <w:bCs/>
              <w:color w:val="364283"/>
              <w:sz w:val="24"/>
              <w:szCs w:val="24"/>
            </w:rPr>
          </w:pPr>
          <w:r w:rsidRPr="0038748B">
            <w:rPr>
              <w:b/>
              <w:bCs/>
              <w:color w:val="364283"/>
              <w:sz w:val="24"/>
              <w:szCs w:val="24"/>
            </w:rPr>
            <w:t>COMPLETING THE 2022 DELIVERY PLAN</w:t>
          </w:r>
        </w:p>
      </w:tc>
    </w:tr>
    <w:tr w:rsidR="005B0E05" w:rsidRPr="005B0E05" w14:paraId="645AE65A" w14:textId="77777777" w:rsidTr="005B0E05">
      <w:tc>
        <w:tcPr>
          <w:tcW w:w="6372" w:type="dxa"/>
          <w:tcBorders>
            <w:bottom w:val="single" w:sz="8" w:space="0" w:color="364283"/>
          </w:tcBorders>
        </w:tcPr>
        <w:p w14:paraId="20B895E3" w14:textId="77777777" w:rsidR="005B0E05" w:rsidRPr="005B0E05" w:rsidRDefault="005B0E05" w:rsidP="005B0E05">
          <w:pPr>
            <w:pStyle w:val="Header"/>
            <w:rPr>
              <w:color w:val="364283"/>
              <w:sz w:val="12"/>
              <w:szCs w:val="12"/>
            </w:rPr>
          </w:pPr>
        </w:p>
      </w:tc>
    </w:tr>
    <w:tr w:rsidR="005B0E05" w:rsidRPr="009D33A3" w14:paraId="2E6ED49B" w14:textId="77777777" w:rsidTr="005B0E05">
      <w:tc>
        <w:tcPr>
          <w:tcW w:w="6372" w:type="dxa"/>
          <w:tcBorders>
            <w:top w:val="single" w:sz="8" w:space="0" w:color="364283"/>
          </w:tcBorders>
        </w:tcPr>
        <w:p w14:paraId="5F5DD986" w14:textId="77777777" w:rsidR="005B0E05" w:rsidRPr="009D33A3" w:rsidRDefault="005B0E05" w:rsidP="005B0E05">
          <w:pPr>
            <w:pStyle w:val="Header"/>
            <w:rPr>
              <w:b/>
              <w:bCs/>
              <w:color w:val="364283"/>
              <w:sz w:val="12"/>
              <w:szCs w:val="12"/>
            </w:rPr>
          </w:pPr>
        </w:p>
      </w:tc>
    </w:tr>
  </w:tbl>
  <w:p w14:paraId="781FB568" w14:textId="77777777" w:rsidR="005B0E05" w:rsidRPr="005B0E05" w:rsidRDefault="005B0E05" w:rsidP="005B0E05">
    <w:pPr>
      <w:pStyle w:val="Header"/>
      <w:rPr>
        <w:sz w:val="2"/>
        <w:szCs w:val="2"/>
      </w:rPr>
    </w:pPr>
  </w:p>
  <w:p w14:paraId="5E4008B4" w14:textId="77777777" w:rsidR="00CE7EC5" w:rsidRDefault="00CE7E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101C20E2" w:rsidR="005B0E05" w:rsidRPr="005B0E05" w:rsidRDefault="0038748B" w:rsidP="00EA2AA3">
          <w:pPr>
            <w:pStyle w:val="Header"/>
            <w:spacing w:before="120" w:after="120" w:line="260" w:lineRule="atLeast"/>
            <w:ind w:left="147"/>
            <w:jc w:val="right"/>
            <w:rPr>
              <w:b/>
              <w:bCs/>
              <w:color w:val="364283"/>
              <w:sz w:val="24"/>
              <w:szCs w:val="24"/>
            </w:rPr>
          </w:pPr>
          <w:r w:rsidRPr="0038748B">
            <w:rPr>
              <w:b/>
              <w:bCs/>
              <w:color w:val="364283"/>
              <w:sz w:val="24"/>
              <w:szCs w:val="24"/>
            </w:rPr>
            <w:t>COMPLETING THE 2022 DELIVERY PLAN</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5B0E05">
          <w:pPr>
            <w:pStyle w:val="Header"/>
            <w:rPr>
              <w:color w:val="364283"/>
              <w:sz w:val="12"/>
              <w:szCs w:val="12"/>
            </w:rP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5B0E05">
          <w:pPr>
            <w:pStyle w:val="Header"/>
            <w:rPr>
              <w:b/>
              <w:bCs/>
              <w:color w:val="364283"/>
              <w:sz w:val="12"/>
              <w:szCs w:val="12"/>
            </w:rPr>
          </w:pPr>
        </w:p>
      </w:tc>
    </w:tr>
  </w:tbl>
  <w:p w14:paraId="73CEFA9B" w14:textId="77777777" w:rsidR="005B0E05" w:rsidRPr="005B0E05" w:rsidRDefault="005B0E05" w:rsidP="005B0E05">
    <w:pPr>
      <w:pStyle w:val="Header"/>
      <w:rPr>
        <w:sz w:val="2"/>
        <w:szCs w:val="2"/>
      </w:rPr>
    </w:pPr>
  </w:p>
  <w:p w14:paraId="5946E0A9" w14:textId="77777777" w:rsidR="00CE7EC5" w:rsidRDefault="00CE7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FA"/>
    <w:multiLevelType w:val="hybridMultilevel"/>
    <w:tmpl w:val="DB2EF9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9F2D97"/>
    <w:multiLevelType w:val="hybridMultilevel"/>
    <w:tmpl w:val="75E68DDA"/>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1021D"/>
    <w:multiLevelType w:val="hybridMultilevel"/>
    <w:tmpl w:val="7C5EC052"/>
    <w:lvl w:ilvl="0" w:tplc="BDE6ADAE">
      <w:start w:val="1"/>
      <w:numFmt w:val="bullet"/>
      <w:lvlText w:val="•"/>
      <w:lvlJc w:val="left"/>
      <w:pPr>
        <w:tabs>
          <w:tab w:val="num" w:pos="720"/>
        </w:tabs>
        <w:ind w:left="720" w:hanging="360"/>
      </w:pPr>
      <w:rPr>
        <w:rFonts w:ascii="Arial" w:hAnsi="Arial" w:hint="default"/>
      </w:rPr>
    </w:lvl>
    <w:lvl w:ilvl="1" w:tplc="9B440E6A" w:tentative="1">
      <w:start w:val="1"/>
      <w:numFmt w:val="bullet"/>
      <w:lvlText w:val="•"/>
      <w:lvlJc w:val="left"/>
      <w:pPr>
        <w:tabs>
          <w:tab w:val="num" w:pos="1440"/>
        </w:tabs>
        <w:ind w:left="1440" w:hanging="360"/>
      </w:pPr>
      <w:rPr>
        <w:rFonts w:ascii="Arial" w:hAnsi="Arial" w:hint="default"/>
      </w:rPr>
    </w:lvl>
    <w:lvl w:ilvl="2" w:tplc="7C1801A2" w:tentative="1">
      <w:start w:val="1"/>
      <w:numFmt w:val="bullet"/>
      <w:lvlText w:val="•"/>
      <w:lvlJc w:val="left"/>
      <w:pPr>
        <w:tabs>
          <w:tab w:val="num" w:pos="2160"/>
        </w:tabs>
        <w:ind w:left="2160" w:hanging="360"/>
      </w:pPr>
      <w:rPr>
        <w:rFonts w:ascii="Arial" w:hAnsi="Arial" w:hint="default"/>
      </w:rPr>
    </w:lvl>
    <w:lvl w:ilvl="3" w:tplc="F25A31F2" w:tentative="1">
      <w:start w:val="1"/>
      <w:numFmt w:val="bullet"/>
      <w:lvlText w:val="•"/>
      <w:lvlJc w:val="left"/>
      <w:pPr>
        <w:tabs>
          <w:tab w:val="num" w:pos="2880"/>
        </w:tabs>
        <w:ind w:left="2880" w:hanging="360"/>
      </w:pPr>
      <w:rPr>
        <w:rFonts w:ascii="Arial" w:hAnsi="Arial" w:hint="default"/>
      </w:rPr>
    </w:lvl>
    <w:lvl w:ilvl="4" w:tplc="7E9467BA" w:tentative="1">
      <w:start w:val="1"/>
      <w:numFmt w:val="bullet"/>
      <w:lvlText w:val="•"/>
      <w:lvlJc w:val="left"/>
      <w:pPr>
        <w:tabs>
          <w:tab w:val="num" w:pos="3600"/>
        </w:tabs>
        <w:ind w:left="3600" w:hanging="360"/>
      </w:pPr>
      <w:rPr>
        <w:rFonts w:ascii="Arial" w:hAnsi="Arial" w:hint="default"/>
      </w:rPr>
    </w:lvl>
    <w:lvl w:ilvl="5" w:tplc="DC286D44" w:tentative="1">
      <w:start w:val="1"/>
      <w:numFmt w:val="bullet"/>
      <w:lvlText w:val="•"/>
      <w:lvlJc w:val="left"/>
      <w:pPr>
        <w:tabs>
          <w:tab w:val="num" w:pos="4320"/>
        </w:tabs>
        <w:ind w:left="4320" w:hanging="360"/>
      </w:pPr>
      <w:rPr>
        <w:rFonts w:ascii="Arial" w:hAnsi="Arial" w:hint="default"/>
      </w:rPr>
    </w:lvl>
    <w:lvl w:ilvl="6" w:tplc="24EAB0B0" w:tentative="1">
      <w:start w:val="1"/>
      <w:numFmt w:val="bullet"/>
      <w:lvlText w:val="•"/>
      <w:lvlJc w:val="left"/>
      <w:pPr>
        <w:tabs>
          <w:tab w:val="num" w:pos="5040"/>
        </w:tabs>
        <w:ind w:left="5040" w:hanging="360"/>
      </w:pPr>
      <w:rPr>
        <w:rFonts w:ascii="Arial" w:hAnsi="Arial" w:hint="default"/>
      </w:rPr>
    </w:lvl>
    <w:lvl w:ilvl="7" w:tplc="BC80FA3E" w:tentative="1">
      <w:start w:val="1"/>
      <w:numFmt w:val="bullet"/>
      <w:lvlText w:val="•"/>
      <w:lvlJc w:val="left"/>
      <w:pPr>
        <w:tabs>
          <w:tab w:val="num" w:pos="5760"/>
        </w:tabs>
        <w:ind w:left="5760" w:hanging="360"/>
      </w:pPr>
      <w:rPr>
        <w:rFonts w:ascii="Arial" w:hAnsi="Arial" w:hint="default"/>
      </w:rPr>
    </w:lvl>
    <w:lvl w:ilvl="8" w:tplc="B5CE24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0A5446"/>
    <w:multiLevelType w:val="hybridMultilevel"/>
    <w:tmpl w:val="AA5E5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5036E3"/>
    <w:multiLevelType w:val="hybridMultilevel"/>
    <w:tmpl w:val="E302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4354E2"/>
    <w:multiLevelType w:val="hybridMultilevel"/>
    <w:tmpl w:val="61CC494A"/>
    <w:lvl w:ilvl="0" w:tplc="242E4706">
      <w:start w:val="1"/>
      <w:numFmt w:val="bullet"/>
      <w:lvlText w:val="•"/>
      <w:lvlJc w:val="left"/>
      <w:pPr>
        <w:tabs>
          <w:tab w:val="num" w:pos="720"/>
        </w:tabs>
        <w:ind w:left="720" w:hanging="360"/>
      </w:pPr>
      <w:rPr>
        <w:rFonts w:ascii="Arial" w:hAnsi="Arial" w:hint="default"/>
      </w:rPr>
    </w:lvl>
    <w:lvl w:ilvl="1" w:tplc="2A22D388" w:tentative="1">
      <w:start w:val="1"/>
      <w:numFmt w:val="bullet"/>
      <w:lvlText w:val="•"/>
      <w:lvlJc w:val="left"/>
      <w:pPr>
        <w:tabs>
          <w:tab w:val="num" w:pos="1440"/>
        </w:tabs>
        <w:ind w:left="1440" w:hanging="360"/>
      </w:pPr>
      <w:rPr>
        <w:rFonts w:ascii="Arial" w:hAnsi="Arial" w:hint="default"/>
      </w:rPr>
    </w:lvl>
    <w:lvl w:ilvl="2" w:tplc="B27E0D48" w:tentative="1">
      <w:start w:val="1"/>
      <w:numFmt w:val="bullet"/>
      <w:lvlText w:val="•"/>
      <w:lvlJc w:val="left"/>
      <w:pPr>
        <w:tabs>
          <w:tab w:val="num" w:pos="2160"/>
        </w:tabs>
        <w:ind w:left="2160" w:hanging="360"/>
      </w:pPr>
      <w:rPr>
        <w:rFonts w:ascii="Arial" w:hAnsi="Arial" w:hint="default"/>
      </w:rPr>
    </w:lvl>
    <w:lvl w:ilvl="3" w:tplc="CF822BB6" w:tentative="1">
      <w:start w:val="1"/>
      <w:numFmt w:val="bullet"/>
      <w:lvlText w:val="•"/>
      <w:lvlJc w:val="left"/>
      <w:pPr>
        <w:tabs>
          <w:tab w:val="num" w:pos="2880"/>
        </w:tabs>
        <w:ind w:left="2880" w:hanging="360"/>
      </w:pPr>
      <w:rPr>
        <w:rFonts w:ascii="Arial" w:hAnsi="Arial" w:hint="default"/>
      </w:rPr>
    </w:lvl>
    <w:lvl w:ilvl="4" w:tplc="4AF641C6" w:tentative="1">
      <w:start w:val="1"/>
      <w:numFmt w:val="bullet"/>
      <w:lvlText w:val="•"/>
      <w:lvlJc w:val="left"/>
      <w:pPr>
        <w:tabs>
          <w:tab w:val="num" w:pos="3600"/>
        </w:tabs>
        <w:ind w:left="3600" w:hanging="360"/>
      </w:pPr>
      <w:rPr>
        <w:rFonts w:ascii="Arial" w:hAnsi="Arial" w:hint="default"/>
      </w:rPr>
    </w:lvl>
    <w:lvl w:ilvl="5" w:tplc="99083FBA" w:tentative="1">
      <w:start w:val="1"/>
      <w:numFmt w:val="bullet"/>
      <w:lvlText w:val="•"/>
      <w:lvlJc w:val="left"/>
      <w:pPr>
        <w:tabs>
          <w:tab w:val="num" w:pos="4320"/>
        </w:tabs>
        <w:ind w:left="4320" w:hanging="360"/>
      </w:pPr>
      <w:rPr>
        <w:rFonts w:ascii="Arial" w:hAnsi="Arial" w:hint="default"/>
      </w:rPr>
    </w:lvl>
    <w:lvl w:ilvl="6" w:tplc="33E6615E" w:tentative="1">
      <w:start w:val="1"/>
      <w:numFmt w:val="bullet"/>
      <w:lvlText w:val="•"/>
      <w:lvlJc w:val="left"/>
      <w:pPr>
        <w:tabs>
          <w:tab w:val="num" w:pos="5040"/>
        </w:tabs>
        <w:ind w:left="5040" w:hanging="360"/>
      </w:pPr>
      <w:rPr>
        <w:rFonts w:ascii="Arial" w:hAnsi="Arial" w:hint="default"/>
      </w:rPr>
    </w:lvl>
    <w:lvl w:ilvl="7" w:tplc="EFC62CBA" w:tentative="1">
      <w:start w:val="1"/>
      <w:numFmt w:val="bullet"/>
      <w:lvlText w:val="•"/>
      <w:lvlJc w:val="left"/>
      <w:pPr>
        <w:tabs>
          <w:tab w:val="num" w:pos="5760"/>
        </w:tabs>
        <w:ind w:left="5760" w:hanging="360"/>
      </w:pPr>
      <w:rPr>
        <w:rFonts w:ascii="Arial" w:hAnsi="Arial" w:hint="default"/>
      </w:rPr>
    </w:lvl>
    <w:lvl w:ilvl="8" w:tplc="594C33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2C0C22"/>
    <w:multiLevelType w:val="hybridMultilevel"/>
    <w:tmpl w:val="380227C8"/>
    <w:lvl w:ilvl="0" w:tplc="8F22A9A6">
      <w:start w:val="1"/>
      <w:numFmt w:val="bullet"/>
      <w:lvlText w:val="•"/>
      <w:lvlJc w:val="left"/>
      <w:pPr>
        <w:tabs>
          <w:tab w:val="num" w:pos="720"/>
        </w:tabs>
        <w:ind w:left="720" w:hanging="360"/>
      </w:pPr>
      <w:rPr>
        <w:rFonts w:ascii="Arial" w:hAnsi="Arial" w:hint="default"/>
      </w:rPr>
    </w:lvl>
    <w:lvl w:ilvl="1" w:tplc="BFFA6D92" w:tentative="1">
      <w:start w:val="1"/>
      <w:numFmt w:val="bullet"/>
      <w:lvlText w:val="•"/>
      <w:lvlJc w:val="left"/>
      <w:pPr>
        <w:tabs>
          <w:tab w:val="num" w:pos="1440"/>
        </w:tabs>
        <w:ind w:left="1440" w:hanging="360"/>
      </w:pPr>
      <w:rPr>
        <w:rFonts w:ascii="Arial" w:hAnsi="Arial" w:hint="default"/>
      </w:rPr>
    </w:lvl>
    <w:lvl w:ilvl="2" w:tplc="EF10CA50" w:tentative="1">
      <w:start w:val="1"/>
      <w:numFmt w:val="bullet"/>
      <w:lvlText w:val="•"/>
      <w:lvlJc w:val="left"/>
      <w:pPr>
        <w:tabs>
          <w:tab w:val="num" w:pos="2160"/>
        </w:tabs>
        <w:ind w:left="2160" w:hanging="360"/>
      </w:pPr>
      <w:rPr>
        <w:rFonts w:ascii="Arial" w:hAnsi="Arial" w:hint="default"/>
      </w:rPr>
    </w:lvl>
    <w:lvl w:ilvl="3" w:tplc="096CE9E6" w:tentative="1">
      <w:start w:val="1"/>
      <w:numFmt w:val="bullet"/>
      <w:lvlText w:val="•"/>
      <w:lvlJc w:val="left"/>
      <w:pPr>
        <w:tabs>
          <w:tab w:val="num" w:pos="2880"/>
        </w:tabs>
        <w:ind w:left="2880" w:hanging="360"/>
      </w:pPr>
      <w:rPr>
        <w:rFonts w:ascii="Arial" w:hAnsi="Arial" w:hint="default"/>
      </w:rPr>
    </w:lvl>
    <w:lvl w:ilvl="4" w:tplc="BDCCB4B2" w:tentative="1">
      <w:start w:val="1"/>
      <w:numFmt w:val="bullet"/>
      <w:lvlText w:val="•"/>
      <w:lvlJc w:val="left"/>
      <w:pPr>
        <w:tabs>
          <w:tab w:val="num" w:pos="3600"/>
        </w:tabs>
        <w:ind w:left="3600" w:hanging="360"/>
      </w:pPr>
      <w:rPr>
        <w:rFonts w:ascii="Arial" w:hAnsi="Arial" w:hint="default"/>
      </w:rPr>
    </w:lvl>
    <w:lvl w:ilvl="5" w:tplc="AA202218" w:tentative="1">
      <w:start w:val="1"/>
      <w:numFmt w:val="bullet"/>
      <w:lvlText w:val="•"/>
      <w:lvlJc w:val="left"/>
      <w:pPr>
        <w:tabs>
          <w:tab w:val="num" w:pos="4320"/>
        </w:tabs>
        <w:ind w:left="4320" w:hanging="360"/>
      </w:pPr>
      <w:rPr>
        <w:rFonts w:ascii="Arial" w:hAnsi="Arial" w:hint="default"/>
      </w:rPr>
    </w:lvl>
    <w:lvl w:ilvl="6" w:tplc="6E5E68AC" w:tentative="1">
      <w:start w:val="1"/>
      <w:numFmt w:val="bullet"/>
      <w:lvlText w:val="•"/>
      <w:lvlJc w:val="left"/>
      <w:pPr>
        <w:tabs>
          <w:tab w:val="num" w:pos="5040"/>
        </w:tabs>
        <w:ind w:left="5040" w:hanging="360"/>
      </w:pPr>
      <w:rPr>
        <w:rFonts w:ascii="Arial" w:hAnsi="Arial" w:hint="default"/>
      </w:rPr>
    </w:lvl>
    <w:lvl w:ilvl="7" w:tplc="2954D06C" w:tentative="1">
      <w:start w:val="1"/>
      <w:numFmt w:val="bullet"/>
      <w:lvlText w:val="•"/>
      <w:lvlJc w:val="left"/>
      <w:pPr>
        <w:tabs>
          <w:tab w:val="num" w:pos="5760"/>
        </w:tabs>
        <w:ind w:left="5760" w:hanging="360"/>
      </w:pPr>
      <w:rPr>
        <w:rFonts w:ascii="Arial" w:hAnsi="Arial" w:hint="default"/>
      </w:rPr>
    </w:lvl>
    <w:lvl w:ilvl="8" w:tplc="5BC4ED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B50A0F"/>
    <w:multiLevelType w:val="multilevel"/>
    <w:tmpl w:val="2B1E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5E937EEB"/>
    <w:multiLevelType w:val="hybridMultilevel"/>
    <w:tmpl w:val="C15E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8A4734"/>
    <w:multiLevelType w:val="hybridMultilevel"/>
    <w:tmpl w:val="93C6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6D0AFC"/>
    <w:multiLevelType w:val="hybridMultilevel"/>
    <w:tmpl w:val="528AD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abstractNumId w:val="3"/>
  </w:num>
  <w:num w:numId="2">
    <w:abstractNumId w:val="7"/>
  </w:num>
  <w:num w:numId="3">
    <w:abstractNumId w:val="17"/>
  </w:num>
  <w:num w:numId="4">
    <w:abstractNumId w:val="12"/>
  </w:num>
  <w:num w:numId="5">
    <w:abstractNumId w:val="14"/>
  </w:num>
  <w:num w:numId="6">
    <w:abstractNumId w:val="1"/>
  </w:num>
  <w:num w:numId="7">
    <w:abstractNumId w:val="18"/>
  </w:num>
  <w:num w:numId="8">
    <w:abstractNumId w:val="4"/>
  </w:num>
  <w:num w:numId="9">
    <w:abstractNumId w:val="5"/>
  </w:num>
  <w:num w:numId="10">
    <w:abstractNumId w:val="22"/>
  </w:num>
  <w:num w:numId="11">
    <w:abstractNumId w:val="23"/>
  </w:num>
  <w:num w:numId="12">
    <w:abstractNumId w:val="24"/>
  </w:num>
  <w:num w:numId="13">
    <w:abstractNumId w:val="6"/>
  </w:num>
  <w:num w:numId="14">
    <w:abstractNumId w:val="11"/>
  </w:num>
  <w:num w:numId="15">
    <w:abstractNumId w:val="10"/>
  </w:num>
  <w:num w:numId="16">
    <w:abstractNumId w:val="2"/>
  </w:num>
  <w:num w:numId="17">
    <w:abstractNumId w:val="13"/>
  </w:num>
  <w:num w:numId="18">
    <w:abstractNumId w:val="21"/>
  </w:num>
  <w:num w:numId="19">
    <w:abstractNumId w:val="0"/>
  </w:num>
  <w:num w:numId="20">
    <w:abstractNumId w:val="20"/>
  </w:num>
  <w:num w:numId="21">
    <w:abstractNumId w:val="15"/>
  </w:num>
  <w:num w:numId="22">
    <w:abstractNumId w:val="19"/>
  </w:num>
  <w:num w:numId="23">
    <w:abstractNumId w:val="8"/>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229E8"/>
    <w:rsid w:val="00022FA0"/>
    <w:rsid w:val="000304F5"/>
    <w:rsid w:val="00030662"/>
    <w:rsid w:val="0003282A"/>
    <w:rsid w:val="00034913"/>
    <w:rsid w:val="00037CCD"/>
    <w:rsid w:val="00041073"/>
    <w:rsid w:val="0006025B"/>
    <w:rsid w:val="00082102"/>
    <w:rsid w:val="0008327B"/>
    <w:rsid w:val="00091EF7"/>
    <w:rsid w:val="000951D9"/>
    <w:rsid w:val="00095918"/>
    <w:rsid w:val="000A1172"/>
    <w:rsid w:val="000D6C56"/>
    <w:rsid w:val="000E1087"/>
    <w:rsid w:val="000F59E2"/>
    <w:rsid w:val="000F60E6"/>
    <w:rsid w:val="000F6D03"/>
    <w:rsid w:val="000F7D47"/>
    <w:rsid w:val="001013EC"/>
    <w:rsid w:val="00102DCD"/>
    <w:rsid w:val="00106677"/>
    <w:rsid w:val="001238E0"/>
    <w:rsid w:val="00136B6D"/>
    <w:rsid w:val="00160D8D"/>
    <w:rsid w:val="00163BD7"/>
    <w:rsid w:val="00166F5F"/>
    <w:rsid w:val="00170861"/>
    <w:rsid w:val="001730ED"/>
    <w:rsid w:val="001743B4"/>
    <w:rsid w:val="001753C2"/>
    <w:rsid w:val="00180CAA"/>
    <w:rsid w:val="00183EE2"/>
    <w:rsid w:val="001912AD"/>
    <w:rsid w:val="00193F32"/>
    <w:rsid w:val="001A4F26"/>
    <w:rsid w:val="001C2E6F"/>
    <w:rsid w:val="001C46DF"/>
    <w:rsid w:val="001D190B"/>
    <w:rsid w:val="001E75AD"/>
    <w:rsid w:val="001F1BB4"/>
    <w:rsid w:val="002100ED"/>
    <w:rsid w:val="002225B4"/>
    <w:rsid w:val="00231F25"/>
    <w:rsid w:val="00236E22"/>
    <w:rsid w:val="00242953"/>
    <w:rsid w:val="002545C9"/>
    <w:rsid w:val="00274112"/>
    <w:rsid w:val="002A24A3"/>
    <w:rsid w:val="002B4A30"/>
    <w:rsid w:val="002C3800"/>
    <w:rsid w:val="002C4F37"/>
    <w:rsid w:val="002E389D"/>
    <w:rsid w:val="002F23B8"/>
    <w:rsid w:val="003048C8"/>
    <w:rsid w:val="00305568"/>
    <w:rsid w:val="00311CA2"/>
    <w:rsid w:val="003343F8"/>
    <w:rsid w:val="00335C2A"/>
    <w:rsid w:val="00336DF8"/>
    <w:rsid w:val="00344945"/>
    <w:rsid w:val="00357F15"/>
    <w:rsid w:val="00374949"/>
    <w:rsid w:val="00376BE1"/>
    <w:rsid w:val="00380474"/>
    <w:rsid w:val="0038416C"/>
    <w:rsid w:val="00386730"/>
    <w:rsid w:val="0038748B"/>
    <w:rsid w:val="00392A03"/>
    <w:rsid w:val="003A3EB2"/>
    <w:rsid w:val="003B7336"/>
    <w:rsid w:val="003C6669"/>
    <w:rsid w:val="003E2B81"/>
    <w:rsid w:val="003E4885"/>
    <w:rsid w:val="00406D70"/>
    <w:rsid w:val="00407BD6"/>
    <w:rsid w:val="00415293"/>
    <w:rsid w:val="00426AFA"/>
    <w:rsid w:val="004366AF"/>
    <w:rsid w:val="00441685"/>
    <w:rsid w:val="00443DBF"/>
    <w:rsid w:val="00460083"/>
    <w:rsid w:val="004643CC"/>
    <w:rsid w:val="00465518"/>
    <w:rsid w:val="00472ABA"/>
    <w:rsid w:val="00485118"/>
    <w:rsid w:val="00490BEF"/>
    <w:rsid w:val="004968C6"/>
    <w:rsid w:val="00497AF9"/>
    <w:rsid w:val="004B77F5"/>
    <w:rsid w:val="004C31C1"/>
    <w:rsid w:val="004C6E08"/>
    <w:rsid w:val="004D5A80"/>
    <w:rsid w:val="004D7EB4"/>
    <w:rsid w:val="004E108C"/>
    <w:rsid w:val="004E1705"/>
    <w:rsid w:val="004E7235"/>
    <w:rsid w:val="004F0E9C"/>
    <w:rsid w:val="004F5AC0"/>
    <w:rsid w:val="004F732E"/>
    <w:rsid w:val="004F76CA"/>
    <w:rsid w:val="00517D73"/>
    <w:rsid w:val="005270DE"/>
    <w:rsid w:val="00536560"/>
    <w:rsid w:val="0053702D"/>
    <w:rsid w:val="00556273"/>
    <w:rsid w:val="00560E1B"/>
    <w:rsid w:val="00565AEC"/>
    <w:rsid w:val="00581E02"/>
    <w:rsid w:val="0059708B"/>
    <w:rsid w:val="005A31CF"/>
    <w:rsid w:val="005B0E05"/>
    <w:rsid w:val="005B1E0E"/>
    <w:rsid w:val="005B35B8"/>
    <w:rsid w:val="005E1F5D"/>
    <w:rsid w:val="005E6797"/>
    <w:rsid w:val="005E7B98"/>
    <w:rsid w:val="005F46B9"/>
    <w:rsid w:val="00600AFB"/>
    <w:rsid w:val="00605A5D"/>
    <w:rsid w:val="00607AA4"/>
    <w:rsid w:val="00623728"/>
    <w:rsid w:val="0065033B"/>
    <w:rsid w:val="00650861"/>
    <w:rsid w:val="00661061"/>
    <w:rsid w:val="00665C68"/>
    <w:rsid w:val="0066692C"/>
    <w:rsid w:val="0067541E"/>
    <w:rsid w:val="00685ABE"/>
    <w:rsid w:val="006A4881"/>
    <w:rsid w:val="006A6EC0"/>
    <w:rsid w:val="006B1A04"/>
    <w:rsid w:val="006B30F6"/>
    <w:rsid w:val="006B315D"/>
    <w:rsid w:val="006C04FE"/>
    <w:rsid w:val="006C4BFE"/>
    <w:rsid w:val="006C616A"/>
    <w:rsid w:val="006D6BB8"/>
    <w:rsid w:val="006E3152"/>
    <w:rsid w:val="006E3B7B"/>
    <w:rsid w:val="006F1DEA"/>
    <w:rsid w:val="0070047F"/>
    <w:rsid w:val="00701333"/>
    <w:rsid w:val="00702ABC"/>
    <w:rsid w:val="00705F30"/>
    <w:rsid w:val="00706C7B"/>
    <w:rsid w:val="00712D83"/>
    <w:rsid w:val="007135EC"/>
    <w:rsid w:val="00721549"/>
    <w:rsid w:val="007219D2"/>
    <w:rsid w:val="00724E76"/>
    <w:rsid w:val="0073560F"/>
    <w:rsid w:val="007357A0"/>
    <w:rsid w:val="00740869"/>
    <w:rsid w:val="00751F07"/>
    <w:rsid w:val="00772F88"/>
    <w:rsid w:val="00790618"/>
    <w:rsid w:val="007A50B8"/>
    <w:rsid w:val="007C2348"/>
    <w:rsid w:val="007C7F2A"/>
    <w:rsid w:val="007D6FDB"/>
    <w:rsid w:val="007E4C80"/>
    <w:rsid w:val="00804706"/>
    <w:rsid w:val="00813DA8"/>
    <w:rsid w:val="00815707"/>
    <w:rsid w:val="008208B3"/>
    <w:rsid w:val="0083669B"/>
    <w:rsid w:val="0084084F"/>
    <w:rsid w:val="00840F94"/>
    <w:rsid w:val="008617CF"/>
    <w:rsid w:val="00877B75"/>
    <w:rsid w:val="008804DB"/>
    <w:rsid w:val="008A38AB"/>
    <w:rsid w:val="008A6908"/>
    <w:rsid w:val="008B14A7"/>
    <w:rsid w:val="008B2496"/>
    <w:rsid w:val="008B2EF3"/>
    <w:rsid w:val="008B3FF6"/>
    <w:rsid w:val="008B693E"/>
    <w:rsid w:val="008D52A3"/>
    <w:rsid w:val="008E7DFB"/>
    <w:rsid w:val="008F3897"/>
    <w:rsid w:val="008F75E4"/>
    <w:rsid w:val="009007BE"/>
    <w:rsid w:val="00904722"/>
    <w:rsid w:val="00922BBE"/>
    <w:rsid w:val="00923AD8"/>
    <w:rsid w:val="00927C3B"/>
    <w:rsid w:val="00957887"/>
    <w:rsid w:val="00996E5D"/>
    <w:rsid w:val="00997029"/>
    <w:rsid w:val="009A7CFF"/>
    <w:rsid w:val="009B0FDE"/>
    <w:rsid w:val="009B208B"/>
    <w:rsid w:val="009B6396"/>
    <w:rsid w:val="009B7257"/>
    <w:rsid w:val="009B7F7C"/>
    <w:rsid w:val="009D1DEE"/>
    <w:rsid w:val="009D33A3"/>
    <w:rsid w:val="009E0F7D"/>
    <w:rsid w:val="009F3446"/>
    <w:rsid w:val="00A06B89"/>
    <w:rsid w:val="00A23803"/>
    <w:rsid w:val="00A656A1"/>
    <w:rsid w:val="00A71469"/>
    <w:rsid w:val="00A82CF7"/>
    <w:rsid w:val="00A93AB5"/>
    <w:rsid w:val="00A9677E"/>
    <w:rsid w:val="00AA4250"/>
    <w:rsid w:val="00AB1BE6"/>
    <w:rsid w:val="00AC23A1"/>
    <w:rsid w:val="00AC2D03"/>
    <w:rsid w:val="00AC64C5"/>
    <w:rsid w:val="00AE092E"/>
    <w:rsid w:val="00AE09C2"/>
    <w:rsid w:val="00AE1F87"/>
    <w:rsid w:val="00AE343F"/>
    <w:rsid w:val="00AE4CEE"/>
    <w:rsid w:val="00B00551"/>
    <w:rsid w:val="00B05310"/>
    <w:rsid w:val="00B20703"/>
    <w:rsid w:val="00B21D5D"/>
    <w:rsid w:val="00B22479"/>
    <w:rsid w:val="00B349D4"/>
    <w:rsid w:val="00B37C7A"/>
    <w:rsid w:val="00B41C02"/>
    <w:rsid w:val="00B44E36"/>
    <w:rsid w:val="00B46640"/>
    <w:rsid w:val="00B70327"/>
    <w:rsid w:val="00B808FB"/>
    <w:rsid w:val="00B90BAF"/>
    <w:rsid w:val="00B928E4"/>
    <w:rsid w:val="00BB3159"/>
    <w:rsid w:val="00BE03AA"/>
    <w:rsid w:val="00BF3C4E"/>
    <w:rsid w:val="00BF3EDC"/>
    <w:rsid w:val="00BF6E24"/>
    <w:rsid w:val="00C06BA9"/>
    <w:rsid w:val="00C14F5B"/>
    <w:rsid w:val="00C27C4C"/>
    <w:rsid w:val="00C27DCE"/>
    <w:rsid w:val="00C30348"/>
    <w:rsid w:val="00C411F6"/>
    <w:rsid w:val="00C45FD0"/>
    <w:rsid w:val="00C47426"/>
    <w:rsid w:val="00C5656D"/>
    <w:rsid w:val="00C56BED"/>
    <w:rsid w:val="00C65420"/>
    <w:rsid w:val="00C73A3F"/>
    <w:rsid w:val="00C7770E"/>
    <w:rsid w:val="00C84E96"/>
    <w:rsid w:val="00C9754E"/>
    <w:rsid w:val="00CB6D9A"/>
    <w:rsid w:val="00CC1491"/>
    <w:rsid w:val="00CC7411"/>
    <w:rsid w:val="00CD63E2"/>
    <w:rsid w:val="00CE7EC5"/>
    <w:rsid w:val="00D023E3"/>
    <w:rsid w:val="00D134EC"/>
    <w:rsid w:val="00D16D13"/>
    <w:rsid w:val="00D16F0F"/>
    <w:rsid w:val="00D21870"/>
    <w:rsid w:val="00D223C5"/>
    <w:rsid w:val="00D241EB"/>
    <w:rsid w:val="00D244FF"/>
    <w:rsid w:val="00D24F0F"/>
    <w:rsid w:val="00D274AA"/>
    <w:rsid w:val="00D43BD3"/>
    <w:rsid w:val="00D43EAC"/>
    <w:rsid w:val="00D569F3"/>
    <w:rsid w:val="00D76C0F"/>
    <w:rsid w:val="00D77B2C"/>
    <w:rsid w:val="00D77DE5"/>
    <w:rsid w:val="00D962BE"/>
    <w:rsid w:val="00D97770"/>
    <w:rsid w:val="00DA5826"/>
    <w:rsid w:val="00DB2558"/>
    <w:rsid w:val="00DC0789"/>
    <w:rsid w:val="00DE7656"/>
    <w:rsid w:val="00E055AF"/>
    <w:rsid w:val="00E0584C"/>
    <w:rsid w:val="00E07275"/>
    <w:rsid w:val="00E157A0"/>
    <w:rsid w:val="00E16B75"/>
    <w:rsid w:val="00E265A8"/>
    <w:rsid w:val="00E3025A"/>
    <w:rsid w:val="00E44DF9"/>
    <w:rsid w:val="00E45533"/>
    <w:rsid w:val="00E474FD"/>
    <w:rsid w:val="00E5057E"/>
    <w:rsid w:val="00E50BDC"/>
    <w:rsid w:val="00E56701"/>
    <w:rsid w:val="00E5740B"/>
    <w:rsid w:val="00E57D40"/>
    <w:rsid w:val="00E76F15"/>
    <w:rsid w:val="00E8119C"/>
    <w:rsid w:val="00E8425C"/>
    <w:rsid w:val="00EA2AA3"/>
    <w:rsid w:val="00EB1368"/>
    <w:rsid w:val="00EC211C"/>
    <w:rsid w:val="00EC3418"/>
    <w:rsid w:val="00EE1B9C"/>
    <w:rsid w:val="00EE7C4E"/>
    <w:rsid w:val="00EF1EAA"/>
    <w:rsid w:val="00F014BA"/>
    <w:rsid w:val="00F0596C"/>
    <w:rsid w:val="00F0601E"/>
    <w:rsid w:val="00F1157E"/>
    <w:rsid w:val="00F124E9"/>
    <w:rsid w:val="00F27069"/>
    <w:rsid w:val="00F2758B"/>
    <w:rsid w:val="00F33BE4"/>
    <w:rsid w:val="00F420CE"/>
    <w:rsid w:val="00F4265F"/>
    <w:rsid w:val="00F7183A"/>
    <w:rsid w:val="00F72B10"/>
    <w:rsid w:val="00F84525"/>
    <w:rsid w:val="00FA5E7F"/>
    <w:rsid w:val="00FC6BE2"/>
    <w:rsid w:val="00FC74C5"/>
    <w:rsid w:val="00FD341E"/>
    <w:rsid w:val="00FD6711"/>
    <w:rsid w:val="00FE373B"/>
    <w:rsid w:val="00FE38F1"/>
    <w:rsid w:val="00FF26E3"/>
    <w:rsid w:val="00FF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ED"/>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szCs w:val="20"/>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6C04FE"/>
    <w:pPr>
      <w:outlineLvl w:val="3"/>
    </w:pPr>
    <w:rPr>
      <w:i/>
      <w:i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basedOn w:val="Normal"/>
    <w:uiPriority w:val="34"/>
    <w:qFormat/>
    <w:rsid w:val="0066692C"/>
    <w:pPr>
      <w:ind w:left="720"/>
      <w:contextualSpacing/>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6C04FE"/>
    <w:rPr>
      <w:rFonts w:ascii="Arial" w:hAnsi="Arial" w:cs="Arial"/>
      <w:bCs/>
      <w:i/>
      <w:iCs/>
      <w:color w:val="364283"/>
      <w:szCs w:val="18"/>
    </w:rPr>
  </w:style>
  <w:style w:type="table" w:styleId="TableGrid">
    <w:name w:val="Table Grid"/>
    <w:basedOn w:val="TableNormal"/>
    <w:uiPriority w:val="5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semiHidden/>
    <w:unhideWhenUsed/>
    <w:rsid w:val="007357A0"/>
    <w:pPr>
      <w:spacing w:line="240" w:lineRule="auto"/>
    </w:pPr>
    <w:rPr>
      <w:sz w:val="20"/>
      <w:szCs w:val="20"/>
    </w:rPr>
  </w:style>
  <w:style w:type="character" w:customStyle="1" w:styleId="CommentTextChar">
    <w:name w:val="Comment Text Char"/>
    <w:basedOn w:val="DefaultParagraphFont"/>
    <w:link w:val="CommentText"/>
    <w:uiPriority w:val="99"/>
    <w:semiHidden/>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after="120" w:line="260" w:lineRule="atLeast"/>
    </w:pPr>
    <w:rPr>
      <w:rFonts w:ascii="Calibri Light" w:eastAsiaTheme="minorEastAsia" w:hAnsi="Calibri Light"/>
      <w:color w:val="auto"/>
      <w:sz w:val="22"/>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z w:val="20"/>
      <w:szCs w:val="20"/>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5B1E0E"/>
    <w:pPr>
      <w:numPr>
        <w:numId w:val="14"/>
      </w:numPr>
      <w:spacing w:after="80" w:line="240" w:lineRule="auto"/>
    </w:pPr>
    <w:rPr>
      <w:rFonts w:eastAsia="Arial" w:cs="Times New Roman"/>
      <w:color w:val="auto"/>
      <w:sz w:val="18"/>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character" w:styleId="UnresolvedMention">
    <w:name w:val="Unresolved Mention"/>
    <w:basedOn w:val="DefaultParagraphFont"/>
    <w:uiPriority w:val="99"/>
    <w:semiHidden/>
    <w:unhideWhenUsed/>
    <w:rsid w:val="00E5740B"/>
    <w:rPr>
      <w:color w:val="605E5C"/>
      <w:shd w:val="clear" w:color="auto" w:fill="E1DFDD"/>
    </w:rPr>
  </w:style>
  <w:style w:type="paragraph" w:styleId="NormalWeb">
    <w:name w:val="Normal (Web)"/>
    <w:basedOn w:val="Normal"/>
    <w:uiPriority w:val="99"/>
    <w:unhideWhenUsed/>
    <w:rsid w:val="0067541E"/>
    <w:pPr>
      <w:spacing w:before="100" w:beforeAutospacing="1" w:after="100" w:afterAutospacing="1" w:line="240" w:lineRule="auto"/>
    </w:pPr>
    <w:rPr>
      <w:rFonts w:ascii="Times New Roman" w:eastAsia="Times New Roman" w:hAnsi="Times New Roman" w:cs="Times New Roman"/>
      <w:color w:val="auto"/>
      <w:sz w:val="24"/>
      <w:szCs w:val="24"/>
      <w:shd w:val="clear" w:color="auto" w:fill="auto"/>
      <w:lang w:eastAsia="en-AU"/>
    </w:rPr>
  </w:style>
  <w:style w:type="character" w:styleId="FollowedHyperlink">
    <w:name w:val="FollowedHyperlink"/>
    <w:basedOn w:val="DefaultParagraphFont"/>
    <w:uiPriority w:val="99"/>
    <w:semiHidden/>
    <w:unhideWhenUsed/>
    <w:rsid w:val="00336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413">
      <w:bodyDiv w:val="1"/>
      <w:marLeft w:val="0"/>
      <w:marRight w:val="0"/>
      <w:marTop w:val="0"/>
      <w:marBottom w:val="0"/>
      <w:divBdr>
        <w:top w:val="none" w:sz="0" w:space="0" w:color="auto"/>
        <w:left w:val="none" w:sz="0" w:space="0" w:color="auto"/>
        <w:bottom w:val="none" w:sz="0" w:space="0" w:color="auto"/>
        <w:right w:val="none" w:sz="0" w:space="0" w:color="auto"/>
      </w:divBdr>
    </w:div>
    <w:div w:id="127943095">
      <w:bodyDiv w:val="1"/>
      <w:marLeft w:val="0"/>
      <w:marRight w:val="0"/>
      <w:marTop w:val="0"/>
      <w:marBottom w:val="0"/>
      <w:divBdr>
        <w:top w:val="none" w:sz="0" w:space="0" w:color="auto"/>
        <w:left w:val="none" w:sz="0" w:space="0" w:color="auto"/>
        <w:bottom w:val="none" w:sz="0" w:space="0" w:color="auto"/>
        <w:right w:val="none" w:sz="0" w:space="0" w:color="auto"/>
      </w:divBdr>
      <w:divsChild>
        <w:div w:id="400058058">
          <w:marLeft w:val="446"/>
          <w:marRight w:val="0"/>
          <w:marTop w:val="0"/>
          <w:marBottom w:val="80"/>
          <w:divBdr>
            <w:top w:val="none" w:sz="0" w:space="0" w:color="auto"/>
            <w:left w:val="none" w:sz="0" w:space="0" w:color="auto"/>
            <w:bottom w:val="none" w:sz="0" w:space="0" w:color="auto"/>
            <w:right w:val="none" w:sz="0" w:space="0" w:color="auto"/>
          </w:divBdr>
        </w:div>
      </w:divsChild>
    </w:div>
    <w:div w:id="270668698">
      <w:bodyDiv w:val="1"/>
      <w:marLeft w:val="0"/>
      <w:marRight w:val="0"/>
      <w:marTop w:val="0"/>
      <w:marBottom w:val="0"/>
      <w:divBdr>
        <w:top w:val="none" w:sz="0" w:space="0" w:color="auto"/>
        <w:left w:val="none" w:sz="0" w:space="0" w:color="auto"/>
        <w:bottom w:val="none" w:sz="0" w:space="0" w:color="auto"/>
        <w:right w:val="none" w:sz="0" w:space="0" w:color="auto"/>
      </w:divBdr>
    </w:div>
    <w:div w:id="1106269832">
      <w:bodyDiv w:val="1"/>
      <w:marLeft w:val="0"/>
      <w:marRight w:val="0"/>
      <w:marTop w:val="0"/>
      <w:marBottom w:val="0"/>
      <w:divBdr>
        <w:top w:val="none" w:sz="0" w:space="0" w:color="auto"/>
        <w:left w:val="none" w:sz="0" w:space="0" w:color="auto"/>
        <w:bottom w:val="none" w:sz="0" w:space="0" w:color="auto"/>
        <w:right w:val="none" w:sz="0" w:space="0" w:color="auto"/>
      </w:divBdr>
    </w:div>
    <w:div w:id="1176378793">
      <w:bodyDiv w:val="1"/>
      <w:marLeft w:val="0"/>
      <w:marRight w:val="0"/>
      <w:marTop w:val="0"/>
      <w:marBottom w:val="0"/>
      <w:divBdr>
        <w:top w:val="none" w:sz="0" w:space="0" w:color="auto"/>
        <w:left w:val="none" w:sz="0" w:space="0" w:color="auto"/>
        <w:bottom w:val="none" w:sz="0" w:space="0" w:color="auto"/>
        <w:right w:val="none" w:sz="0" w:space="0" w:color="auto"/>
      </w:divBdr>
      <w:divsChild>
        <w:div w:id="636304732">
          <w:marLeft w:val="274"/>
          <w:marRight w:val="0"/>
          <w:marTop w:val="0"/>
          <w:marBottom w:val="80"/>
          <w:divBdr>
            <w:top w:val="none" w:sz="0" w:space="0" w:color="auto"/>
            <w:left w:val="none" w:sz="0" w:space="0" w:color="auto"/>
            <w:bottom w:val="none" w:sz="0" w:space="0" w:color="auto"/>
            <w:right w:val="none" w:sz="0" w:space="0" w:color="auto"/>
          </w:divBdr>
        </w:div>
        <w:div w:id="1203790311">
          <w:marLeft w:val="274"/>
          <w:marRight w:val="0"/>
          <w:marTop w:val="0"/>
          <w:marBottom w:val="80"/>
          <w:divBdr>
            <w:top w:val="none" w:sz="0" w:space="0" w:color="auto"/>
            <w:left w:val="none" w:sz="0" w:space="0" w:color="auto"/>
            <w:bottom w:val="none" w:sz="0" w:space="0" w:color="auto"/>
            <w:right w:val="none" w:sz="0" w:space="0" w:color="auto"/>
          </w:divBdr>
        </w:div>
        <w:div w:id="1824278756">
          <w:marLeft w:val="274"/>
          <w:marRight w:val="0"/>
          <w:marTop w:val="0"/>
          <w:marBottom w:val="80"/>
          <w:divBdr>
            <w:top w:val="none" w:sz="0" w:space="0" w:color="auto"/>
            <w:left w:val="none" w:sz="0" w:space="0" w:color="auto"/>
            <w:bottom w:val="none" w:sz="0" w:space="0" w:color="auto"/>
            <w:right w:val="none" w:sz="0" w:space="0" w:color="auto"/>
          </w:divBdr>
        </w:div>
        <w:div w:id="2050839970">
          <w:marLeft w:val="274"/>
          <w:marRight w:val="0"/>
          <w:marTop w:val="0"/>
          <w:marBottom w:val="80"/>
          <w:divBdr>
            <w:top w:val="none" w:sz="0" w:space="0" w:color="auto"/>
            <w:left w:val="none" w:sz="0" w:space="0" w:color="auto"/>
            <w:bottom w:val="none" w:sz="0" w:space="0" w:color="auto"/>
            <w:right w:val="none" w:sz="0" w:space="0" w:color="auto"/>
          </w:divBdr>
        </w:div>
        <w:div w:id="1779134564">
          <w:marLeft w:val="274"/>
          <w:marRight w:val="0"/>
          <w:marTop w:val="0"/>
          <w:marBottom w:val="80"/>
          <w:divBdr>
            <w:top w:val="none" w:sz="0" w:space="0" w:color="auto"/>
            <w:left w:val="none" w:sz="0" w:space="0" w:color="auto"/>
            <w:bottom w:val="none" w:sz="0" w:space="0" w:color="auto"/>
            <w:right w:val="none" w:sz="0" w:space="0" w:color="auto"/>
          </w:divBdr>
        </w:div>
      </w:divsChild>
    </w:div>
    <w:div w:id="1211378373">
      <w:bodyDiv w:val="1"/>
      <w:marLeft w:val="0"/>
      <w:marRight w:val="0"/>
      <w:marTop w:val="0"/>
      <w:marBottom w:val="0"/>
      <w:divBdr>
        <w:top w:val="none" w:sz="0" w:space="0" w:color="auto"/>
        <w:left w:val="none" w:sz="0" w:space="0" w:color="auto"/>
        <w:bottom w:val="none" w:sz="0" w:space="0" w:color="auto"/>
        <w:right w:val="none" w:sz="0" w:space="0" w:color="auto"/>
      </w:divBdr>
      <w:divsChild>
        <w:div w:id="659506663">
          <w:marLeft w:val="446"/>
          <w:marRight w:val="0"/>
          <w:marTop w:val="0"/>
          <w:marBottom w:val="80"/>
          <w:divBdr>
            <w:top w:val="none" w:sz="0" w:space="0" w:color="auto"/>
            <w:left w:val="none" w:sz="0" w:space="0" w:color="auto"/>
            <w:bottom w:val="none" w:sz="0" w:space="0" w:color="auto"/>
            <w:right w:val="none" w:sz="0" w:space="0" w:color="auto"/>
          </w:divBdr>
        </w:div>
      </w:divsChild>
    </w:div>
    <w:div w:id="1218470142">
      <w:bodyDiv w:val="1"/>
      <w:marLeft w:val="0"/>
      <w:marRight w:val="0"/>
      <w:marTop w:val="0"/>
      <w:marBottom w:val="0"/>
      <w:divBdr>
        <w:top w:val="none" w:sz="0" w:space="0" w:color="auto"/>
        <w:left w:val="none" w:sz="0" w:space="0" w:color="auto"/>
        <w:bottom w:val="none" w:sz="0" w:space="0" w:color="auto"/>
        <w:right w:val="none" w:sz="0" w:space="0" w:color="auto"/>
      </w:divBdr>
      <w:divsChild>
        <w:div w:id="1916743952">
          <w:marLeft w:val="0"/>
          <w:marRight w:val="0"/>
          <w:marTop w:val="0"/>
          <w:marBottom w:val="0"/>
          <w:divBdr>
            <w:top w:val="none" w:sz="0" w:space="0" w:color="auto"/>
            <w:left w:val="none" w:sz="0" w:space="0" w:color="auto"/>
            <w:bottom w:val="none" w:sz="0" w:space="0" w:color="auto"/>
            <w:right w:val="none" w:sz="0" w:space="0" w:color="auto"/>
          </w:divBdr>
          <w:divsChild>
            <w:div w:id="597954797">
              <w:marLeft w:val="0"/>
              <w:marRight w:val="0"/>
              <w:marTop w:val="0"/>
              <w:marBottom w:val="0"/>
              <w:divBdr>
                <w:top w:val="none" w:sz="0" w:space="0" w:color="auto"/>
                <w:left w:val="none" w:sz="0" w:space="0" w:color="auto"/>
                <w:bottom w:val="none" w:sz="0" w:space="0" w:color="auto"/>
                <w:right w:val="none" w:sz="0" w:space="0" w:color="auto"/>
              </w:divBdr>
              <w:divsChild>
                <w:div w:id="1565263386">
                  <w:marLeft w:val="0"/>
                  <w:marRight w:val="0"/>
                  <w:marTop w:val="0"/>
                  <w:marBottom w:val="0"/>
                  <w:divBdr>
                    <w:top w:val="none" w:sz="0" w:space="0" w:color="auto"/>
                    <w:left w:val="none" w:sz="0" w:space="0" w:color="auto"/>
                    <w:bottom w:val="none" w:sz="0" w:space="0" w:color="auto"/>
                    <w:right w:val="none" w:sz="0" w:space="0" w:color="auto"/>
                  </w:divBdr>
                  <w:divsChild>
                    <w:div w:id="673848351">
                      <w:marLeft w:val="0"/>
                      <w:marRight w:val="0"/>
                      <w:marTop w:val="0"/>
                      <w:marBottom w:val="0"/>
                      <w:divBdr>
                        <w:top w:val="none" w:sz="0" w:space="0" w:color="auto"/>
                        <w:left w:val="none" w:sz="0" w:space="0" w:color="auto"/>
                        <w:bottom w:val="none" w:sz="0" w:space="0" w:color="auto"/>
                        <w:right w:val="none" w:sz="0" w:space="0" w:color="auto"/>
                      </w:divBdr>
                      <w:divsChild>
                        <w:div w:id="810487783">
                          <w:marLeft w:val="0"/>
                          <w:marRight w:val="0"/>
                          <w:marTop w:val="0"/>
                          <w:marBottom w:val="0"/>
                          <w:divBdr>
                            <w:top w:val="none" w:sz="0" w:space="0" w:color="auto"/>
                            <w:left w:val="none" w:sz="0" w:space="0" w:color="auto"/>
                            <w:bottom w:val="none" w:sz="0" w:space="0" w:color="auto"/>
                            <w:right w:val="none" w:sz="0" w:space="0" w:color="auto"/>
                          </w:divBdr>
                          <w:divsChild>
                            <w:div w:id="1127088553">
                              <w:marLeft w:val="0"/>
                              <w:marRight w:val="0"/>
                              <w:marTop w:val="0"/>
                              <w:marBottom w:val="0"/>
                              <w:divBdr>
                                <w:top w:val="none" w:sz="0" w:space="0" w:color="auto"/>
                                <w:left w:val="none" w:sz="0" w:space="0" w:color="auto"/>
                                <w:bottom w:val="none" w:sz="0" w:space="0" w:color="auto"/>
                                <w:right w:val="none" w:sz="0" w:space="0" w:color="auto"/>
                              </w:divBdr>
                              <w:divsChild>
                                <w:div w:id="1725522292">
                                  <w:marLeft w:val="0"/>
                                  <w:marRight w:val="0"/>
                                  <w:marTop w:val="0"/>
                                  <w:marBottom w:val="0"/>
                                  <w:divBdr>
                                    <w:top w:val="none" w:sz="0" w:space="0" w:color="auto"/>
                                    <w:left w:val="none" w:sz="0" w:space="0" w:color="auto"/>
                                    <w:bottom w:val="none" w:sz="0" w:space="0" w:color="auto"/>
                                    <w:right w:val="none" w:sz="0" w:space="0" w:color="auto"/>
                                  </w:divBdr>
                                  <w:divsChild>
                                    <w:div w:id="582957663">
                                      <w:marLeft w:val="0"/>
                                      <w:marRight w:val="0"/>
                                      <w:marTop w:val="0"/>
                                      <w:marBottom w:val="0"/>
                                      <w:divBdr>
                                        <w:top w:val="none" w:sz="0" w:space="0" w:color="auto"/>
                                        <w:left w:val="none" w:sz="0" w:space="0" w:color="auto"/>
                                        <w:bottom w:val="none" w:sz="0" w:space="0" w:color="auto"/>
                                        <w:right w:val="none" w:sz="0" w:space="0" w:color="auto"/>
                                      </w:divBdr>
                                      <w:divsChild>
                                        <w:div w:id="821504421">
                                          <w:marLeft w:val="0"/>
                                          <w:marRight w:val="0"/>
                                          <w:marTop w:val="0"/>
                                          <w:marBottom w:val="0"/>
                                          <w:divBdr>
                                            <w:top w:val="none" w:sz="0" w:space="0" w:color="auto"/>
                                            <w:left w:val="none" w:sz="0" w:space="0" w:color="auto"/>
                                            <w:bottom w:val="none" w:sz="0" w:space="0" w:color="auto"/>
                                            <w:right w:val="none" w:sz="0" w:space="0" w:color="auto"/>
                                          </w:divBdr>
                                          <w:divsChild>
                                            <w:div w:id="1635133094">
                                              <w:marLeft w:val="0"/>
                                              <w:marRight w:val="0"/>
                                              <w:marTop w:val="0"/>
                                              <w:marBottom w:val="0"/>
                                              <w:divBdr>
                                                <w:top w:val="none" w:sz="0" w:space="0" w:color="auto"/>
                                                <w:left w:val="none" w:sz="0" w:space="0" w:color="auto"/>
                                                <w:bottom w:val="none" w:sz="0" w:space="0" w:color="auto"/>
                                                <w:right w:val="none" w:sz="0" w:space="0" w:color="auto"/>
                                              </w:divBdr>
                                              <w:divsChild>
                                                <w:div w:id="855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47440">
      <w:bodyDiv w:val="1"/>
      <w:marLeft w:val="0"/>
      <w:marRight w:val="0"/>
      <w:marTop w:val="0"/>
      <w:marBottom w:val="0"/>
      <w:divBdr>
        <w:top w:val="none" w:sz="0" w:space="0" w:color="auto"/>
        <w:left w:val="none" w:sz="0" w:space="0" w:color="auto"/>
        <w:bottom w:val="none" w:sz="0" w:space="0" w:color="auto"/>
        <w:right w:val="none" w:sz="0" w:space="0" w:color="auto"/>
      </w:divBdr>
    </w:div>
    <w:div w:id="1849364014">
      <w:bodyDiv w:val="1"/>
      <w:marLeft w:val="0"/>
      <w:marRight w:val="0"/>
      <w:marTop w:val="0"/>
      <w:marBottom w:val="0"/>
      <w:divBdr>
        <w:top w:val="none" w:sz="0" w:space="0" w:color="auto"/>
        <w:left w:val="none" w:sz="0" w:space="0" w:color="auto"/>
        <w:bottom w:val="none" w:sz="0" w:space="0" w:color="auto"/>
        <w:right w:val="none" w:sz="0" w:space="0" w:color="auto"/>
      </w:divBdr>
    </w:div>
    <w:div w:id="1998069010">
      <w:bodyDiv w:val="1"/>
      <w:marLeft w:val="0"/>
      <w:marRight w:val="0"/>
      <w:marTop w:val="0"/>
      <w:marBottom w:val="0"/>
      <w:divBdr>
        <w:top w:val="none" w:sz="0" w:space="0" w:color="auto"/>
        <w:left w:val="none" w:sz="0" w:space="0" w:color="auto"/>
        <w:bottom w:val="none" w:sz="0" w:space="0" w:color="auto"/>
        <w:right w:val="none" w:sz="0" w:space="0" w:color="auto"/>
      </w:divBdr>
      <w:divsChild>
        <w:div w:id="565455653">
          <w:marLeft w:val="274"/>
          <w:marRight w:val="0"/>
          <w:marTop w:val="0"/>
          <w:marBottom w:val="80"/>
          <w:divBdr>
            <w:top w:val="none" w:sz="0" w:space="0" w:color="auto"/>
            <w:left w:val="none" w:sz="0" w:space="0" w:color="auto"/>
            <w:bottom w:val="none" w:sz="0" w:space="0" w:color="auto"/>
            <w:right w:val="none" w:sz="0" w:space="0" w:color="auto"/>
          </w:divBdr>
        </w:div>
        <w:div w:id="1338194380">
          <w:marLeft w:val="274"/>
          <w:marRight w:val="0"/>
          <w:marTop w:val="0"/>
          <w:marBottom w:val="80"/>
          <w:divBdr>
            <w:top w:val="none" w:sz="0" w:space="0" w:color="auto"/>
            <w:left w:val="none" w:sz="0" w:space="0" w:color="auto"/>
            <w:bottom w:val="none" w:sz="0" w:space="0" w:color="auto"/>
            <w:right w:val="none" w:sz="0" w:space="0" w:color="auto"/>
          </w:divBdr>
        </w:div>
        <w:div w:id="915701047">
          <w:marLeft w:val="274"/>
          <w:marRight w:val="0"/>
          <w:marTop w:val="0"/>
          <w:marBottom w:val="80"/>
          <w:divBdr>
            <w:top w:val="none" w:sz="0" w:space="0" w:color="auto"/>
            <w:left w:val="none" w:sz="0" w:space="0" w:color="auto"/>
            <w:bottom w:val="none" w:sz="0" w:space="0" w:color="auto"/>
            <w:right w:val="none" w:sz="0" w:space="0" w:color="auto"/>
          </w:divBdr>
        </w:div>
        <w:div w:id="1048214924">
          <w:marLeft w:val="274"/>
          <w:marRight w:val="0"/>
          <w:marTop w:val="0"/>
          <w:marBottom w:val="80"/>
          <w:divBdr>
            <w:top w:val="none" w:sz="0" w:space="0" w:color="auto"/>
            <w:left w:val="none" w:sz="0" w:space="0" w:color="auto"/>
            <w:bottom w:val="none" w:sz="0" w:space="0" w:color="auto"/>
            <w:right w:val="none" w:sz="0" w:space="0" w:color="auto"/>
          </w:divBdr>
        </w:div>
        <w:div w:id="642463324">
          <w:marLeft w:val="274"/>
          <w:marRight w:val="0"/>
          <w:marTop w:val="0"/>
          <w:marBottom w:val="80"/>
          <w:divBdr>
            <w:top w:val="none" w:sz="0" w:space="0" w:color="auto"/>
            <w:left w:val="none" w:sz="0" w:space="0" w:color="auto"/>
            <w:bottom w:val="none" w:sz="0" w:space="0" w:color="auto"/>
            <w:right w:val="none" w:sz="0" w:space="0" w:color="auto"/>
          </w:divBdr>
        </w:div>
      </w:divsChild>
    </w:div>
    <w:div w:id="2003897921">
      <w:bodyDiv w:val="1"/>
      <w:marLeft w:val="0"/>
      <w:marRight w:val="0"/>
      <w:marTop w:val="0"/>
      <w:marBottom w:val="0"/>
      <w:divBdr>
        <w:top w:val="none" w:sz="0" w:space="0" w:color="auto"/>
        <w:left w:val="none" w:sz="0" w:space="0" w:color="auto"/>
        <w:bottom w:val="none" w:sz="0" w:space="0" w:color="auto"/>
        <w:right w:val="none" w:sz="0" w:space="0" w:color="auto"/>
      </w:divBdr>
    </w:div>
    <w:div w:id="21197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sites/default/files/2021-09/2022%20ACFE%20Training%20Delivery%20Guideline%20-%20Completing%20the%20Delivery%20Plan%20-Factsheet%202%20V1.2%20%2817%20September%202021%29.docx" TargetMode="External"/><Relationship Id="rId18" Type="http://schemas.openxmlformats.org/officeDocument/2006/relationships/hyperlink" Target="https://www.vic.gov.au/det-learn-local-sector-31-august-important-information-regarding-upcoming-eoi-processes-acfe-bo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ic.gov.au/sites/default/files/2021-09/2022%20ACFE%20Training%20Delivery%20Plan%20Template%20V1.3%20%2817%20Sep%202021%29.xlsm" TargetMode="External"/><Relationship Id="rId17" Type="http://schemas.openxmlformats.org/officeDocument/2006/relationships/hyperlink" Target="https://www.vic.gov.au/sites/default/files/2021-05/2021%20Pre-accredited%20Training%20Data%20Reporting%20Guidelin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01264540\AppData\Local\Microsoft\Windows\INetCache\Guidelines\Final\ACFE%202022%20Fact%20Sheet%201%20-%20Learner%20Eligibility%20Assessment%20and%20Evidenc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sites/default/files/2021-09/ACFE%202022-Training-Delivery-Guidelines.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earnlocal.org.au/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local.org.au/resources/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BEF370CF97EC4AB2D9BFE88E8F0C3C" ma:contentTypeVersion="9" ma:contentTypeDescription="Create a new document." ma:contentTypeScope="" ma:versionID="1a38339b3a70eaba32494c142849aaf5">
  <xsd:schema xmlns:xsd="http://www.w3.org/2001/XMLSchema" xmlns:xs="http://www.w3.org/2001/XMLSchema" xmlns:p="http://schemas.microsoft.com/office/2006/metadata/properties" xmlns:ns3="3d1ff143-bba6-4116-bba7-f9c1ae1094df" targetNamespace="http://schemas.microsoft.com/office/2006/metadata/properties" ma:root="true" ma:fieldsID="ffac239c30eb7b1fd86bda1e9ecb1714" ns3:_="">
    <xsd:import namespace="3d1ff143-bba6-4116-bba7-f9c1ae109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ff143-bba6-4116-bba7-f9c1ae109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2.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E72BC-3876-487E-9060-9059AB7FF5CF}">
  <ds:schemaRefs>
    <ds:schemaRef ds:uri="http://schemas.microsoft.com/sharepoint/v3/contenttype/forms"/>
  </ds:schemaRefs>
</ds:datastoreItem>
</file>

<file path=customXml/itemProps4.xml><?xml version="1.0" encoding="utf-8"?>
<ds:datastoreItem xmlns:ds="http://schemas.openxmlformats.org/officeDocument/2006/customXml" ds:itemID="{28F0E380-81AC-4240-B46E-D60A02572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ff143-bba6-4116-bba7-f9c1ae109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1890</Words>
  <Characters>10774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Christine Marett</cp:lastModifiedBy>
  <cp:revision>2</cp:revision>
  <cp:lastPrinted>2020-02-20T03:53:00Z</cp:lastPrinted>
  <dcterms:created xsi:type="dcterms:W3CDTF">2021-09-17T05:01:00Z</dcterms:created>
  <dcterms:modified xsi:type="dcterms:W3CDTF">2021-09-17T05:01:00Z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0x010100D7BEF370CF97EC4AB2D9BFE88E8F0C3C</vt:lpwstr>
  </property>
</Properties>
</file>