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DA022A">
            <w:pPr>
              <w:pStyle w:val="Header"/>
              <w:rPr>
                <w:color w:val="364283"/>
                <w:sz w:val="28"/>
                <w:szCs w:val="28"/>
              </w:rPr>
            </w:pPr>
            <w:bookmarkStart w:id="0" w:name="_Hlk82772020"/>
            <w:bookmarkEnd w:id="0"/>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3824CC0F" w:rsidR="00724E76" w:rsidRPr="00052B56" w:rsidRDefault="00C63889" w:rsidP="00DA022A">
            <w:pPr>
              <w:pStyle w:val="Header"/>
              <w:rPr>
                <w:rFonts w:ascii="Arial" w:hAnsi="Arial"/>
                <w:b/>
                <w:bCs/>
                <w:color w:val="364283"/>
                <w:sz w:val="36"/>
                <w:szCs w:val="36"/>
              </w:rPr>
            </w:pPr>
            <w:r w:rsidRPr="00052B56">
              <w:rPr>
                <w:rFonts w:ascii="Arial" w:hAnsi="Arial"/>
                <w:b/>
                <w:bCs/>
                <w:color w:val="364283"/>
                <w:sz w:val="36"/>
                <w:szCs w:val="36"/>
              </w:rPr>
              <w:t xml:space="preserve">2022 Pre-Accredited Training </w:t>
            </w:r>
            <w:r w:rsidRPr="00052B56">
              <w:rPr>
                <w:rFonts w:ascii="Arial" w:hAnsi="Arial"/>
                <w:b/>
                <w:bCs/>
                <w:color w:val="364283"/>
                <w:sz w:val="36"/>
                <w:szCs w:val="36"/>
              </w:rPr>
              <w:br/>
              <w:t>Data Reporting Guidelines</w:t>
            </w:r>
          </w:p>
          <w:p w14:paraId="17EE144E" w14:textId="2FDAD37A" w:rsidR="00724E76" w:rsidRPr="00724E76" w:rsidRDefault="00724E76" w:rsidP="00052B56">
            <w:pPr>
              <w:pStyle w:val="Header"/>
              <w:spacing w:before="120"/>
              <w:ind w:left="146"/>
              <w:rPr>
                <w:sz w:val="48"/>
                <w:szCs w:val="48"/>
              </w:rPr>
            </w:pPr>
            <w:r w:rsidRPr="00052B56">
              <w:rPr>
                <w:rFonts w:ascii="Arial" w:hAnsi="Arial"/>
                <w:b/>
                <w:bCs/>
                <w:color w:val="364283"/>
                <w:sz w:val="24"/>
                <w:szCs w:val="24"/>
              </w:rPr>
              <w:t xml:space="preserve">2022 </w:t>
            </w:r>
            <w:r w:rsidR="005E1F5D" w:rsidRPr="00052B56">
              <w:rPr>
                <w:rFonts w:ascii="Arial" w:hAnsi="Arial"/>
                <w:b/>
                <w:bCs/>
                <w:color w:val="364283"/>
                <w:sz w:val="24"/>
                <w:szCs w:val="24"/>
              </w:rPr>
              <w:t xml:space="preserve">ACFE </w:t>
            </w:r>
            <w:r w:rsidRPr="00052B56">
              <w:rPr>
                <w:rFonts w:ascii="Arial" w:hAnsi="Arial"/>
                <w:b/>
                <w:bCs/>
                <w:color w:val="364283"/>
                <w:sz w:val="24"/>
                <w:szCs w:val="24"/>
              </w:rPr>
              <w:t xml:space="preserve">Training Delivery Guideline Factsheet </w:t>
            </w:r>
            <w:r w:rsidR="00C63889" w:rsidRPr="00052B56">
              <w:rPr>
                <w:rFonts w:ascii="Arial" w:hAnsi="Arial"/>
                <w:b/>
                <w:bCs/>
                <w:color w:val="364283"/>
                <w:sz w:val="24"/>
                <w:szCs w:val="24"/>
              </w:rPr>
              <w:t>3</w:t>
            </w:r>
          </w:p>
        </w:tc>
      </w:tr>
      <w:tr w:rsidR="009D33A3" w:rsidRPr="009D33A3" w14:paraId="4203A29F" w14:textId="77777777" w:rsidTr="005B0E05">
        <w:tc>
          <w:tcPr>
            <w:tcW w:w="3540" w:type="dxa"/>
            <w:tcBorders>
              <w:bottom w:val="single" w:sz="8" w:space="0" w:color="364283"/>
            </w:tcBorders>
          </w:tcPr>
          <w:p w14:paraId="56501FEF" w14:textId="77777777" w:rsidR="009D33A3" w:rsidRPr="009D33A3" w:rsidRDefault="009D33A3" w:rsidP="00DA022A">
            <w:pPr>
              <w:pStyle w:val="Header"/>
            </w:pPr>
          </w:p>
        </w:tc>
        <w:tc>
          <w:tcPr>
            <w:tcW w:w="6098" w:type="dxa"/>
            <w:tcBorders>
              <w:bottom w:val="single" w:sz="8" w:space="0" w:color="364283"/>
            </w:tcBorders>
          </w:tcPr>
          <w:p w14:paraId="5AE5EEB6" w14:textId="77777777" w:rsidR="009D33A3" w:rsidRPr="009D33A3" w:rsidRDefault="009D33A3" w:rsidP="00DA022A">
            <w:pPr>
              <w:pStyle w:val="Heade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DA022A">
            <w:pPr>
              <w:pStyle w:val="Header"/>
            </w:pPr>
          </w:p>
        </w:tc>
        <w:tc>
          <w:tcPr>
            <w:tcW w:w="6098" w:type="dxa"/>
            <w:tcBorders>
              <w:top w:val="single" w:sz="8" w:space="0" w:color="364283"/>
            </w:tcBorders>
          </w:tcPr>
          <w:p w14:paraId="1F817E47" w14:textId="77777777" w:rsidR="009D33A3" w:rsidRPr="009D33A3" w:rsidRDefault="009D33A3" w:rsidP="00DA022A">
            <w:pPr>
              <w:pStyle w:val="Header"/>
            </w:pPr>
          </w:p>
        </w:tc>
      </w:tr>
    </w:tbl>
    <w:p w14:paraId="3A2E63F0" w14:textId="47167200" w:rsidR="00ED11DB" w:rsidRDefault="004941F8" w:rsidP="004941F8">
      <w:pPr>
        <w:ind w:left="720"/>
        <w:rPr>
          <w:b/>
          <w:bCs/>
          <w:i/>
          <w:iCs/>
          <w:color w:val="364283"/>
        </w:rPr>
      </w:pPr>
      <w:r w:rsidRPr="004941F8">
        <w:rPr>
          <w:b/>
          <w:bCs/>
          <w:i/>
          <w:iCs/>
          <w:color w:val="364283"/>
        </w:rPr>
        <w:t xml:space="preserve">Accurate </w:t>
      </w:r>
      <w:r w:rsidR="0040062E">
        <w:rPr>
          <w:b/>
          <w:bCs/>
          <w:i/>
          <w:iCs/>
          <w:color w:val="364283"/>
        </w:rPr>
        <w:t xml:space="preserve">and timely </w:t>
      </w:r>
      <w:r w:rsidR="00ED11DB">
        <w:rPr>
          <w:b/>
          <w:bCs/>
          <w:i/>
          <w:iCs/>
          <w:color w:val="364283"/>
        </w:rPr>
        <w:t xml:space="preserve">data management and </w:t>
      </w:r>
      <w:r w:rsidRPr="004941F8">
        <w:rPr>
          <w:b/>
          <w:bCs/>
          <w:i/>
          <w:iCs/>
          <w:color w:val="364283"/>
        </w:rPr>
        <w:t>reporting of pre-accredited delivery</w:t>
      </w:r>
      <w:r w:rsidR="00ED11DB">
        <w:rPr>
          <w:b/>
          <w:bCs/>
          <w:i/>
          <w:iCs/>
          <w:color w:val="364283"/>
        </w:rPr>
        <w:t xml:space="preserve"> enables Learn Local </w:t>
      </w:r>
      <w:r w:rsidR="0041053C">
        <w:rPr>
          <w:b/>
          <w:bCs/>
          <w:i/>
          <w:iCs/>
          <w:color w:val="364283"/>
        </w:rPr>
        <w:t>p</w:t>
      </w:r>
      <w:r w:rsidR="00ED11DB">
        <w:rPr>
          <w:b/>
          <w:bCs/>
          <w:i/>
          <w:iCs/>
          <w:color w:val="364283"/>
        </w:rPr>
        <w:t>roviders, the Department and the ACFE Board to effectively plan, monitor and evaluate ACFE funded training delivery</w:t>
      </w:r>
      <w:r w:rsidR="008972AB">
        <w:rPr>
          <w:b/>
          <w:bCs/>
          <w:i/>
          <w:iCs/>
          <w:color w:val="364283"/>
        </w:rPr>
        <w:t xml:space="preserve"> </w:t>
      </w:r>
      <w:r w:rsidR="00ED11DB" w:rsidRPr="004941F8">
        <w:rPr>
          <w:b/>
          <w:bCs/>
          <w:i/>
          <w:iCs/>
          <w:color w:val="364283"/>
        </w:rPr>
        <w:t xml:space="preserve">for </w:t>
      </w:r>
      <w:r w:rsidR="008972AB">
        <w:rPr>
          <w:b/>
          <w:bCs/>
          <w:i/>
          <w:iCs/>
          <w:color w:val="364283"/>
        </w:rPr>
        <w:t>adult learners with foundation skills gaps</w:t>
      </w:r>
      <w:r w:rsidR="00ED11DB" w:rsidRPr="004941F8">
        <w:rPr>
          <w:b/>
          <w:bCs/>
          <w:i/>
          <w:iCs/>
          <w:color w:val="364283"/>
        </w:rPr>
        <w:t>.</w:t>
      </w:r>
    </w:p>
    <w:p w14:paraId="43203D8C" w14:textId="46E5EBA4" w:rsidR="00937A07" w:rsidRDefault="00937A07" w:rsidP="004941F8">
      <w:pPr>
        <w:ind w:left="720"/>
        <w:rPr>
          <w:b/>
          <w:bCs/>
          <w:i/>
          <w:iCs/>
          <w:color w:val="364283"/>
        </w:rPr>
      </w:pPr>
      <w:r w:rsidRPr="00937A07">
        <w:rPr>
          <w:b/>
          <w:bCs/>
          <w:i/>
          <w:iCs/>
          <w:color w:val="364283"/>
        </w:rPr>
        <w:t>Providers contracted to deliver pre-accredited training must maintain an AVETMISS compliant, up</w:t>
      </w:r>
      <w:r w:rsidRPr="00937A07">
        <w:rPr>
          <w:b/>
          <w:bCs/>
          <w:i/>
          <w:iCs/>
          <w:color w:val="364283"/>
        </w:rPr>
        <w:noBreakHyphen/>
        <w:t>to-date Student Management System (SMS), and have staff trained in the use of this software.</w:t>
      </w:r>
    </w:p>
    <w:p w14:paraId="2FE20C44" w14:textId="63FCA636" w:rsidR="0040062E" w:rsidRDefault="00ED11DB" w:rsidP="004941F8">
      <w:pPr>
        <w:ind w:left="720"/>
        <w:rPr>
          <w:b/>
          <w:bCs/>
          <w:i/>
          <w:iCs/>
          <w:color w:val="364283"/>
        </w:rPr>
      </w:pPr>
      <w:r>
        <w:rPr>
          <w:b/>
          <w:bCs/>
          <w:i/>
          <w:iCs/>
          <w:color w:val="364283"/>
        </w:rPr>
        <w:t xml:space="preserve">Successfully uploaded delivery from the Student Management System (SMS) to the </w:t>
      </w:r>
      <w:r w:rsidR="00B43A79">
        <w:rPr>
          <w:b/>
          <w:bCs/>
          <w:i/>
          <w:iCs/>
          <w:color w:val="364283"/>
        </w:rPr>
        <w:t>Skills</w:t>
      </w:r>
      <w:r>
        <w:rPr>
          <w:b/>
          <w:bCs/>
          <w:i/>
          <w:iCs/>
          <w:color w:val="364283"/>
        </w:rPr>
        <w:t xml:space="preserve"> Victoria Training System (</w:t>
      </w:r>
      <w:r w:rsidR="00555FE5">
        <w:rPr>
          <w:b/>
          <w:bCs/>
          <w:i/>
          <w:iCs/>
          <w:color w:val="364283"/>
        </w:rPr>
        <w:t>SVTS) is</w:t>
      </w:r>
      <w:r w:rsidR="0040062E">
        <w:rPr>
          <w:b/>
          <w:bCs/>
          <w:i/>
          <w:iCs/>
          <w:color w:val="364283"/>
        </w:rPr>
        <w:t xml:space="preserve"> </w:t>
      </w:r>
      <w:r>
        <w:rPr>
          <w:b/>
          <w:bCs/>
          <w:i/>
          <w:iCs/>
          <w:color w:val="364283"/>
        </w:rPr>
        <w:t>the method</w:t>
      </w:r>
      <w:r w:rsidR="0040062E">
        <w:rPr>
          <w:b/>
          <w:bCs/>
          <w:i/>
          <w:iCs/>
          <w:color w:val="364283"/>
        </w:rPr>
        <w:t xml:space="preserve"> used by the Department and the ACFE</w:t>
      </w:r>
      <w:r w:rsidR="0041053C">
        <w:rPr>
          <w:b/>
          <w:bCs/>
          <w:i/>
          <w:iCs/>
          <w:color w:val="364283"/>
        </w:rPr>
        <w:t xml:space="preserve"> </w:t>
      </w:r>
      <w:r w:rsidR="0040062E">
        <w:rPr>
          <w:b/>
          <w:bCs/>
          <w:i/>
          <w:iCs/>
          <w:color w:val="364283"/>
        </w:rPr>
        <w:t>B</w:t>
      </w:r>
      <w:r w:rsidR="0041053C">
        <w:rPr>
          <w:b/>
          <w:bCs/>
          <w:i/>
          <w:iCs/>
          <w:color w:val="364283"/>
        </w:rPr>
        <w:t>oard</w:t>
      </w:r>
      <w:r w:rsidR="0040062E">
        <w:rPr>
          <w:b/>
          <w:bCs/>
          <w:i/>
          <w:iCs/>
          <w:color w:val="364283"/>
        </w:rPr>
        <w:t xml:space="preserve"> to release reporting mileston</w:t>
      </w:r>
      <w:r>
        <w:rPr>
          <w:b/>
          <w:bCs/>
          <w:i/>
          <w:iCs/>
          <w:color w:val="364283"/>
        </w:rPr>
        <w:t>e</w:t>
      </w:r>
      <w:r w:rsidR="0040062E">
        <w:rPr>
          <w:b/>
          <w:bCs/>
          <w:i/>
          <w:iCs/>
          <w:color w:val="364283"/>
        </w:rPr>
        <w:t xml:space="preserve"> payments to Learn Local</w:t>
      </w:r>
      <w:r w:rsidR="00E91931">
        <w:rPr>
          <w:b/>
          <w:bCs/>
          <w:i/>
          <w:iCs/>
          <w:color w:val="364283"/>
        </w:rPr>
        <w:t xml:space="preserve"> </w:t>
      </w:r>
      <w:r w:rsidR="0041053C">
        <w:rPr>
          <w:b/>
          <w:bCs/>
          <w:i/>
          <w:iCs/>
          <w:color w:val="364283"/>
        </w:rPr>
        <w:t>p</w:t>
      </w:r>
      <w:r w:rsidR="0040062E">
        <w:rPr>
          <w:b/>
          <w:bCs/>
          <w:i/>
          <w:iCs/>
          <w:color w:val="364283"/>
        </w:rPr>
        <w:t>roviders.</w:t>
      </w:r>
    </w:p>
    <w:p w14:paraId="0A82F78C" w14:textId="3F365DA4" w:rsidR="004941F8" w:rsidRPr="004941F8" w:rsidRDefault="0040062E" w:rsidP="004941F8">
      <w:pPr>
        <w:ind w:left="720"/>
        <w:rPr>
          <w:b/>
          <w:bCs/>
          <w:i/>
          <w:iCs/>
          <w:color w:val="364283"/>
        </w:rPr>
      </w:pPr>
      <w:r>
        <w:rPr>
          <w:b/>
          <w:bCs/>
          <w:i/>
          <w:iCs/>
          <w:color w:val="364283"/>
        </w:rPr>
        <w:t xml:space="preserve">These guidelines are designed to support Learn Local providers </w:t>
      </w:r>
      <w:r w:rsidR="0041053C">
        <w:rPr>
          <w:b/>
          <w:bCs/>
          <w:i/>
          <w:iCs/>
          <w:color w:val="364283"/>
        </w:rPr>
        <w:t xml:space="preserve">to </w:t>
      </w:r>
      <w:r>
        <w:rPr>
          <w:b/>
          <w:bCs/>
          <w:i/>
          <w:iCs/>
          <w:color w:val="364283"/>
        </w:rPr>
        <w:t xml:space="preserve">manage the process </w:t>
      </w:r>
      <w:r w:rsidR="00ED11DB">
        <w:rPr>
          <w:b/>
          <w:bCs/>
          <w:i/>
          <w:iCs/>
          <w:color w:val="364283"/>
        </w:rPr>
        <w:t xml:space="preserve">of effective and efficient data management and </w:t>
      </w:r>
      <w:r w:rsidR="008972AB">
        <w:rPr>
          <w:b/>
          <w:bCs/>
          <w:i/>
          <w:iCs/>
          <w:color w:val="364283"/>
        </w:rPr>
        <w:t>reporting</w:t>
      </w:r>
      <w:r w:rsidR="00ED11DB">
        <w:rPr>
          <w:b/>
          <w:bCs/>
          <w:i/>
          <w:iCs/>
          <w:color w:val="364283"/>
        </w:rPr>
        <w:t xml:space="preserve"> </w:t>
      </w:r>
    </w:p>
    <w:p w14:paraId="7D44A9F9" w14:textId="2DD9916E" w:rsidR="00AF0486" w:rsidRPr="00D82D32" w:rsidRDefault="00AF0486" w:rsidP="00DA022A">
      <w:r w:rsidRPr="00AF0486">
        <w:t xml:space="preserve">This factsheet </w:t>
      </w:r>
      <w:r w:rsidRPr="00115E26">
        <w:t>provide</w:t>
      </w:r>
      <w:r>
        <w:t>s</w:t>
      </w:r>
      <w:r w:rsidRPr="00115E26">
        <w:t xml:space="preserve"> advice on how data related to 202</w:t>
      </w:r>
      <w:r>
        <w:t>2</w:t>
      </w:r>
      <w:r w:rsidRPr="00115E26">
        <w:t xml:space="preserve"> </w:t>
      </w:r>
      <w:r w:rsidRPr="0004476C">
        <w:t xml:space="preserve">Service Agreements with the ACFE Board must be reported. It covers training under the </w:t>
      </w:r>
      <w:r>
        <w:t xml:space="preserve">General </w:t>
      </w:r>
      <w:r w:rsidR="0041053C">
        <w:t>P</w:t>
      </w:r>
      <w:r w:rsidRPr="0004476C">
        <w:t xml:space="preserve">re-accredited, </w:t>
      </w:r>
      <w:r>
        <w:t xml:space="preserve">Digital Skills and </w:t>
      </w:r>
      <w:r w:rsidR="0041053C">
        <w:t>Learner Engagement A-frame Program (</w:t>
      </w:r>
      <w:r w:rsidR="00CA6014">
        <w:t>LEAP</w:t>
      </w:r>
      <w:r w:rsidR="0041053C">
        <w:t>)</w:t>
      </w:r>
      <w:r w:rsidR="00CA6014">
        <w:t xml:space="preserve"> </w:t>
      </w:r>
      <w:r w:rsidRPr="0004476C">
        <w:t>program</w:t>
      </w:r>
      <w:r>
        <w:t xml:space="preserve"> streams and is</w:t>
      </w:r>
      <w:r w:rsidRPr="00D82D32">
        <w:t xml:space="preserve"> designed to ensure providers have clear guidelines on:</w:t>
      </w:r>
    </w:p>
    <w:p w14:paraId="4E39A746" w14:textId="77777777" w:rsidR="00AF0486" w:rsidRPr="00D82D32" w:rsidRDefault="00AF0486" w:rsidP="00DA022A">
      <w:pPr>
        <w:pStyle w:val="ListParagraph"/>
        <w:numPr>
          <w:ilvl w:val="0"/>
          <w:numId w:val="6"/>
        </w:numPr>
        <w:ind w:left="357" w:hanging="357"/>
        <w:contextualSpacing w:val="0"/>
      </w:pPr>
      <w:r w:rsidRPr="00D82D32">
        <w:t xml:space="preserve">how data should be entered into their Student Management System </w:t>
      </w:r>
    </w:p>
    <w:p w14:paraId="14D2FEFA" w14:textId="77777777" w:rsidR="00AF0486" w:rsidRPr="00D82D32" w:rsidRDefault="00AF0486" w:rsidP="00DA022A">
      <w:pPr>
        <w:pStyle w:val="ListParagraph"/>
        <w:numPr>
          <w:ilvl w:val="0"/>
          <w:numId w:val="6"/>
        </w:numPr>
        <w:ind w:left="357" w:hanging="357"/>
        <w:contextualSpacing w:val="0"/>
      </w:pPr>
      <w:r w:rsidRPr="00D82D32">
        <w:t>when and how data must be submitted to the Department’s Skills Victoria Training System</w:t>
      </w:r>
      <w:r>
        <w:t xml:space="preserve"> </w:t>
      </w:r>
    </w:p>
    <w:p w14:paraId="7D8C686D" w14:textId="37E4E75E" w:rsidR="00AF0486" w:rsidRPr="00D82D32" w:rsidRDefault="00AF0486" w:rsidP="00DA022A">
      <w:pPr>
        <w:pStyle w:val="ListParagraph"/>
        <w:numPr>
          <w:ilvl w:val="0"/>
          <w:numId w:val="6"/>
        </w:numPr>
        <w:ind w:left="357" w:hanging="357"/>
        <w:contextualSpacing w:val="0"/>
      </w:pPr>
      <w:r w:rsidRPr="00D82D32">
        <w:t xml:space="preserve">who to contact when </w:t>
      </w:r>
      <w:r w:rsidR="00CA6014" w:rsidRPr="00D82D32">
        <w:t xml:space="preserve">reporting </w:t>
      </w:r>
      <w:r w:rsidRPr="00D82D32">
        <w:t xml:space="preserve">issues </w:t>
      </w:r>
      <w:r w:rsidR="00772F68" w:rsidRPr="00D82D32">
        <w:t>arise?</w:t>
      </w:r>
    </w:p>
    <w:p w14:paraId="0E8F12DD" w14:textId="4A90873B" w:rsidR="00AF0486" w:rsidRDefault="00AF0486" w:rsidP="00DA022A">
      <w:r w:rsidRPr="00D82D32">
        <w:t>While this document is designed to be accessible to all stakeholders, it is primarily targeted at people responsible for data entry and reporting.</w:t>
      </w:r>
    </w:p>
    <w:p w14:paraId="25A0B2E9" w14:textId="12F6936F" w:rsidR="00937A07" w:rsidRDefault="00937A07" w:rsidP="00DA022A">
      <w:r w:rsidRPr="00AF0486">
        <w:t>This factsheet</w:t>
      </w:r>
      <w:r>
        <w:t xml:space="preserve"> will be updated to reflect new </w:t>
      </w:r>
      <w:r w:rsidRPr="0004476C">
        <w:t xml:space="preserve">ACFE Board </w:t>
      </w:r>
      <w:r>
        <w:t xml:space="preserve">initiatives and feedback from users. The latest version of the </w:t>
      </w:r>
      <w:r w:rsidRPr="00AF0486">
        <w:t>factsheet</w:t>
      </w:r>
      <w:r>
        <w:t xml:space="preserve"> is available under the 2022 ACFE Training delivery Guidelines section of the </w:t>
      </w:r>
      <w:hyperlink r:id="rId13" w:history="1">
        <w:r w:rsidR="00E2711A" w:rsidRPr="00F420D1">
          <w:rPr>
            <w:rStyle w:val="Hyperlink"/>
          </w:rPr>
          <w:t>www.vic.gov.au/pre-accredited-training-and-programs</w:t>
        </w:r>
      </w:hyperlink>
      <w:r>
        <w:t xml:space="preserve"> webpage.</w:t>
      </w:r>
    </w:p>
    <w:p w14:paraId="684C686F" w14:textId="52B2F243" w:rsidR="00C63889" w:rsidRDefault="00C63889" w:rsidP="00DA022A">
      <w:pPr>
        <w:pStyle w:val="Heading1"/>
      </w:pPr>
      <w:bookmarkStart w:id="1" w:name="_Hlk82080210"/>
      <w:r>
        <w:t>What’s new for 2022?</w:t>
      </w:r>
    </w:p>
    <w:p w14:paraId="4B8FC4DB" w14:textId="4513EBB7" w:rsidR="00AF0486" w:rsidRDefault="00AF0486" w:rsidP="00DA022A">
      <w:r>
        <w:t xml:space="preserve">There have been </w:t>
      </w:r>
      <w:proofErr w:type="gramStart"/>
      <w:r>
        <w:t>a number of</w:t>
      </w:r>
      <w:proofErr w:type="gramEnd"/>
      <w:r>
        <w:t xml:space="preserve"> changes in the reporting requirements for training contracted for delivery in 2022</w:t>
      </w:r>
      <w:r w:rsidR="00CA6014">
        <w:t>,</w:t>
      </w:r>
      <w:r>
        <w:t xml:space="preserve"> including:</w:t>
      </w:r>
    </w:p>
    <w:p w14:paraId="563A106A" w14:textId="63E80A46" w:rsidR="00C63889" w:rsidRDefault="00AF0486" w:rsidP="00DA022A">
      <w:pPr>
        <w:pStyle w:val="ListParagraph"/>
        <w:numPr>
          <w:ilvl w:val="0"/>
          <w:numId w:val="6"/>
        </w:numPr>
        <w:ind w:left="357" w:hanging="357"/>
        <w:contextualSpacing w:val="0"/>
      </w:pPr>
      <w:r>
        <w:t>Changes to reporting census dates — which apply for all newly contracted training for 2022 and training originally contracted for 2021 that has had the delivery timelines extended to December 2022</w:t>
      </w:r>
    </w:p>
    <w:p w14:paraId="57DF0ACD" w14:textId="3BEE49EB" w:rsidR="00AF0486" w:rsidRDefault="00AF0486" w:rsidP="00DA022A">
      <w:pPr>
        <w:pStyle w:val="ListParagraph"/>
        <w:numPr>
          <w:ilvl w:val="0"/>
          <w:numId w:val="6"/>
        </w:numPr>
        <w:ind w:left="357" w:hanging="357"/>
        <w:contextualSpacing w:val="0"/>
      </w:pPr>
      <w:r>
        <w:t xml:space="preserve">Changes to funding and </w:t>
      </w:r>
      <w:r w:rsidR="008972AB">
        <w:t xml:space="preserve">pre-allocated </w:t>
      </w:r>
      <w:r>
        <w:t>course codes</w:t>
      </w:r>
      <w:r w:rsidR="00DD3168">
        <w:t xml:space="preserve"> in the agreed 2022 Delivery Plan</w:t>
      </w:r>
      <w:r>
        <w:t xml:space="preserve"> — </w:t>
      </w:r>
      <w:r w:rsidR="00EA72C7">
        <w:t xml:space="preserve">requires that providers use the allocated course codes and course names in their </w:t>
      </w:r>
      <w:r w:rsidR="0041053C">
        <w:t>S</w:t>
      </w:r>
      <w:r w:rsidR="00EA72C7">
        <w:t xml:space="preserve">tudent </w:t>
      </w:r>
      <w:r w:rsidR="0041053C">
        <w:t>M</w:t>
      </w:r>
      <w:r w:rsidR="00EA72C7">
        <w:t xml:space="preserve">anagement </w:t>
      </w:r>
      <w:r w:rsidR="0041053C">
        <w:t>S</w:t>
      </w:r>
      <w:r w:rsidR="00EA72C7">
        <w:t>ystem</w:t>
      </w:r>
      <w:r>
        <w:t>.</w:t>
      </w:r>
    </w:p>
    <w:bookmarkEnd w:id="1"/>
    <w:p w14:paraId="4934F64B" w14:textId="79E4464B" w:rsidR="00AF0486" w:rsidRDefault="00AF0486" w:rsidP="00DA022A">
      <w:r w:rsidRPr="00C63889">
        <w:t xml:space="preserve">Payment of government subsidies, loadings and concession rebates is contingent </w:t>
      </w:r>
      <w:r>
        <w:t>on</w:t>
      </w:r>
      <w:r w:rsidRPr="00C63889">
        <w:t xml:space="preserve"> the accurate and timely reporting of data to the Department. Data that is not successfully uploaded into SVTS will be deemed as training that has not been delivered</w:t>
      </w:r>
      <w:r w:rsidR="00937A07">
        <w:t xml:space="preserve"> and may result in non-payment</w:t>
      </w:r>
      <w:r w:rsidRPr="00C63889">
        <w:t>.</w:t>
      </w:r>
    </w:p>
    <w:p w14:paraId="026D2652" w14:textId="77777777" w:rsidR="00937A07" w:rsidRDefault="00937A07">
      <w:pPr>
        <w:rPr>
          <w:b/>
          <w:color w:val="364283"/>
          <w:sz w:val="28"/>
        </w:rPr>
      </w:pPr>
      <w:r>
        <w:br w:type="page"/>
      </w:r>
    </w:p>
    <w:p w14:paraId="549EE56F" w14:textId="4569AF0C" w:rsidR="002306AE" w:rsidRPr="004F1F84" w:rsidRDefault="002306AE" w:rsidP="00DA022A">
      <w:pPr>
        <w:pStyle w:val="Heading1"/>
      </w:pPr>
      <w:r w:rsidRPr="004F1F84">
        <w:lastRenderedPageBreak/>
        <w:t>Where can I find the information I need?</w:t>
      </w:r>
    </w:p>
    <w:p w14:paraId="6ED4A598" w14:textId="5DFF50A4" w:rsidR="002306AE" w:rsidRDefault="002306AE" w:rsidP="00DA022A">
      <w:pPr>
        <w:pStyle w:val="ListParagraph"/>
        <w:numPr>
          <w:ilvl w:val="0"/>
          <w:numId w:val="6"/>
        </w:numPr>
        <w:ind w:left="357" w:hanging="357"/>
        <w:contextualSpacing w:val="0"/>
      </w:pPr>
      <w:r>
        <w:t xml:space="preserve">Your </w:t>
      </w:r>
      <w:r w:rsidRPr="0008097C">
        <w:t xml:space="preserve">Service Agreement Reporting Obligations </w:t>
      </w:r>
      <w:r>
        <w:t>— are detailed on page</w:t>
      </w:r>
      <w:r w:rsidR="00CA6014">
        <w:t xml:space="preserve"> </w:t>
      </w:r>
      <w:r w:rsidR="00CA6014">
        <w:fldChar w:fldCharType="begin"/>
      </w:r>
      <w:r w:rsidR="00CA6014">
        <w:instrText xml:space="preserve"> PAGEREF _Ref88557008 \h </w:instrText>
      </w:r>
      <w:r w:rsidR="00CA6014">
        <w:fldChar w:fldCharType="separate"/>
      </w:r>
      <w:r w:rsidR="00CA6014">
        <w:t>3</w:t>
      </w:r>
      <w:r w:rsidR="00CA6014">
        <w:fldChar w:fldCharType="end"/>
      </w:r>
      <w:r>
        <w:t>.</w:t>
      </w:r>
    </w:p>
    <w:p w14:paraId="6EE1A2FD" w14:textId="4CC2FA86" w:rsidR="002306AE" w:rsidRDefault="002306AE" w:rsidP="00DA022A">
      <w:pPr>
        <w:pStyle w:val="ListParagraph"/>
        <w:numPr>
          <w:ilvl w:val="0"/>
          <w:numId w:val="6"/>
        </w:numPr>
        <w:ind w:left="357" w:hanging="357"/>
        <w:contextualSpacing w:val="0"/>
      </w:pPr>
      <w:r>
        <w:t xml:space="preserve">Information on how to </w:t>
      </w:r>
      <w:r w:rsidRPr="00AE710B">
        <w:t>access the Skills Victoria Training System</w:t>
      </w:r>
      <w:r>
        <w:t xml:space="preserve"> (SVTS) is provided on page</w:t>
      </w:r>
      <w:r w:rsidR="00CA6014">
        <w:t xml:space="preserve"> </w:t>
      </w:r>
      <w:r w:rsidR="00CA6014">
        <w:fldChar w:fldCharType="begin"/>
      </w:r>
      <w:r w:rsidR="00CA6014">
        <w:instrText xml:space="preserve"> PAGEREF _Ref65057317 \h </w:instrText>
      </w:r>
      <w:r w:rsidR="00CA6014">
        <w:fldChar w:fldCharType="separate"/>
      </w:r>
      <w:r w:rsidR="00CA6014">
        <w:t>5</w:t>
      </w:r>
      <w:r w:rsidR="00CA6014">
        <w:fldChar w:fldCharType="end"/>
      </w:r>
      <w:r>
        <w:t>.</w:t>
      </w:r>
    </w:p>
    <w:p w14:paraId="6136BDF7" w14:textId="565C4D0F" w:rsidR="002306AE" w:rsidRDefault="002306AE" w:rsidP="00DA022A">
      <w:pPr>
        <w:pStyle w:val="ListParagraph"/>
        <w:numPr>
          <w:ilvl w:val="0"/>
          <w:numId w:val="6"/>
        </w:numPr>
        <w:ind w:left="357" w:hanging="357"/>
        <w:contextualSpacing w:val="0"/>
      </w:pPr>
      <w:r>
        <w:t xml:space="preserve">Guidelines on how to report </w:t>
      </w:r>
      <w:r w:rsidR="00CA6014">
        <w:t xml:space="preserve">General </w:t>
      </w:r>
      <w:r w:rsidR="0041053C">
        <w:t>P</w:t>
      </w:r>
      <w:r w:rsidR="00CA6014" w:rsidRPr="0004476C">
        <w:t xml:space="preserve">re-accredited, </w:t>
      </w:r>
      <w:r w:rsidR="00CA6014">
        <w:t xml:space="preserve">Digital Skills and LEAP </w:t>
      </w:r>
      <w:r w:rsidR="00CA6014" w:rsidRPr="0004476C">
        <w:t>program</w:t>
      </w:r>
      <w:r w:rsidR="00CA6014">
        <w:t xml:space="preserve"> </w:t>
      </w:r>
      <w:r w:rsidRPr="0004476C">
        <w:t>streams data are provided on page</w:t>
      </w:r>
      <w:r w:rsidR="00CA6014">
        <w:t xml:space="preserve"> </w:t>
      </w:r>
      <w:r w:rsidR="00CA6014">
        <w:fldChar w:fldCharType="begin"/>
      </w:r>
      <w:r w:rsidR="00CA6014">
        <w:instrText xml:space="preserve"> PAGEREF _Ref65057505 \h </w:instrText>
      </w:r>
      <w:r w:rsidR="00CA6014">
        <w:fldChar w:fldCharType="separate"/>
      </w:r>
      <w:r w:rsidR="00CA6014">
        <w:t>6</w:t>
      </w:r>
      <w:r w:rsidR="00CA6014">
        <w:fldChar w:fldCharType="end"/>
      </w:r>
      <w:r>
        <w:t>.</w:t>
      </w:r>
    </w:p>
    <w:p w14:paraId="6AC81ECC" w14:textId="77777777" w:rsidR="006E6CB7" w:rsidRPr="004F1F84" w:rsidRDefault="006E6CB7" w:rsidP="006E6CB7">
      <w:pPr>
        <w:pStyle w:val="Heading1"/>
      </w:pPr>
      <w:bookmarkStart w:id="2" w:name="_Ref88557008"/>
      <w:r w:rsidRPr="004F1F84">
        <w:t>What</w:t>
      </w:r>
      <w:r>
        <w:t xml:space="preserve"> </w:t>
      </w:r>
      <w:r w:rsidRPr="004F1F84">
        <w:t>are your Service Agreement Reporting requirements?</w:t>
      </w:r>
      <w:bookmarkEnd w:id="2"/>
    </w:p>
    <w:p w14:paraId="0576DAB4" w14:textId="069B2227" w:rsidR="00516D4D" w:rsidRDefault="006E6CB7" w:rsidP="006E6CB7">
      <w:r w:rsidRPr="00D82D32">
        <w:t xml:space="preserve">Providers contracted to deliver pre-accredited training with the ACFE Board must maintain </w:t>
      </w:r>
      <w:r w:rsidR="00516D4D">
        <w:t xml:space="preserve">an </w:t>
      </w:r>
      <w:r w:rsidR="00516D4D" w:rsidRPr="00D82D32">
        <w:t>up-to-date student management system</w:t>
      </w:r>
      <w:r w:rsidR="00516D4D">
        <w:t xml:space="preserve"> that is </w:t>
      </w:r>
      <w:r w:rsidR="00516D4D" w:rsidRPr="00D82D32">
        <w:t>compliant</w:t>
      </w:r>
      <w:r w:rsidR="00516D4D">
        <w:t xml:space="preserve"> with the Victorian implementation of the </w:t>
      </w:r>
      <w:r w:rsidR="00516D4D" w:rsidRPr="006E6CB7">
        <w:t xml:space="preserve">Australian Vocational Education and Training Management Information Statistical Standard </w:t>
      </w:r>
      <w:r w:rsidR="00516D4D">
        <w:t>(</w:t>
      </w:r>
      <w:r w:rsidR="00516D4D" w:rsidRPr="00D82D32">
        <w:t>AVETMISS</w:t>
      </w:r>
      <w:r w:rsidR="00516D4D">
        <w:t xml:space="preserve">) as detailed in the </w:t>
      </w:r>
      <w:r w:rsidR="00516D4D" w:rsidRPr="00DA022A">
        <w:rPr>
          <w:i/>
          <w:iCs/>
        </w:rPr>
        <w:t xml:space="preserve">Victorian VET Student Statistical Data Collection Guidelines </w:t>
      </w:r>
      <w:r w:rsidR="00516D4D">
        <w:rPr>
          <w:i/>
          <w:iCs/>
        </w:rPr>
        <w:t>—</w:t>
      </w:r>
      <w:r w:rsidR="00516D4D" w:rsidRPr="00DA022A">
        <w:rPr>
          <w:i/>
          <w:iCs/>
        </w:rPr>
        <w:t xml:space="preserve"> 202</w:t>
      </w:r>
      <w:r w:rsidR="00516D4D">
        <w:rPr>
          <w:i/>
          <w:iCs/>
        </w:rPr>
        <w:t>2.</w:t>
      </w:r>
    </w:p>
    <w:p w14:paraId="1A5260C9" w14:textId="1DF305FE" w:rsidR="006E6CB7" w:rsidRDefault="00516D4D" w:rsidP="006E6CB7">
      <w:r w:rsidRPr="00D82D32">
        <w:t>Providers</w:t>
      </w:r>
      <w:r w:rsidR="006E6CB7" w:rsidRPr="00D82D32">
        <w:t xml:space="preserve"> must upload their training activity data to the Department’s SVTS to meet the evidence requirements for payment under the agreed Service Plan and approved Delivery Plan.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2693"/>
        <w:gridCol w:w="3544"/>
        <w:gridCol w:w="3119"/>
        <w:gridCol w:w="141"/>
      </w:tblGrid>
      <w:tr w:rsidR="002306AE" w:rsidRPr="00DA022A" w14:paraId="28B5E57B" w14:textId="77777777" w:rsidTr="00DA022A">
        <w:trPr>
          <w:cantSplit/>
          <w:hidden/>
        </w:trPr>
        <w:tc>
          <w:tcPr>
            <w:tcW w:w="9639" w:type="dxa"/>
            <w:gridSpan w:val="5"/>
          </w:tcPr>
          <w:p w14:paraId="0C22A8E4" w14:textId="77777777" w:rsidR="002306AE" w:rsidRPr="00DA022A" w:rsidRDefault="002306AE" w:rsidP="00DA022A">
            <w:pPr>
              <w:pStyle w:val="BodyText"/>
              <w:keepLines/>
              <w:spacing w:before="0" w:line="240" w:lineRule="auto"/>
              <w:rPr>
                <w:rFonts w:ascii="Century Gothic" w:hAnsi="Century Gothic"/>
                <w:sz w:val="12"/>
                <w:szCs w:val="12"/>
              </w:rPr>
            </w:pPr>
          </w:p>
        </w:tc>
      </w:tr>
      <w:tr w:rsidR="002306AE" w:rsidRPr="00DA022A" w14:paraId="13AA38E5" w14:textId="77777777" w:rsidTr="00DA022A">
        <w:trPr>
          <w:cantSplit/>
        </w:trPr>
        <w:tc>
          <w:tcPr>
            <w:tcW w:w="9639" w:type="dxa"/>
            <w:gridSpan w:val="5"/>
            <w:shd w:val="clear" w:color="auto" w:fill="D1E5FF"/>
          </w:tcPr>
          <w:p w14:paraId="6531716E" w14:textId="77777777" w:rsidR="002306AE" w:rsidRPr="00DA022A" w:rsidRDefault="002306AE" w:rsidP="00B30EE1">
            <w:pPr>
              <w:pStyle w:val="BlockText"/>
              <w:keepLines/>
              <w:ind w:left="113" w:right="113"/>
              <w:rPr>
                <w:rFonts w:ascii="Century Gothic" w:hAnsi="Century Gothic"/>
                <w:b/>
                <w:bCs/>
                <w:sz w:val="24"/>
              </w:rPr>
            </w:pPr>
            <w:r w:rsidRPr="00DA022A">
              <w:rPr>
                <w:rFonts w:ascii="Century Gothic" w:hAnsi="Century Gothic"/>
                <w:b/>
                <w:bCs/>
                <w:color w:val="364283"/>
                <w:sz w:val="24"/>
              </w:rPr>
              <w:t>A note on terminology</w:t>
            </w:r>
          </w:p>
          <w:p w14:paraId="56ED12B4" w14:textId="2C30975F" w:rsidR="00DA022A" w:rsidRDefault="002306AE" w:rsidP="00B30EE1">
            <w:pPr>
              <w:pStyle w:val="BlockText"/>
              <w:keepLines/>
              <w:ind w:left="113" w:right="113"/>
              <w:rPr>
                <w:rFonts w:ascii="Century Gothic" w:hAnsi="Century Gothic"/>
              </w:rPr>
            </w:pPr>
            <w:r w:rsidRPr="00DA022A">
              <w:rPr>
                <w:rFonts w:ascii="Century Gothic" w:hAnsi="Century Gothic"/>
              </w:rPr>
              <w:t xml:space="preserve">Different terminology is used in the ACFE Board Service Agreement/Delivery Plan, the </w:t>
            </w:r>
            <w:r w:rsidRPr="00DA022A">
              <w:rPr>
                <w:rFonts w:ascii="Century Gothic" w:hAnsi="Century Gothic"/>
                <w:i/>
                <w:iCs/>
              </w:rPr>
              <w:t xml:space="preserve">Victorian VET Student Statistical Data Collection Guidelines </w:t>
            </w:r>
            <w:r w:rsidR="00772F68">
              <w:rPr>
                <w:rFonts w:ascii="Century Gothic" w:hAnsi="Century Gothic"/>
                <w:i/>
                <w:iCs/>
              </w:rPr>
              <w:t>—</w:t>
            </w:r>
            <w:r w:rsidRPr="00DA022A">
              <w:rPr>
                <w:rFonts w:ascii="Century Gothic" w:hAnsi="Century Gothic"/>
                <w:i/>
                <w:iCs/>
              </w:rPr>
              <w:t xml:space="preserve"> 202</w:t>
            </w:r>
            <w:r w:rsidR="00772F68">
              <w:rPr>
                <w:rFonts w:ascii="Century Gothic" w:hAnsi="Century Gothic"/>
                <w:i/>
                <w:iCs/>
              </w:rPr>
              <w:t>2</w:t>
            </w:r>
            <w:r w:rsidRPr="00DA022A">
              <w:rPr>
                <w:rFonts w:ascii="Century Gothic" w:hAnsi="Century Gothic"/>
              </w:rPr>
              <w:t xml:space="preserve"> (Statistical Guidelines), and the Student Management System software can cause confusion. </w:t>
            </w:r>
          </w:p>
          <w:p w14:paraId="34D96952" w14:textId="7FD2D973" w:rsidR="002306AE" w:rsidRPr="00DA022A" w:rsidRDefault="002306AE" w:rsidP="00B30EE1">
            <w:pPr>
              <w:pStyle w:val="BlockText"/>
              <w:keepLines/>
              <w:ind w:left="113" w:right="113"/>
              <w:rPr>
                <w:rFonts w:ascii="Century Gothic" w:hAnsi="Century Gothic"/>
              </w:rPr>
            </w:pPr>
            <w:r w:rsidRPr="00DA022A">
              <w:rPr>
                <w:rFonts w:ascii="Century Gothic" w:hAnsi="Century Gothic"/>
              </w:rPr>
              <w:t>For example:</w:t>
            </w:r>
          </w:p>
        </w:tc>
      </w:tr>
      <w:tr w:rsidR="00B30EE1" w:rsidRPr="00DA022A" w14:paraId="03192F68" w14:textId="77777777" w:rsidTr="00B30EE1">
        <w:trPr>
          <w:cantSplit/>
        </w:trPr>
        <w:tc>
          <w:tcPr>
            <w:tcW w:w="142" w:type="dxa"/>
            <w:shd w:val="clear" w:color="auto" w:fill="D1E5FF"/>
          </w:tcPr>
          <w:p w14:paraId="04557553" w14:textId="77777777" w:rsidR="002306AE" w:rsidRPr="00DA022A" w:rsidRDefault="002306AE" w:rsidP="00DA022A">
            <w:pPr>
              <w:pStyle w:val="BodyText1"/>
              <w:keepLines/>
              <w:rPr>
                <w:rFonts w:ascii="Century Gothic" w:hAnsi="Century Gothic"/>
              </w:rPr>
            </w:pPr>
          </w:p>
        </w:tc>
        <w:tc>
          <w:tcPr>
            <w:tcW w:w="2693" w:type="dxa"/>
            <w:shd w:val="clear" w:color="auto" w:fill="004EB2"/>
            <w:vAlign w:val="bottom"/>
          </w:tcPr>
          <w:p w14:paraId="5D82933E" w14:textId="77777777" w:rsidR="002306AE" w:rsidRPr="00DA022A" w:rsidRDefault="002306AE" w:rsidP="00DA022A">
            <w:pPr>
              <w:pStyle w:val="BodyText1"/>
              <w:keepLines/>
              <w:rPr>
                <w:rFonts w:ascii="Century Gothic" w:hAnsi="Century Gothic"/>
                <w:b/>
                <w:bCs/>
                <w:color w:val="FFFFFF" w:themeColor="background1"/>
              </w:rPr>
            </w:pPr>
            <w:r w:rsidRPr="00DA022A">
              <w:rPr>
                <w:rFonts w:ascii="Century Gothic" w:hAnsi="Century Gothic"/>
                <w:b/>
                <w:bCs/>
                <w:color w:val="FFFFFF" w:themeColor="background1"/>
              </w:rPr>
              <w:t>Statistical Guidelines</w:t>
            </w:r>
          </w:p>
        </w:tc>
        <w:tc>
          <w:tcPr>
            <w:tcW w:w="3544" w:type="dxa"/>
            <w:shd w:val="clear" w:color="auto" w:fill="004EB2"/>
            <w:vAlign w:val="bottom"/>
          </w:tcPr>
          <w:p w14:paraId="7557A429" w14:textId="77777777" w:rsidR="002306AE" w:rsidRPr="00DA022A" w:rsidRDefault="002306AE" w:rsidP="00DA022A">
            <w:pPr>
              <w:pStyle w:val="BodyText1"/>
              <w:keepLines/>
              <w:rPr>
                <w:rFonts w:ascii="Century Gothic" w:hAnsi="Century Gothic"/>
                <w:b/>
                <w:bCs/>
                <w:color w:val="FFFFFF" w:themeColor="background1"/>
              </w:rPr>
            </w:pPr>
            <w:r w:rsidRPr="00DA022A">
              <w:rPr>
                <w:rFonts w:ascii="Century Gothic" w:hAnsi="Century Gothic"/>
                <w:b/>
                <w:bCs/>
                <w:color w:val="FFFFFF" w:themeColor="background1"/>
              </w:rPr>
              <w:t>Student Management System</w:t>
            </w:r>
          </w:p>
        </w:tc>
        <w:tc>
          <w:tcPr>
            <w:tcW w:w="3119" w:type="dxa"/>
            <w:shd w:val="clear" w:color="auto" w:fill="004EB2"/>
            <w:vAlign w:val="bottom"/>
          </w:tcPr>
          <w:p w14:paraId="3E41B5A7" w14:textId="77777777" w:rsidR="002306AE" w:rsidRPr="00DA022A" w:rsidRDefault="002306AE" w:rsidP="00DA022A">
            <w:pPr>
              <w:pStyle w:val="BodyText1"/>
              <w:keepLines/>
              <w:rPr>
                <w:rFonts w:ascii="Century Gothic" w:hAnsi="Century Gothic"/>
                <w:b/>
                <w:bCs/>
                <w:color w:val="FFFFFF" w:themeColor="background1"/>
              </w:rPr>
            </w:pPr>
            <w:r w:rsidRPr="00DA022A">
              <w:rPr>
                <w:rFonts w:ascii="Century Gothic" w:hAnsi="Century Gothic"/>
                <w:b/>
                <w:bCs/>
                <w:color w:val="FFFFFF" w:themeColor="background1"/>
              </w:rPr>
              <w:t>Service Agreement*</w:t>
            </w:r>
          </w:p>
        </w:tc>
        <w:tc>
          <w:tcPr>
            <w:tcW w:w="141" w:type="dxa"/>
            <w:shd w:val="clear" w:color="auto" w:fill="D1E5FF"/>
          </w:tcPr>
          <w:p w14:paraId="79E28BC6" w14:textId="77777777" w:rsidR="002306AE" w:rsidRPr="00DA022A" w:rsidRDefault="002306AE" w:rsidP="00DA022A">
            <w:pPr>
              <w:pStyle w:val="BodyText1"/>
              <w:keepLines/>
              <w:rPr>
                <w:rFonts w:ascii="Century Gothic" w:hAnsi="Century Gothic"/>
              </w:rPr>
            </w:pPr>
          </w:p>
        </w:tc>
      </w:tr>
      <w:tr w:rsidR="00B30EE1" w:rsidRPr="00DA022A" w14:paraId="4C6D25D2" w14:textId="77777777" w:rsidTr="00B30EE1">
        <w:trPr>
          <w:cantSplit/>
        </w:trPr>
        <w:tc>
          <w:tcPr>
            <w:tcW w:w="142" w:type="dxa"/>
            <w:shd w:val="clear" w:color="auto" w:fill="D1E5FF"/>
          </w:tcPr>
          <w:p w14:paraId="783C61A6" w14:textId="77777777" w:rsidR="002306AE" w:rsidRPr="00DA022A" w:rsidRDefault="002306AE" w:rsidP="00DA022A">
            <w:pPr>
              <w:pStyle w:val="BodyText1"/>
              <w:keepLines/>
              <w:rPr>
                <w:rFonts w:ascii="Century Gothic" w:hAnsi="Century Gothic"/>
              </w:rPr>
            </w:pPr>
          </w:p>
        </w:tc>
        <w:tc>
          <w:tcPr>
            <w:tcW w:w="2693" w:type="dxa"/>
            <w:shd w:val="clear" w:color="auto" w:fill="FFFFFF" w:themeFill="background1"/>
          </w:tcPr>
          <w:p w14:paraId="3F7B1857" w14:textId="0E8E707D"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Identifier</w:t>
            </w:r>
          </w:p>
        </w:tc>
        <w:tc>
          <w:tcPr>
            <w:tcW w:w="3544" w:type="dxa"/>
            <w:shd w:val="clear" w:color="auto" w:fill="FFFFFF" w:themeFill="background1"/>
          </w:tcPr>
          <w:p w14:paraId="706195E6"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or module code</w:t>
            </w:r>
          </w:p>
        </w:tc>
        <w:tc>
          <w:tcPr>
            <w:tcW w:w="3119" w:type="dxa"/>
            <w:shd w:val="clear" w:color="auto" w:fill="FFFFFF" w:themeFill="background1"/>
          </w:tcPr>
          <w:p w14:paraId="6AC07FA7"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Local Course Code</w:t>
            </w:r>
          </w:p>
        </w:tc>
        <w:tc>
          <w:tcPr>
            <w:tcW w:w="141" w:type="dxa"/>
            <w:shd w:val="clear" w:color="auto" w:fill="D1E5FF"/>
          </w:tcPr>
          <w:p w14:paraId="75EE2778" w14:textId="77777777" w:rsidR="002306AE" w:rsidRPr="00DA022A" w:rsidRDefault="002306AE" w:rsidP="00DA022A">
            <w:pPr>
              <w:pStyle w:val="BodyText1"/>
              <w:keepLines/>
              <w:rPr>
                <w:rFonts w:ascii="Century Gothic" w:hAnsi="Century Gothic"/>
              </w:rPr>
            </w:pPr>
          </w:p>
        </w:tc>
      </w:tr>
      <w:tr w:rsidR="00B30EE1" w:rsidRPr="00DA022A" w14:paraId="5ABC560C" w14:textId="77777777" w:rsidTr="00B30EE1">
        <w:trPr>
          <w:cantSplit/>
        </w:trPr>
        <w:tc>
          <w:tcPr>
            <w:tcW w:w="142" w:type="dxa"/>
            <w:shd w:val="clear" w:color="auto" w:fill="D1E5FF"/>
          </w:tcPr>
          <w:p w14:paraId="1250D39E" w14:textId="77777777" w:rsidR="002306AE" w:rsidRPr="00DA022A" w:rsidRDefault="002306AE" w:rsidP="00DA022A">
            <w:pPr>
              <w:pStyle w:val="BodyText1"/>
              <w:keepLines/>
              <w:rPr>
                <w:rFonts w:ascii="Century Gothic" w:hAnsi="Century Gothic"/>
              </w:rPr>
            </w:pPr>
          </w:p>
        </w:tc>
        <w:tc>
          <w:tcPr>
            <w:tcW w:w="2693" w:type="dxa"/>
            <w:shd w:val="clear" w:color="auto" w:fill="D9D9D9" w:themeFill="background1" w:themeFillShade="D9"/>
          </w:tcPr>
          <w:p w14:paraId="41D2FE35" w14:textId="097E2B7A"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Name</w:t>
            </w:r>
          </w:p>
        </w:tc>
        <w:tc>
          <w:tcPr>
            <w:tcW w:w="3544" w:type="dxa"/>
            <w:shd w:val="clear" w:color="auto" w:fill="D9D9D9" w:themeFill="background1" w:themeFillShade="D9"/>
          </w:tcPr>
          <w:p w14:paraId="566F1EBB"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or module name</w:t>
            </w:r>
          </w:p>
        </w:tc>
        <w:tc>
          <w:tcPr>
            <w:tcW w:w="3119" w:type="dxa"/>
            <w:shd w:val="clear" w:color="auto" w:fill="D9D9D9" w:themeFill="background1" w:themeFillShade="D9"/>
          </w:tcPr>
          <w:p w14:paraId="7FFABFDA"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Local Course Name</w:t>
            </w:r>
          </w:p>
        </w:tc>
        <w:tc>
          <w:tcPr>
            <w:tcW w:w="141" w:type="dxa"/>
            <w:shd w:val="clear" w:color="auto" w:fill="D1E5FF"/>
          </w:tcPr>
          <w:p w14:paraId="519EF8D1" w14:textId="77777777" w:rsidR="002306AE" w:rsidRPr="00DA022A" w:rsidRDefault="002306AE" w:rsidP="00DA022A">
            <w:pPr>
              <w:pStyle w:val="BodyText1"/>
              <w:keepLines/>
              <w:rPr>
                <w:rFonts w:ascii="Century Gothic" w:hAnsi="Century Gothic"/>
              </w:rPr>
            </w:pPr>
          </w:p>
        </w:tc>
      </w:tr>
      <w:tr w:rsidR="00B30EE1" w:rsidRPr="00DA022A" w14:paraId="33E00C3A" w14:textId="77777777" w:rsidTr="00B30EE1">
        <w:trPr>
          <w:cantSplit/>
        </w:trPr>
        <w:tc>
          <w:tcPr>
            <w:tcW w:w="142" w:type="dxa"/>
            <w:shd w:val="clear" w:color="auto" w:fill="D1E5FF"/>
          </w:tcPr>
          <w:p w14:paraId="063DE853" w14:textId="77777777" w:rsidR="002306AE" w:rsidRPr="00DA022A" w:rsidRDefault="002306AE" w:rsidP="00DA022A">
            <w:pPr>
              <w:pStyle w:val="BodyText1"/>
              <w:keepLines/>
              <w:rPr>
                <w:rFonts w:ascii="Century Gothic" w:hAnsi="Century Gothic"/>
              </w:rPr>
            </w:pPr>
          </w:p>
        </w:tc>
        <w:tc>
          <w:tcPr>
            <w:tcW w:w="2693" w:type="dxa"/>
            <w:tcBorders>
              <w:bottom w:val="single" w:sz="8" w:space="0" w:color="1E8282"/>
            </w:tcBorders>
            <w:shd w:val="clear" w:color="auto" w:fill="FFFFFF" w:themeFill="background1"/>
          </w:tcPr>
          <w:p w14:paraId="10066317" w14:textId="4856A669"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Nominal Hours</w:t>
            </w:r>
          </w:p>
        </w:tc>
        <w:tc>
          <w:tcPr>
            <w:tcW w:w="3544" w:type="dxa"/>
            <w:tcBorders>
              <w:bottom w:val="single" w:sz="8" w:space="0" w:color="1E8282"/>
            </w:tcBorders>
            <w:shd w:val="clear" w:color="auto" w:fill="FFFFFF" w:themeFill="background1"/>
          </w:tcPr>
          <w:p w14:paraId="60141FE7"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or module nominal hours</w:t>
            </w:r>
          </w:p>
        </w:tc>
        <w:tc>
          <w:tcPr>
            <w:tcW w:w="3119" w:type="dxa"/>
            <w:tcBorders>
              <w:bottom w:val="single" w:sz="8" w:space="0" w:color="1E8282"/>
            </w:tcBorders>
            <w:shd w:val="clear" w:color="auto" w:fill="FFFFFF" w:themeFill="background1"/>
          </w:tcPr>
          <w:p w14:paraId="7F18C3BF"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Program Scheduled Hours</w:t>
            </w:r>
          </w:p>
        </w:tc>
        <w:tc>
          <w:tcPr>
            <w:tcW w:w="141" w:type="dxa"/>
            <w:shd w:val="clear" w:color="auto" w:fill="D1E5FF"/>
          </w:tcPr>
          <w:p w14:paraId="741A66A0" w14:textId="77777777" w:rsidR="002306AE" w:rsidRPr="00DA022A" w:rsidRDefault="002306AE" w:rsidP="00DA022A">
            <w:pPr>
              <w:pStyle w:val="BodyText1"/>
              <w:keepLines/>
              <w:rPr>
                <w:rFonts w:ascii="Century Gothic" w:hAnsi="Century Gothic"/>
              </w:rPr>
            </w:pPr>
          </w:p>
        </w:tc>
      </w:tr>
      <w:tr w:rsidR="002306AE" w:rsidRPr="00DA022A" w14:paraId="4711B9AD" w14:textId="77777777" w:rsidTr="00DA022A">
        <w:trPr>
          <w:cantSplit/>
        </w:trPr>
        <w:tc>
          <w:tcPr>
            <w:tcW w:w="9639" w:type="dxa"/>
            <w:gridSpan w:val="5"/>
            <w:shd w:val="clear" w:color="auto" w:fill="D1E5FF"/>
          </w:tcPr>
          <w:p w14:paraId="3541C98A" w14:textId="6CE10D3A" w:rsidR="002306AE" w:rsidRPr="00797A67" w:rsidRDefault="002306AE" w:rsidP="00B30EE1">
            <w:pPr>
              <w:pStyle w:val="BlockText"/>
              <w:keepLines/>
              <w:ind w:left="113" w:right="113"/>
              <w:rPr>
                <w:rFonts w:ascii="Century Gothic" w:hAnsi="Century Gothic"/>
                <w:i/>
                <w:iCs/>
                <w:sz w:val="16"/>
                <w:szCs w:val="16"/>
              </w:rPr>
            </w:pPr>
            <w:r w:rsidRPr="00797A67">
              <w:rPr>
                <w:rFonts w:ascii="Century Gothic" w:hAnsi="Century Gothic"/>
                <w:i/>
                <w:iCs/>
                <w:sz w:val="16"/>
                <w:szCs w:val="16"/>
              </w:rPr>
              <w:t>* Including supporting Delivery Plans.</w:t>
            </w:r>
          </w:p>
          <w:p w14:paraId="37DD7D03" w14:textId="77777777" w:rsidR="002306AE" w:rsidRPr="00DA022A" w:rsidRDefault="002306AE" w:rsidP="00B30EE1">
            <w:pPr>
              <w:pStyle w:val="BlockText"/>
              <w:keepLines/>
              <w:ind w:left="113" w:right="113"/>
              <w:rPr>
                <w:rFonts w:ascii="Century Gothic" w:hAnsi="Century Gothic"/>
              </w:rPr>
            </w:pPr>
            <w:r w:rsidRPr="00DA022A">
              <w:rPr>
                <w:rFonts w:ascii="Century Gothic" w:hAnsi="Century Gothic"/>
              </w:rPr>
              <w:t>For clarity, this guide uses the Statistical Guidelines terminology and the corresponding ‘NAT Files’ which are referenced on the data entry screens of most compliant SMS software. The guide references the corresponding Service Agreement and Delivery Plan terminology where appropriate.</w:t>
            </w:r>
          </w:p>
        </w:tc>
      </w:tr>
      <w:tr w:rsidR="002306AE" w:rsidRPr="00DA022A" w14:paraId="225FC947" w14:textId="77777777" w:rsidTr="00DA022A">
        <w:trPr>
          <w:cantSplit/>
          <w:hidden/>
        </w:trPr>
        <w:tc>
          <w:tcPr>
            <w:tcW w:w="9639" w:type="dxa"/>
            <w:gridSpan w:val="5"/>
          </w:tcPr>
          <w:p w14:paraId="0E0CF6AB" w14:textId="77777777" w:rsidR="002306AE" w:rsidRPr="00DA022A" w:rsidRDefault="002306AE" w:rsidP="00DA022A">
            <w:pPr>
              <w:pStyle w:val="BodyText"/>
              <w:keepNext w:val="0"/>
              <w:keepLines/>
              <w:spacing w:before="0" w:line="240" w:lineRule="auto"/>
              <w:rPr>
                <w:rFonts w:ascii="Century Gothic" w:hAnsi="Century Gothic"/>
                <w:sz w:val="12"/>
                <w:szCs w:val="12"/>
              </w:rPr>
            </w:pPr>
          </w:p>
        </w:tc>
      </w:tr>
    </w:tbl>
    <w:p w14:paraId="626D434E" w14:textId="77777777" w:rsidR="00AF0486" w:rsidRPr="00334AD5" w:rsidRDefault="00AF0486" w:rsidP="00DA022A">
      <w:pPr>
        <w:pStyle w:val="Heading4"/>
      </w:pPr>
      <w:bookmarkStart w:id="3" w:name="_Toc64383583"/>
      <w:bookmarkStart w:id="4" w:name="_Toc64383581"/>
      <w:r w:rsidRPr="00334AD5">
        <w:t>AVETMISS compliant Student Management System</w:t>
      </w:r>
      <w:bookmarkEnd w:id="3"/>
    </w:p>
    <w:p w14:paraId="4AF67D74" w14:textId="77777777" w:rsidR="00B30EE1" w:rsidRDefault="00AF0486" w:rsidP="00DA022A">
      <w:r w:rsidRPr="00D82D32">
        <w:t>Providers contracted to deliver pre-accredited training must maintain an AVETMISS compliant, up</w:t>
      </w:r>
      <w:r w:rsidR="00B30EE1">
        <w:noBreakHyphen/>
      </w:r>
      <w:r w:rsidRPr="00D82D32">
        <w:t>to-date Student Management System</w:t>
      </w:r>
      <w:r>
        <w:t xml:space="preserve"> (SMS)</w:t>
      </w:r>
      <w:r w:rsidRPr="00D82D32">
        <w:t xml:space="preserve">, and have staff trained in the use of this software. </w:t>
      </w:r>
    </w:p>
    <w:p w14:paraId="14BBDF61" w14:textId="1653E83D" w:rsidR="00AF0486" w:rsidRDefault="00AF0486" w:rsidP="00DA022A">
      <w:r w:rsidRPr="00D82D32">
        <w:t>A Register of AVETMISS compliant SMS</w:t>
      </w:r>
      <w:r>
        <w:t xml:space="preserve"> software</w:t>
      </w:r>
      <w:r w:rsidRPr="00D82D32">
        <w:t xml:space="preserve"> is maintained by the NCVER (</w:t>
      </w:r>
      <w:hyperlink r:id="rId14" w:history="1">
        <w:r w:rsidR="00E2711A" w:rsidRPr="00F420D1">
          <w:rPr>
            <w:rStyle w:val="Hyperlink"/>
          </w:rPr>
          <w:t>www.ncver.edu.au/rto-hub/avetmiss-compliant-software-register</w:t>
        </w:r>
      </w:hyperlink>
      <w:r w:rsidRPr="00D82D32">
        <w:t xml:space="preserve">). </w:t>
      </w: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9482"/>
      </w:tblGrid>
      <w:tr w:rsidR="00DA022A" w:rsidRPr="00DA022A" w14:paraId="278F9216" w14:textId="77777777" w:rsidTr="00B30EE1">
        <w:tc>
          <w:tcPr>
            <w:tcW w:w="142" w:type="dxa"/>
            <w:tcBorders>
              <w:left w:val="single" w:sz="12" w:space="0" w:color="0044B2"/>
            </w:tcBorders>
          </w:tcPr>
          <w:p w14:paraId="06755021" w14:textId="77777777" w:rsidR="00AF0486" w:rsidRPr="00DA022A" w:rsidRDefault="00AF0486" w:rsidP="00DA022A">
            <w:pPr>
              <w:pStyle w:val="BodyText1"/>
              <w:rPr>
                <w:rFonts w:ascii="Century Gothic" w:hAnsi="Century Gothic"/>
                <w:color w:val="auto"/>
              </w:rPr>
            </w:pPr>
          </w:p>
        </w:tc>
        <w:tc>
          <w:tcPr>
            <w:tcW w:w="9482" w:type="dxa"/>
            <w:shd w:val="clear" w:color="auto" w:fill="D1E5FF"/>
          </w:tcPr>
          <w:p w14:paraId="5D8FA4D4" w14:textId="77777777" w:rsidR="00AF0486" w:rsidRPr="00DA022A" w:rsidRDefault="00AF0486" w:rsidP="00B30EE1">
            <w:pPr>
              <w:pStyle w:val="BodyText1"/>
              <w:ind w:left="113" w:right="113"/>
              <w:rPr>
                <w:rFonts w:ascii="Century Gothic" w:hAnsi="Century Gothic"/>
                <w:color w:val="auto"/>
              </w:rPr>
            </w:pPr>
            <w:r w:rsidRPr="00DA022A">
              <w:rPr>
                <w:rFonts w:ascii="Century Gothic" w:hAnsi="Century Gothic"/>
                <w:color w:val="auto"/>
              </w:rPr>
              <w:t>Providers are advised to:</w:t>
            </w:r>
          </w:p>
          <w:p w14:paraId="6AB3449C" w14:textId="77777777" w:rsidR="00AF0486" w:rsidRPr="00DA022A" w:rsidRDefault="00AF0486" w:rsidP="00B30EE1">
            <w:pPr>
              <w:pStyle w:val="Bullet1"/>
              <w:ind w:left="470" w:right="113" w:hanging="357"/>
              <w:rPr>
                <w:rFonts w:ascii="Century Gothic" w:hAnsi="Century Gothic"/>
                <w:color w:val="auto"/>
              </w:rPr>
            </w:pPr>
            <w:r w:rsidRPr="00DA022A">
              <w:rPr>
                <w:rFonts w:ascii="Century Gothic" w:hAnsi="Century Gothic"/>
                <w:color w:val="auto"/>
              </w:rPr>
              <w:t>check the NCVER list to ensure their SMS software is compliant and up to date.</w:t>
            </w:r>
          </w:p>
          <w:p w14:paraId="7A5C0E94" w14:textId="77777777" w:rsidR="00AF0486" w:rsidRPr="00DA022A" w:rsidRDefault="00AF0486" w:rsidP="00B30EE1">
            <w:pPr>
              <w:pStyle w:val="Bullet1"/>
              <w:ind w:left="470" w:right="113" w:hanging="357"/>
              <w:rPr>
                <w:rFonts w:ascii="Century Gothic" w:hAnsi="Century Gothic"/>
                <w:color w:val="auto"/>
              </w:rPr>
            </w:pPr>
            <w:r w:rsidRPr="00DA022A">
              <w:rPr>
                <w:rFonts w:ascii="Century Gothic" w:hAnsi="Century Gothic"/>
                <w:color w:val="auto"/>
              </w:rPr>
              <w:t>ensure staff are trained in the use their SMS software.</w:t>
            </w:r>
          </w:p>
          <w:p w14:paraId="38A831E9" w14:textId="77777777" w:rsidR="00AF0486" w:rsidRPr="00DA022A" w:rsidRDefault="00AF0486" w:rsidP="00B30EE1">
            <w:pPr>
              <w:pStyle w:val="BodyText1"/>
              <w:ind w:left="113" w:right="113"/>
              <w:rPr>
                <w:rFonts w:ascii="Century Gothic" w:hAnsi="Century Gothic"/>
                <w:color w:val="auto"/>
              </w:rPr>
            </w:pPr>
            <w:r w:rsidRPr="00DA022A">
              <w:rPr>
                <w:rFonts w:ascii="Century Gothic" w:hAnsi="Century Gothic"/>
                <w:color w:val="auto"/>
              </w:rPr>
              <w:t>Note that Training Delivery Support Grants provide funds to eligible providers to purchase and train staff in the use of SMS software.</w:t>
            </w:r>
          </w:p>
        </w:tc>
      </w:tr>
      <w:tr w:rsidR="00B30EE1" w:rsidRPr="00B30EE1" w14:paraId="40695F83" w14:textId="77777777" w:rsidTr="00B30EE1">
        <w:trPr>
          <w:hidden/>
        </w:trPr>
        <w:tc>
          <w:tcPr>
            <w:tcW w:w="142" w:type="dxa"/>
          </w:tcPr>
          <w:p w14:paraId="3F68C402" w14:textId="77777777" w:rsidR="00B30EE1" w:rsidRPr="00B30EE1" w:rsidRDefault="00B30EE1" w:rsidP="00B30EE1">
            <w:pPr>
              <w:pStyle w:val="BodyText"/>
              <w:keepNext w:val="0"/>
              <w:keepLines/>
              <w:spacing w:before="0" w:line="240" w:lineRule="auto"/>
              <w:rPr>
                <w:rFonts w:ascii="Century Gothic" w:hAnsi="Century Gothic"/>
                <w:sz w:val="12"/>
                <w:szCs w:val="12"/>
              </w:rPr>
            </w:pPr>
          </w:p>
        </w:tc>
        <w:tc>
          <w:tcPr>
            <w:tcW w:w="9482" w:type="dxa"/>
            <w:shd w:val="clear" w:color="auto" w:fill="auto"/>
          </w:tcPr>
          <w:p w14:paraId="313459E4" w14:textId="77777777" w:rsidR="00B30EE1" w:rsidRPr="00B30EE1" w:rsidRDefault="00B30EE1" w:rsidP="00B30EE1">
            <w:pPr>
              <w:pStyle w:val="BodyText"/>
              <w:keepNext w:val="0"/>
              <w:keepLines/>
              <w:spacing w:before="0" w:line="240" w:lineRule="auto"/>
              <w:rPr>
                <w:rFonts w:ascii="Century Gothic" w:hAnsi="Century Gothic"/>
                <w:sz w:val="12"/>
                <w:szCs w:val="12"/>
              </w:rPr>
            </w:pPr>
          </w:p>
        </w:tc>
      </w:tr>
    </w:tbl>
    <w:p w14:paraId="49E412AF" w14:textId="77777777" w:rsidR="00AF0486" w:rsidRPr="00225133" w:rsidRDefault="00AF0486" w:rsidP="00BB50DB">
      <w:pPr>
        <w:pStyle w:val="Heading4"/>
      </w:pPr>
      <w:bookmarkStart w:id="5" w:name="_Toc64383584"/>
      <w:r w:rsidRPr="00225133">
        <w:lastRenderedPageBreak/>
        <w:t>Alignment with Victorian VET Student Statistical Data Collection Guidelines</w:t>
      </w:r>
      <w:bookmarkEnd w:id="5"/>
    </w:p>
    <w:p w14:paraId="30B5C848" w14:textId="4F6D842C" w:rsidR="00516D4D" w:rsidRDefault="00AF0486" w:rsidP="00DA022A">
      <w:r w:rsidRPr="00D82D32">
        <w:t xml:space="preserve">AVETMISS compliant software provides for the entry and submission to the Department’s SVTS of pre-accredited training activity data that is consistent with the </w:t>
      </w:r>
      <w:r w:rsidRPr="00B30EE1">
        <w:rPr>
          <w:i/>
          <w:iCs/>
        </w:rPr>
        <w:t xml:space="preserve">Victorian VET Student Statistical Data Collection Guidelines </w:t>
      </w:r>
      <w:r w:rsidR="00772F68">
        <w:rPr>
          <w:i/>
          <w:iCs/>
        </w:rPr>
        <w:t>—</w:t>
      </w:r>
      <w:r w:rsidRPr="00B30EE1">
        <w:rPr>
          <w:i/>
          <w:iCs/>
        </w:rPr>
        <w:t xml:space="preserve"> 202</w:t>
      </w:r>
      <w:r w:rsidR="00B30EE1" w:rsidRPr="00B30EE1">
        <w:rPr>
          <w:i/>
          <w:iCs/>
        </w:rPr>
        <w:t>2</w:t>
      </w:r>
      <w:r w:rsidRPr="00D82D32">
        <w:t xml:space="preserve"> (</w:t>
      </w:r>
      <w:r>
        <w:t>Statistical Guidelines</w:t>
      </w:r>
      <w:r w:rsidRPr="00D82D32">
        <w:t>)</w:t>
      </w:r>
      <w:r w:rsidR="00516D4D">
        <w:t>, including additional Victorian reporting requirements that are not included in the national standard.</w:t>
      </w:r>
    </w:p>
    <w:p w14:paraId="193A74A6" w14:textId="34AC45E6" w:rsidR="00AF0486" w:rsidRPr="00D82D32" w:rsidRDefault="00AF0486" w:rsidP="00DA022A">
      <w:r w:rsidRPr="00D82D32">
        <w:t xml:space="preserve">The latest </w:t>
      </w:r>
      <w:r>
        <w:t>Statistics G</w:t>
      </w:r>
      <w:r w:rsidRPr="00D82D32">
        <w:t>uidelines are available on the Department’s training data collection website (</w:t>
      </w:r>
      <w:hyperlink r:id="rId15" w:history="1">
        <w:r w:rsidRPr="00B30EE1">
          <w:rPr>
            <w:color w:val="0000FF"/>
            <w:u w:val="single"/>
          </w:rPr>
          <w:t>www.education.vic.gov.au/training/providers/rto/Pages/datacollection.aspx</w:t>
        </w:r>
      </w:hyperlink>
      <w:r w:rsidRPr="00D82D32">
        <w:t>).</w:t>
      </w:r>
    </w:p>
    <w:p w14:paraId="0D96CC0E" w14:textId="6C375531" w:rsidR="00AF0486" w:rsidRPr="00D82D32" w:rsidRDefault="00AF0486" w:rsidP="00DA022A">
      <w:r w:rsidRPr="00D82D32">
        <w:t xml:space="preserve">The </w:t>
      </w:r>
      <w:r>
        <w:t>Statistical Guidelines</w:t>
      </w:r>
      <w:r w:rsidRPr="00D82D32">
        <w:t xml:space="preserve"> </w:t>
      </w:r>
      <w:r>
        <w:t>are</w:t>
      </w:r>
      <w:r w:rsidRPr="00D82D32">
        <w:t xml:space="preserve"> the primary reference when entering data into the SMS except where specific exceptions are provided in the agreed Service Agreement and Delivery Plan or these guidelines.</w:t>
      </w:r>
    </w:p>
    <w:p w14:paraId="6D1EFEBD" w14:textId="13E27AD6" w:rsidR="00AF0486" w:rsidRPr="00D82D32" w:rsidRDefault="00AF0486" w:rsidP="00DA022A">
      <w:r w:rsidRPr="00D82D32">
        <w:t xml:space="preserve">When entering data into their Student Management Systems, providers should follow the </w:t>
      </w:r>
      <w:r w:rsidR="00CC56F3">
        <w:t>directions</w:t>
      </w:r>
      <w:r w:rsidRPr="00D82D32">
        <w:t xml:space="preserve"> in these guidelines and consult the </w:t>
      </w:r>
      <w:r>
        <w:t>Statistical Guidelines</w:t>
      </w:r>
      <w:r w:rsidRPr="00D82D32">
        <w:t xml:space="preserve"> where this document is silent.</w:t>
      </w:r>
    </w:p>
    <w:p w14:paraId="591F87B4" w14:textId="77777777" w:rsidR="00AF0486" w:rsidRPr="00AE710B" w:rsidRDefault="00AF0486" w:rsidP="00DA022A">
      <w:pPr>
        <w:pStyle w:val="Heading4"/>
      </w:pPr>
      <w:r w:rsidRPr="00AE710B">
        <w:t>Reporting frequency</w:t>
      </w:r>
      <w:bookmarkEnd w:id="4"/>
    </w:p>
    <w:p w14:paraId="7F8A0775" w14:textId="78D43EEB" w:rsidR="00906E94" w:rsidRDefault="00906E94" w:rsidP="00DA022A">
      <w:r w:rsidRPr="00486D80">
        <w:t>Contracted providers</w:t>
      </w:r>
      <w:r>
        <w:t xml:space="preserve"> are required to </w:t>
      </w:r>
      <w:r w:rsidR="0040062E">
        <w:t xml:space="preserve">successfully upload data to SVTS at least </w:t>
      </w:r>
      <w:r w:rsidRPr="00486D80">
        <w:t>quarterly</w:t>
      </w:r>
      <w:r>
        <w:t xml:space="preserve"> to be eligible for progress </w:t>
      </w:r>
      <w:r w:rsidRPr="00906E94">
        <w:t>payment release</w:t>
      </w:r>
      <w:r>
        <w:t xml:space="preserve">, </w:t>
      </w:r>
      <w:r w:rsidRPr="00486D80">
        <w:t>under the terms and conditions of the Service Agreement Section</w:t>
      </w:r>
      <w:r>
        <w:t xml:space="preserve"> </w:t>
      </w:r>
      <w:r w:rsidRPr="00D82D32">
        <w:t>4.9</w:t>
      </w:r>
      <w:r>
        <w:t xml:space="preserve"> (</w:t>
      </w:r>
      <w:r w:rsidRPr="00D120DF">
        <w:rPr>
          <w:b/>
          <w:bCs/>
        </w:rPr>
        <w:t>Table 1</w:t>
      </w:r>
      <w:r>
        <w:t xml:space="preserve">). </w:t>
      </w:r>
      <w:r w:rsidR="00F71028">
        <w:t>In 2022 a new non-payment data reporting milestone</w:t>
      </w:r>
      <w:r w:rsidR="00F71028" w:rsidRPr="00F71028">
        <w:t xml:space="preserve"> </w:t>
      </w:r>
      <w:r w:rsidR="00F71028">
        <w:t>at 31 May is also being introduced for monitoring purposes.</w:t>
      </w:r>
    </w:p>
    <w:p w14:paraId="234B78D3" w14:textId="38C371ED" w:rsidR="00906E94" w:rsidRDefault="00906E94" w:rsidP="00906E94">
      <w:r>
        <w:t>Early reporting provides the ACFE Board with the information its needs to assess and adjust its policies and priorities to ensure a high-quality and sustainable sector.</w:t>
      </w:r>
      <w:r w:rsidR="007C733D">
        <w:t xml:space="preserve"> </w:t>
      </w:r>
      <w:r>
        <w:t xml:space="preserve">This is particularly important </w:t>
      </w:r>
      <w:r w:rsidR="007C733D">
        <w:t>as we recover from the 2020 and 2021 COVID19 environment.</w:t>
      </w:r>
    </w:p>
    <w:p w14:paraId="5CE8AEBE" w14:textId="6EE81C97" w:rsidR="00906E94" w:rsidRDefault="007C733D" w:rsidP="00906E94">
      <w:r>
        <w:t>P</w:t>
      </w:r>
      <w:r w:rsidRPr="00486D80">
        <w:t>roviders</w:t>
      </w:r>
      <w:r>
        <w:t xml:space="preserve"> are therefore </w:t>
      </w:r>
      <w:r w:rsidRPr="00486D80">
        <w:t>encouraged</w:t>
      </w:r>
      <w:r w:rsidRPr="007C733D">
        <w:t xml:space="preserve"> </w:t>
      </w:r>
      <w:r w:rsidRPr="00486D80">
        <w:t>to report pre-accredited training activity on a monthly or more frequent basis</w:t>
      </w:r>
      <w:r>
        <w:t>. Note that s</w:t>
      </w:r>
      <w:r w:rsidRPr="00D82D32">
        <w:t>tudents do not need to have fully completed a pre-accredited course before the data is reported.</w:t>
      </w:r>
    </w:p>
    <w:p w14:paraId="12BD0800" w14:textId="262FED7A" w:rsidR="00906E94" w:rsidRPr="00D82D32" w:rsidRDefault="00906E94" w:rsidP="00DA022A">
      <w:r>
        <w:t xml:space="preserve">Providers are also </w:t>
      </w:r>
      <w:r w:rsidRPr="00486D80">
        <w:t>encouraged to</w:t>
      </w:r>
      <w:r>
        <w:t xml:space="preserve"> maintain close </w:t>
      </w:r>
      <w:r w:rsidR="0041053C">
        <w:t xml:space="preserve">engagement </w:t>
      </w:r>
      <w:r>
        <w:t>with the regional teams and pass on any important market intelligence that may not be apparent</w:t>
      </w:r>
      <w:r w:rsidR="00E86749">
        <w:t xml:space="preserve"> from</w:t>
      </w:r>
      <w:r>
        <w:t xml:space="preserve"> the most recent training data.</w:t>
      </w:r>
    </w:p>
    <w:p w14:paraId="7478FF07" w14:textId="77777777" w:rsidR="00AF0486" w:rsidRPr="00AE710B" w:rsidRDefault="00AF0486" w:rsidP="00DA022A">
      <w:pPr>
        <w:pStyle w:val="Heading4"/>
      </w:pPr>
      <w:r w:rsidRPr="00AE710B">
        <w:t>Reporting and Payment Schedules</w:t>
      </w:r>
    </w:p>
    <w:p w14:paraId="60DC9AC4" w14:textId="77777777" w:rsidR="00AF0486" w:rsidRPr="00DF4491" w:rsidRDefault="00AF0486" w:rsidP="00DA022A">
      <w:r w:rsidRPr="00DF4491">
        <w:t>All contracted providers must accurately report all ACFE training delivery in accordance with the agreed Delivery Plan and must report in SVTS according to the following payment and reporting schedule (</w:t>
      </w:r>
      <w:r w:rsidRPr="00D120DF">
        <w:rPr>
          <w:b/>
          <w:bCs/>
        </w:rPr>
        <w:t>Table 1</w:t>
      </w:r>
      <w:r w:rsidRPr="00DF4491">
        <w:t>).</w:t>
      </w:r>
    </w:p>
    <w:p w14:paraId="2EB1533C" w14:textId="77777777" w:rsidR="00D120DF" w:rsidRPr="00205900" w:rsidRDefault="00D120DF" w:rsidP="00D120DF">
      <w:pPr>
        <w:pStyle w:val="Heading4"/>
      </w:pPr>
      <w:r w:rsidRPr="00205900">
        <w:t>Inaccurate or late report may affect payments</w:t>
      </w:r>
    </w:p>
    <w:p w14:paraId="459E696F" w14:textId="25BC1928" w:rsidR="00E70DCF" w:rsidRPr="00CC56F3" w:rsidRDefault="00E70DCF" w:rsidP="00CC56F3">
      <w:r w:rsidRPr="00CC56F3">
        <w:t xml:space="preserve">Final payments </w:t>
      </w:r>
      <w:r w:rsidR="00CC56F3" w:rsidRPr="00CC56F3">
        <w:t>(Payment 5) will be</w:t>
      </w:r>
      <w:r w:rsidRPr="00CC56F3">
        <w:t xml:space="preserve"> </w:t>
      </w:r>
      <w:r w:rsidR="00702531" w:rsidRPr="00CC56F3">
        <w:t xml:space="preserve">released upon the </w:t>
      </w:r>
      <w:r w:rsidR="00682807" w:rsidRPr="00CC56F3">
        <w:t xml:space="preserve">completion of </w:t>
      </w:r>
      <w:r w:rsidRPr="00CC56F3">
        <w:t xml:space="preserve">the reconciliation of your </w:t>
      </w:r>
      <w:r w:rsidR="00CC56F3" w:rsidRPr="00CC56F3">
        <w:t xml:space="preserve">2023 delivery as reported </w:t>
      </w:r>
      <w:r w:rsidRPr="00CC56F3">
        <w:t xml:space="preserve">in SVTS by </w:t>
      </w:r>
      <w:r w:rsidR="00CC56F3" w:rsidRPr="00CC56F3">
        <w:t xml:space="preserve">13 </w:t>
      </w:r>
      <w:r w:rsidRPr="00CC56F3">
        <w:t>January 2023</w:t>
      </w:r>
      <w:r w:rsidR="00682807" w:rsidRPr="00CC56F3">
        <w:t xml:space="preserve"> and your ACFE contract and delivery plan.</w:t>
      </w:r>
      <w:r w:rsidR="00CC56F3" w:rsidRPr="00CC56F3">
        <w:t xml:space="preserve"> </w:t>
      </w:r>
      <w:r w:rsidRPr="00CC56F3">
        <w:t>The final payment may be varied to reflect the reported data where under-delivery is reported.</w:t>
      </w:r>
    </w:p>
    <w:p w14:paraId="693F90E7" w14:textId="6AC38774" w:rsidR="00E70DCF" w:rsidRPr="00CC56F3" w:rsidRDefault="00E70DCF" w:rsidP="00CC56F3">
      <w:r w:rsidRPr="00CC56F3">
        <w:t xml:space="preserve">Where </w:t>
      </w:r>
      <w:r w:rsidR="00CC56F3" w:rsidRPr="00CC56F3">
        <w:t>providers</w:t>
      </w:r>
      <w:r w:rsidRPr="00CC56F3">
        <w:t xml:space="preserve"> fail to upload their final delivery data in SVTS by the required date, additional evidence of delivery will be required (</w:t>
      </w:r>
      <w:proofErr w:type="gramStart"/>
      <w:r w:rsidR="00CC56F3" w:rsidRPr="00CC56F3">
        <w:t>e.g.</w:t>
      </w:r>
      <w:proofErr w:type="gramEnd"/>
      <w:r w:rsidRPr="00CC56F3">
        <w:t xml:space="preserve"> enrolment/attendance data) for approval by the ACFEB before payments are released.</w:t>
      </w:r>
    </w:p>
    <w:p w14:paraId="1526D0F5" w14:textId="7574FCC8" w:rsidR="00E70DCF" w:rsidRPr="00CC56F3" w:rsidRDefault="00E70DCF" w:rsidP="00CC56F3">
      <w:pPr>
        <w:rPr>
          <w:b/>
          <w:bCs/>
        </w:rPr>
      </w:pPr>
      <w:r w:rsidRPr="00CC56F3">
        <w:rPr>
          <w:b/>
          <w:bCs/>
        </w:rPr>
        <w:t xml:space="preserve">Please note: </w:t>
      </w:r>
      <w:r w:rsidR="00CC56F3" w:rsidRPr="00CC56F3">
        <w:rPr>
          <w:b/>
          <w:bCs/>
        </w:rPr>
        <w:t xml:space="preserve">Where </w:t>
      </w:r>
      <w:r w:rsidR="00E2711A" w:rsidRPr="00CC56F3">
        <w:rPr>
          <w:b/>
          <w:bCs/>
        </w:rPr>
        <w:t>providers</w:t>
      </w:r>
      <w:r w:rsidRPr="00CC56F3">
        <w:rPr>
          <w:b/>
          <w:bCs/>
        </w:rPr>
        <w:t xml:space="preserve"> fail to report in SVTS by the due date payments may be denied.</w:t>
      </w:r>
    </w:p>
    <w:p w14:paraId="5BFBDE1A" w14:textId="77777777" w:rsidR="00E2711A" w:rsidRPr="005A48E8" w:rsidRDefault="00E2711A" w:rsidP="00E2711A">
      <w:pPr>
        <w:pStyle w:val="Heading4"/>
        <w:rPr>
          <w:b/>
          <w:bCs w:val="0"/>
          <w:i w:val="0"/>
          <w:iCs w:val="0"/>
        </w:rPr>
      </w:pPr>
      <w:r w:rsidRPr="005A48E8">
        <w:rPr>
          <w:i w:val="0"/>
          <w:iCs w:val="0"/>
        </w:rPr>
        <w:lastRenderedPageBreak/>
        <w:t>Table 1</w:t>
      </w:r>
      <w:r w:rsidRPr="005A48E8">
        <w:rPr>
          <w:b/>
          <w:bCs w:val="0"/>
          <w:i w:val="0"/>
          <w:iCs w:val="0"/>
        </w:rPr>
        <w:t xml:space="preserve"> 2022 Payment and Reporting Schedule</w:t>
      </w:r>
    </w:p>
    <w:tbl>
      <w:tblPr>
        <w:tblW w:w="9361" w:type="dxa"/>
        <w:tblLayout w:type="fixed"/>
        <w:tblLook w:val="04A0" w:firstRow="1" w:lastRow="0" w:firstColumn="1" w:lastColumn="0" w:noHBand="0" w:noVBand="1"/>
      </w:tblPr>
      <w:tblGrid>
        <w:gridCol w:w="567"/>
        <w:gridCol w:w="1699"/>
        <w:gridCol w:w="1422"/>
        <w:gridCol w:w="1418"/>
        <w:gridCol w:w="4255"/>
      </w:tblGrid>
      <w:tr w:rsidR="00E2711A" w:rsidRPr="006D1052" w14:paraId="3FF8032C" w14:textId="77777777" w:rsidTr="006A5DED">
        <w:trPr>
          <w:cantSplit/>
          <w:trHeight w:val="460"/>
        </w:trPr>
        <w:tc>
          <w:tcPr>
            <w:tcW w:w="567" w:type="dxa"/>
            <w:tcBorders>
              <w:top w:val="nil"/>
              <w:left w:val="nil"/>
              <w:bottom w:val="nil"/>
              <w:right w:val="nil"/>
            </w:tcBorders>
            <w:shd w:val="clear" w:color="auto" w:fill="364283"/>
            <w:noWrap/>
            <w:vAlign w:val="center"/>
            <w:hideMark/>
          </w:tcPr>
          <w:p w14:paraId="68847CBC"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Pmt No.</w:t>
            </w:r>
          </w:p>
        </w:tc>
        <w:tc>
          <w:tcPr>
            <w:tcW w:w="1699" w:type="dxa"/>
            <w:tcBorders>
              <w:top w:val="nil"/>
              <w:left w:val="nil"/>
              <w:bottom w:val="nil"/>
              <w:right w:val="nil"/>
            </w:tcBorders>
            <w:shd w:val="clear" w:color="auto" w:fill="364283"/>
            <w:noWrap/>
            <w:vAlign w:val="center"/>
            <w:hideMark/>
          </w:tcPr>
          <w:p w14:paraId="3DB22AB6"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Payment processing date</w:t>
            </w:r>
          </w:p>
        </w:tc>
        <w:tc>
          <w:tcPr>
            <w:tcW w:w="1422" w:type="dxa"/>
            <w:tcBorders>
              <w:top w:val="nil"/>
              <w:left w:val="nil"/>
              <w:bottom w:val="nil"/>
              <w:right w:val="nil"/>
            </w:tcBorders>
            <w:shd w:val="clear" w:color="auto" w:fill="364283"/>
            <w:noWrap/>
            <w:vAlign w:val="center"/>
            <w:hideMark/>
          </w:tcPr>
          <w:p w14:paraId="771D6FF7"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Payment (%)</w:t>
            </w:r>
          </w:p>
        </w:tc>
        <w:tc>
          <w:tcPr>
            <w:tcW w:w="1418" w:type="dxa"/>
            <w:tcBorders>
              <w:top w:val="nil"/>
              <w:left w:val="nil"/>
              <w:bottom w:val="nil"/>
              <w:right w:val="nil"/>
            </w:tcBorders>
            <w:shd w:val="clear" w:color="auto" w:fill="364283"/>
            <w:noWrap/>
            <w:vAlign w:val="center"/>
            <w:hideMark/>
          </w:tcPr>
          <w:p w14:paraId="3F5D4D7E"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Cumulative payment (%)</w:t>
            </w:r>
          </w:p>
        </w:tc>
        <w:tc>
          <w:tcPr>
            <w:tcW w:w="4255" w:type="dxa"/>
            <w:tcBorders>
              <w:top w:val="nil"/>
              <w:left w:val="nil"/>
              <w:bottom w:val="nil"/>
              <w:right w:val="nil"/>
            </w:tcBorders>
            <w:shd w:val="clear" w:color="auto" w:fill="364283"/>
            <w:noWrap/>
            <w:vAlign w:val="center"/>
            <w:hideMark/>
          </w:tcPr>
          <w:p w14:paraId="7972B0DD"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Requirement for payment release</w:t>
            </w:r>
          </w:p>
        </w:tc>
      </w:tr>
      <w:tr w:rsidR="00E2711A" w:rsidRPr="002B3B40" w14:paraId="6704C087" w14:textId="77777777" w:rsidTr="006A5DED">
        <w:trPr>
          <w:cantSplit/>
          <w:trHeight w:val="290"/>
        </w:trPr>
        <w:tc>
          <w:tcPr>
            <w:tcW w:w="9361" w:type="dxa"/>
            <w:gridSpan w:val="5"/>
            <w:tcBorders>
              <w:top w:val="nil"/>
              <w:left w:val="nil"/>
              <w:bottom w:val="nil"/>
              <w:right w:val="nil"/>
            </w:tcBorders>
            <w:shd w:val="clear" w:color="auto" w:fill="auto"/>
            <w:noWrap/>
            <w:vAlign w:val="center"/>
            <w:hideMark/>
          </w:tcPr>
          <w:p w14:paraId="289E969D" w14:textId="77777777" w:rsidR="00E2711A" w:rsidRPr="002B3B40" w:rsidRDefault="00E2711A" w:rsidP="006A5DED">
            <w:pPr>
              <w:spacing w:before="40" w:after="40" w:line="240" w:lineRule="auto"/>
              <w:rPr>
                <w:rFonts w:ascii="Times New Roman" w:eastAsia="Times New Roman" w:hAnsi="Times New Roman" w:cs="Times New Roman"/>
                <w:color w:val="364283"/>
                <w:shd w:val="clear" w:color="auto" w:fill="auto"/>
                <w:lang w:eastAsia="en-AU"/>
              </w:rPr>
            </w:pPr>
            <w:r w:rsidRPr="002B3B40">
              <w:rPr>
                <w:rFonts w:eastAsia="Times New Roman" w:cs="Calibri"/>
                <w:color w:val="364283"/>
                <w:sz w:val="18"/>
                <w:szCs w:val="18"/>
                <w:shd w:val="clear" w:color="auto" w:fill="auto"/>
                <w:lang w:eastAsia="en-AU"/>
              </w:rPr>
              <w:t>Learner Engagement A-Frame Program</w:t>
            </w:r>
          </w:p>
        </w:tc>
      </w:tr>
      <w:tr w:rsidR="00E2711A" w:rsidRPr="002B3B40" w14:paraId="42EECD91" w14:textId="77777777" w:rsidTr="006A5DED">
        <w:trPr>
          <w:cantSplit/>
          <w:trHeight w:val="290"/>
        </w:trPr>
        <w:tc>
          <w:tcPr>
            <w:tcW w:w="567" w:type="dxa"/>
            <w:tcBorders>
              <w:top w:val="nil"/>
              <w:left w:val="nil"/>
              <w:bottom w:val="nil"/>
              <w:right w:val="nil"/>
            </w:tcBorders>
            <w:shd w:val="clear" w:color="auto" w:fill="auto"/>
            <w:noWrap/>
            <w:vAlign w:val="center"/>
            <w:hideMark/>
          </w:tcPr>
          <w:p w14:paraId="3C5ADD6D"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1699" w:type="dxa"/>
            <w:tcBorders>
              <w:top w:val="nil"/>
              <w:left w:val="nil"/>
              <w:bottom w:val="nil"/>
              <w:right w:val="nil"/>
            </w:tcBorders>
            <w:shd w:val="clear" w:color="auto" w:fill="auto"/>
            <w:noWrap/>
            <w:vAlign w:val="center"/>
            <w:hideMark/>
          </w:tcPr>
          <w:p w14:paraId="04ED6509"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Jan/Feb</w:t>
            </w:r>
          </w:p>
        </w:tc>
        <w:tc>
          <w:tcPr>
            <w:tcW w:w="1422" w:type="dxa"/>
            <w:tcBorders>
              <w:top w:val="nil"/>
              <w:left w:val="nil"/>
              <w:bottom w:val="nil"/>
              <w:right w:val="nil"/>
            </w:tcBorders>
            <w:shd w:val="clear" w:color="auto" w:fill="auto"/>
            <w:noWrap/>
            <w:vAlign w:val="center"/>
            <w:hideMark/>
          </w:tcPr>
          <w:p w14:paraId="2249B3DB"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0.5</w:t>
            </w:r>
          </w:p>
        </w:tc>
        <w:tc>
          <w:tcPr>
            <w:tcW w:w="1418" w:type="dxa"/>
            <w:tcBorders>
              <w:top w:val="nil"/>
              <w:left w:val="nil"/>
              <w:bottom w:val="nil"/>
              <w:right w:val="nil"/>
            </w:tcBorders>
            <w:shd w:val="clear" w:color="auto" w:fill="auto"/>
            <w:noWrap/>
            <w:vAlign w:val="center"/>
            <w:hideMark/>
          </w:tcPr>
          <w:p w14:paraId="0085AB22"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0.5</w:t>
            </w:r>
          </w:p>
        </w:tc>
        <w:tc>
          <w:tcPr>
            <w:tcW w:w="4255" w:type="dxa"/>
            <w:tcBorders>
              <w:top w:val="nil"/>
              <w:left w:val="nil"/>
              <w:bottom w:val="nil"/>
              <w:right w:val="nil"/>
            </w:tcBorders>
            <w:shd w:val="clear" w:color="auto" w:fill="auto"/>
            <w:noWrap/>
            <w:vAlign w:val="center"/>
            <w:hideMark/>
          </w:tcPr>
          <w:p w14:paraId="2302F146"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Contract execution</w:t>
            </w:r>
          </w:p>
        </w:tc>
      </w:tr>
      <w:tr w:rsidR="00E2711A" w:rsidRPr="002B3B40" w14:paraId="218A7E02" w14:textId="77777777" w:rsidTr="006A5DED">
        <w:trPr>
          <w:cantSplit/>
          <w:trHeight w:val="290"/>
        </w:trPr>
        <w:tc>
          <w:tcPr>
            <w:tcW w:w="567" w:type="dxa"/>
            <w:tcBorders>
              <w:top w:val="nil"/>
              <w:left w:val="nil"/>
              <w:bottom w:val="nil"/>
              <w:right w:val="nil"/>
            </w:tcBorders>
            <w:shd w:val="clear" w:color="auto" w:fill="auto"/>
            <w:noWrap/>
            <w:vAlign w:val="center"/>
            <w:hideMark/>
          </w:tcPr>
          <w:p w14:paraId="5E510F6D"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2</w:t>
            </w:r>
          </w:p>
        </w:tc>
        <w:tc>
          <w:tcPr>
            <w:tcW w:w="1699" w:type="dxa"/>
            <w:tcBorders>
              <w:top w:val="nil"/>
              <w:left w:val="nil"/>
              <w:bottom w:val="nil"/>
              <w:right w:val="nil"/>
            </w:tcBorders>
            <w:shd w:val="clear" w:color="auto" w:fill="auto"/>
            <w:noWrap/>
            <w:vAlign w:val="center"/>
            <w:hideMark/>
          </w:tcPr>
          <w:p w14:paraId="66C99F5D"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August</w:t>
            </w:r>
          </w:p>
        </w:tc>
        <w:tc>
          <w:tcPr>
            <w:tcW w:w="1422" w:type="dxa"/>
            <w:tcBorders>
              <w:top w:val="nil"/>
              <w:left w:val="nil"/>
              <w:bottom w:val="nil"/>
              <w:right w:val="nil"/>
            </w:tcBorders>
            <w:shd w:val="clear" w:color="auto" w:fill="auto"/>
            <w:noWrap/>
            <w:vAlign w:val="center"/>
            <w:hideMark/>
          </w:tcPr>
          <w:p w14:paraId="5FF399A9"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0.5</w:t>
            </w:r>
          </w:p>
        </w:tc>
        <w:tc>
          <w:tcPr>
            <w:tcW w:w="1418" w:type="dxa"/>
            <w:tcBorders>
              <w:top w:val="nil"/>
              <w:left w:val="nil"/>
              <w:bottom w:val="nil"/>
              <w:right w:val="nil"/>
            </w:tcBorders>
            <w:shd w:val="clear" w:color="auto" w:fill="auto"/>
            <w:noWrap/>
            <w:vAlign w:val="center"/>
            <w:hideMark/>
          </w:tcPr>
          <w:p w14:paraId="1F5AD14C"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4255" w:type="dxa"/>
            <w:tcBorders>
              <w:top w:val="nil"/>
              <w:left w:val="nil"/>
              <w:bottom w:val="nil"/>
              <w:right w:val="nil"/>
            </w:tcBorders>
            <w:shd w:val="clear" w:color="auto" w:fill="auto"/>
            <w:noWrap/>
            <w:vAlign w:val="center"/>
            <w:hideMark/>
          </w:tcPr>
          <w:p w14:paraId="7A1C0F79"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50% enrolments reported by 31 July</w:t>
            </w:r>
          </w:p>
        </w:tc>
      </w:tr>
      <w:tr w:rsidR="00E2711A" w:rsidRPr="002B3B40" w14:paraId="7761DE97" w14:textId="77777777" w:rsidTr="006A5DED">
        <w:trPr>
          <w:cantSplit/>
          <w:trHeight w:val="290"/>
        </w:trPr>
        <w:tc>
          <w:tcPr>
            <w:tcW w:w="9361" w:type="dxa"/>
            <w:gridSpan w:val="5"/>
            <w:tcBorders>
              <w:top w:val="nil"/>
              <w:left w:val="nil"/>
              <w:bottom w:val="nil"/>
              <w:right w:val="nil"/>
            </w:tcBorders>
            <w:shd w:val="clear" w:color="auto" w:fill="auto"/>
            <w:noWrap/>
            <w:vAlign w:val="center"/>
            <w:hideMark/>
          </w:tcPr>
          <w:p w14:paraId="5910DFAD" w14:textId="77777777" w:rsidR="00E2711A" w:rsidRPr="002B3B40" w:rsidRDefault="00E2711A" w:rsidP="006A5DED">
            <w:pPr>
              <w:spacing w:before="40" w:after="40" w:line="240" w:lineRule="auto"/>
              <w:rPr>
                <w:rFonts w:ascii="Times New Roman" w:eastAsia="Times New Roman" w:hAnsi="Times New Roman" w:cs="Times New Roman"/>
                <w:color w:val="364283"/>
                <w:shd w:val="clear" w:color="auto" w:fill="auto"/>
                <w:lang w:eastAsia="en-AU"/>
              </w:rPr>
            </w:pPr>
            <w:r w:rsidRPr="002B3B40">
              <w:rPr>
                <w:rFonts w:eastAsia="Times New Roman" w:cs="Calibri"/>
                <w:color w:val="364283"/>
                <w:sz w:val="18"/>
                <w:szCs w:val="18"/>
                <w:shd w:val="clear" w:color="auto" w:fill="auto"/>
                <w:lang w:eastAsia="en-AU"/>
              </w:rPr>
              <w:t>General Pre-accredited and Digital Skills</w:t>
            </w:r>
          </w:p>
        </w:tc>
      </w:tr>
      <w:tr w:rsidR="00E2711A" w:rsidRPr="002B3B40" w14:paraId="6302462A" w14:textId="77777777" w:rsidTr="006A5DED">
        <w:trPr>
          <w:cantSplit/>
          <w:trHeight w:val="290"/>
        </w:trPr>
        <w:tc>
          <w:tcPr>
            <w:tcW w:w="567" w:type="dxa"/>
            <w:tcBorders>
              <w:top w:val="nil"/>
              <w:left w:val="nil"/>
              <w:bottom w:val="nil"/>
              <w:right w:val="nil"/>
            </w:tcBorders>
            <w:shd w:val="clear" w:color="auto" w:fill="auto"/>
            <w:noWrap/>
            <w:vAlign w:val="center"/>
            <w:hideMark/>
          </w:tcPr>
          <w:p w14:paraId="00A53288"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1699" w:type="dxa"/>
            <w:tcBorders>
              <w:top w:val="nil"/>
              <w:left w:val="nil"/>
              <w:bottom w:val="nil"/>
              <w:right w:val="nil"/>
            </w:tcBorders>
            <w:shd w:val="clear" w:color="auto" w:fill="auto"/>
            <w:noWrap/>
            <w:vAlign w:val="center"/>
            <w:hideMark/>
          </w:tcPr>
          <w:p w14:paraId="5C903FA1"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Jan/Feb</w:t>
            </w:r>
          </w:p>
        </w:tc>
        <w:tc>
          <w:tcPr>
            <w:tcW w:w="1422" w:type="dxa"/>
            <w:tcBorders>
              <w:top w:val="nil"/>
              <w:left w:val="nil"/>
              <w:bottom w:val="nil"/>
              <w:right w:val="nil"/>
            </w:tcBorders>
            <w:shd w:val="clear" w:color="auto" w:fill="auto"/>
            <w:noWrap/>
            <w:vAlign w:val="center"/>
            <w:hideMark/>
          </w:tcPr>
          <w:p w14:paraId="24E5F47C"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0.35</w:t>
            </w:r>
          </w:p>
        </w:tc>
        <w:tc>
          <w:tcPr>
            <w:tcW w:w="1418" w:type="dxa"/>
            <w:tcBorders>
              <w:top w:val="nil"/>
              <w:left w:val="nil"/>
              <w:bottom w:val="nil"/>
              <w:right w:val="nil"/>
            </w:tcBorders>
            <w:shd w:val="clear" w:color="auto" w:fill="auto"/>
            <w:noWrap/>
            <w:vAlign w:val="center"/>
            <w:hideMark/>
          </w:tcPr>
          <w:p w14:paraId="24E0F4B1"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0.35</w:t>
            </w:r>
          </w:p>
        </w:tc>
        <w:tc>
          <w:tcPr>
            <w:tcW w:w="4255" w:type="dxa"/>
            <w:tcBorders>
              <w:top w:val="nil"/>
              <w:left w:val="nil"/>
              <w:bottom w:val="nil"/>
              <w:right w:val="nil"/>
            </w:tcBorders>
            <w:shd w:val="clear" w:color="auto" w:fill="auto"/>
            <w:noWrap/>
            <w:vAlign w:val="center"/>
            <w:hideMark/>
          </w:tcPr>
          <w:p w14:paraId="6517F441"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Contract execution</w:t>
            </w:r>
          </w:p>
        </w:tc>
      </w:tr>
      <w:tr w:rsidR="00E2711A" w:rsidRPr="002B3B40" w14:paraId="297AD68E" w14:textId="77777777" w:rsidTr="006A5DED">
        <w:trPr>
          <w:cantSplit/>
          <w:trHeight w:val="290"/>
        </w:trPr>
        <w:tc>
          <w:tcPr>
            <w:tcW w:w="567" w:type="dxa"/>
            <w:tcBorders>
              <w:top w:val="nil"/>
              <w:left w:val="nil"/>
              <w:bottom w:val="nil"/>
              <w:right w:val="nil"/>
            </w:tcBorders>
            <w:shd w:val="clear" w:color="auto" w:fill="auto"/>
            <w:noWrap/>
            <w:vAlign w:val="center"/>
            <w:hideMark/>
          </w:tcPr>
          <w:p w14:paraId="694AB051"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2</w:t>
            </w:r>
          </w:p>
        </w:tc>
        <w:tc>
          <w:tcPr>
            <w:tcW w:w="1699" w:type="dxa"/>
            <w:tcBorders>
              <w:top w:val="nil"/>
              <w:left w:val="nil"/>
              <w:bottom w:val="nil"/>
              <w:right w:val="nil"/>
            </w:tcBorders>
            <w:shd w:val="clear" w:color="auto" w:fill="auto"/>
            <w:noWrap/>
            <w:vAlign w:val="center"/>
            <w:hideMark/>
          </w:tcPr>
          <w:p w14:paraId="715B0550"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April</w:t>
            </w:r>
          </w:p>
        </w:tc>
        <w:tc>
          <w:tcPr>
            <w:tcW w:w="1422" w:type="dxa"/>
            <w:tcBorders>
              <w:top w:val="nil"/>
              <w:left w:val="nil"/>
              <w:bottom w:val="nil"/>
              <w:right w:val="nil"/>
            </w:tcBorders>
            <w:shd w:val="clear" w:color="auto" w:fill="auto"/>
            <w:noWrap/>
            <w:vAlign w:val="center"/>
            <w:hideMark/>
          </w:tcPr>
          <w:p w14:paraId="4BE7D1DC"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0.25</w:t>
            </w:r>
          </w:p>
        </w:tc>
        <w:tc>
          <w:tcPr>
            <w:tcW w:w="1418" w:type="dxa"/>
            <w:tcBorders>
              <w:top w:val="nil"/>
              <w:left w:val="nil"/>
              <w:bottom w:val="nil"/>
              <w:right w:val="nil"/>
            </w:tcBorders>
            <w:shd w:val="clear" w:color="auto" w:fill="auto"/>
            <w:noWrap/>
            <w:vAlign w:val="center"/>
            <w:hideMark/>
          </w:tcPr>
          <w:p w14:paraId="176AD23F"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0.6</w:t>
            </w:r>
          </w:p>
        </w:tc>
        <w:tc>
          <w:tcPr>
            <w:tcW w:w="4255" w:type="dxa"/>
            <w:tcBorders>
              <w:top w:val="nil"/>
              <w:left w:val="nil"/>
              <w:bottom w:val="nil"/>
              <w:right w:val="nil"/>
            </w:tcBorders>
            <w:shd w:val="clear" w:color="auto" w:fill="auto"/>
            <w:noWrap/>
            <w:vAlign w:val="center"/>
            <w:hideMark/>
          </w:tcPr>
          <w:p w14:paraId="78106EE2"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25% enrolments reported by 31 March</w:t>
            </w:r>
          </w:p>
        </w:tc>
      </w:tr>
      <w:tr w:rsidR="00E2711A" w:rsidRPr="002B3B40" w14:paraId="1CF2554C" w14:textId="77777777" w:rsidTr="006A5DED">
        <w:trPr>
          <w:cantSplit/>
          <w:trHeight w:val="290"/>
        </w:trPr>
        <w:tc>
          <w:tcPr>
            <w:tcW w:w="567" w:type="dxa"/>
            <w:tcBorders>
              <w:top w:val="nil"/>
              <w:left w:val="nil"/>
              <w:bottom w:val="nil"/>
              <w:right w:val="nil"/>
            </w:tcBorders>
            <w:shd w:val="clear" w:color="auto" w:fill="auto"/>
            <w:noWrap/>
            <w:vAlign w:val="center"/>
            <w:hideMark/>
          </w:tcPr>
          <w:p w14:paraId="6885C233"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p>
        </w:tc>
        <w:tc>
          <w:tcPr>
            <w:tcW w:w="1699" w:type="dxa"/>
            <w:tcBorders>
              <w:top w:val="nil"/>
              <w:left w:val="nil"/>
              <w:bottom w:val="nil"/>
              <w:right w:val="nil"/>
            </w:tcBorders>
            <w:shd w:val="clear" w:color="auto" w:fill="auto"/>
            <w:noWrap/>
            <w:vAlign w:val="center"/>
            <w:hideMark/>
          </w:tcPr>
          <w:p w14:paraId="6E781CB4"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May</w:t>
            </w:r>
          </w:p>
        </w:tc>
        <w:tc>
          <w:tcPr>
            <w:tcW w:w="1422" w:type="dxa"/>
            <w:tcBorders>
              <w:top w:val="nil"/>
              <w:left w:val="nil"/>
              <w:bottom w:val="nil"/>
              <w:right w:val="nil"/>
            </w:tcBorders>
            <w:shd w:val="clear" w:color="auto" w:fill="auto"/>
            <w:noWrap/>
            <w:vAlign w:val="center"/>
            <w:hideMark/>
          </w:tcPr>
          <w:p w14:paraId="10F2211A"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w:t>
            </w:r>
          </w:p>
        </w:tc>
        <w:tc>
          <w:tcPr>
            <w:tcW w:w="1418" w:type="dxa"/>
            <w:tcBorders>
              <w:top w:val="nil"/>
              <w:left w:val="nil"/>
              <w:bottom w:val="nil"/>
              <w:right w:val="nil"/>
            </w:tcBorders>
            <w:shd w:val="clear" w:color="auto" w:fill="auto"/>
            <w:noWrap/>
            <w:vAlign w:val="center"/>
            <w:hideMark/>
          </w:tcPr>
          <w:p w14:paraId="33EC91BA"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w:t>
            </w:r>
          </w:p>
        </w:tc>
        <w:tc>
          <w:tcPr>
            <w:tcW w:w="4255" w:type="dxa"/>
            <w:tcBorders>
              <w:top w:val="nil"/>
              <w:left w:val="nil"/>
              <w:bottom w:val="nil"/>
              <w:right w:val="nil"/>
            </w:tcBorders>
            <w:shd w:val="clear" w:color="auto" w:fill="auto"/>
            <w:noWrap/>
            <w:vAlign w:val="center"/>
            <w:hideMark/>
          </w:tcPr>
          <w:p w14:paraId="159F57A7"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 xml:space="preserve"> Non-financial progress report by 31 May</w:t>
            </w:r>
          </w:p>
        </w:tc>
      </w:tr>
      <w:tr w:rsidR="00E2711A" w:rsidRPr="002B3B40" w14:paraId="130DE92C" w14:textId="77777777" w:rsidTr="006A5DED">
        <w:trPr>
          <w:cantSplit/>
          <w:trHeight w:val="290"/>
        </w:trPr>
        <w:tc>
          <w:tcPr>
            <w:tcW w:w="567" w:type="dxa"/>
            <w:tcBorders>
              <w:top w:val="nil"/>
              <w:left w:val="nil"/>
              <w:right w:val="nil"/>
            </w:tcBorders>
            <w:shd w:val="clear" w:color="auto" w:fill="auto"/>
            <w:noWrap/>
            <w:vAlign w:val="center"/>
            <w:hideMark/>
          </w:tcPr>
          <w:p w14:paraId="17BEFDDB"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3</w:t>
            </w:r>
          </w:p>
        </w:tc>
        <w:tc>
          <w:tcPr>
            <w:tcW w:w="1699" w:type="dxa"/>
            <w:tcBorders>
              <w:top w:val="nil"/>
              <w:left w:val="nil"/>
              <w:right w:val="nil"/>
            </w:tcBorders>
            <w:shd w:val="clear" w:color="auto" w:fill="auto"/>
            <w:noWrap/>
            <w:vAlign w:val="center"/>
            <w:hideMark/>
          </w:tcPr>
          <w:p w14:paraId="151D8BB5"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August</w:t>
            </w:r>
          </w:p>
        </w:tc>
        <w:tc>
          <w:tcPr>
            <w:tcW w:w="1422" w:type="dxa"/>
            <w:tcBorders>
              <w:top w:val="nil"/>
              <w:left w:val="nil"/>
              <w:right w:val="nil"/>
            </w:tcBorders>
            <w:shd w:val="clear" w:color="auto" w:fill="auto"/>
            <w:noWrap/>
            <w:vAlign w:val="center"/>
            <w:hideMark/>
          </w:tcPr>
          <w:p w14:paraId="29856DBB"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0.2</w:t>
            </w:r>
          </w:p>
        </w:tc>
        <w:tc>
          <w:tcPr>
            <w:tcW w:w="1418" w:type="dxa"/>
            <w:tcBorders>
              <w:top w:val="nil"/>
              <w:left w:val="nil"/>
              <w:right w:val="nil"/>
            </w:tcBorders>
            <w:shd w:val="clear" w:color="auto" w:fill="auto"/>
            <w:noWrap/>
            <w:vAlign w:val="center"/>
            <w:hideMark/>
          </w:tcPr>
          <w:p w14:paraId="7ECF63A4"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0.8</w:t>
            </w:r>
          </w:p>
        </w:tc>
        <w:tc>
          <w:tcPr>
            <w:tcW w:w="4255" w:type="dxa"/>
            <w:tcBorders>
              <w:top w:val="nil"/>
              <w:left w:val="nil"/>
              <w:right w:val="nil"/>
            </w:tcBorders>
            <w:shd w:val="clear" w:color="auto" w:fill="auto"/>
            <w:noWrap/>
            <w:vAlign w:val="center"/>
            <w:hideMark/>
          </w:tcPr>
          <w:p w14:paraId="752E7A12"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55% enrolments reported by 31 July</w:t>
            </w:r>
          </w:p>
        </w:tc>
      </w:tr>
      <w:tr w:rsidR="00E2711A" w:rsidRPr="002B3B40" w14:paraId="2553E8DE" w14:textId="77777777" w:rsidTr="006A5DED">
        <w:trPr>
          <w:cantSplit/>
          <w:trHeight w:val="290"/>
        </w:trPr>
        <w:tc>
          <w:tcPr>
            <w:tcW w:w="567" w:type="dxa"/>
            <w:tcBorders>
              <w:top w:val="nil"/>
              <w:left w:val="nil"/>
              <w:right w:val="nil"/>
            </w:tcBorders>
            <w:shd w:val="clear" w:color="auto" w:fill="auto"/>
            <w:noWrap/>
            <w:vAlign w:val="center"/>
            <w:hideMark/>
          </w:tcPr>
          <w:p w14:paraId="17B6EE5D"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4</w:t>
            </w:r>
          </w:p>
        </w:tc>
        <w:tc>
          <w:tcPr>
            <w:tcW w:w="1699" w:type="dxa"/>
            <w:tcBorders>
              <w:top w:val="nil"/>
              <w:left w:val="nil"/>
              <w:right w:val="nil"/>
            </w:tcBorders>
            <w:shd w:val="clear" w:color="auto" w:fill="auto"/>
            <w:noWrap/>
            <w:vAlign w:val="center"/>
            <w:hideMark/>
          </w:tcPr>
          <w:p w14:paraId="5FE33429"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October</w:t>
            </w:r>
          </w:p>
        </w:tc>
        <w:tc>
          <w:tcPr>
            <w:tcW w:w="1422" w:type="dxa"/>
            <w:tcBorders>
              <w:top w:val="nil"/>
              <w:left w:val="nil"/>
              <w:right w:val="nil"/>
            </w:tcBorders>
            <w:shd w:val="clear" w:color="auto" w:fill="auto"/>
            <w:noWrap/>
            <w:vAlign w:val="center"/>
            <w:hideMark/>
          </w:tcPr>
          <w:p w14:paraId="2A54E296"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0.2</w:t>
            </w:r>
          </w:p>
        </w:tc>
        <w:tc>
          <w:tcPr>
            <w:tcW w:w="1418" w:type="dxa"/>
            <w:tcBorders>
              <w:top w:val="nil"/>
              <w:left w:val="nil"/>
              <w:right w:val="nil"/>
            </w:tcBorders>
            <w:shd w:val="clear" w:color="auto" w:fill="auto"/>
            <w:noWrap/>
            <w:vAlign w:val="center"/>
            <w:hideMark/>
          </w:tcPr>
          <w:p w14:paraId="1585583B"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4255" w:type="dxa"/>
            <w:tcBorders>
              <w:top w:val="nil"/>
              <w:left w:val="nil"/>
              <w:right w:val="nil"/>
            </w:tcBorders>
            <w:shd w:val="clear" w:color="auto" w:fill="auto"/>
            <w:noWrap/>
            <w:vAlign w:val="center"/>
            <w:hideMark/>
          </w:tcPr>
          <w:p w14:paraId="37968AB4"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75% enrolments reported by 30 September</w:t>
            </w:r>
          </w:p>
        </w:tc>
      </w:tr>
      <w:tr w:rsidR="00E2711A" w:rsidRPr="00205900" w14:paraId="1F92D144" w14:textId="77777777" w:rsidTr="006A5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567" w:type="dxa"/>
            <w:tcBorders>
              <w:top w:val="nil"/>
              <w:left w:val="nil"/>
              <w:bottom w:val="nil"/>
              <w:right w:val="nil"/>
            </w:tcBorders>
            <w:shd w:val="clear" w:color="auto" w:fill="auto"/>
            <w:noWrap/>
            <w:vAlign w:val="center"/>
          </w:tcPr>
          <w:p w14:paraId="1F195F72" w14:textId="77777777" w:rsidR="00E2711A" w:rsidRPr="00205900" w:rsidRDefault="00E2711A" w:rsidP="00CC56F3">
            <w:pPr>
              <w:spacing w:before="40" w:after="40" w:line="240" w:lineRule="auto"/>
              <w:jc w:val="center"/>
              <w:rPr>
                <w:rFonts w:eastAsia="Times New Roman" w:cs="Calibri"/>
                <w:bCs/>
                <w:sz w:val="18"/>
                <w:szCs w:val="18"/>
                <w:shd w:val="clear" w:color="auto" w:fill="auto"/>
                <w:lang w:eastAsia="en-AU"/>
              </w:rPr>
            </w:pPr>
            <w:r w:rsidRPr="00205900">
              <w:rPr>
                <w:rFonts w:eastAsia="Times New Roman" w:cs="Calibri"/>
                <w:bCs/>
                <w:sz w:val="18"/>
                <w:szCs w:val="18"/>
                <w:shd w:val="clear" w:color="auto" w:fill="auto"/>
                <w:lang w:eastAsia="en-AU"/>
              </w:rPr>
              <w:t>5</w:t>
            </w:r>
          </w:p>
        </w:tc>
        <w:tc>
          <w:tcPr>
            <w:tcW w:w="1699" w:type="dxa"/>
            <w:tcBorders>
              <w:top w:val="nil"/>
              <w:left w:val="nil"/>
              <w:bottom w:val="nil"/>
              <w:right w:val="nil"/>
            </w:tcBorders>
            <w:shd w:val="clear" w:color="auto" w:fill="auto"/>
            <w:noWrap/>
            <w:vAlign w:val="center"/>
          </w:tcPr>
          <w:p w14:paraId="2B6F673D" w14:textId="77777777" w:rsidR="00E2711A" w:rsidRPr="00205900" w:rsidRDefault="00E2711A" w:rsidP="006A5DED">
            <w:pPr>
              <w:spacing w:before="40" w:after="40" w:line="240" w:lineRule="auto"/>
              <w:rPr>
                <w:rFonts w:eastAsia="Times New Roman" w:cs="Calibri"/>
                <w:bCs/>
                <w:sz w:val="18"/>
                <w:szCs w:val="18"/>
                <w:shd w:val="clear" w:color="auto" w:fill="auto"/>
                <w:lang w:eastAsia="en-AU"/>
              </w:rPr>
            </w:pPr>
            <w:r w:rsidRPr="00205900">
              <w:rPr>
                <w:rFonts w:eastAsia="Times New Roman" w:cs="Calibri"/>
                <w:bCs/>
                <w:sz w:val="18"/>
                <w:szCs w:val="18"/>
                <w:shd w:val="clear" w:color="auto" w:fill="auto"/>
                <w:lang w:eastAsia="en-AU"/>
              </w:rPr>
              <w:t xml:space="preserve">April 2023 </w:t>
            </w:r>
          </w:p>
        </w:tc>
        <w:tc>
          <w:tcPr>
            <w:tcW w:w="1422" w:type="dxa"/>
            <w:tcBorders>
              <w:top w:val="nil"/>
              <w:left w:val="nil"/>
              <w:bottom w:val="nil"/>
              <w:right w:val="nil"/>
            </w:tcBorders>
            <w:shd w:val="clear" w:color="auto" w:fill="auto"/>
            <w:noWrap/>
            <w:vAlign w:val="center"/>
          </w:tcPr>
          <w:p w14:paraId="6BD86C4B" w14:textId="77777777" w:rsidR="00E2711A" w:rsidRPr="00205900" w:rsidRDefault="00E2711A" w:rsidP="006A5DED">
            <w:pPr>
              <w:spacing w:before="40" w:after="40" w:line="240" w:lineRule="auto"/>
              <w:jc w:val="right"/>
              <w:rPr>
                <w:rFonts w:eastAsia="Times New Roman" w:cs="Calibri"/>
                <w:bCs/>
                <w:sz w:val="18"/>
                <w:szCs w:val="18"/>
                <w:shd w:val="clear" w:color="auto" w:fill="auto"/>
                <w:lang w:eastAsia="en-AU"/>
              </w:rPr>
            </w:pPr>
          </w:p>
        </w:tc>
        <w:tc>
          <w:tcPr>
            <w:tcW w:w="1418" w:type="dxa"/>
            <w:tcBorders>
              <w:top w:val="nil"/>
              <w:left w:val="nil"/>
              <w:bottom w:val="nil"/>
              <w:right w:val="nil"/>
            </w:tcBorders>
            <w:shd w:val="clear" w:color="auto" w:fill="auto"/>
            <w:noWrap/>
            <w:vAlign w:val="center"/>
          </w:tcPr>
          <w:p w14:paraId="68BF70FB" w14:textId="77777777" w:rsidR="00E2711A" w:rsidRPr="00205900" w:rsidRDefault="00E2711A" w:rsidP="006A5DED">
            <w:pPr>
              <w:spacing w:before="40" w:after="40" w:line="240" w:lineRule="auto"/>
              <w:jc w:val="right"/>
              <w:rPr>
                <w:rFonts w:eastAsia="Times New Roman" w:cs="Calibri"/>
                <w:bCs/>
                <w:sz w:val="18"/>
                <w:szCs w:val="18"/>
                <w:shd w:val="clear" w:color="auto" w:fill="auto"/>
                <w:lang w:eastAsia="en-AU"/>
              </w:rPr>
            </w:pPr>
          </w:p>
        </w:tc>
        <w:tc>
          <w:tcPr>
            <w:tcW w:w="4255" w:type="dxa"/>
            <w:tcBorders>
              <w:top w:val="nil"/>
              <w:left w:val="nil"/>
              <w:bottom w:val="nil"/>
              <w:right w:val="nil"/>
            </w:tcBorders>
            <w:shd w:val="clear" w:color="auto" w:fill="auto"/>
            <w:noWrap/>
            <w:vAlign w:val="center"/>
          </w:tcPr>
          <w:p w14:paraId="135E3137" w14:textId="77777777" w:rsidR="00E2711A" w:rsidRPr="00205900" w:rsidRDefault="00E2711A" w:rsidP="006A5DED">
            <w:pPr>
              <w:spacing w:before="40" w:after="40" w:line="240" w:lineRule="auto"/>
              <w:rPr>
                <w:rFonts w:eastAsia="Times New Roman" w:cs="Calibri"/>
                <w:bCs/>
                <w:sz w:val="18"/>
                <w:szCs w:val="18"/>
                <w:shd w:val="clear" w:color="auto" w:fill="auto"/>
                <w:lang w:eastAsia="en-AU"/>
              </w:rPr>
            </w:pPr>
            <w:r w:rsidRPr="00205900">
              <w:rPr>
                <w:rFonts w:eastAsia="Times New Roman" w:cs="Calibri"/>
                <w:bCs/>
                <w:sz w:val="18"/>
                <w:szCs w:val="18"/>
                <w:shd w:val="clear" w:color="auto" w:fill="auto"/>
                <w:lang w:eastAsia="en-AU"/>
              </w:rPr>
              <w:t xml:space="preserve">Final payments – enrolments reported by </w:t>
            </w:r>
            <w:r w:rsidRPr="00205900">
              <w:rPr>
                <w:rFonts w:eastAsia="Times New Roman" w:cs="Calibri"/>
                <w:bCs/>
                <w:sz w:val="18"/>
                <w:szCs w:val="18"/>
                <w:shd w:val="clear" w:color="auto" w:fill="auto"/>
                <w:lang w:eastAsia="en-AU"/>
              </w:rPr>
              <w:br/>
              <w:t>13 January 2023</w:t>
            </w:r>
          </w:p>
        </w:tc>
      </w:tr>
    </w:tbl>
    <w:p w14:paraId="77FD4A4A" w14:textId="77777777" w:rsidR="00E2711A" w:rsidRDefault="00E2711A" w:rsidP="00D120DF"/>
    <w:p w14:paraId="63D2FD83" w14:textId="5E72DFB7" w:rsidR="00D120DF" w:rsidRDefault="00D120DF" w:rsidP="00D120DF">
      <w:r w:rsidRPr="00205900">
        <w:t>In accordance</w:t>
      </w:r>
      <w:r w:rsidRPr="00D82D32">
        <w:t xml:space="preserve"> with the terms and conditions of the Service Agreement Section 4.9, the ACFE Board may in its discretion give notice to contracted providers to repay unacquitted funds as part of its pre accredited reported data analysis against the agreed Service Plan and approved Delivery Plan.</w:t>
      </w:r>
    </w:p>
    <w:p w14:paraId="3DBA2D15" w14:textId="77777777" w:rsidR="00E03DCC" w:rsidRPr="00374089" w:rsidRDefault="00E03DCC" w:rsidP="00DA022A">
      <w:pPr>
        <w:pStyle w:val="Heading1"/>
      </w:pPr>
      <w:bookmarkStart w:id="6" w:name="_Toc64383586"/>
      <w:bookmarkStart w:id="7" w:name="_Ref65057317"/>
      <w:r w:rsidRPr="00374089">
        <w:t>How do you access the Skills Victoria Training System</w:t>
      </w:r>
      <w:bookmarkEnd w:id="6"/>
      <w:r w:rsidRPr="00374089">
        <w:t>?</w:t>
      </w:r>
      <w:bookmarkEnd w:id="7"/>
    </w:p>
    <w:p w14:paraId="4ED27262" w14:textId="24B98910" w:rsidR="00E03DCC" w:rsidRPr="00D82D32" w:rsidRDefault="00E03DCC" w:rsidP="00DA022A">
      <w:r w:rsidRPr="00D82D32">
        <w:t>Providers contracted to deliver pre-accredited training must upload data to the Department’s SVTS</w:t>
      </w:r>
      <w:r>
        <w:t xml:space="preserve"> </w:t>
      </w:r>
      <w:r w:rsidRPr="00D82D32">
        <w:t xml:space="preserve">and have staff trained in the use of this system to ensure integrity, </w:t>
      </w:r>
      <w:proofErr w:type="gramStart"/>
      <w:r w:rsidRPr="00D82D32">
        <w:t>accuracy</w:t>
      </w:r>
      <w:proofErr w:type="gramEnd"/>
      <w:r w:rsidRPr="00D82D32">
        <w:t xml:space="preserve"> and currency of reported data. Details on how to access and use SVTS are provided on this website (</w:t>
      </w:r>
      <w:hyperlink r:id="rId16" w:history="1">
        <w:r w:rsidRPr="006F1A42">
          <w:rPr>
            <w:color w:val="0000FF"/>
            <w:u w:val="single"/>
          </w:rPr>
          <w:t>www.education.vic.gov.au/svts</w:t>
        </w:r>
      </w:hyperlink>
      <w:r w:rsidRPr="00D82D32">
        <w:t>).</w:t>
      </w:r>
    </w:p>
    <w:p w14:paraId="7A7AFF20" w14:textId="77777777" w:rsidR="00E03DCC" w:rsidRPr="00D82D32" w:rsidRDefault="00E03DCC" w:rsidP="00DA022A">
      <w:r w:rsidRPr="00D82D32">
        <w:t>The SVTS User Guide is also available at (</w:t>
      </w:r>
      <w:hyperlink r:id="rId17" w:history="1">
        <w:r w:rsidRPr="006F1A42">
          <w:rPr>
            <w:color w:val="0000FF"/>
            <w:u w:val="single"/>
          </w:rPr>
          <w:t>www.education.vic.gov.au/svts/Account/SVTSUserGuide</w:t>
        </w:r>
      </w:hyperlink>
      <w:r w:rsidRPr="00D82D32">
        <w:t>)</w:t>
      </w:r>
      <w:r>
        <w:t>.</w:t>
      </w:r>
    </w:p>
    <w:p w14:paraId="5B9A738C" w14:textId="2C4FE656" w:rsidR="00E03DCC" w:rsidRDefault="00E03DCC" w:rsidP="00DA022A">
      <w:r w:rsidRPr="00D82D32">
        <w:t xml:space="preserve">Note that the website and user documentation has primarily been established for providers with Skills First contracts and information regarding reporting requirements and contract management under Skills First does not apply to providers contracted to deliver pre-accredited training with the ACFE </w:t>
      </w:r>
      <w:r w:rsidRPr="00BA5E6E">
        <w:t xml:space="preserve">Board. </w:t>
      </w:r>
    </w:p>
    <w:p w14:paraId="6D7801A8" w14:textId="71975650" w:rsidR="00E2711A" w:rsidRPr="00B76530" w:rsidRDefault="00E2711A" w:rsidP="00E2711A">
      <w:pPr>
        <w:rPr>
          <w:rFonts w:eastAsia="Times New Roman" w:cs="Calibri"/>
          <w:b/>
          <w:shd w:val="clear" w:color="auto" w:fill="auto"/>
          <w:lang w:eastAsia="en-AU"/>
        </w:rPr>
      </w:pPr>
      <w:r w:rsidRPr="00B76530">
        <w:rPr>
          <w:rFonts w:eastAsia="Times New Roman" w:cs="Calibri"/>
          <w:b/>
          <w:shd w:val="clear" w:color="auto" w:fill="auto"/>
          <w:lang w:eastAsia="en-AU"/>
        </w:rPr>
        <w:t xml:space="preserve">Please note: </w:t>
      </w:r>
      <w:r w:rsidR="00B76530" w:rsidRPr="00B76530">
        <w:rPr>
          <w:b/>
        </w:rPr>
        <w:t xml:space="preserve">Access </w:t>
      </w:r>
      <w:r w:rsidRPr="00B76530">
        <w:rPr>
          <w:b/>
        </w:rPr>
        <w:t>to the Skills Victoria Training System will be suspended if providers do not access the system for more than 90 days</w:t>
      </w:r>
      <w:r w:rsidRPr="00B76530">
        <w:rPr>
          <w:rFonts w:eastAsia="Times New Roman" w:cs="Calibri"/>
          <w:b/>
          <w:shd w:val="clear" w:color="auto" w:fill="auto"/>
          <w:lang w:eastAsia="en-AU"/>
        </w:rPr>
        <w:t>.</w:t>
      </w:r>
    </w:p>
    <w:p w14:paraId="4F4FA4B0" w14:textId="77777777" w:rsidR="00E03DCC" w:rsidRPr="00AE710B" w:rsidRDefault="00E03DCC" w:rsidP="00DA022A">
      <w:pPr>
        <w:pStyle w:val="Heading4"/>
      </w:pPr>
      <w:bookmarkStart w:id="8" w:name="_Toc64383587"/>
      <w:r w:rsidRPr="00AE710B">
        <w:t>How to get help with the Skills Victoria Training System</w:t>
      </w:r>
      <w:bookmarkEnd w:id="8"/>
    </w:p>
    <w:p w14:paraId="3D6DE42E" w14:textId="77777777" w:rsidR="00E03DCC" w:rsidRPr="0004476C" w:rsidRDefault="00E03DCC" w:rsidP="00DA022A">
      <w:r w:rsidRPr="00D82D32">
        <w:t xml:space="preserve">Queries regarding registration or login-in </w:t>
      </w:r>
      <w:r w:rsidRPr="0004476C">
        <w:t xml:space="preserve">issues should be directed to the Department’s Service Desk on </w:t>
      </w:r>
      <w:r w:rsidRPr="00BB3C74">
        <w:rPr>
          <w:color w:val="0000FF"/>
          <w:u w:val="single"/>
        </w:rPr>
        <w:t>1800 641 943</w:t>
      </w:r>
      <w:r w:rsidRPr="0004476C">
        <w:t xml:space="preserve">. Select &gt; option 1, and then &gt; option 4 to get through to the correct area. Or alternatively contact </w:t>
      </w:r>
      <w:hyperlink r:id="rId18" w:history="1">
        <w:r w:rsidRPr="0041412A">
          <w:rPr>
            <w:color w:val="0000FF"/>
            <w:u w:val="single"/>
          </w:rPr>
          <w:t>servicedesk@edumail.vic.gov.au</w:t>
        </w:r>
      </w:hyperlink>
      <w:r w:rsidRPr="0004476C">
        <w:t>. Please include your TOID and username if you are submitting an email to the Service Desk.</w:t>
      </w:r>
    </w:p>
    <w:p w14:paraId="5D6F0E9A" w14:textId="471E3803" w:rsidR="0040062E" w:rsidRPr="0004476C" w:rsidRDefault="00E03DCC" w:rsidP="00E91931">
      <w:pPr>
        <w:ind w:right="-143"/>
      </w:pPr>
      <w:r w:rsidRPr="0004476C">
        <w:t xml:space="preserve">Queries related to SVTS data upload should be logged through the ‘Enquiries’ option within SVTS: </w:t>
      </w:r>
      <w:r w:rsidRPr="0004476C">
        <w:br/>
        <w:t>Log in to SVTS &gt; Select ‘Stakeholder’ from the left menu &gt; Select ‘Enquiries’ &gt; Click ‘Make an Enquiry’.</w:t>
      </w:r>
    </w:p>
    <w:p w14:paraId="289719B5" w14:textId="1B2CB68C" w:rsidR="0041412A" w:rsidRPr="0004476C" w:rsidRDefault="0041412A" w:rsidP="00DA022A">
      <w:pPr>
        <w:pStyle w:val="Heading1"/>
      </w:pPr>
      <w:bookmarkStart w:id="9" w:name="_Toc490812544"/>
      <w:bookmarkStart w:id="10" w:name="_Toc514422508"/>
      <w:bookmarkStart w:id="11" w:name="_Toc514681870"/>
      <w:bookmarkStart w:id="12" w:name="_Toc519072638"/>
      <w:bookmarkStart w:id="13" w:name="_Toc519257766"/>
      <w:bookmarkStart w:id="14" w:name="_Toc520300493"/>
      <w:bookmarkStart w:id="15" w:name="_Toc520300915"/>
      <w:bookmarkStart w:id="16" w:name="_Toc9351006"/>
      <w:bookmarkStart w:id="17" w:name="_Toc10718447"/>
      <w:bookmarkStart w:id="18" w:name="_Toc14361854"/>
      <w:bookmarkStart w:id="19" w:name="_Toc14362175"/>
      <w:bookmarkStart w:id="20" w:name="_Toc14423890"/>
      <w:bookmarkStart w:id="21" w:name="_Toc17101911"/>
      <w:bookmarkStart w:id="22" w:name="_Toc64383588"/>
      <w:bookmarkStart w:id="23" w:name="_Ref65057505"/>
      <w:r w:rsidRPr="0004476C">
        <w:lastRenderedPageBreak/>
        <w:t xml:space="preserve">How do you Report </w:t>
      </w:r>
      <w:bookmarkEnd w:id="9"/>
      <w:bookmarkEnd w:id="10"/>
      <w:bookmarkEnd w:id="11"/>
      <w:bookmarkEnd w:id="12"/>
      <w:bookmarkEnd w:id="13"/>
      <w:bookmarkEnd w:id="14"/>
      <w:bookmarkEnd w:id="15"/>
      <w:bookmarkEnd w:id="16"/>
      <w:bookmarkEnd w:id="17"/>
      <w:bookmarkEnd w:id="18"/>
      <w:bookmarkEnd w:id="19"/>
      <w:bookmarkEnd w:id="20"/>
      <w:r w:rsidR="00DC7B0A" w:rsidRPr="00DC7B0A">
        <w:t xml:space="preserve">General </w:t>
      </w:r>
      <w:r w:rsidR="00F71028">
        <w:t>P</w:t>
      </w:r>
      <w:r w:rsidR="00DC7B0A" w:rsidRPr="00DC7B0A">
        <w:t>re-accredited, Digital Skills and LEAP</w:t>
      </w:r>
      <w:r w:rsidRPr="0004476C">
        <w:t xml:space="preserve"> delivery</w:t>
      </w:r>
      <w:bookmarkEnd w:id="21"/>
      <w:bookmarkEnd w:id="22"/>
      <w:r w:rsidRPr="0004476C">
        <w:t>?</w:t>
      </w:r>
      <w:bookmarkEnd w:id="23"/>
    </w:p>
    <w:p w14:paraId="47C1F6C4" w14:textId="77777777" w:rsidR="0041412A" w:rsidRPr="0004476C" w:rsidRDefault="0041412A" w:rsidP="00DA022A">
      <w:r w:rsidRPr="0004476C">
        <w:t>The Statistical Guidelines should be followed for all reporting except for the following four attributes:</w:t>
      </w:r>
    </w:p>
    <w:p w14:paraId="77249803" w14:textId="77777777" w:rsidR="0041412A" w:rsidRPr="0004476C" w:rsidRDefault="0041412A" w:rsidP="006F1A42">
      <w:pPr>
        <w:pStyle w:val="ListParagraph"/>
        <w:numPr>
          <w:ilvl w:val="0"/>
          <w:numId w:val="6"/>
        </w:numPr>
        <w:ind w:left="357" w:hanging="357"/>
        <w:contextualSpacing w:val="0"/>
      </w:pPr>
      <w:bookmarkStart w:id="24" w:name="_Hlk64623965"/>
      <w:r w:rsidRPr="0004476C">
        <w:t xml:space="preserve">Subject (module/local course) </w:t>
      </w:r>
      <w:bookmarkEnd w:id="24"/>
      <w:r w:rsidRPr="0004476C">
        <w:t>details — these guidelines are based on the approved Delivery Plan that forms part of the Service Agreement and supersede the instructions provided in the Statistical Guidelines (NAT00060). See below for further details.</w:t>
      </w:r>
    </w:p>
    <w:p w14:paraId="66DAA429" w14:textId="7F85B283" w:rsidR="0041412A" w:rsidRPr="0004476C" w:rsidRDefault="0041412A" w:rsidP="000437A5">
      <w:pPr>
        <w:pStyle w:val="ListParagraph"/>
        <w:numPr>
          <w:ilvl w:val="0"/>
          <w:numId w:val="6"/>
        </w:numPr>
        <w:spacing w:after="120"/>
        <w:ind w:left="357" w:hanging="357"/>
        <w:contextualSpacing w:val="0"/>
      </w:pPr>
      <w:bookmarkStart w:id="25" w:name="_Hlk66262806"/>
      <w:r w:rsidRPr="0004476C">
        <w:t>Program (qualification/course) details — Subject/modules are the unit of delivery in pre-accredited training. However, as ACFE Board funded training is not delivered as part of a Program</w:t>
      </w:r>
      <w:r w:rsidR="00B228CC">
        <w:t xml:space="preserve">, </w:t>
      </w:r>
      <w:r w:rsidRPr="0004476C">
        <w:t>all NAT00030</w:t>
      </w:r>
      <w:r w:rsidR="00516D4D">
        <w:t xml:space="preserve"> </w:t>
      </w:r>
      <w:r w:rsidRPr="0004476C">
        <w:t xml:space="preserve">Program (qualification/course) details </w:t>
      </w:r>
      <w:r w:rsidRPr="0041412A">
        <w:t>must be blank</w:t>
      </w:r>
      <w:r w:rsidRPr="0004476C">
        <w:t>. This includes:</w:t>
      </w:r>
    </w:p>
    <w:p w14:paraId="6CD8B952" w14:textId="38139B5F" w:rsidR="0041412A" w:rsidRPr="0004476C" w:rsidRDefault="0041412A" w:rsidP="00B228CC">
      <w:pPr>
        <w:pStyle w:val="ListParagraph"/>
        <w:numPr>
          <w:ilvl w:val="1"/>
          <w:numId w:val="6"/>
        </w:numPr>
        <w:spacing w:after="120"/>
        <w:ind w:left="714" w:hanging="357"/>
        <w:contextualSpacing w:val="0"/>
      </w:pPr>
      <w:r w:rsidRPr="0004476C">
        <w:t>Program Identifier</w:t>
      </w:r>
      <w:r w:rsidR="00516D4D">
        <w:t xml:space="preserve"> (note: this also requires the </w:t>
      </w:r>
      <w:r w:rsidR="00516D4D" w:rsidRPr="0004476C">
        <w:t>Program Identifier</w:t>
      </w:r>
      <w:r w:rsidR="00516D4D">
        <w:t xml:space="preserve"> in NAT00120 to be blank)</w:t>
      </w:r>
    </w:p>
    <w:p w14:paraId="514A655D" w14:textId="77777777" w:rsidR="0041412A" w:rsidRPr="0004476C" w:rsidRDefault="0041412A" w:rsidP="00B228CC">
      <w:pPr>
        <w:pStyle w:val="ListParagraph"/>
        <w:numPr>
          <w:ilvl w:val="1"/>
          <w:numId w:val="6"/>
        </w:numPr>
        <w:spacing w:after="120"/>
        <w:ind w:left="714" w:hanging="357"/>
        <w:contextualSpacing w:val="0"/>
      </w:pPr>
      <w:r w:rsidRPr="0004476C">
        <w:t>Program Name</w:t>
      </w:r>
    </w:p>
    <w:p w14:paraId="2E1F9440" w14:textId="77777777" w:rsidR="0041412A" w:rsidRPr="0004476C" w:rsidRDefault="0041412A" w:rsidP="00B228CC">
      <w:pPr>
        <w:pStyle w:val="ListParagraph"/>
        <w:numPr>
          <w:ilvl w:val="1"/>
          <w:numId w:val="6"/>
        </w:numPr>
        <w:spacing w:after="120"/>
        <w:ind w:left="714" w:hanging="357"/>
        <w:contextualSpacing w:val="0"/>
      </w:pPr>
      <w:r w:rsidRPr="0004476C">
        <w:t>Nominal Hours</w:t>
      </w:r>
    </w:p>
    <w:p w14:paraId="0C873192" w14:textId="77777777" w:rsidR="0041412A" w:rsidRPr="0004476C" w:rsidRDefault="0041412A" w:rsidP="00B228CC">
      <w:pPr>
        <w:pStyle w:val="ListParagraph"/>
        <w:numPr>
          <w:ilvl w:val="1"/>
          <w:numId w:val="6"/>
        </w:numPr>
        <w:spacing w:after="120"/>
        <w:ind w:left="714" w:hanging="357"/>
        <w:contextualSpacing w:val="0"/>
      </w:pPr>
      <w:r w:rsidRPr="0004476C">
        <w:t>Program Recognition Identifier</w:t>
      </w:r>
    </w:p>
    <w:p w14:paraId="39856B1B" w14:textId="77777777" w:rsidR="0041412A" w:rsidRPr="0004476C" w:rsidRDefault="0041412A" w:rsidP="00B228CC">
      <w:pPr>
        <w:pStyle w:val="ListParagraph"/>
        <w:numPr>
          <w:ilvl w:val="1"/>
          <w:numId w:val="6"/>
        </w:numPr>
        <w:spacing w:after="120"/>
        <w:ind w:left="714" w:hanging="357"/>
        <w:contextualSpacing w:val="0"/>
      </w:pPr>
      <w:r w:rsidRPr="0004476C">
        <w:t>Program Level of Education Identifier</w:t>
      </w:r>
    </w:p>
    <w:p w14:paraId="4E6AC612" w14:textId="77777777" w:rsidR="0041412A" w:rsidRPr="0004476C" w:rsidRDefault="0041412A" w:rsidP="00B228CC">
      <w:pPr>
        <w:pStyle w:val="ListParagraph"/>
        <w:numPr>
          <w:ilvl w:val="1"/>
          <w:numId w:val="6"/>
        </w:numPr>
        <w:spacing w:after="120"/>
        <w:ind w:left="714" w:hanging="357"/>
        <w:contextualSpacing w:val="0"/>
      </w:pPr>
      <w:r w:rsidRPr="0004476C">
        <w:t>Program Field of Education Identifier</w:t>
      </w:r>
    </w:p>
    <w:p w14:paraId="713D8384" w14:textId="77777777" w:rsidR="0041412A" w:rsidRDefault="0041412A" w:rsidP="00B228CC">
      <w:pPr>
        <w:pStyle w:val="ListParagraph"/>
        <w:numPr>
          <w:ilvl w:val="1"/>
          <w:numId w:val="6"/>
        </w:numPr>
        <w:spacing w:after="120"/>
        <w:ind w:left="714" w:hanging="357"/>
        <w:contextualSpacing w:val="0"/>
      </w:pPr>
      <w:r w:rsidRPr="0004476C">
        <w:t>ANZSCO (Occupation Type) Identifier</w:t>
      </w:r>
    </w:p>
    <w:p w14:paraId="5FEB5D21" w14:textId="77777777" w:rsidR="0041412A" w:rsidRPr="0004476C" w:rsidRDefault="0041412A" w:rsidP="006F1A42">
      <w:pPr>
        <w:pStyle w:val="ListParagraph"/>
        <w:numPr>
          <w:ilvl w:val="1"/>
          <w:numId w:val="6"/>
        </w:numPr>
        <w:ind w:left="714" w:hanging="357"/>
        <w:contextualSpacing w:val="0"/>
      </w:pPr>
      <w:r w:rsidRPr="0004476C">
        <w:t>VET Flag.</w:t>
      </w:r>
      <w:bookmarkEnd w:id="25"/>
    </w:p>
    <w:p w14:paraId="6360B6B1" w14:textId="09D25194" w:rsidR="0041412A" w:rsidRDefault="0041412A" w:rsidP="006F1A42">
      <w:pPr>
        <w:pStyle w:val="ListParagraph"/>
        <w:numPr>
          <w:ilvl w:val="0"/>
          <w:numId w:val="6"/>
        </w:numPr>
        <w:ind w:left="357" w:hanging="357"/>
        <w:contextualSpacing w:val="0"/>
      </w:pPr>
      <w:r w:rsidRPr="0004476C">
        <w:t xml:space="preserve">Training organisation details — providers contracted to deliver </w:t>
      </w:r>
      <w:r w:rsidR="00CC56F3" w:rsidRPr="0004476C">
        <w:t>pre-accredited</w:t>
      </w:r>
      <w:r w:rsidRPr="0004476C">
        <w:t xml:space="preserve"> training under an ACFE Board Service Agreement should identify their organisation type as ‘Code 61</w:t>
      </w:r>
      <w:r w:rsidR="00327A3C">
        <w:t xml:space="preserve"> </w:t>
      </w:r>
      <w:r w:rsidRPr="0004476C">
        <w:t>— Community based Adult Education Provider’. These guidelines complement the instructions provided in the Statistical Guidelines (NAT00010). All other instructions in the Statistical Guidelines should be followed.</w:t>
      </w:r>
    </w:p>
    <w:p w14:paraId="298D7079" w14:textId="339724F0" w:rsidR="00B228CC" w:rsidRDefault="0041412A" w:rsidP="006F1A42">
      <w:pPr>
        <w:pStyle w:val="ListParagraph"/>
        <w:numPr>
          <w:ilvl w:val="0"/>
          <w:numId w:val="6"/>
        </w:numPr>
        <w:ind w:left="357" w:hanging="357"/>
        <w:contextualSpacing w:val="0"/>
      </w:pPr>
      <w:r w:rsidRPr="0004476C">
        <w:t xml:space="preserve">Funding Source Identifier — </w:t>
      </w:r>
      <w:r w:rsidR="00B228CC">
        <w:t xml:space="preserve">the base funding codes are identified in the approved </w:t>
      </w:r>
      <w:r w:rsidR="00F71028">
        <w:t>D</w:t>
      </w:r>
      <w:r w:rsidR="00B228CC">
        <w:t xml:space="preserve">elivery </w:t>
      </w:r>
      <w:r w:rsidR="00F71028">
        <w:t>P</w:t>
      </w:r>
      <w:r w:rsidR="00B228CC">
        <w:t>lan (excluding special exceptions for learner</w:t>
      </w:r>
      <w:r w:rsidR="00F71028">
        <w:t>’</w:t>
      </w:r>
      <w:r w:rsidR="00B228CC">
        <w:t xml:space="preserve">s referral status). A description of these is also provider in the </w:t>
      </w:r>
      <w:r w:rsidR="00B228CC" w:rsidRPr="0004476C">
        <w:t>Statistical Guidelines</w:t>
      </w:r>
      <w:r w:rsidR="00B228CC">
        <w:t xml:space="preserve"> </w:t>
      </w:r>
      <w:hyperlink r:id="rId19" w:history="1">
        <w:r w:rsidR="00B228CC" w:rsidRPr="006D1052">
          <w:rPr>
            <w:color w:val="364283"/>
            <w:u w:val="single"/>
          </w:rPr>
          <w:t>Funding Source Identifier - STA Supplement</w:t>
        </w:r>
      </w:hyperlink>
      <w:r w:rsidR="00B228CC" w:rsidRPr="00B228CC">
        <w:rPr>
          <w:color w:val="auto"/>
        </w:rPr>
        <w:t>.</w:t>
      </w:r>
    </w:p>
    <w:p w14:paraId="2040DAE1" w14:textId="77777777" w:rsidR="00B228CC" w:rsidRPr="00654400" w:rsidRDefault="00B228CC" w:rsidP="00B228CC">
      <w:r w:rsidRPr="0004476C">
        <w:t>For all subject (module/local course) training funded under approved Delivery Plan and Service</w:t>
      </w:r>
      <w:r w:rsidRPr="00654400">
        <w:t xml:space="preserve"> Agreement, the Funding Source National Code should be reported as </w:t>
      </w:r>
      <w:r>
        <w:t>“</w:t>
      </w:r>
      <w:r w:rsidRPr="00654400">
        <w:t>11 - Commonwealth and State general purpose recurrent</w:t>
      </w:r>
      <w:r>
        <w:t>”</w:t>
      </w:r>
      <w:r w:rsidRPr="00654400">
        <w:t>.</w:t>
      </w:r>
    </w:p>
    <w:p w14:paraId="5110A1C4" w14:textId="77777777" w:rsidR="00B228CC" w:rsidRPr="00654400" w:rsidRDefault="00B228CC" w:rsidP="00B228CC">
      <w:r w:rsidRPr="00654400">
        <w:t xml:space="preserve">These guidelines complement the instructions provided in the </w:t>
      </w:r>
      <w:r>
        <w:t>Statistical Guidelines</w:t>
      </w:r>
      <w:r w:rsidRPr="00654400">
        <w:t xml:space="preserve"> (NAT00120).</w:t>
      </w:r>
    </w:p>
    <w:p w14:paraId="061AC4F5" w14:textId="77777777" w:rsidR="00B228CC" w:rsidRPr="00654400" w:rsidRDefault="00B228CC" w:rsidP="00B228CC">
      <w:pPr>
        <w:pStyle w:val="ListParagraph"/>
        <w:numPr>
          <w:ilvl w:val="0"/>
          <w:numId w:val="6"/>
        </w:numPr>
        <w:ind w:left="357" w:hanging="357"/>
        <w:contextualSpacing w:val="0"/>
      </w:pPr>
      <w:r w:rsidRPr="00654400">
        <w:t xml:space="preserve">Delivery Mode Identifier — where appropriate, information reported on </w:t>
      </w:r>
      <w:bookmarkStart w:id="26" w:name="_Toc55372467"/>
      <w:r w:rsidRPr="00654400">
        <w:t>Delivery Mode Identifier</w:t>
      </w:r>
      <w:bookmarkEnd w:id="26"/>
      <w:r w:rsidRPr="00654400">
        <w:t xml:space="preserve"> and </w:t>
      </w:r>
      <w:bookmarkStart w:id="27" w:name="_Toc55372503"/>
      <w:r w:rsidRPr="00654400">
        <w:t>Predominant Delivery Mode</w:t>
      </w:r>
      <w:bookmarkEnd w:id="27"/>
      <w:r w:rsidRPr="00654400">
        <w:t xml:space="preserve"> should be consistent with the expectations detailed in the approved Delivery Plan. These guidelines complement the instructions provided in the </w:t>
      </w:r>
      <w:r>
        <w:t>Statistical Guidelines</w:t>
      </w:r>
      <w:r w:rsidRPr="00654400">
        <w:t xml:space="preserve"> (NAT00120</w:t>
      </w:r>
      <w:r>
        <w:t>)</w:t>
      </w:r>
      <w:r w:rsidRPr="00654400">
        <w:t>.</w:t>
      </w:r>
    </w:p>
    <w:p w14:paraId="3BC1C032" w14:textId="77777777" w:rsidR="00B76530" w:rsidRDefault="00B76530">
      <w:pPr>
        <w:rPr>
          <w:bCs/>
          <w:snapToGrid w:val="0"/>
          <w:color w:val="364283"/>
          <w:sz w:val="24"/>
          <w:szCs w:val="24"/>
        </w:rPr>
      </w:pPr>
      <w:r>
        <w:rPr>
          <w:i/>
          <w:iCs/>
        </w:rPr>
        <w:br w:type="page"/>
      </w:r>
    </w:p>
    <w:p w14:paraId="05E35748" w14:textId="55D732B9" w:rsidR="006D1052" w:rsidRPr="005A48E8" w:rsidRDefault="006D1052" w:rsidP="006D1052">
      <w:pPr>
        <w:pStyle w:val="Heading4"/>
        <w:rPr>
          <w:b/>
          <w:bCs w:val="0"/>
          <w:i w:val="0"/>
          <w:iCs w:val="0"/>
        </w:rPr>
      </w:pPr>
      <w:r w:rsidRPr="005A48E8">
        <w:rPr>
          <w:i w:val="0"/>
          <w:iCs w:val="0"/>
        </w:rPr>
        <w:lastRenderedPageBreak/>
        <w:t xml:space="preserve">Table </w:t>
      </w:r>
      <w:r>
        <w:rPr>
          <w:i w:val="0"/>
          <w:iCs w:val="0"/>
        </w:rPr>
        <w:t>2</w:t>
      </w:r>
      <w:r w:rsidRPr="005A48E8">
        <w:rPr>
          <w:b/>
          <w:bCs w:val="0"/>
          <w:i w:val="0"/>
          <w:iCs w:val="0"/>
        </w:rPr>
        <w:t xml:space="preserve"> 2022 </w:t>
      </w:r>
      <w:r>
        <w:rPr>
          <w:b/>
          <w:bCs w:val="0"/>
          <w:i w:val="0"/>
          <w:iCs w:val="0"/>
        </w:rPr>
        <w:t>Funding codes</w:t>
      </w:r>
    </w:p>
    <w:tbl>
      <w:tblPr>
        <w:tblW w:w="9638" w:type="dxa"/>
        <w:tblLook w:val="04A0" w:firstRow="1" w:lastRow="0" w:firstColumn="1" w:lastColumn="0" w:noHBand="0" w:noVBand="1"/>
      </w:tblPr>
      <w:tblGrid>
        <w:gridCol w:w="908"/>
        <w:gridCol w:w="2353"/>
        <w:gridCol w:w="6377"/>
      </w:tblGrid>
      <w:tr w:rsidR="006D1052" w:rsidRPr="006D1052" w14:paraId="5F577B50" w14:textId="77777777" w:rsidTr="006D1052">
        <w:trPr>
          <w:trHeight w:val="290"/>
        </w:trPr>
        <w:tc>
          <w:tcPr>
            <w:tcW w:w="908" w:type="dxa"/>
            <w:tcBorders>
              <w:top w:val="nil"/>
              <w:left w:val="nil"/>
              <w:bottom w:val="nil"/>
              <w:right w:val="nil"/>
            </w:tcBorders>
            <w:shd w:val="clear" w:color="auto" w:fill="364283"/>
            <w:noWrap/>
            <w:vAlign w:val="bottom"/>
            <w:hideMark/>
          </w:tcPr>
          <w:p w14:paraId="2193898E" w14:textId="77777777" w:rsidR="006D1052" w:rsidRPr="006D1052" w:rsidRDefault="006D1052" w:rsidP="006D1052">
            <w:pPr>
              <w:spacing w:after="0" w:line="240" w:lineRule="auto"/>
              <w:rPr>
                <w:rFonts w:eastAsia="Times New Roman" w:cs="Calibri"/>
                <w:b/>
                <w:color w:val="FFFFFF" w:themeColor="background1"/>
                <w:sz w:val="18"/>
                <w:szCs w:val="18"/>
                <w:shd w:val="clear" w:color="auto" w:fill="auto"/>
                <w:lang w:eastAsia="en-AU"/>
              </w:rPr>
            </w:pPr>
            <w:r w:rsidRPr="006D1052">
              <w:rPr>
                <w:rFonts w:eastAsia="Times New Roman" w:cs="Calibri"/>
                <w:b/>
                <w:color w:val="FFFFFF" w:themeColor="background1"/>
                <w:sz w:val="18"/>
                <w:szCs w:val="18"/>
                <w:shd w:val="clear" w:color="auto" w:fill="auto"/>
                <w:lang w:eastAsia="en-AU"/>
              </w:rPr>
              <w:t>Funding code</w:t>
            </w:r>
          </w:p>
        </w:tc>
        <w:tc>
          <w:tcPr>
            <w:tcW w:w="2353" w:type="dxa"/>
            <w:tcBorders>
              <w:top w:val="nil"/>
              <w:left w:val="nil"/>
              <w:bottom w:val="nil"/>
              <w:right w:val="nil"/>
            </w:tcBorders>
            <w:shd w:val="clear" w:color="auto" w:fill="364283"/>
            <w:noWrap/>
            <w:vAlign w:val="bottom"/>
            <w:hideMark/>
          </w:tcPr>
          <w:p w14:paraId="3410C5D6" w14:textId="77777777" w:rsidR="006D1052" w:rsidRPr="006D1052" w:rsidRDefault="006D1052" w:rsidP="006D1052">
            <w:pPr>
              <w:spacing w:after="0" w:line="240" w:lineRule="auto"/>
              <w:rPr>
                <w:rFonts w:eastAsia="Times New Roman" w:cs="Calibri"/>
                <w:b/>
                <w:color w:val="FFFFFF" w:themeColor="background1"/>
                <w:sz w:val="18"/>
                <w:szCs w:val="18"/>
                <w:shd w:val="clear" w:color="auto" w:fill="auto"/>
                <w:lang w:eastAsia="en-AU"/>
              </w:rPr>
            </w:pPr>
            <w:r w:rsidRPr="006D1052">
              <w:rPr>
                <w:rFonts w:eastAsia="Times New Roman" w:cs="Calibri"/>
                <w:b/>
                <w:color w:val="FFFFFF" w:themeColor="background1"/>
                <w:sz w:val="18"/>
                <w:szCs w:val="18"/>
                <w:shd w:val="clear" w:color="auto" w:fill="auto"/>
                <w:lang w:eastAsia="en-AU"/>
              </w:rPr>
              <w:t>Program/referral category</w:t>
            </w:r>
          </w:p>
        </w:tc>
        <w:tc>
          <w:tcPr>
            <w:tcW w:w="6377" w:type="dxa"/>
            <w:tcBorders>
              <w:top w:val="nil"/>
              <w:left w:val="nil"/>
              <w:bottom w:val="nil"/>
              <w:right w:val="nil"/>
            </w:tcBorders>
            <w:shd w:val="clear" w:color="auto" w:fill="364283"/>
            <w:noWrap/>
            <w:vAlign w:val="bottom"/>
            <w:hideMark/>
          </w:tcPr>
          <w:p w14:paraId="02826489" w14:textId="77777777" w:rsidR="006D1052" w:rsidRPr="006D1052" w:rsidRDefault="006D1052" w:rsidP="006D1052">
            <w:pPr>
              <w:spacing w:after="0" w:line="240" w:lineRule="auto"/>
              <w:rPr>
                <w:rFonts w:eastAsia="Times New Roman" w:cs="Calibri"/>
                <w:b/>
                <w:color w:val="FFFFFF" w:themeColor="background1"/>
                <w:sz w:val="18"/>
                <w:szCs w:val="18"/>
                <w:shd w:val="clear" w:color="auto" w:fill="auto"/>
                <w:lang w:eastAsia="en-AU"/>
              </w:rPr>
            </w:pPr>
            <w:r w:rsidRPr="006D1052">
              <w:rPr>
                <w:rFonts w:eastAsia="Times New Roman" w:cs="Calibri"/>
                <w:b/>
                <w:color w:val="FFFFFF" w:themeColor="background1"/>
                <w:sz w:val="18"/>
                <w:szCs w:val="18"/>
                <w:shd w:val="clear" w:color="auto" w:fill="auto"/>
                <w:lang w:eastAsia="en-AU"/>
              </w:rPr>
              <w:t>Description</w:t>
            </w:r>
          </w:p>
        </w:tc>
      </w:tr>
      <w:tr w:rsidR="006D1052" w:rsidRPr="006D1052" w14:paraId="7C23CE69" w14:textId="77777777" w:rsidTr="006D1052">
        <w:trPr>
          <w:trHeight w:val="290"/>
        </w:trPr>
        <w:tc>
          <w:tcPr>
            <w:tcW w:w="908" w:type="dxa"/>
            <w:tcBorders>
              <w:top w:val="nil"/>
              <w:left w:val="nil"/>
              <w:bottom w:val="nil"/>
              <w:right w:val="nil"/>
            </w:tcBorders>
            <w:shd w:val="clear" w:color="auto" w:fill="auto"/>
            <w:noWrap/>
            <w:hideMark/>
          </w:tcPr>
          <w:p w14:paraId="3A2297F6"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ACE</w:t>
            </w:r>
          </w:p>
        </w:tc>
        <w:tc>
          <w:tcPr>
            <w:tcW w:w="2353" w:type="dxa"/>
            <w:tcBorders>
              <w:top w:val="nil"/>
              <w:left w:val="nil"/>
              <w:bottom w:val="nil"/>
              <w:right w:val="nil"/>
            </w:tcBorders>
            <w:shd w:val="clear" w:color="auto" w:fill="auto"/>
            <w:noWrap/>
            <w:hideMark/>
          </w:tcPr>
          <w:p w14:paraId="5C2C986D" w14:textId="3DCC0FF6"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 xml:space="preserve">General Pre-accredited programs </w:t>
            </w:r>
          </w:p>
        </w:tc>
        <w:tc>
          <w:tcPr>
            <w:tcW w:w="6377" w:type="dxa"/>
            <w:tcBorders>
              <w:top w:val="nil"/>
              <w:left w:val="nil"/>
              <w:bottom w:val="nil"/>
              <w:right w:val="nil"/>
            </w:tcBorders>
            <w:shd w:val="clear" w:color="auto" w:fill="auto"/>
            <w:noWrap/>
            <w:hideMark/>
          </w:tcPr>
          <w:p w14:paraId="35E06231"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enrolled in pre-accredited local programs delivered by Learn Local organisations as funded through contracts with the ACFE Board.</w:t>
            </w:r>
          </w:p>
        </w:tc>
      </w:tr>
      <w:tr w:rsidR="006D1052" w:rsidRPr="006D1052" w14:paraId="6A821621" w14:textId="77777777" w:rsidTr="006D1052">
        <w:trPr>
          <w:trHeight w:val="290"/>
        </w:trPr>
        <w:tc>
          <w:tcPr>
            <w:tcW w:w="908" w:type="dxa"/>
            <w:tcBorders>
              <w:top w:val="nil"/>
              <w:left w:val="nil"/>
              <w:bottom w:val="nil"/>
              <w:right w:val="nil"/>
            </w:tcBorders>
            <w:shd w:val="clear" w:color="auto" w:fill="auto"/>
            <w:noWrap/>
            <w:hideMark/>
          </w:tcPr>
          <w:p w14:paraId="04B27F78"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ACL</w:t>
            </w:r>
          </w:p>
        </w:tc>
        <w:tc>
          <w:tcPr>
            <w:tcW w:w="2353" w:type="dxa"/>
            <w:tcBorders>
              <w:top w:val="nil"/>
              <w:left w:val="nil"/>
              <w:bottom w:val="nil"/>
              <w:right w:val="nil"/>
            </w:tcBorders>
            <w:shd w:val="clear" w:color="auto" w:fill="auto"/>
            <w:noWrap/>
            <w:hideMark/>
          </w:tcPr>
          <w:p w14:paraId="4ED0D2AB" w14:textId="2A8226AE"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 xml:space="preserve">Learner Engagement </w:t>
            </w:r>
            <w:r w:rsidR="00B228CC">
              <w:rPr>
                <w:rFonts w:eastAsia="Times New Roman" w:cs="Calibri"/>
                <w:bCs/>
                <w:sz w:val="18"/>
                <w:szCs w:val="18"/>
                <w:shd w:val="clear" w:color="auto" w:fill="auto"/>
                <w:lang w:eastAsia="en-AU"/>
              </w:rPr>
              <w:br/>
            </w:r>
            <w:r w:rsidRPr="006D1052">
              <w:rPr>
                <w:rFonts w:eastAsia="Times New Roman" w:cs="Calibri"/>
                <w:bCs/>
                <w:sz w:val="18"/>
                <w:szCs w:val="18"/>
                <w:shd w:val="clear" w:color="auto" w:fill="auto"/>
                <w:lang w:eastAsia="en-AU"/>
              </w:rPr>
              <w:t>A-Frame Programs</w:t>
            </w:r>
          </w:p>
        </w:tc>
        <w:tc>
          <w:tcPr>
            <w:tcW w:w="6377" w:type="dxa"/>
            <w:tcBorders>
              <w:top w:val="nil"/>
              <w:left w:val="nil"/>
              <w:bottom w:val="nil"/>
              <w:right w:val="nil"/>
            </w:tcBorders>
            <w:shd w:val="clear" w:color="auto" w:fill="auto"/>
            <w:noWrap/>
            <w:hideMark/>
          </w:tcPr>
          <w:p w14:paraId="3C2ECD2D"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enrolled in Learner Engagement A-Frame Programs delivered by Learn Local organisations as funded through contracts with the ACFE Board.</w:t>
            </w:r>
          </w:p>
        </w:tc>
      </w:tr>
      <w:tr w:rsidR="006D1052" w:rsidRPr="006D1052" w14:paraId="5CE62D3D" w14:textId="77777777" w:rsidTr="006D1052">
        <w:trPr>
          <w:trHeight w:val="290"/>
        </w:trPr>
        <w:tc>
          <w:tcPr>
            <w:tcW w:w="908" w:type="dxa"/>
            <w:tcBorders>
              <w:top w:val="nil"/>
              <w:left w:val="nil"/>
              <w:bottom w:val="nil"/>
              <w:right w:val="nil"/>
            </w:tcBorders>
            <w:shd w:val="clear" w:color="auto" w:fill="auto"/>
            <w:noWrap/>
            <w:hideMark/>
          </w:tcPr>
          <w:p w14:paraId="1B97E794"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AC2</w:t>
            </w:r>
          </w:p>
        </w:tc>
        <w:tc>
          <w:tcPr>
            <w:tcW w:w="2353" w:type="dxa"/>
            <w:tcBorders>
              <w:top w:val="nil"/>
              <w:left w:val="nil"/>
              <w:bottom w:val="nil"/>
              <w:right w:val="nil"/>
            </w:tcBorders>
            <w:shd w:val="clear" w:color="auto" w:fill="auto"/>
            <w:noWrap/>
            <w:hideMark/>
          </w:tcPr>
          <w:p w14:paraId="2D9BC859"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Digital Skills Programs</w:t>
            </w:r>
          </w:p>
        </w:tc>
        <w:tc>
          <w:tcPr>
            <w:tcW w:w="6377" w:type="dxa"/>
            <w:tcBorders>
              <w:top w:val="nil"/>
              <w:left w:val="nil"/>
              <w:bottom w:val="nil"/>
              <w:right w:val="nil"/>
            </w:tcBorders>
            <w:shd w:val="clear" w:color="auto" w:fill="auto"/>
            <w:noWrap/>
            <w:hideMark/>
          </w:tcPr>
          <w:p w14:paraId="4C61BEEB"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enrolled in pre-accredited local programs under the 2021-22 Budget Digital Skills Initiative delivered by Learn Local organisations as funded through contracts with the ACFE Board.</w:t>
            </w:r>
          </w:p>
        </w:tc>
      </w:tr>
      <w:tr w:rsidR="006D1052" w:rsidRPr="006D1052" w14:paraId="39FB5245" w14:textId="77777777" w:rsidTr="006D1052">
        <w:trPr>
          <w:trHeight w:val="290"/>
        </w:trPr>
        <w:tc>
          <w:tcPr>
            <w:tcW w:w="908" w:type="dxa"/>
            <w:tcBorders>
              <w:top w:val="nil"/>
              <w:left w:val="nil"/>
              <w:bottom w:val="nil"/>
              <w:right w:val="nil"/>
            </w:tcBorders>
            <w:shd w:val="clear" w:color="auto" w:fill="auto"/>
            <w:noWrap/>
            <w:hideMark/>
          </w:tcPr>
          <w:p w14:paraId="05625E45"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ACR</w:t>
            </w:r>
          </w:p>
        </w:tc>
        <w:tc>
          <w:tcPr>
            <w:tcW w:w="2353" w:type="dxa"/>
            <w:tcBorders>
              <w:top w:val="nil"/>
              <w:left w:val="nil"/>
              <w:bottom w:val="nil"/>
              <w:right w:val="nil"/>
            </w:tcBorders>
            <w:shd w:val="clear" w:color="auto" w:fill="auto"/>
            <w:noWrap/>
            <w:hideMark/>
          </w:tcPr>
          <w:p w14:paraId="29C74021" w14:textId="42B96A05"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Students referred under the Reconnect Program</w:t>
            </w:r>
          </w:p>
        </w:tc>
        <w:tc>
          <w:tcPr>
            <w:tcW w:w="6377" w:type="dxa"/>
            <w:tcBorders>
              <w:top w:val="nil"/>
              <w:left w:val="nil"/>
              <w:bottom w:val="nil"/>
              <w:right w:val="nil"/>
            </w:tcBorders>
            <w:shd w:val="clear" w:color="auto" w:fill="auto"/>
            <w:noWrap/>
            <w:hideMark/>
          </w:tcPr>
          <w:p w14:paraId="5BF3FB44"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participating in the Reconnect Program who have been referred to a Learn Local organisation for enrolment in pre-accredited local programs funded through the provider's contract with the ACFE Board.</w:t>
            </w:r>
          </w:p>
        </w:tc>
      </w:tr>
      <w:tr w:rsidR="006D1052" w:rsidRPr="006D1052" w14:paraId="14CDB5D2" w14:textId="77777777" w:rsidTr="006D1052">
        <w:trPr>
          <w:trHeight w:val="290"/>
        </w:trPr>
        <w:tc>
          <w:tcPr>
            <w:tcW w:w="908" w:type="dxa"/>
            <w:tcBorders>
              <w:top w:val="nil"/>
              <w:left w:val="nil"/>
              <w:right w:val="nil"/>
            </w:tcBorders>
            <w:shd w:val="clear" w:color="auto" w:fill="auto"/>
            <w:noWrap/>
            <w:hideMark/>
          </w:tcPr>
          <w:p w14:paraId="798FF07D"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ACJ</w:t>
            </w:r>
          </w:p>
        </w:tc>
        <w:tc>
          <w:tcPr>
            <w:tcW w:w="2353" w:type="dxa"/>
            <w:tcBorders>
              <w:top w:val="nil"/>
              <w:left w:val="nil"/>
              <w:right w:val="nil"/>
            </w:tcBorders>
            <w:shd w:val="clear" w:color="auto" w:fill="auto"/>
            <w:noWrap/>
            <w:hideMark/>
          </w:tcPr>
          <w:p w14:paraId="2209D9EE"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Asylum seeker Learners referred under the JVEN Program</w:t>
            </w:r>
          </w:p>
        </w:tc>
        <w:tc>
          <w:tcPr>
            <w:tcW w:w="6377" w:type="dxa"/>
            <w:tcBorders>
              <w:top w:val="nil"/>
              <w:left w:val="nil"/>
              <w:right w:val="nil"/>
            </w:tcBorders>
            <w:shd w:val="clear" w:color="auto" w:fill="auto"/>
            <w:noWrap/>
            <w:hideMark/>
          </w:tcPr>
          <w:p w14:paraId="6EFA564D"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 xml:space="preserve">For eligible asylum seeker individuals participating in the Jobs Victoria Employment Network (JVEN) Program who have been referred to a Learn Local organisation for enrolment in pre-employment pre-accredited local programs funded through the provider's contract with the ACFE Board, from 1 July 2019. </w:t>
            </w:r>
          </w:p>
        </w:tc>
      </w:tr>
      <w:tr w:rsidR="00B228CC" w:rsidRPr="00B228CC" w14:paraId="6AA9596F" w14:textId="77777777" w:rsidTr="006D1052">
        <w:trPr>
          <w:trHeight w:val="290"/>
        </w:trPr>
        <w:tc>
          <w:tcPr>
            <w:tcW w:w="908" w:type="dxa"/>
            <w:tcBorders>
              <w:top w:val="nil"/>
              <w:left w:val="nil"/>
              <w:bottom w:val="single" w:sz="8" w:space="0" w:color="364283"/>
              <w:right w:val="nil"/>
            </w:tcBorders>
            <w:shd w:val="clear" w:color="auto" w:fill="auto"/>
            <w:noWrap/>
            <w:hideMark/>
          </w:tcPr>
          <w:p w14:paraId="32C4F7DB" w14:textId="77777777" w:rsidR="006D1052" w:rsidRPr="006D1052" w:rsidRDefault="006D1052" w:rsidP="00B228CC">
            <w:pPr>
              <w:spacing w:before="40" w:after="40" w:line="240" w:lineRule="auto"/>
              <w:rPr>
                <w:rFonts w:eastAsia="Times New Roman" w:cs="Calibri"/>
                <w:bCs/>
                <w:i/>
                <w:iCs/>
                <w:color w:val="808080" w:themeColor="background1" w:themeShade="80"/>
                <w:sz w:val="18"/>
                <w:szCs w:val="18"/>
                <w:shd w:val="clear" w:color="auto" w:fill="auto"/>
                <w:lang w:eastAsia="en-AU"/>
              </w:rPr>
            </w:pPr>
            <w:r w:rsidRPr="006D1052">
              <w:rPr>
                <w:rFonts w:eastAsia="Times New Roman" w:cs="Calibri"/>
                <w:bCs/>
                <w:i/>
                <w:iCs/>
                <w:color w:val="808080" w:themeColor="background1" w:themeShade="80"/>
                <w:sz w:val="18"/>
                <w:szCs w:val="18"/>
                <w:shd w:val="clear" w:color="auto" w:fill="auto"/>
                <w:lang w:eastAsia="en-AU"/>
              </w:rPr>
              <w:t xml:space="preserve">AC1 </w:t>
            </w:r>
          </w:p>
        </w:tc>
        <w:tc>
          <w:tcPr>
            <w:tcW w:w="2353" w:type="dxa"/>
            <w:tcBorders>
              <w:top w:val="nil"/>
              <w:left w:val="nil"/>
              <w:bottom w:val="single" w:sz="8" w:space="0" w:color="364283"/>
              <w:right w:val="nil"/>
            </w:tcBorders>
            <w:shd w:val="clear" w:color="auto" w:fill="auto"/>
            <w:noWrap/>
            <w:hideMark/>
          </w:tcPr>
          <w:p w14:paraId="496559BC" w14:textId="04F9BF21" w:rsidR="006D1052" w:rsidRPr="006D1052" w:rsidRDefault="006D1052" w:rsidP="00B228CC">
            <w:pPr>
              <w:spacing w:before="40" w:after="40" w:line="240" w:lineRule="auto"/>
              <w:rPr>
                <w:rFonts w:eastAsia="Times New Roman" w:cs="Calibri"/>
                <w:bCs/>
                <w:i/>
                <w:iCs/>
                <w:color w:val="808080" w:themeColor="background1" w:themeShade="80"/>
                <w:sz w:val="18"/>
                <w:szCs w:val="18"/>
                <w:shd w:val="clear" w:color="auto" w:fill="auto"/>
                <w:lang w:eastAsia="en-AU"/>
              </w:rPr>
            </w:pPr>
            <w:r w:rsidRPr="006D1052">
              <w:rPr>
                <w:rFonts w:eastAsia="Times New Roman" w:cs="Calibri"/>
                <w:bCs/>
                <w:i/>
                <w:iCs/>
                <w:color w:val="808080" w:themeColor="background1" w:themeShade="80"/>
                <w:sz w:val="18"/>
                <w:szCs w:val="18"/>
                <w:shd w:val="clear" w:color="auto" w:fill="auto"/>
                <w:lang w:eastAsia="en-AU"/>
              </w:rPr>
              <w:t>Enrolments related to the 2020-21 Budget 1,000 pre-accredited places initiative</w:t>
            </w:r>
            <w:r w:rsidRPr="00B228CC">
              <w:rPr>
                <w:rFonts w:eastAsia="Times New Roman" w:cs="Calibri"/>
                <w:bCs/>
                <w:i/>
                <w:iCs/>
                <w:color w:val="808080" w:themeColor="background1" w:themeShade="80"/>
                <w:sz w:val="18"/>
                <w:szCs w:val="18"/>
                <w:shd w:val="clear" w:color="auto" w:fill="auto"/>
                <w:lang w:eastAsia="en-AU"/>
              </w:rPr>
              <w:t>*</w:t>
            </w:r>
          </w:p>
        </w:tc>
        <w:tc>
          <w:tcPr>
            <w:tcW w:w="6377" w:type="dxa"/>
            <w:tcBorders>
              <w:top w:val="nil"/>
              <w:left w:val="nil"/>
              <w:bottom w:val="single" w:sz="8" w:space="0" w:color="364283"/>
              <w:right w:val="nil"/>
            </w:tcBorders>
            <w:shd w:val="clear" w:color="auto" w:fill="auto"/>
            <w:noWrap/>
            <w:hideMark/>
          </w:tcPr>
          <w:p w14:paraId="50305E95" w14:textId="77777777" w:rsidR="006D1052" w:rsidRPr="006D1052" w:rsidRDefault="006D1052" w:rsidP="00B228CC">
            <w:pPr>
              <w:spacing w:before="40" w:after="40" w:line="240" w:lineRule="auto"/>
              <w:rPr>
                <w:rFonts w:eastAsia="Times New Roman" w:cs="Calibri"/>
                <w:bCs/>
                <w:i/>
                <w:iCs/>
                <w:color w:val="808080" w:themeColor="background1" w:themeShade="80"/>
                <w:sz w:val="18"/>
                <w:szCs w:val="18"/>
                <w:shd w:val="clear" w:color="auto" w:fill="auto"/>
                <w:lang w:eastAsia="en-AU"/>
              </w:rPr>
            </w:pPr>
            <w:r w:rsidRPr="006D1052">
              <w:rPr>
                <w:rFonts w:eastAsia="Times New Roman" w:cs="Calibri"/>
                <w:bCs/>
                <w:i/>
                <w:iCs/>
                <w:color w:val="808080" w:themeColor="background1" w:themeShade="80"/>
                <w:sz w:val="18"/>
                <w:szCs w:val="18"/>
                <w:shd w:val="clear" w:color="auto" w:fill="auto"/>
                <w:lang w:eastAsia="en-AU"/>
              </w:rPr>
              <w:t>For individuals enrolled in pre-accredited local programs under the 2020-21 Budget 1,000 pre-accredited places initiative delivered by Learn Local organisations as funded through contracts with the ACFE Board.</w:t>
            </w:r>
          </w:p>
        </w:tc>
      </w:tr>
    </w:tbl>
    <w:p w14:paraId="6795418B" w14:textId="5C99CB9A" w:rsidR="000D5EC1" w:rsidRPr="006D1052" w:rsidRDefault="006D1052" w:rsidP="00DA022A">
      <w:pPr>
        <w:rPr>
          <w:i/>
          <w:iCs/>
          <w:sz w:val="16"/>
          <w:szCs w:val="16"/>
        </w:rPr>
      </w:pPr>
      <w:r w:rsidRPr="006D1052">
        <w:rPr>
          <w:i/>
          <w:iCs/>
          <w:sz w:val="16"/>
          <w:szCs w:val="16"/>
        </w:rPr>
        <w:t xml:space="preserve">* There should be no new </w:t>
      </w:r>
      <w:r w:rsidR="00653842">
        <w:rPr>
          <w:i/>
          <w:iCs/>
          <w:sz w:val="16"/>
          <w:szCs w:val="16"/>
        </w:rPr>
        <w:t xml:space="preserve">2022 </w:t>
      </w:r>
      <w:r w:rsidRPr="006D1052">
        <w:rPr>
          <w:i/>
          <w:iCs/>
          <w:sz w:val="16"/>
          <w:szCs w:val="16"/>
        </w:rPr>
        <w:t>enrolments that use this funding code.</w:t>
      </w:r>
    </w:p>
    <w:p w14:paraId="5914FA5F" w14:textId="2E9891E9" w:rsidR="0041412A" w:rsidRPr="0008097C" w:rsidRDefault="0041412A" w:rsidP="00DA022A">
      <w:pPr>
        <w:pStyle w:val="Heading4"/>
      </w:pPr>
      <w:bookmarkStart w:id="28" w:name="_Toc64383589"/>
      <w:r w:rsidRPr="0008097C">
        <w:t>Completing the subject (module/local course) (NAT00060) data entry screen</w:t>
      </w:r>
      <w:bookmarkEnd w:id="28"/>
    </w:p>
    <w:p w14:paraId="79BA1E48" w14:textId="0C1F5D24" w:rsidR="00DC7B0A" w:rsidRDefault="00DC7B0A" w:rsidP="00DA022A">
      <w:r>
        <w:t xml:space="preserve">The 2022 EOI process implemented a new Delivery Plan Template that automatically generated </w:t>
      </w:r>
      <w:proofErr w:type="gramStart"/>
      <w:r>
        <w:t>a number of</w:t>
      </w:r>
      <w:proofErr w:type="gramEnd"/>
      <w:r>
        <w:t xml:space="preserve"> important e</w:t>
      </w:r>
      <w:r w:rsidR="00F71028">
        <w:t>lements</w:t>
      </w:r>
      <w:r>
        <w:t xml:space="preserve"> that must be entered into providers</w:t>
      </w:r>
      <w:r w:rsidR="00F71028">
        <w:t>’</w:t>
      </w:r>
      <w:r>
        <w:t xml:space="preserve"> SMS </w:t>
      </w:r>
      <w:r w:rsidR="000D5EC1" w:rsidRPr="0041412A">
        <w:t xml:space="preserve">subject/module (NAT00060) data entry screen </w:t>
      </w:r>
      <w:r>
        <w:t>for accurate reporting, including:</w:t>
      </w:r>
    </w:p>
    <w:p w14:paraId="4F272160" w14:textId="2775176E" w:rsidR="00DC7B0A" w:rsidRDefault="000D5EC1" w:rsidP="000D5EC1">
      <w:pPr>
        <w:pStyle w:val="ListParagraph"/>
        <w:numPr>
          <w:ilvl w:val="0"/>
          <w:numId w:val="6"/>
        </w:numPr>
        <w:ind w:left="357" w:hanging="357"/>
        <w:contextualSpacing w:val="0"/>
      </w:pPr>
      <w:r w:rsidRPr="0041412A">
        <w:t>Subject code</w:t>
      </w:r>
      <w:r>
        <w:t xml:space="preserve">, </w:t>
      </w:r>
      <w:r w:rsidRPr="0041412A">
        <w:t>referred to as ‘Local Course Code’</w:t>
      </w:r>
      <w:r>
        <w:t>. This is generated based on the program stream, program category and contracted provider and must be entered in the SMS exactly as reported in the approved delivery plan.</w:t>
      </w:r>
    </w:p>
    <w:p w14:paraId="28D11EB8" w14:textId="68DA3C73" w:rsidR="00DC7B0A" w:rsidRDefault="000D5EC1" w:rsidP="000D5EC1">
      <w:pPr>
        <w:pStyle w:val="ListParagraph"/>
        <w:numPr>
          <w:ilvl w:val="0"/>
          <w:numId w:val="6"/>
        </w:numPr>
        <w:ind w:left="357" w:hanging="357"/>
        <w:contextualSpacing w:val="0"/>
      </w:pPr>
      <w:r w:rsidRPr="0041412A">
        <w:t>Subject name</w:t>
      </w:r>
      <w:r>
        <w:t>,</w:t>
      </w:r>
      <w:r w:rsidRPr="0041412A">
        <w:t xml:space="preserve"> referred to as ‘Local Course Name’</w:t>
      </w:r>
      <w:r>
        <w:t xml:space="preserve">. A default </w:t>
      </w:r>
      <w:r w:rsidRPr="0041412A">
        <w:t>Course Name</w:t>
      </w:r>
      <w:r>
        <w:t xml:space="preserve"> was recommended but was open to tailored editing in the template. The course name should be entered in the SMS exactly as reported in the approved </w:t>
      </w:r>
      <w:r w:rsidR="00F71028">
        <w:t>D</w:t>
      </w:r>
      <w:r>
        <w:t xml:space="preserve">elivery </w:t>
      </w:r>
      <w:r w:rsidR="00F71028">
        <w:t>P</w:t>
      </w:r>
      <w:r>
        <w:t>lan.</w:t>
      </w:r>
    </w:p>
    <w:p w14:paraId="740D35AE" w14:textId="62C77E3E" w:rsidR="000D5EC1" w:rsidRPr="0041412A" w:rsidRDefault="000D5EC1" w:rsidP="000D5EC1">
      <w:pPr>
        <w:pStyle w:val="ListParagraph"/>
        <w:numPr>
          <w:ilvl w:val="0"/>
          <w:numId w:val="6"/>
        </w:numPr>
        <w:ind w:left="357" w:hanging="357"/>
        <w:contextualSpacing w:val="0"/>
      </w:pPr>
      <w:r w:rsidRPr="0041412A">
        <w:t xml:space="preserve">Subject field of education identifier — providers </w:t>
      </w:r>
      <w:r w:rsidR="00516D4D">
        <w:t>should refer</w:t>
      </w:r>
      <w:r w:rsidRPr="0041412A">
        <w:t xml:space="preserve"> to the Statistical Guidelines (p. </w:t>
      </w:r>
      <w:r>
        <w:t> </w:t>
      </w:r>
      <w:r w:rsidRPr="0041412A">
        <w:t>48).</w:t>
      </w:r>
    </w:p>
    <w:p w14:paraId="0FCF5AEC" w14:textId="2A81B386" w:rsidR="000D5EC1" w:rsidRDefault="000D5EC1" w:rsidP="000D5EC1">
      <w:pPr>
        <w:pStyle w:val="ListParagraph"/>
        <w:numPr>
          <w:ilvl w:val="0"/>
          <w:numId w:val="6"/>
        </w:numPr>
        <w:ind w:left="357" w:hanging="357"/>
        <w:contextualSpacing w:val="0"/>
      </w:pPr>
      <w:r w:rsidRPr="0041412A">
        <w:t>Subject nominal hours</w:t>
      </w:r>
      <w:r>
        <w:t>,</w:t>
      </w:r>
      <w:r w:rsidRPr="0041412A">
        <w:t xml:space="preserve"> referred to as ‘Program </w:t>
      </w:r>
      <w:r>
        <w:t>Student Contact</w:t>
      </w:r>
      <w:r w:rsidRPr="0041412A">
        <w:t xml:space="preserve"> Hours’.</w:t>
      </w:r>
      <w:r>
        <w:t xml:space="preserve"> This must be entered in the SMS exactly as reported in the approved </w:t>
      </w:r>
      <w:r w:rsidR="00F71028">
        <w:t>D</w:t>
      </w:r>
      <w:r>
        <w:t xml:space="preserve">elivery </w:t>
      </w:r>
      <w:r w:rsidR="00F71028">
        <w:t>P</w:t>
      </w:r>
      <w:r>
        <w:t>lan.</w:t>
      </w:r>
    </w:p>
    <w:p w14:paraId="56D7989E" w14:textId="5AD03987" w:rsidR="00DC7B0A" w:rsidRDefault="000D5EC1" w:rsidP="000D5EC1">
      <w:pPr>
        <w:pStyle w:val="ListParagraph"/>
        <w:numPr>
          <w:ilvl w:val="0"/>
          <w:numId w:val="6"/>
        </w:numPr>
        <w:ind w:left="357" w:hanging="357"/>
        <w:contextualSpacing w:val="0"/>
      </w:pPr>
      <w:r w:rsidRPr="0041412A">
        <w:t>Subject VET Flag — All Pre-accredited training delivered under an ACFE Board Service Agreement should have the VET Flag set to Y.</w:t>
      </w:r>
    </w:p>
    <w:p w14:paraId="5E430BEC" w14:textId="77777777" w:rsidR="009304BA" w:rsidRDefault="009304BA">
      <w:pPr>
        <w:rPr>
          <w:bCs/>
          <w:i/>
          <w:iCs/>
          <w:snapToGrid w:val="0"/>
          <w:color w:val="364283"/>
          <w:sz w:val="24"/>
          <w:szCs w:val="24"/>
        </w:rPr>
      </w:pPr>
      <w:r>
        <w:rPr>
          <w:bCs/>
          <w:i/>
          <w:iCs/>
          <w:snapToGrid w:val="0"/>
          <w:color w:val="364283"/>
          <w:sz w:val="24"/>
          <w:szCs w:val="24"/>
        </w:rPr>
        <w:br w:type="page"/>
      </w:r>
    </w:p>
    <w:p w14:paraId="6D5B530B" w14:textId="0FA5949D" w:rsidR="00D67071" w:rsidRPr="0083576C" w:rsidRDefault="009C6373" w:rsidP="0040062E">
      <w:pPr>
        <w:rPr>
          <w:bCs/>
          <w:i/>
          <w:iCs/>
          <w:snapToGrid w:val="0"/>
          <w:color w:val="364283"/>
          <w:sz w:val="24"/>
          <w:szCs w:val="24"/>
        </w:rPr>
      </w:pPr>
      <w:r w:rsidRPr="0083576C">
        <w:rPr>
          <w:bCs/>
          <w:i/>
          <w:iCs/>
          <w:snapToGrid w:val="0"/>
          <w:color w:val="364283"/>
          <w:sz w:val="24"/>
          <w:szCs w:val="24"/>
        </w:rPr>
        <w:lastRenderedPageBreak/>
        <w:t xml:space="preserve">Training Activity — </w:t>
      </w:r>
      <w:r w:rsidR="00D67071" w:rsidRPr="0083576C">
        <w:rPr>
          <w:bCs/>
          <w:i/>
          <w:iCs/>
          <w:snapToGrid w:val="0"/>
          <w:color w:val="364283"/>
          <w:sz w:val="24"/>
          <w:szCs w:val="24"/>
        </w:rPr>
        <w:t>fees and charges</w:t>
      </w:r>
      <w:r w:rsidRPr="0083576C">
        <w:rPr>
          <w:bCs/>
          <w:i/>
          <w:iCs/>
          <w:snapToGrid w:val="0"/>
          <w:color w:val="364283"/>
          <w:sz w:val="24"/>
          <w:szCs w:val="24"/>
        </w:rPr>
        <w:t xml:space="preserve"> (NAT00120) data entry screen</w:t>
      </w:r>
    </w:p>
    <w:p w14:paraId="2D3CC8D7" w14:textId="77777777" w:rsidR="00D67071" w:rsidRPr="0083576C" w:rsidRDefault="00D67071" w:rsidP="00D67071">
      <w:pPr>
        <w:pStyle w:val="ListParagraph"/>
        <w:numPr>
          <w:ilvl w:val="0"/>
          <w:numId w:val="6"/>
        </w:numPr>
        <w:ind w:left="357" w:hanging="357"/>
        <w:contextualSpacing w:val="0"/>
      </w:pPr>
      <w:r w:rsidRPr="0083576C">
        <w:t xml:space="preserve">Client Tuition Fee — report the tuition fee amount that a student has been charged for an enrolment. </w:t>
      </w:r>
    </w:p>
    <w:p w14:paraId="0FF1B5E7" w14:textId="77777777" w:rsidR="00D67071" w:rsidRPr="0083576C" w:rsidRDefault="00D67071" w:rsidP="00D67071">
      <w:pPr>
        <w:pStyle w:val="ListParagraph"/>
        <w:numPr>
          <w:ilvl w:val="1"/>
          <w:numId w:val="6"/>
        </w:numPr>
        <w:spacing w:after="120"/>
        <w:ind w:left="714" w:hanging="357"/>
        <w:contextualSpacing w:val="0"/>
      </w:pPr>
      <w:r w:rsidRPr="0083576C">
        <w:t>In 2022, Learn Locals can charge a Tuition Fee of up to $1.08 per hour of training for all learners.</w:t>
      </w:r>
    </w:p>
    <w:p w14:paraId="46DC1192" w14:textId="75D5160D" w:rsidR="00D67071" w:rsidRPr="0083576C" w:rsidRDefault="00D67071" w:rsidP="00D67071">
      <w:pPr>
        <w:pStyle w:val="ListParagraph"/>
        <w:numPr>
          <w:ilvl w:val="1"/>
          <w:numId w:val="6"/>
        </w:numPr>
        <w:spacing w:after="120"/>
        <w:ind w:left="714" w:hanging="357"/>
        <w:contextualSpacing w:val="0"/>
      </w:pPr>
      <w:r w:rsidRPr="0083576C">
        <w:t xml:space="preserve">Concessional Tuition Fee arrangements apply for learners who hold either a Health, Pensioner Concession or Veteran’s Gold Card at the time of their enrolment. In 2022, </w:t>
      </w:r>
      <w:r w:rsidR="00516D4D" w:rsidRPr="0083576C">
        <w:t xml:space="preserve">total </w:t>
      </w:r>
      <w:r w:rsidRPr="0083576C">
        <w:t xml:space="preserve">tuition fees for concessional learner </w:t>
      </w:r>
      <w:r w:rsidR="00516D4D" w:rsidRPr="0083576C">
        <w:t xml:space="preserve">are </w:t>
      </w:r>
      <w:r w:rsidRPr="0083576C">
        <w:t xml:space="preserve">capped at a maximum of $50 per annum for all subject enrolments in any individual Learn local. </w:t>
      </w:r>
      <w:r w:rsidRPr="0083576C">
        <w:rPr>
          <w:u w:val="single"/>
        </w:rPr>
        <w:t>Please note that most Student Management System software packages will not provide warnings when aggregate fees exceed this cap for eligible students.</w:t>
      </w:r>
    </w:p>
    <w:p w14:paraId="039ADFCA" w14:textId="77777777" w:rsidR="00D67071" w:rsidRPr="0083576C" w:rsidRDefault="00D67071" w:rsidP="00D67071">
      <w:pPr>
        <w:ind w:left="357"/>
      </w:pPr>
      <w:r w:rsidRPr="0083576C">
        <w:t xml:space="preserve">The tuition fee amount must be entered in an hourly rate in </w:t>
      </w:r>
      <w:r w:rsidRPr="009304BA">
        <w:rPr>
          <w:b/>
          <w:bCs/>
          <w:u w:val="single"/>
        </w:rPr>
        <w:t>cents per hour</w:t>
      </w:r>
      <w:r w:rsidRPr="0083576C">
        <w:t xml:space="preserve"> excluding GST (that is, 77 not 0.77). This field must be 00000 where no such fees/costs are charged. This field must not be blank.</w:t>
      </w:r>
    </w:p>
    <w:p w14:paraId="67880260" w14:textId="3B7CA591" w:rsidR="00D67071" w:rsidRPr="0083576C" w:rsidRDefault="00D67071" w:rsidP="00D67071">
      <w:pPr>
        <w:pStyle w:val="ListParagraph"/>
        <w:numPr>
          <w:ilvl w:val="0"/>
          <w:numId w:val="6"/>
        </w:numPr>
        <w:ind w:left="357" w:hanging="357"/>
        <w:contextualSpacing w:val="0"/>
      </w:pPr>
      <w:r w:rsidRPr="0083576C">
        <w:t xml:space="preserve">Client Fees Other — report all ‘non-tuition’ fees and charges that a student must pay to undertake the training. This includes </w:t>
      </w:r>
      <w:r w:rsidR="00516D4D" w:rsidRPr="0083576C">
        <w:t xml:space="preserve">charges such as </w:t>
      </w:r>
      <w:r w:rsidRPr="0083576C">
        <w:t>materials and equipment, amenities and administration</w:t>
      </w:r>
      <w:r w:rsidR="00516D4D" w:rsidRPr="0083576C">
        <w:t xml:space="preserve"> </w:t>
      </w:r>
      <w:r w:rsidRPr="0083576C">
        <w:t xml:space="preserve">costs charged to the students/sponsor as part of an enrolment requirement when undertaking training. The non-tuition fee amount must be entered in </w:t>
      </w:r>
      <w:r w:rsidRPr="009304BA">
        <w:rPr>
          <w:b/>
          <w:bCs/>
          <w:u w:val="single"/>
        </w:rPr>
        <w:t>cents per subject</w:t>
      </w:r>
      <w:r w:rsidRPr="0083576C">
        <w:t xml:space="preserve"> enrolment excluding GST. This field must be 00000 where no such fees/costs are charged. This field must not be blank.</w:t>
      </w: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9482"/>
      </w:tblGrid>
      <w:tr w:rsidR="00CE4962" w:rsidRPr="00DA022A" w14:paraId="2C0B61D4" w14:textId="77777777" w:rsidTr="005D3600">
        <w:tc>
          <w:tcPr>
            <w:tcW w:w="142" w:type="dxa"/>
            <w:tcBorders>
              <w:left w:val="single" w:sz="12" w:space="0" w:color="0044B2"/>
            </w:tcBorders>
          </w:tcPr>
          <w:p w14:paraId="26875FB9" w14:textId="77777777" w:rsidR="00CE4962" w:rsidRPr="00DA022A" w:rsidRDefault="00CE4962" w:rsidP="005D3600">
            <w:pPr>
              <w:pStyle w:val="BodyText1"/>
              <w:rPr>
                <w:rFonts w:ascii="Century Gothic" w:hAnsi="Century Gothic"/>
                <w:color w:val="auto"/>
              </w:rPr>
            </w:pPr>
          </w:p>
        </w:tc>
        <w:tc>
          <w:tcPr>
            <w:tcW w:w="9482" w:type="dxa"/>
            <w:shd w:val="clear" w:color="auto" w:fill="D1E5FF"/>
          </w:tcPr>
          <w:p w14:paraId="326FF5D4" w14:textId="1A140208" w:rsidR="00CE4962" w:rsidRDefault="00CE4962" w:rsidP="005D3600">
            <w:pPr>
              <w:pStyle w:val="BodyText1"/>
              <w:ind w:left="113" w:right="113"/>
              <w:rPr>
                <w:rFonts w:ascii="Century Gothic" w:hAnsi="Century Gothic"/>
                <w:color w:val="auto"/>
              </w:rPr>
            </w:pPr>
            <w:r>
              <w:rPr>
                <w:rFonts w:ascii="Century Gothic" w:hAnsi="Century Gothic"/>
                <w:color w:val="auto"/>
              </w:rPr>
              <w:t xml:space="preserve">To assist you with setting up you Student Management System you </w:t>
            </w:r>
            <w:r w:rsidR="009304BA">
              <w:rPr>
                <w:rFonts w:ascii="Century Gothic" w:hAnsi="Century Gothic"/>
                <w:color w:val="auto"/>
              </w:rPr>
              <w:t>can request</w:t>
            </w:r>
            <w:r>
              <w:rPr>
                <w:rFonts w:ascii="Century Gothic" w:hAnsi="Century Gothic"/>
                <w:color w:val="auto"/>
              </w:rPr>
              <w:t xml:space="preserve"> a summary of key setting for each program you have been contracted to deliver as part of the 2022 EOI (</w:t>
            </w:r>
            <w:r w:rsidR="00EF615C">
              <w:rPr>
                <w:rFonts w:ascii="Century Gothic" w:hAnsi="Century Gothic"/>
                <w:b/>
                <w:bCs/>
                <w:color w:val="auto"/>
              </w:rPr>
              <w:t>Figure</w:t>
            </w:r>
            <w:r w:rsidRPr="00CE4962">
              <w:rPr>
                <w:rFonts w:ascii="Century Gothic" w:hAnsi="Century Gothic"/>
                <w:b/>
                <w:bCs/>
                <w:color w:val="auto"/>
              </w:rPr>
              <w:t xml:space="preserve"> 1</w:t>
            </w:r>
            <w:r>
              <w:rPr>
                <w:rFonts w:ascii="Century Gothic" w:hAnsi="Century Gothic"/>
                <w:color w:val="auto"/>
              </w:rPr>
              <w:t>).</w:t>
            </w:r>
          </w:p>
          <w:p w14:paraId="154C52A6" w14:textId="0DE89FC7" w:rsidR="00CE4962" w:rsidRPr="00DA022A" w:rsidRDefault="00CE4962" w:rsidP="00CE4962">
            <w:pPr>
              <w:pStyle w:val="BodyText1"/>
              <w:ind w:left="113" w:right="113"/>
              <w:rPr>
                <w:rFonts w:ascii="Century Gothic" w:hAnsi="Century Gothic"/>
                <w:color w:val="auto"/>
              </w:rPr>
            </w:pPr>
            <w:r>
              <w:rPr>
                <w:rFonts w:ascii="Century Gothic" w:hAnsi="Century Gothic"/>
                <w:color w:val="auto"/>
              </w:rPr>
              <w:t xml:space="preserve">Please </w:t>
            </w:r>
            <w:r w:rsidR="00CC56F3">
              <w:rPr>
                <w:rFonts w:ascii="Century Gothic" w:hAnsi="Century Gothic"/>
                <w:color w:val="auto"/>
              </w:rPr>
              <w:t>contact</w:t>
            </w:r>
            <w:r>
              <w:rPr>
                <w:rFonts w:ascii="Century Gothic" w:hAnsi="Century Gothic"/>
                <w:color w:val="auto"/>
              </w:rPr>
              <w:t xml:space="preserve"> your regional team if you </w:t>
            </w:r>
            <w:r w:rsidR="00EF615C">
              <w:rPr>
                <w:rFonts w:ascii="Century Gothic" w:hAnsi="Century Gothic"/>
                <w:color w:val="auto"/>
              </w:rPr>
              <w:t>require</w:t>
            </w:r>
            <w:r>
              <w:rPr>
                <w:rFonts w:ascii="Century Gothic" w:hAnsi="Century Gothic"/>
                <w:color w:val="auto"/>
              </w:rPr>
              <w:t xml:space="preserve"> this summary.</w:t>
            </w:r>
          </w:p>
        </w:tc>
      </w:tr>
      <w:tr w:rsidR="00CE4962" w:rsidRPr="00B30EE1" w14:paraId="719B3B74" w14:textId="77777777" w:rsidTr="005D3600">
        <w:trPr>
          <w:hidden/>
        </w:trPr>
        <w:tc>
          <w:tcPr>
            <w:tcW w:w="142" w:type="dxa"/>
          </w:tcPr>
          <w:p w14:paraId="4BB4CC58" w14:textId="77777777" w:rsidR="00CE4962" w:rsidRPr="00B30EE1" w:rsidRDefault="00CE4962" w:rsidP="005D3600">
            <w:pPr>
              <w:pStyle w:val="BodyText"/>
              <w:keepNext w:val="0"/>
              <w:keepLines/>
              <w:spacing w:before="0" w:line="240" w:lineRule="auto"/>
              <w:rPr>
                <w:rFonts w:ascii="Century Gothic" w:hAnsi="Century Gothic"/>
                <w:sz w:val="12"/>
                <w:szCs w:val="12"/>
              </w:rPr>
            </w:pPr>
          </w:p>
        </w:tc>
        <w:tc>
          <w:tcPr>
            <w:tcW w:w="9482" w:type="dxa"/>
            <w:shd w:val="clear" w:color="auto" w:fill="auto"/>
          </w:tcPr>
          <w:p w14:paraId="72102D00" w14:textId="77777777" w:rsidR="00CE4962" w:rsidRPr="00B30EE1" w:rsidRDefault="00CE4962" w:rsidP="005D3600">
            <w:pPr>
              <w:pStyle w:val="BodyText"/>
              <w:keepNext w:val="0"/>
              <w:keepLines/>
              <w:spacing w:before="0" w:line="240" w:lineRule="auto"/>
              <w:rPr>
                <w:rFonts w:ascii="Century Gothic" w:hAnsi="Century Gothic"/>
                <w:sz w:val="12"/>
                <w:szCs w:val="12"/>
              </w:rPr>
            </w:pPr>
          </w:p>
        </w:tc>
      </w:tr>
    </w:tbl>
    <w:p w14:paraId="779B4B01" w14:textId="16BB227E" w:rsidR="001807A9" w:rsidRDefault="001807A9" w:rsidP="00DA022A"/>
    <w:p w14:paraId="0CC4BFA7" w14:textId="77777777" w:rsidR="0041412A" w:rsidRPr="00CA55ED" w:rsidRDefault="0041412A" w:rsidP="00DA022A">
      <w:pPr>
        <w:pStyle w:val="Heading1"/>
      </w:pPr>
      <w:r w:rsidRPr="00CA55ED">
        <w:t>How can you help improve these guidelines?</w:t>
      </w:r>
    </w:p>
    <w:p w14:paraId="5A869E9C" w14:textId="62561EEF" w:rsidR="0041412A" w:rsidRDefault="0041412A" w:rsidP="00DA022A">
      <w:r w:rsidRPr="00CA55ED">
        <w:t>The Department is committed to continually improving these guidelines to ensure they are accessible to users and have the information that encourages high-quality, timely reporting. If you have suggestions for improvement, please contact</w:t>
      </w:r>
      <w:r>
        <w:t xml:space="preserve"> </w:t>
      </w:r>
      <w:hyperlink r:id="rId20" w:history="1">
        <w:r w:rsidRPr="0041412A">
          <w:rPr>
            <w:color w:val="0000FF"/>
            <w:u w:val="single"/>
          </w:rPr>
          <w:t>training.participation@education.vic.gov.au</w:t>
        </w:r>
      </w:hyperlink>
      <w:r w:rsidRPr="0041412A">
        <w:rPr>
          <w:color w:val="auto"/>
        </w:rPr>
        <w:t>.</w:t>
      </w:r>
    </w:p>
    <w:p w14:paraId="34EAC13A" w14:textId="77777777" w:rsidR="00EF615C" w:rsidRDefault="00EF615C"/>
    <w:p w14:paraId="4028FA6A" w14:textId="29A141F5" w:rsidR="00EF615C" w:rsidRPr="005A48E8" w:rsidRDefault="00EF615C" w:rsidP="00EF615C">
      <w:pPr>
        <w:pStyle w:val="Heading4"/>
        <w:rPr>
          <w:b/>
          <w:bCs w:val="0"/>
          <w:i w:val="0"/>
          <w:iCs w:val="0"/>
        </w:rPr>
      </w:pPr>
      <w:r>
        <w:rPr>
          <w:i w:val="0"/>
          <w:iCs w:val="0"/>
        </w:rPr>
        <w:lastRenderedPageBreak/>
        <w:t>Figure 1</w:t>
      </w:r>
      <w:r w:rsidRPr="005A48E8">
        <w:rPr>
          <w:b/>
          <w:bCs w:val="0"/>
          <w:i w:val="0"/>
          <w:iCs w:val="0"/>
        </w:rPr>
        <w:t xml:space="preserve"> </w:t>
      </w:r>
      <w:r w:rsidR="009304BA">
        <w:rPr>
          <w:b/>
          <w:bCs w:val="0"/>
          <w:i w:val="0"/>
          <w:iCs w:val="0"/>
        </w:rPr>
        <w:t xml:space="preserve">Example </w:t>
      </w:r>
      <w:r w:rsidRPr="00EF615C">
        <w:rPr>
          <w:b/>
          <w:bCs w:val="0"/>
          <w:i w:val="0"/>
          <w:iCs w:val="0"/>
        </w:rPr>
        <w:t>2022 EOI SMS Completion Summary</w:t>
      </w:r>
    </w:p>
    <w:p w14:paraId="0F833724" w14:textId="52BF8041" w:rsidR="00CE4962" w:rsidRPr="00CE4962" w:rsidRDefault="009F7F4A" w:rsidP="00EF615C">
      <w:pPr>
        <w:jc w:val="center"/>
      </w:pPr>
      <w:r w:rsidRPr="009F7F4A">
        <w:rPr>
          <w:noProof/>
        </w:rPr>
        <w:drawing>
          <wp:inline distT="0" distB="0" distL="0" distR="0" wp14:anchorId="79BCD539" wp14:editId="67BADD67">
            <wp:extent cx="5934574" cy="4932137"/>
            <wp:effectExtent l="5715"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5948042" cy="4943330"/>
                    </a:xfrm>
                    <a:prstGeom prst="rect">
                      <a:avLst/>
                    </a:prstGeom>
                    <a:noFill/>
                    <a:ln>
                      <a:noFill/>
                    </a:ln>
                  </pic:spPr>
                </pic:pic>
              </a:graphicData>
            </a:graphic>
          </wp:inline>
        </w:drawing>
      </w:r>
    </w:p>
    <w:sectPr w:rsidR="00CE4962" w:rsidRPr="00CE4962" w:rsidSect="005B0E05">
      <w:headerReference w:type="even" r:id="rId22"/>
      <w:headerReference w:type="default" r:id="rId23"/>
      <w:footerReference w:type="even" r:id="rId24"/>
      <w:footerReference w:type="default" r:id="rId25"/>
      <w:footerReference w:type="first" r:id="rId26"/>
      <w:pgSz w:w="11906" w:h="16838"/>
      <w:pgMar w:top="709"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1403" w14:textId="77777777" w:rsidR="001020B9" w:rsidRDefault="001020B9" w:rsidP="00DA022A">
      <w:r>
        <w:separator/>
      </w:r>
    </w:p>
    <w:p w14:paraId="7E1D7CD8" w14:textId="77777777" w:rsidR="001020B9" w:rsidRDefault="001020B9" w:rsidP="00DA022A"/>
  </w:endnote>
  <w:endnote w:type="continuationSeparator" w:id="0">
    <w:p w14:paraId="04E63332" w14:textId="77777777" w:rsidR="001020B9" w:rsidRDefault="001020B9" w:rsidP="00DA022A">
      <w:r>
        <w:continuationSeparator/>
      </w:r>
    </w:p>
    <w:p w14:paraId="0E46C9A7" w14:textId="77777777" w:rsidR="001020B9" w:rsidRDefault="001020B9" w:rsidP="00DA0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5B0E05">
      <w:tc>
        <w:tcPr>
          <w:tcW w:w="4817" w:type="dxa"/>
          <w:vAlign w:val="bottom"/>
        </w:tcPr>
        <w:sdt>
          <w:sdtPr>
            <w:id w:val="-963423568"/>
            <w:docPartObj>
              <w:docPartGallery w:val="Page Numbers (Bottom of Page)"/>
              <w:docPartUnique/>
            </w:docPartObj>
          </w:sdtPr>
          <w:sdtEndPr/>
          <w:sdtContent>
            <w:sdt>
              <w:sdtPr>
                <w:id w:val="2040235685"/>
                <w:docPartObj>
                  <w:docPartGallery w:val="Page Numbers (Top of Page)"/>
                  <w:docPartUnique/>
                </w:docPartObj>
              </w:sdtPr>
              <w:sdtEndPr/>
              <w:sdtContent>
                <w:p w14:paraId="1A113FF2" w14:textId="3AAAD8AF" w:rsidR="005B0E05" w:rsidRPr="000F6D03" w:rsidRDefault="005B0E05" w:rsidP="00DA022A">
                  <w:pPr>
                    <w:pStyle w:val="Footer"/>
                  </w:pPr>
                  <w:r w:rsidRPr="000F6D03">
                    <w:t xml:space="preserve">Page </w:t>
                  </w:r>
                  <w:r w:rsidRPr="000F6D03">
                    <w:fldChar w:fldCharType="begin"/>
                  </w:r>
                  <w:r w:rsidRPr="000F6D03">
                    <w:instrText xml:space="preserve"> PAGE </w:instrText>
                  </w:r>
                  <w:r w:rsidRPr="000F6D03">
                    <w:fldChar w:fldCharType="separate"/>
                  </w:r>
                  <w:r w:rsidRPr="000F6D03">
                    <w:t>1</w:t>
                  </w:r>
                  <w:r w:rsidRPr="000F6D03">
                    <w:fldChar w:fldCharType="end"/>
                  </w:r>
                  <w:r w:rsidRPr="000F6D03">
                    <w:t xml:space="preserve"> of </w:t>
                  </w:r>
                  <w:fldSimple w:instr=" NUMPAGES  ">
                    <w:r w:rsidRPr="000F6D03">
                      <w:t>3</w:t>
                    </w:r>
                  </w:fldSimple>
                </w:p>
              </w:sdtContent>
            </w:sdt>
          </w:sdtContent>
        </w:sdt>
      </w:tc>
      <w:tc>
        <w:tcPr>
          <w:tcW w:w="4817" w:type="dxa"/>
          <w:vMerge w:val="restart"/>
          <w:vAlign w:val="bottom"/>
        </w:tcPr>
        <w:p w14:paraId="1695AF63" w14:textId="17EEA771" w:rsidR="005B0E05" w:rsidRPr="000F6D03" w:rsidRDefault="005B0E05" w:rsidP="00DA022A">
          <w:pPr>
            <w:pStyle w:val="Footer"/>
            <w:rPr>
              <w:b/>
              <w:bCs/>
            </w:rPr>
          </w:pPr>
          <w:r w:rsidRPr="00724E76">
            <w:rPr>
              <w:bCs/>
            </w:rPr>
            <w:t xml:space="preserve">Published </w:t>
          </w:r>
          <w:r w:rsidR="00C30E25">
            <w:rPr>
              <w:bCs/>
            </w:rPr>
            <w:t>11</w:t>
          </w:r>
          <w:r w:rsidR="00AB08FE">
            <w:rPr>
              <w:bCs/>
            </w:rPr>
            <w:t xml:space="preserve"> February</w:t>
          </w:r>
          <w:r w:rsidR="00AB08FE" w:rsidRPr="00724E76">
            <w:rPr>
              <w:bCs/>
            </w:rPr>
            <w:t xml:space="preserve"> </w:t>
          </w:r>
          <w:r w:rsidR="00EF615C">
            <w:rPr>
              <w:bCs/>
            </w:rPr>
            <w:t>2022</w:t>
          </w:r>
          <w:r>
            <w:rPr>
              <w:bCs/>
            </w:rPr>
            <w:br/>
          </w:r>
          <w:r w:rsidRPr="00724E76">
            <w:t>This is a guide only and subject to change</w:t>
          </w:r>
        </w:p>
      </w:tc>
    </w:tr>
    <w:tr w:rsidR="005B0E05" w14:paraId="7C0259FC" w14:textId="077624C3" w:rsidTr="005B0E05">
      <w:tc>
        <w:tcPr>
          <w:tcW w:w="4817" w:type="dxa"/>
          <w:vAlign w:val="bottom"/>
        </w:tcPr>
        <w:p w14:paraId="45D79F2D" w14:textId="77777777" w:rsidR="005B0E05" w:rsidRPr="00C66042" w:rsidRDefault="005B0E05" w:rsidP="00DA022A">
          <w:pPr>
            <w:pStyle w:val="Foote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DA022A">
          <w:pPr>
            <w:pStyle w:val="Footer"/>
            <w:rPr>
              <w:noProof/>
            </w:rPr>
          </w:pPr>
        </w:p>
      </w:tc>
    </w:tr>
  </w:tbl>
  <w:p w14:paraId="23DA8D75" w14:textId="77777777" w:rsidR="005B0E05" w:rsidRPr="005B0E05" w:rsidRDefault="005B0E05" w:rsidP="00DA0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724E76" w:rsidRPr="00724E76" w14:paraId="3AAA9B19" w14:textId="77777777" w:rsidTr="00724E76">
      <w:tc>
        <w:tcPr>
          <w:tcW w:w="4815" w:type="dxa"/>
          <w:vMerge w:val="restart"/>
          <w:vAlign w:val="bottom"/>
        </w:tcPr>
        <w:p w14:paraId="7053C579" w14:textId="12B7D6DC" w:rsidR="00724E76" w:rsidRPr="00724E76" w:rsidRDefault="00724E76" w:rsidP="00DA022A">
          <w:pPr>
            <w:pStyle w:val="Footer"/>
          </w:pPr>
          <w:r w:rsidRPr="00724E76">
            <w:rPr>
              <w:bCs/>
            </w:rPr>
            <w:t>Published</w:t>
          </w:r>
          <w:r w:rsidR="009341C3" w:rsidRPr="00724E76">
            <w:rPr>
              <w:bCs/>
            </w:rPr>
            <w:t xml:space="preserve"> </w:t>
          </w:r>
          <w:r w:rsidR="00C30E25">
            <w:rPr>
              <w:bCs/>
            </w:rPr>
            <w:t>11</w:t>
          </w:r>
          <w:r w:rsidR="009341C3">
            <w:rPr>
              <w:bCs/>
            </w:rPr>
            <w:t xml:space="preserve"> </w:t>
          </w:r>
          <w:r w:rsidR="00AB08FE">
            <w:rPr>
              <w:bCs/>
            </w:rPr>
            <w:t>February</w:t>
          </w:r>
          <w:r w:rsidR="009341C3" w:rsidRPr="00724E76">
            <w:rPr>
              <w:bCs/>
            </w:rPr>
            <w:t xml:space="preserve"> </w:t>
          </w:r>
          <w:r w:rsidR="00EF615C">
            <w:rPr>
              <w:bCs/>
            </w:rPr>
            <w:t>2022</w:t>
          </w:r>
          <w:r>
            <w:rPr>
              <w:bCs/>
            </w:rPr>
            <w:br/>
          </w:r>
          <w:r w:rsidRPr="00724E76">
            <w:t>This is a guide only and subject to change</w:t>
          </w:r>
        </w:p>
      </w:tc>
      <w:tc>
        <w:tcPr>
          <w:tcW w:w="4813" w:type="dxa"/>
        </w:tcPr>
        <w:sdt>
          <w:sdtPr>
            <w:id w:val="-666636751"/>
            <w:docPartObj>
              <w:docPartGallery w:val="Page Numbers (Bottom of Page)"/>
              <w:docPartUnique/>
            </w:docPartObj>
          </w:sdtPr>
          <w:sdtEndPr/>
          <w:sdtContent>
            <w:sdt>
              <w:sdtPr>
                <w:id w:val="-1769616900"/>
                <w:docPartObj>
                  <w:docPartGallery w:val="Page Numbers (Top of Page)"/>
                  <w:docPartUnique/>
                </w:docPartObj>
              </w:sdtPr>
              <w:sdtEndPr/>
              <w:sdtContent>
                <w:p w14:paraId="17F8B0FD" w14:textId="2783BE67" w:rsidR="00724E76" w:rsidRPr="000F6D03" w:rsidRDefault="00724E76" w:rsidP="00DA022A">
                  <w:pPr>
                    <w:pStyle w:val="Footer"/>
                  </w:pPr>
                  <w:r w:rsidRPr="000F6D03">
                    <w:t xml:space="preserve">Page </w:t>
                  </w:r>
                  <w:r w:rsidRPr="000F6D03">
                    <w:fldChar w:fldCharType="begin"/>
                  </w:r>
                  <w:r w:rsidRPr="000F6D03">
                    <w:instrText xml:space="preserve"> PAGE </w:instrText>
                  </w:r>
                  <w:r w:rsidRPr="000F6D03">
                    <w:fldChar w:fldCharType="separate"/>
                  </w:r>
                  <w:r w:rsidRPr="000F6D03">
                    <w:t>1</w:t>
                  </w:r>
                  <w:r w:rsidRPr="000F6D03">
                    <w:fldChar w:fldCharType="end"/>
                  </w:r>
                  <w:r w:rsidRPr="000F6D03">
                    <w:t xml:space="preserve"> of </w:t>
                  </w:r>
                  <w:fldSimple w:instr=" NUMPAGES  ">
                    <w:r w:rsidRPr="000F6D03">
                      <w:t>3</w:t>
                    </w:r>
                  </w:fldSimple>
                </w:p>
              </w:sdtContent>
            </w:sdt>
          </w:sdtContent>
        </w:sdt>
      </w:tc>
    </w:tr>
    <w:tr w:rsidR="00724E76" w14:paraId="3FDCE093" w14:textId="77777777" w:rsidTr="00724E76">
      <w:tc>
        <w:tcPr>
          <w:tcW w:w="4815" w:type="dxa"/>
          <w:vMerge/>
        </w:tcPr>
        <w:p w14:paraId="73AEDD67" w14:textId="77777777" w:rsidR="00724E76" w:rsidRPr="00C66042" w:rsidRDefault="00724E76" w:rsidP="00DA022A">
          <w:pPr>
            <w:pStyle w:val="Footer"/>
          </w:pPr>
        </w:p>
      </w:tc>
      <w:tc>
        <w:tcPr>
          <w:tcW w:w="4813" w:type="dxa"/>
        </w:tcPr>
        <w:p w14:paraId="7A879E9D" w14:textId="298E11BE" w:rsidR="00724E76" w:rsidRPr="00C66042" w:rsidRDefault="00724E76" w:rsidP="00DA022A">
          <w:pPr>
            <w:pStyle w:val="Footer"/>
          </w:pPr>
          <w:r>
            <w:rPr>
              <w:noProof/>
            </w:rPr>
            <w:drawing>
              <wp:inline distT="0" distB="0" distL="0" distR="0" wp14:anchorId="4A4B7599" wp14:editId="4BEB44AD">
                <wp:extent cx="2471931" cy="494115"/>
                <wp:effectExtent l="0" t="0" r="5080" b="1270"/>
                <wp:docPr id="17"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33B6C519" w14:textId="2E908B30" w:rsidR="00724E76" w:rsidRPr="00724E76" w:rsidRDefault="00724E76" w:rsidP="00DA0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5B0E05" w:rsidRPr="00724E76" w14:paraId="2281BE55" w14:textId="77777777" w:rsidTr="000C6B0E">
      <w:tc>
        <w:tcPr>
          <w:tcW w:w="4815" w:type="dxa"/>
          <w:vMerge w:val="restart"/>
          <w:vAlign w:val="bottom"/>
        </w:tcPr>
        <w:p w14:paraId="6E9DD115" w14:textId="205771D6" w:rsidR="005B0E05" w:rsidRPr="00724E76" w:rsidRDefault="005B0E05" w:rsidP="00DA022A">
          <w:pPr>
            <w:pStyle w:val="Footer"/>
          </w:pPr>
          <w:r w:rsidRPr="00724E76">
            <w:rPr>
              <w:bCs/>
            </w:rPr>
            <w:t xml:space="preserve">Published </w:t>
          </w:r>
          <w:r w:rsidR="00C30E25">
            <w:rPr>
              <w:bCs/>
            </w:rPr>
            <w:t>11</w:t>
          </w:r>
          <w:r w:rsidR="00AB08FE">
            <w:rPr>
              <w:bCs/>
            </w:rPr>
            <w:t xml:space="preserve"> February</w:t>
          </w:r>
          <w:r w:rsidR="00AB08FE" w:rsidRPr="00724E76">
            <w:rPr>
              <w:bCs/>
            </w:rPr>
            <w:t xml:space="preserve"> </w:t>
          </w:r>
          <w:r w:rsidRPr="00724E76">
            <w:rPr>
              <w:bCs/>
            </w:rPr>
            <w:t>202</w:t>
          </w:r>
          <w:r w:rsidR="00AB08FE">
            <w:rPr>
              <w:bCs/>
            </w:rPr>
            <w:t>2</w:t>
          </w:r>
          <w:r>
            <w:rPr>
              <w:bCs/>
            </w:rPr>
            <w:br/>
          </w:r>
          <w:r w:rsidRPr="00724E76">
            <w:t>This is a guide only and subject to change</w:t>
          </w:r>
        </w:p>
      </w:tc>
      <w:tc>
        <w:tcPr>
          <w:tcW w:w="4813" w:type="dxa"/>
        </w:tcPr>
        <w:sdt>
          <w:sdtPr>
            <w:id w:val="-956797330"/>
            <w:docPartObj>
              <w:docPartGallery w:val="Page Numbers (Bottom of Page)"/>
              <w:docPartUnique/>
            </w:docPartObj>
          </w:sdtPr>
          <w:sdtEndPr/>
          <w:sdtContent>
            <w:sdt>
              <w:sdtPr>
                <w:id w:val="-798141160"/>
                <w:docPartObj>
                  <w:docPartGallery w:val="Page Numbers (Top of Page)"/>
                  <w:docPartUnique/>
                </w:docPartObj>
              </w:sdtPr>
              <w:sdtEndPr/>
              <w:sdtContent>
                <w:p w14:paraId="376B17ED" w14:textId="633E8EF7" w:rsidR="005B0E05" w:rsidRPr="000F6D03" w:rsidRDefault="005B0E05" w:rsidP="00DA022A">
                  <w:pPr>
                    <w:pStyle w:val="Footer"/>
                  </w:pPr>
                  <w:r w:rsidRPr="000F6D03">
                    <w:t xml:space="preserve">Page </w:t>
                  </w:r>
                  <w:r w:rsidRPr="000F6D03">
                    <w:fldChar w:fldCharType="begin"/>
                  </w:r>
                  <w:r w:rsidRPr="000F6D03">
                    <w:instrText xml:space="preserve"> PAGE </w:instrText>
                  </w:r>
                  <w:r w:rsidRPr="000F6D03">
                    <w:fldChar w:fldCharType="separate"/>
                  </w:r>
                  <w:r w:rsidRPr="000F6D03">
                    <w:t>1</w:t>
                  </w:r>
                  <w:r w:rsidRPr="000F6D03">
                    <w:fldChar w:fldCharType="end"/>
                  </w:r>
                  <w:r w:rsidRPr="000F6D03">
                    <w:t xml:space="preserve"> of </w:t>
                  </w:r>
                  <w:fldSimple w:instr=" NUMPAGES  ">
                    <w:r w:rsidRPr="000F6D03">
                      <w:t>3</w:t>
                    </w:r>
                  </w:fldSimple>
                </w:p>
              </w:sdtContent>
            </w:sdt>
          </w:sdtContent>
        </w:sdt>
      </w:tc>
    </w:tr>
    <w:tr w:rsidR="005B0E05" w14:paraId="7677E6E2" w14:textId="77777777" w:rsidTr="000C6B0E">
      <w:tc>
        <w:tcPr>
          <w:tcW w:w="4815" w:type="dxa"/>
          <w:vMerge/>
        </w:tcPr>
        <w:p w14:paraId="666F978C" w14:textId="77777777" w:rsidR="005B0E05" w:rsidRPr="00C66042" w:rsidRDefault="005B0E05" w:rsidP="00DA022A">
          <w:pPr>
            <w:pStyle w:val="Footer"/>
          </w:pPr>
        </w:p>
      </w:tc>
      <w:tc>
        <w:tcPr>
          <w:tcW w:w="4813" w:type="dxa"/>
        </w:tcPr>
        <w:p w14:paraId="6215B970" w14:textId="77777777" w:rsidR="005B0E05" w:rsidRPr="00C66042" w:rsidRDefault="005B0E05" w:rsidP="00DA022A">
          <w:pPr>
            <w:pStyle w:val="Footer"/>
          </w:pPr>
          <w:r>
            <w:rPr>
              <w:noProof/>
            </w:rPr>
            <w:drawing>
              <wp:inline distT="0" distB="0" distL="0" distR="0" wp14:anchorId="70E16D33" wp14:editId="13273C89">
                <wp:extent cx="2471931" cy="494115"/>
                <wp:effectExtent l="0" t="0" r="5080" b="1270"/>
                <wp:docPr id="18" name="Picture 18"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28DA8DBE" w14:textId="77777777" w:rsidR="005B0E05" w:rsidRPr="005B0E05" w:rsidRDefault="005B0E05" w:rsidP="00DA0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E277" w14:textId="77777777" w:rsidR="001020B9" w:rsidRDefault="001020B9" w:rsidP="00DA022A">
      <w:r>
        <w:separator/>
      </w:r>
    </w:p>
    <w:p w14:paraId="6BD2A327" w14:textId="77777777" w:rsidR="001020B9" w:rsidRDefault="001020B9" w:rsidP="00DA022A"/>
  </w:footnote>
  <w:footnote w:type="continuationSeparator" w:id="0">
    <w:p w14:paraId="04076956" w14:textId="77777777" w:rsidR="001020B9" w:rsidRDefault="001020B9" w:rsidP="00DA022A">
      <w:r>
        <w:continuationSeparator/>
      </w:r>
    </w:p>
    <w:p w14:paraId="2B60B25A" w14:textId="77777777" w:rsidR="001020B9" w:rsidRDefault="001020B9" w:rsidP="00DA0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5B0E05">
      <w:tc>
        <w:tcPr>
          <w:tcW w:w="6372" w:type="dxa"/>
        </w:tcPr>
        <w:p w14:paraId="375F9039" w14:textId="1C8EFD82" w:rsidR="005B0E05" w:rsidRPr="005B0E05" w:rsidRDefault="009341C3" w:rsidP="009341C3">
          <w:pPr>
            <w:pStyle w:val="Header"/>
          </w:pPr>
          <w:r>
            <w:t>2022 PRE-ACCREDITED TRAINING DATA REPORTING GUIDELINES</w:t>
          </w:r>
        </w:p>
      </w:tc>
    </w:tr>
    <w:tr w:rsidR="005B0E05" w:rsidRPr="005B0E05" w14:paraId="645AE65A" w14:textId="77777777" w:rsidTr="005B0E05">
      <w:tc>
        <w:tcPr>
          <w:tcW w:w="6372" w:type="dxa"/>
          <w:tcBorders>
            <w:bottom w:val="single" w:sz="8" w:space="0" w:color="364283"/>
          </w:tcBorders>
        </w:tcPr>
        <w:p w14:paraId="20B895E3" w14:textId="77777777" w:rsidR="005B0E05" w:rsidRPr="005B0E05" w:rsidRDefault="005B0E05" w:rsidP="00DA022A">
          <w:pPr>
            <w:pStyle w:val="Header"/>
          </w:pPr>
        </w:p>
      </w:tc>
    </w:tr>
    <w:tr w:rsidR="005B0E05" w:rsidRPr="009D33A3" w14:paraId="2E6ED49B" w14:textId="77777777" w:rsidTr="005B0E05">
      <w:tc>
        <w:tcPr>
          <w:tcW w:w="6372" w:type="dxa"/>
          <w:tcBorders>
            <w:top w:val="single" w:sz="8" w:space="0" w:color="364283"/>
          </w:tcBorders>
        </w:tcPr>
        <w:p w14:paraId="5F5DD986" w14:textId="77777777" w:rsidR="005B0E05" w:rsidRPr="009D33A3" w:rsidRDefault="005B0E05" w:rsidP="00DA022A">
          <w:pPr>
            <w:pStyle w:val="Header"/>
          </w:pPr>
        </w:p>
      </w:tc>
    </w:tr>
  </w:tbl>
  <w:p w14:paraId="781FB568" w14:textId="77777777" w:rsidR="005B0E05" w:rsidRPr="005B0E05" w:rsidRDefault="005B0E05" w:rsidP="00DA022A">
    <w:pPr>
      <w:pStyle w:val="Header"/>
    </w:pPr>
  </w:p>
  <w:p w14:paraId="5E4008B4" w14:textId="77777777" w:rsidR="00CE7EC5" w:rsidRDefault="00CE7EC5" w:rsidP="00DA02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419A8FC2" w:rsidR="005B0E05" w:rsidRPr="005B0E05" w:rsidRDefault="009341C3" w:rsidP="00DA022A">
          <w:pPr>
            <w:pStyle w:val="Header"/>
          </w:pPr>
          <w:r>
            <w:t>2022 PRE-ACCREDITED TRAINING DATA REPORTING GUIDELINES</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DA022A">
          <w:pPr>
            <w:pStyle w:val="Heade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DA022A">
          <w:pPr>
            <w:pStyle w:val="Header"/>
          </w:pPr>
        </w:p>
      </w:tc>
    </w:tr>
  </w:tbl>
  <w:p w14:paraId="73CEFA9B" w14:textId="77777777" w:rsidR="005B0E05" w:rsidRPr="005B0E05" w:rsidRDefault="005B0E05" w:rsidP="00DA022A">
    <w:pPr>
      <w:pStyle w:val="Header"/>
    </w:pPr>
  </w:p>
  <w:p w14:paraId="5946E0A9" w14:textId="77777777" w:rsidR="00CE7EC5" w:rsidRDefault="00CE7EC5" w:rsidP="00DA0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398"/>
    <w:multiLevelType w:val="hybridMultilevel"/>
    <w:tmpl w:val="B8FE9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2B78FA"/>
    <w:multiLevelType w:val="hybridMultilevel"/>
    <w:tmpl w:val="DB2EF9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9F2D97"/>
    <w:multiLevelType w:val="hybridMultilevel"/>
    <w:tmpl w:val="52B8CC10"/>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1021D"/>
    <w:multiLevelType w:val="hybridMultilevel"/>
    <w:tmpl w:val="7C5EC052"/>
    <w:lvl w:ilvl="0" w:tplc="BDE6ADAE">
      <w:start w:val="1"/>
      <w:numFmt w:val="bullet"/>
      <w:lvlText w:val="•"/>
      <w:lvlJc w:val="left"/>
      <w:pPr>
        <w:tabs>
          <w:tab w:val="num" w:pos="720"/>
        </w:tabs>
        <w:ind w:left="720" w:hanging="360"/>
      </w:pPr>
      <w:rPr>
        <w:rFonts w:ascii="Arial" w:hAnsi="Arial" w:hint="default"/>
      </w:rPr>
    </w:lvl>
    <w:lvl w:ilvl="1" w:tplc="9B440E6A" w:tentative="1">
      <w:start w:val="1"/>
      <w:numFmt w:val="bullet"/>
      <w:lvlText w:val="•"/>
      <w:lvlJc w:val="left"/>
      <w:pPr>
        <w:tabs>
          <w:tab w:val="num" w:pos="1440"/>
        </w:tabs>
        <w:ind w:left="1440" w:hanging="360"/>
      </w:pPr>
      <w:rPr>
        <w:rFonts w:ascii="Arial" w:hAnsi="Arial" w:hint="default"/>
      </w:rPr>
    </w:lvl>
    <w:lvl w:ilvl="2" w:tplc="7C1801A2" w:tentative="1">
      <w:start w:val="1"/>
      <w:numFmt w:val="bullet"/>
      <w:lvlText w:val="•"/>
      <w:lvlJc w:val="left"/>
      <w:pPr>
        <w:tabs>
          <w:tab w:val="num" w:pos="2160"/>
        </w:tabs>
        <w:ind w:left="2160" w:hanging="360"/>
      </w:pPr>
      <w:rPr>
        <w:rFonts w:ascii="Arial" w:hAnsi="Arial" w:hint="default"/>
      </w:rPr>
    </w:lvl>
    <w:lvl w:ilvl="3" w:tplc="F25A31F2" w:tentative="1">
      <w:start w:val="1"/>
      <w:numFmt w:val="bullet"/>
      <w:lvlText w:val="•"/>
      <w:lvlJc w:val="left"/>
      <w:pPr>
        <w:tabs>
          <w:tab w:val="num" w:pos="2880"/>
        </w:tabs>
        <w:ind w:left="2880" w:hanging="360"/>
      </w:pPr>
      <w:rPr>
        <w:rFonts w:ascii="Arial" w:hAnsi="Arial" w:hint="default"/>
      </w:rPr>
    </w:lvl>
    <w:lvl w:ilvl="4" w:tplc="7E9467BA" w:tentative="1">
      <w:start w:val="1"/>
      <w:numFmt w:val="bullet"/>
      <w:lvlText w:val="•"/>
      <w:lvlJc w:val="left"/>
      <w:pPr>
        <w:tabs>
          <w:tab w:val="num" w:pos="3600"/>
        </w:tabs>
        <w:ind w:left="3600" w:hanging="360"/>
      </w:pPr>
      <w:rPr>
        <w:rFonts w:ascii="Arial" w:hAnsi="Arial" w:hint="default"/>
      </w:rPr>
    </w:lvl>
    <w:lvl w:ilvl="5" w:tplc="DC286D44" w:tentative="1">
      <w:start w:val="1"/>
      <w:numFmt w:val="bullet"/>
      <w:lvlText w:val="•"/>
      <w:lvlJc w:val="left"/>
      <w:pPr>
        <w:tabs>
          <w:tab w:val="num" w:pos="4320"/>
        </w:tabs>
        <w:ind w:left="4320" w:hanging="360"/>
      </w:pPr>
      <w:rPr>
        <w:rFonts w:ascii="Arial" w:hAnsi="Arial" w:hint="default"/>
      </w:rPr>
    </w:lvl>
    <w:lvl w:ilvl="6" w:tplc="24EAB0B0" w:tentative="1">
      <w:start w:val="1"/>
      <w:numFmt w:val="bullet"/>
      <w:lvlText w:val="•"/>
      <w:lvlJc w:val="left"/>
      <w:pPr>
        <w:tabs>
          <w:tab w:val="num" w:pos="5040"/>
        </w:tabs>
        <w:ind w:left="5040" w:hanging="360"/>
      </w:pPr>
      <w:rPr>
        <w:rFonts w:ascii="Arial" w:hAnsi="Arial" w:hint="default"/>
      </w:rPr>
    </w:lvl>
    <w:lvl w:ilvl="7" w:tplc="BC80FA3E" w:tentative="1">
      <w:start w:val="1"/>
      <w:numFmt w:val="bullet"/>
      <w:lvlText w:val="•"/>
      <w:lvlJc w:val="left"/>
      <w:pPr>
        <w:tabs>
          <w:tab w:val="num" w:pos="5760"/>
        </w:tabs>
        <w:ind w:left="5760" w:hanging="360"/>
      </w:pPr>
      <w:rPr>
        <w:rFonts w:ascii="Arial" w:hAnsi="Arial" w:hint="default"/>
      </w:rPr>
    </w:lvl>
    <w:lvl w:ilvl="8" w:tplc="B5CE24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19EC32A9"/>
    <w:multiLevelType w:val="hybridMultilevel"/>
    <w:tmpl w:val="E5907BF8"/>
    <w:lvl w:ilvl="0" w:tplc="0C090001">
      <w:start w:val="1"/>
      <w:numFmt w:val="bullet"/>
      <w:lvlText w:val=""/>
      <w:lvlJc w:val="left"/>
      <w:pPr>
        <w:ind w:left="360" w:hanging="360"/>
      </w:pPr>
      <w:rPr>
        <w:rFonts w:ascii="Symbol" w:hAnsi="Symbol" w:hint="default"/>
      </w:rPr>
    </w:lvl>
    <w:lvl w:ilvl="1" w:tplc="7D28FE62">
      <w:start w:val="1"/>
      <w:numFmt w:val="bullet"/>
      <w:pStyle w:val="Bullet2"/>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448FB"/>
    <w:multiLevelType w:val="hybridMultilevel"/>
    <w:tmpl w:val="7D06D860"/>
    <w:lvl w:ilvl="0" w:tplc="5A54A13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4354E2"/>
    <w:multiLevelType w:val="hybridMultilevel"/>
    <w:tmpl w:val="61CC494A"/>
    <w:lvl w:ilvl="0" w:tplc="242E4706">
      <w:start w:val="1"/>
      <w:numFmt w:val="bullet"/>
      <w:lvlText w:val="•"/>
      <w:lvlJc w:val="left"/>
      <w:pPr>
        <w:tabs>
          <w:tab w:val="num" w:pos="720"/>
        </w:tabs>
        <w:ind w:left="720" w:hanging="360"/>
      </w:pPr>
      <w:rPr>
        <w:rFonts w:ascii="Arial" w:hAnsi="Arial" w:hint="default"/>
      </w:rPr>
    </w:lvl>
    <w:lvl w:ilvl="1" w:tplc="2A22D388" w:tentative="1">
      <w:start w:val="1"/>
      <w:numFmt w:val="bullet"/>
      <w:lvlText w:val="•"/>
      <w:lvlJc w:val="left"/>
      <w:pPr>
        <w:tabs>
          <w:tab w:val="num" w:pos="1440"/>
        </w:tabs>
        <w:ind w:left="1440" w:hanging="360"/>
      </w:pPr>
      <w:rPr>
        <w:rFonts w:ascii="Arial" w:hAnsi="Arial" w:hint="default"/>
      </w:rPr>
    </w:lvl>
    <w:lvl w:ilvl="2" w:tplc="B27E0D48" w:tentative="1">
      <w:start w:val="1"/>
      <w:numFmt w:val="bullet"/>
      <w:lvlText w:val="•"/>
      <w:lvlJc w:val="left"/>
      <w:pPr>
        <w:tabs>
          <w:tab w:val="num" w:pos="2160"/>
        </w:tabs>
        <w:ind w:left="2160" w:hanging="360"/>
      </w:pPr>
      <w:rPr>
        <w:rFonts w:ascii="Arial" w:hAnsi="Arial" w:hint="default"/>
      </w:rPr>
    </w:lvl>
    <w:lvl w:ilvl="3" w:tplc="CF822BB6" w:tentative="1">
      <w:start w:val="1"/>
      <w:numFmt w:val="bullet"/>
      <w:lvlText w:val="•"/>
      <w:lvlJc w:val="left"/>
      <w:pPr>
        <w:tabs>
          <w:tab w:val="num" w:pos="2880"/>
        </w:tabs>
        <w:ind w:left="2880" w:hanging="360"/>
      </w:pPr>
      <w:rPr>
        <w:rFonts w:ascii="Arial" w:hAnsi="Arial" w:hint="default"/>
      </w:rPr>
    </w:lvl>
    <w:lvl w:ilvl="4" w:tplc="4AF641C6" w:tentative="1">
      <w:start w:val="1"/>
      <w:numFmt w:val="bullet"/>
      <w:lvlText w:val="•"/>
      <w:lvlJc w:val="left"/>
      <w:pPr>
        <w:tabs>
          <w:tab w:val="num" w:pos="3600"/>
        </w:tabs>
        <w:ind w:left="3600" w:hanging="360"/>
      </w:pPr>
      <w:rPr>
        <w:rFonts w:ascii="Arial" w:hAnsi="Arial" w:hint="default"/>
      </w:rPr>
    </w:lvl>
    <w:lvl w:ilvl="5" w:tplc="99083FBA" w:tentative="1">
      <w:start w:val="1"/>
      <w:numFmt w:val="bullet"/>
      <w:lvlText w:val="•"/>
      <w:lvlJc w:val="left"/>
      <w:pPr>
        <w:tabs>
          <w:tab w:val="num" w:pos="4320"/>
        </w:tabs>
        <w:ind w:left="4320" w:hanging="360"/>
      </w:pPr>
      <w:rPr>
        <w:rFonts w:ascii="Arial" w:hAnsi="Arial" w:hint="default"/>
      </w:rPr>
    </w:lvl>
    <w:lvl w:ilvl="6" w:tplc="33E6615E" w:tentative="1">
      <w:start w:val="1"/>
      <w:numFmt w:val="bullet"/>
      <w:lvlText w:val="•"/>
      <w:lvlJc w:val="left"/>
      <w:pPr>
        <w:tabs>
          <w:tab w:val="num" w:pos="5040"/>
        </w:tabs>
        <w:ind w:left="5040" w:hanging="360"/>
      </w:pPr>
      <w:rPr>
        <w:rFonts w:ascii="Arial" w:hAnsi="Arial" w:hint="default"/>
      </w:rPr>
    </w:lvl>
    <w:lvl w:ilvl="7" w:tplc="EFC62CBA" w:tentative="1">
      <w:start w:val="1"/>
      <w:numFmt w:val="bullet"/>
      <w:lvlText w:val="•"/>
      <w:lvlJc w:val="left"/>
      <w:pPr>
        <w:tabs>
          <w:tab w:val="num" w:pos="5760"/>
        </w:tabs>
        <w:ind w:left="5760" w:hanging="360"/>
      </w:pPr>
      <w:rPr>
        <w:rFonts w:ascii="Arial" w:hAnsi="Arial" w:hint="default"/>
      </w:rPr>
    </w:lvl>
    <w:lvl w:ilvl="8" w:tplc="594C33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E406BB"/>
    <w:multiLevelType w:val="hybridMultilevel"/>
    <w:tmpl w:val="BB6A4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608A4734"/>
    <w:multiLevelType w:val="hybridMultilevel"/>
    <w:tmpl w:val="93C6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D0AFC"/>
    <w:multiLevelType w:val="hybridMultilevel"/>
    <w:tmpl w:val="528AD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abstractNumId w:val="4"/>
  </w:num>
  <w:num w:numId="2">
    <w:abstractNumId w:val="9"/>
  </w:num>
  <w:num w:numId="3">
    <w:abstractNumId w:val="17"/>
  </w:num>
  <w:num w:numId="4">
    <w:abstractNumId w:val="12"/>
  </w:num>
  <w:num w:numId="5">
    <w:abstractNumId w:val="15"/>
  </w:num>
  <w:num w:numId="6">
    <w:abstractNumId w:val="2"/>
  </w:num>
  <w:num w:numId="7">
    <w:abstractNumId w:val="18"/>
  </w:num>
  <w:num w:numId="8">
    <w:abstractNumId w:val="5"/>
  </w:num>
  <w:num w:numId="9">
    <w:abstractNumId w:val="6"/>
  </w:num>
  <w:num w:numId="10">
    <w:abstractNumId w:val="21"/>
  </w:num>
  <w:num w:numId="11">
    <w:abstractNumId w:val="22"/>
  </w:num>
  <w:num w:numId="12">
    <w:abstractNumId w:val="23"/>
  </w:num>
  <w:num w:numId="13">
    <w:abstractNumId w:val="8"/>
  </w:num>
  <w:num w:numId="14">
    <w:abstractNumId w:val="11"/>
  </w:num>
  <w:num w:numId="15">
    <w:abstractNumId w:val="10"/>
  </w:num>
  <w:num w:numId="16">
    <w:abstractNumId w:val="3"/>
  </w:num>
  <w:num w:numId="17">
    <w:abstractNumId w:val="14"/>
  </w:num>
  <w:num w:numId="18">
    <w:abstractNumId w:val="20"/>
  </w:num>
  <w:num w:numId="19">
    <w:abstractNumId w:val="1"/>
  </w:num>
  <w:num w:numId="20">
    <w:abstractNumId w:val="19"/>
  </w:num>
  <w:num w:numId="21">
    <w:abstractNumId w:val="0"/>
  </w:num>
  <w:num w:numId="22">
    <w:abstractNumId w:val="1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22FA0"/>
    <w:rsid w:val="0003282A"/>
    <w:rsid w:val="00034913"/>
    <w:rsid w:val="00041073"/>
    <w:rsid w:val="00052B56"/>
    <w:rsid w:val="0006025B"/>
    <w:rsid w:val="00061C9F"/>
    <w:rsid w:val="00082102"/>
    <w:rsid w:val="0008327B"/>
    <w:rsid w:val="00091EF7"/>
    <w:rsid w:val="000951D9"/>
    <w:rsid w:val="000A1172"/>
    <w:rsid w:val="000A16D6"/>
    <w:rsid w:val="000D5EC1"/>
    <w:rsid w:val="000D6C56"/>
    <w:rsid w:val="000E1087"/>
    <w:rsid w:val="000F1084"/>
    <w:rsid w:val="000F14E6"/>
    <w:rsid w:val="000F41BB"/>
    <w:rsid w:val="000F60E6"/>
    <w:rsid w:val="000F6D03"/>
    <w:rsid w:val="000F7D47"/>
    <w:rsid w:val="00100042"/>
    <w:rsid w:val="001013EC"/>
    <w:rsid w:val="001020B9"/>
    <w:rsid w:val="00102DCD"/>
    <w:rsid w:val="00106677"/>
    <w:rsid w:val="001238E0"/>
    <w:rsid w:val="00136B6D"/>
    <w:rsid w:val="00163BD7"/>
    <w:rsid w:val="00166F5F"/>
    <w:rsid w:val="00170861"/>
    <w:rsid w:val="001730ED"/>
    <w:rsid w:val="001743B4"/>
    <w:rsid w:val="001753C2"/>
    <w:rsid w:val="001807A9"/>
    <w:rsid w:val="00180CAA"/>
    <w:rsid w:val="00183EE2"/>
    <w:rsid w:val="0018612B"/>
    <w:rsid w:val="001912AD"/>
    <w:rsid w:val="00193F32"/>
    <w:rsid w:val="001A4F26"/>
    <w:rsid w:val="001C46DF"/>
    <w:rsid w:val="001C673C"/>
    <w:rsid w:val="001D190B"/>
    <w:rsid w:val="001E75AD"/>
    <w:rsid w:val="001F1BB4"/>
    <w:rsid w:val="001F7BB5"/>
    <w:rsid w:val="00205900"/>
    <w:rsid w:val="002100ED"/>
    <w:rsid w:val="002306AE"/>
    <w:rsid w:val="00231F25"/>
    <w:rsid w:val="00236E22"/>
    <w:rsid w:val="00242953"/>
    <w:rsid w:val="002545C9"/>
    <w:rsid w:val="00274112"/>
    <w:rsid w:val="002B3B40"/>
    <w:rsid w:val="002B4A30"/>
    <w:rsid w:val="002C4F37"/>
    <w:rsid w:val="002E389D"/>
    <w:rsid w:val="002F23B8"/>
    <w:rsid w:val="003048C8"/>
    <w:rsid w:val="00305568"/>
    <w:rsid w:val="0030745A"/>
    <w:rsid w:val="0031176C"/>
    <w:rsid w:val="00311CA2"/>
    <w:rsid w:val="00327A3C"/>
    <w:rsid w:val="003343F8"/>
    <w:rsid w:val="00334AD5"/>
    <w:rsid w:val="00344945"/>
    <w:rsid w:val="003460AA"/>
    <w:rsid w:val="00357F15"/>
    <w:rsid w:val="003606F8"/>
    <w:rsid w:val="00376BE1"/>
    <w:rsid w:val="00380474"/>
    <w:rsid w:val="0038416C"/>
    <w:rsid w:val="00386730"/>
    <w:rsid w:val="0038748B"/>
    <w:rsid w:val="00392A03"/>
    <w:rsid w:val="003A3EB2"/>
    <w:rsid w:val="003B09B0"/>
    <w:rsid w:val="003C4166"/>
    <w:rsid w:val="003C6669"/>
    <w:rsid w:val="003E4885"/>
    <w:rsid w:val="0040062E"/>
    <w:rsid w:val="00406D70"/>
    <w:rsid w:val="00407BD6"/>
    <w:rsid w:val="0041053C"/>
    <w:rsid w:val="0041412A"/>
    <w:rsid w:val="00415293"/>
    <w:rsid w:val="00426AFA"/>
    <w:rsid w:val="004366AF"/>
    <w:rsid w:val="00441685"/>
    <w:rsid w:val="00460083"/>
    <w:rsid w:val="004643CC"/>
    <w:rsid w:val="00465518"/>
    <w:rsid w:val="00472ABA"/>
    <w:rsid w:val="00485118"/>
    <w:rsid w:val="00486FBE"/>
    <w:rsid w:val="00490BEF"/>
    <w:rsid w:val="004941F8"/>
    <w:rsid w:val="00494A54"/>
    <w:rsid w:val="004968C6"/>
    <w:rsid w:val="00497AF9"/>
    <w:rsid w:val="004B77F5"/>
    <w:rsid w:val="004C31C1"/>
    <w:rsid w:val="004C4AF5"/>
    <w:rsid w:val="004C6E08"/>
    <w:rsid w:val="004D7EB4"/>
    <w:rsid w:val="004E1705"/>
    <w:rsid w:val="004E7235"/>
    <w:rsid w:val="004F0E9C"/>
    <w:rsid w:val="004F5AC0"/>
    <w:rsid w:val="00516D4D"/>
    <w:rsid w:val="00517D73"/>
    <w:rsid w:val="005270DE"/>
    <w:rsid w:val="00536560"/>
    <w:rsid w:val="0053702D"/>
    <w:rsid w:val="005478D7"/>
    <w:rsid w:val="005502D1"/>
    <w:rsid w:val="00555FE5"/>
    <w:rsid w:val="00556273"/>
    <w:rsid w:val="00560E1B"/>
    <w:rsid w:val="005616A7"/>
    <w:rsid w:val="00565AEC"/>
    <w:rsid w:val="0058057B"/>
    <w:rsid w:val="0059708B"/>
    <w:rsid w:val="005A48E8"/>
    <w:rsid w:val="005B0E05"/>
    <w:rsid w:val="005B1E0E"/>
    <w:rsid w:val="005E1F5D"/>
    <w:rsid w:val="005E6797"/>
    <w:rsid w:val="005E7B98"/>
    <w:rsid w:val="005F46B9"/>
    <w:rsid w:val="00600AFB"/>
    <w:rsid w:val="00605A5D"/>
    <w:rsid w:val="00607AA4"/>
    <w:rsid w:val="0065033B"/>
    <w:rsid w:val="00650948"/>
    <w:rsid w:val="00653842"/>
    <w:rsid w:val="00665C68"/>
    <w:rsid w:val="0066692C"/>
    <w:rsid w:val="00667C46"/>
    <w:rsid w:val="00682807"/>
    <w:rsid w:val="00685ABE"/>
    <w:rsid w:val="006A6EC0"/>
    <w:rsid w:val="006B1A04"/>
    <w:rsid w:val="006B30F6"/>
    <w:rsid w:val="006B315D"/>
    <w:rsid w:val="006C04FE"/>
    <w:rsid w:val="006C4BFE"/>
    <w:rsid w:val="006C616A"/>
    <w:rsid w:val="006D1052"/>
    <w:rsid w:val="006D6BB8"/>
    <w:rsid w:val="006D760F"/>
    <w:rsid w:val="006E3152"/>
    <w:rsid w:val="006E3B7B"/>
    <w:rsid w:val="006E6CB7"/>
    <w:rsid w:val="006F1A42"/>
    <w:rsid w:val="006F1DEA"/>
    <w:rsid w:val="0070047F"/>
    <w:rsid w:val="00701333"/>
    <w:rsid w:val="00702531"/>
    <w:rsid w:val="00702ABC"/>
    <w:rsid w:val="00706C7B"/>
    <w:rsid w:val="00712D83"/>
    <w:rsid w:val="007135EC"/>
    <w:rsid w:val="00717483"/>
    <w:rsid w:val="00721549"/>
    <w:rsid w:val="00724E76"/>
    <w:rsid w:val="0073560F"/>
    <w:rsid w:val="007357A0"/>
    <w:rsid w:val="00740869"/>
    <w:rsid w:val="00751F07"/>
    <w:rsid w:val="00765A52"/>
    <w:rsid w:val="00772F68"/>
    <w:rsid w:val="00772F88"/>
    <w:rsid w:val="00790618"/>
    <w:rsid w:val="00797A67"/>
    <w:rsid w:val="007A1CC3"/>
    <w:rsid w:val="007C733D"/>
    <w:rsid w:val="007D6FDB"/>
    <w:rsid w:val="007E4C80"/>
    <w:rsid w:val="007E54EB"/>
    <w:rsid w:val="007E7BDA"/>
    <w:rsid w:val="007F11B2"/>
    <w:rsid w:val="00804706"/>
    <w:rsid w:val="00813DA8"/>
    <w:rsid w:val="00815707"/>
    <w:rsid w:val="008208B3"/>
    <w:rsid w:val="0083576C"/>
    <w:rsid w:val="0083669B"/>
    <w:rsid w:val="0084084F"/>
    <w:rsid w:val="00840F94"/>
    <w:rsid w:val="00847004"/>
    <w:rsid w:val="008617CF"/>
    <w:rsid w:val="008804DB"/>
    <w:rsid w:val="008972AB"/>
    <w:rsid w:val="008A38AB"/>
    <w:rsid w:val="008A6908"/>
    <w:rsid w:val="008B14A7"/>
    <w:rsid w:val="008B2496"/>
    <w:rsid w:val="008B2EF3"/>
    <w:rsid w:val="008B3FF6"/>
    <w:rsid w:val="008B693E"/>
    <w:rsid w:val="008D52A3"/>
    <w:rsid w:val="008E7DFB"/>
    <w:rsid w:val="00904722"/>
    <w:rsid w:val="00906E94"/>
    <w:rsid w:val="00922BBE"/>
    <w:rsid w:val="00923AD8"/>
    <w:rsid w:val="00927C3B"/>
    <w:rsid w:val="009304BA"/>
    <w:rsid w:val="009341C3"/>
    <w:rsid w:val="00935069"/>
    <w:rsid w:val="00937A07"/>
    <w:rsid w:val="00957887"/>
    <w:rsid w:val="00975E47"/>
    <w:rsid w:val="00996E5D"/>
    <w:rsid w:val="00997029"/>
    <w:rsid w:val="009A7CFF"/>
    <w:rsid w:val="009B0FDE"/>
    <w:rsid w:val="009B1873"/>
    <w:rsid w:val="009B208B"/>
    <w:rsid w:val="009B7257"/>
    <w:rsid w:val="009C6373"/>
    <w:rsid w:val="009D33A3"/>
    <w:rsid w:val="009E0F7D"/>
    <w:rsid w:val="009F3446"/>
    <w:rsid w:val="009F7F4A"/>
    <w:rsid w:val="00A23803"/>
    <w:rsid w:val="00A52023"/>
    <w:rsid w:val="00A71469"/>
    <w:rsid w:val="00A82CF7"/>
    <w:rsid w:val="00A93AB5"/>
    <w:rsid w:val="00AA4250"/>
    <w:rsid w:val="00AB08FE"/>
    <w:rsid w:val="00AB13C5"/>
    <w:rsid w:val="00AB1BE6"/>
    <w:rsid w:val="00AB6964"/>
    <w:rsid w:val="00AC23A1"/>
    <w:rsid w:val="00AC64C5"/>
    <w:rsid w:val="00AE092E"/>
    <w:rsid w:val="00AE1F87"/>
    <w:rsid w:val="00AE343F"/>
    <w:rsid w:val="00AF0486"/>
    <w:rsid w:val="00B00551"/>
    <w:rsid w:val="00B0425E"/>
    <w:rsid w:val="00B05310"/>
    <w:rsid w:val="00B20703"/>
    <w:rsid w:val="00B21D5D"/>
    <w:rsid w:val="00B228CC"/>
    <w:rsid w:val="00B30EE1"/>
    <w:rsid w:val="00B349D4"/>
    <w:rsid w:val="00B37C7A"/>
    <w:rsid w:val="00B41C02"/>
    <w:rsid w:val="00B43A79"/>
    <w:rsid w:val="00B44E36"/>
    <w:rsid w:val="00B46640"/>
    <w:rsid w:val="00B70327"/>
    <w:rsid w:val="00B76530"/>
    <w:rsid w:val="00B808FB"/>
    <w:rsid w:val="00B90BAF"/>
    <w:rsid w:val="00B928E4"/>
    <w:rsid w:val="00BB3159"/>
    <w:rsid w:val="00BB3C74"/>
    <w:rsid w:val="00BB50DB"/>
    <w:rsid w:val="00BE03AA"/>
    <w:rsid w:val="00BF3C4E"/>
    <w:rsid w:val="00BF3EDC"/>
    <w:rsid w:val="00BF6E24"/>
    <w:rsid w:val="00C06BA9"/>
    <w:rsid w:val="00C27C4C"/>
    <w:rsid w:val="00C27DCE"/>
    <w:rsid w:val="00C30348"/>
    <w:rsid w:val="00C30E25"/>
    <w:rsid w:val="00C322CE"/>
    <w:rsid w:val="00C374BD"/>
    <w:rsid w:val="00C37BCC"/>
    <w:rsid w:val="00C411F6"/>
    <w:rsid w:val="00C47426"/>
    <w:rsid w:val="00C5656D"/>
    <w:rsid w:val="00C56BED"/>
    <w:rsid w:val="00C63889"/>
    <w:rsid w:val="00C65420"/>
    <w:rsid w:val="00C73A3F"/>
    <w:rsid w:val="00C7770E"/>
    <w:rsid w:val="00C84E96"/>
    <w:rsid w:val="00C9754E"/>
    <w:rsid w:val="00CA6014"/>
    <w:rsid w:val="00CB6D9A"/>
    <w:rsid w:val="00CC1491"/>
    <w:rsid w:val="00CC56F3"/>
    <w:rsid w:val="00CC7411"/>
    <w:rsid w:val="00CD63E2"/>
    <w:rsid w:val="00CE4962"/>
    <w:rsid w:val="00CE7EC5"/>
    <w:rsid w:val="00CF069B"/>
    <w:rsid w:val="00CF3294"/>
    <w:rsid w:val="00CF77EC"/>
    <w:rsid w:val="00D023E3"/>
    <w:rsid w:val="00D120DF"/>
    <w:rsid w:val="00D134EC"/>
    <w:rsid w:val="00D16D13"/>
    <w:rsid w:val="00D16F0F"/>
    <w:rsid w:val="00D21870"/>
    <w:rsid w:val="00D223C5"/>
    <w:rsid w:val="00D22539"/>
    <w:rsid w:val="00D244FF"/>
    <w:rsid w:val="00D24F0F"/>
    <w:rsid w:val="00D274AA"/>
    <w:rsid w:val="00D30AFF"/>
    <w:rsid w:val="00D407B9"/>
    <w:rsid w:val="00D43BD3"/>
    <w:rsid w:val="00D43EAC"/>
    <w:rsid w:val="00D5049B"/>
    <w:rsid w:val="00D67071"/>
    <w:rsid w:val="00D76C0F"/>
    <w:rsid w:val="00D77B2C"/>
    <w:rsid w:val="00D77DE5"/>
    <w:rsid w:val="00D81EDD"/>
    <w:rsid w:val="00D962BE"/>
    <w:rsid w:val="00D97770"/>
    <w:rsid w:val="00DA022A"/>
    <w:rsid w:val="00DA3DB9"/>
    <w:rsid w:val="00DA5826"/>
    <w:rsid w:val="00DB2558"/>
    <w:rsid w:val="00DC0789"/>
    <w:rsid w:val="00DC7B0A"/>
    <w:rsid w:val="00DD3168"/>
    <w:rsid w:val="00DD47C6"/>
    <w:rsid w:val="00DE7656"/>
    <w:rsid w:val="00DF4491"/>
    <w:rsid w:val="00E03DCC"/>
    <w:rsid w:val="00E0584C"/>
    <w:rsid w:val="00E07275"/>
    <w:rsid w:val="00E1159B"/>
    <w:rsid w:val="00E16B75"/>
    <w:rsid w:val="00E265A8"/>
    <w:rsid w:val="00E2711A"/>
    <w:rsid w:val="00E3025A"/>
    <w:rsid w:val="00E37D68"/>
    <w:rsid w:val="00E443F3"/>
    <w:rsid w:val="00E45533"/>
    <w:rsid w:val="00E474FD"/>
    <w:rsid w:val="00E5057E"/>
    <w:rsid w:val="00E50BDC"/>
    <w:rsid w:val="00E5740B"/>
    <w:rsid w:val="00E57D40"/>
    <w:rsid w:val="00E64FF2"/>
    <w:rsid w:val="00E70DCF"/>
    <w:rsid w:val="00E76F15"/>
    <w:rsid w:val="00E8119C"/>
    <w:rsid w:val="00E8425C"/>
    <w:rsid w:val="00E85563"/>
    <w:rsid w:val="00E86749"/>
    <w:rsid w:val="00E91931"/>
    <w:rsid w:val="00EA2AA3"/>
    <w:rsid w:val="00EA39B9"/>
    <w:rsid w:val="00EA72C7"/>
    <w:rsid w:val="00EB1368"/>
    <w:rsid w:val="00EC211C"/>
    <w:rsid w:val="00EC3418"/>
    <w:rsid w:val="00ED11DB"/>
    <w:rsid w:val="00EE1B9C"/>
    <w:rsid w:val="00EE7C4E"/>
    <w:rsid w:val="00EF1EAA"/>
    <w:rsid w:val="00EF615C"/>
    <w:rsid w:val="00F014BA"/>
    <w:rsid w:val="00F0596C"/>
    <w:rsid w:val="00F0601E"/>
    <w:rsid w:val="00F1157E"/>
    <w:rsid w:val="00F124E9"/>
    <w:rsid w:val="00F2758B"/>
    <w:rsid w:val="00F33BE4"/>
    <w:rsid w:val="00F420CE"/>
    <w:rsid w:val="00F67B54"/>
    <w:rsid w:val="00F71028"/>
    <w:rsid w:val="00F7183A"/>
    <w:rsid w:val="00F72B10"/>
    <w:rsid w:val="00F84525"/>
    <w:rsid w:val="00FA5E7F"/>
    <w:rsid w:val="00FC6BE2"/>
    <w:rsid w:val="00FC74C5"/>
    <w:rsid w:val="00FD341E"/>
    <w:rsid w:val="00FD5AF8"/>
    <w:rsid w:val="00FD6711"/>
    <w:rsid w:val="00FE373B"/>
    <w:rsid w:val="00FE38F1"/>
    <w:rsid w:val="00FF26E3"/>
    <w:rsid w:val="00FF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2A"/>
    <w:rPr>
      <w:rFonts w:ascii="Century Gothic" w:hAnsi="Century Gothic" w:cs="Arial"/>
      <w:color w:val="000000"/>
      <w:sz w:val="20"/>
      <w:szCs w:val="20"/>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334AD5"/>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basedOn w:val="Normal"/>
    <w:uiPriority w:val="34"/>
    <w:qFormat/>
    <w:rsid w:val="0066692C"/>
    <w:pPr>
      <w:ind w:left="720"/>
      <w:contextualSpacing/>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334AD5"/>
    <w:rPr>
      <w:rFonts w:ascii="Arial" w:hAnsi="Arial" w:cs="Arial"/>
      <w:bCs/>
      <w:i/>
      <w:iCs/>
      <w:snapToGrid w:val="0"/>
      <w:color w:val="364283"/>
      <w:sz w:val="24"/>
      <w:szCs w:val="24"/>
    </w:rPr>
  </w:style>
  <w:style w:type="table" w:styleId="TableGrid">
    <w:name w:val="Table Grid"/>
    <w:basedOn w:val="TableNormal"/>
    <w:uiPriority w:val="5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semiHidden/>
    <w:unhideWhenUsed/>
    <w:rsid w:val="007357A0"/>
    <w:pPr>
      <w:spacing w:line="240" w:lineRule="auto"/>
    </w:pPr>
  </w:style>
  <w:style w:type="character" w:customStyle="1" w:styleId="CommentTextChar">
    <w:name w:val="Comment Text Char"/>
    <w:basedOn w:val="DefaultParagraphFont"/>
    <w:link w:val="CommentText"/>
    <w:uiPriority w:val="99"/>
    <w:semiHidden/>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after="120" w:line="260" w:lineRule="atLeast"/>
    </w:pPr>
    <w:rPr>
      <w:rFonts w:ascii="Calibri Light" w:eastAsiaTheme="minorEastAsia" w:hAnsi="Calibri Light"/>
      <w:color w:val="auto"/>
      <w:sz w:val="22"/>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5B1E0E"/>
    <w:pPr>
      <w:numPr>
        <w:numId w:val="14"/>
      </w:numPr>
      <w:spacing w:after="80" w:line="240" w:lineRule="auto"/>
    </w:pPr>
    <w:rPr>
      <w:rFonts w:eastAsia="Arial" w:cs="Times New Roman"/>
      <w:color w:val="auto"/>
      <w:sz w:val="18"/>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character" w:styleId="UnresolvedMention">
    <w:name w:val="Unresolved Mention"/>
    <w:basedOn w:val="DefaultParagraphFont"/>
    <w:uiPriority w:val="99"/>
    <w:semiHidden/>
    <w:unhideWhenUsed/>
    <w:rsid w:val="00E5740B"/>
    <w:rPr>
      <w:color w:val="605E5C"/>
      <w:shd w:val="clear" w:color="auto" w:fill="E1DFDD"/>
    </w:rPr>
  </w:style>
  <w:style w:type="paragraph" w:customStyle="1" w:styleId="BodyText1">
    <w:name w:val="Body Text1"/>
    <w:basedOn w:val="Normal"/>
    <w:link w:val="BodytextChar"/>
    <w:qFormat/>
    <w:rsid w:val="00AF0486"/>
    <w:pPr>
      <w:spacing w:after="120" w:line="240" w:lineRule="atLeast"/>
    </w:pPr>
    <w:rPr>
      <w:rFonts w:ascii="Cambria" w:hAnsi="Cambria" w:cs="Calibri Light"/>
      <w:color w:val="7F7F7F" w:themeColor="text1" w:themeTint="80"/>
      <w:shd w:val="clear" w:color="auto" w:fill="auto"/>
    </w:rPr>
  </w:style>
  <w:style w:type="character" w:customStyle="1" w:styleId="BodytextChar">
    <w:name w:val="Body text Char"/>
    <w:basedOn w:val="DefaultParagraphFont"/>
    <w:link w:val="BodyText1"/>
    <w:rsid w:val="00AF0486"/>
    <w:rPr>
      <w:rFonts w:ascii="Cambria" w:hAnsi="Cambria" w:cs="Calibri Light"/>
      <w:color w:val="7F7F7F" w:themeColor="text1" w:themeTint="80"/>
      <w:sz w:val="20"/>
      <w:szCs w:val="20"/>
    </w:rPr>
  </w:style>
  <w:style w:type="paragraph" w:customStyle="1" w:styleId="Bullet1">
    <w:name w:val="Bullet 1"/>
    <w:basedOn w:val="BodyText1"/>
    <w:link w:val="Bullet1Char"/>
    <w:qFormat/>
    <w:rsid w:val="00AF0486"/>
    <w:pPr>
      <w:numPr>
        <w:numId w:val="22"/>
      </w:numPr>
      <w:spacing w:after="80"/>
    </w:pPr>
  </w:style>
  <w:style w:type="character" w:customStyle="1" w:styleId="Bullet1Char">
    <w:name w:val="Bullet 1 Char"/>
    <w:basedOn w:val="BodytextChar"/>
    <w:link w:val="Bullet1"/>
    <w:rsid w:val="00AF0486"/>
    <w:rPr>
      <w:rFonts w:ascii="Cambria" w:hAnsi="Cambria" w:cs="Calibri Light"/>
      <w:color w:val="7F7F7F" w:themeColor="text1" w:themeTint="80"/>
      <w:sz w:val="20"/>
      <w:szCs w:val="20"/>
    </w:rPr>
  </w:style>
  <w:style w:type="paragraph" w:styleId="BlockText">
    <w:name w:val="Block Text"/>
    <w:basedOn w:val="Normal"/>
    <w:rsid w:val="002306AE"/>
    <w:pPr>
      <w:spacing w:after="60" w:line="260" w:lineRule="atLeast"/>
    </w:pPr>
    <w:rPr>
      <w:rFonts w:ascii="Cambria" w:eastAsia="Times New Roman" w:hAnsi="Cambria" w:cs="Times New Roman"/>
      <w:color w:val="auto"/>
      <w:spacing w:val="5"/>
      <w:szCs w:val="24"/>
      <w:shd w:val="clear" w:color="auto" w:fill="auto"/>
    </w:rPr>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
    <w:link w:val="BodyTextChar0"/>
    <w:qFormat/>
    <w:rsid w:val="002306AE"/>
    <w:pPr>
      <w:keepNext/>
      <w:spacing w:before="120" w:after="0" w:line="160" w:lineRule="exact"/>
      <w:jc w:val="both"/>
    </w:pPr>
    <w:rPr>
      <w:rFonts w:ascii="Times New Roman" w:eastAsia="Times New Roman" w:hAnsi="Times New Roman" w:cs="Times New Roman"/>
      <w:b/>
      <w:vanish/>
      <w:color w:val="FF00FF"/>
      <w:sz w:val="14"/>
      <w:szCs w:val="14"/>
    </w:rPr>
  </w:style>
  <w:style w:type="character" w:customStyle="1" w:styleId="BodyTextChar0">
    <w:name w:val="Body Text Char"/>
    <w:aliases w:val="new legislation style Char,Body Text Char2 Char Char,Body Text Char Char1 Char Char,Body Text Char2 Char Char Char1 Char,Body Text Char1 Char1 Char Char Char1 Char,Body Text Char Char Char1 Char Char Char1 Char"/>
    <w:basedOn w:val="DefaultParagraphFont"/>
    <w:link w:val="BodyText"/>
    <w:rsid w:val="002306AE"/>
    <w:rPr>
      <w:rFonts w:ascii="Times New Roman" w:eastAsia="Times New Roman" w:hAnsi="Times New Roman" w:cs="Times New Roman"/>
      <w:b/>
      <w:vanish/>
      <w:color w:val="FF00FF"/>
      <w:sz w:val="14"/>
      <w:szCs w:val="14"/>
    </w:rPr>
  </w:style>
  <w:style w:type="table" w:customStyle="1" w:styleId="TableGrid3">
    <w:name w:val="Table Grid3"/>
    <w:basedOn w:val="TableNormal"/>
    <w:uiPriority w:val="59"/>
    <w:rsid w:val="002306AE"/>
    <w:pPr>
      <w:spacing w:after="0" w:line="240" w:lineRule="auto"/>
    </w:pPr>
    <w:rPr>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5B9BD5" w:themeFill="accent1"/>
      </w:tcPr>
    </w:tblStylePr>
    <w:tblStylePr w:type="firstCol">
      <w:rPr>
        <w:color w:val="5B9BD5" w:themeColor="accent1"/>
      </w:rPr>
    </w:tblStylePr>
  </w:style>
  <w:style w:type="paragraph" w:customStyle="1" w:styleId="Bullet2">
    <w:name w:val="Bullet 2"/>
    <w:basedOn w:val="BodyText1"/>
    <w:link w:val="Bullet2Char"/>
    <w:qFormat/>
    <w:rsid w:val="0041412A"/>
    <w:pPr>
      <w:numPr>
        <w:ilvl w:val="1"/>
        <w:numId w:val="23"/>
      </w:numPr>
      <w:spacing w:after="80"/>
    </w:pPr>
  </w:style>
  <w:style w:type="character" w:customStyle="1" w:styleId="Bullet2Char">
    <w:name w:val="Bullet 2 Char"/>
    <w:basedOn w:val="BodytextChar"/>
    <w:link w:val="Bullet2"/>
    <w:rsid w:val="0041412A"/>
    <w:rPr>
      <w:rFonts w:ascii="Cambria" w:hAnsi="Cambria" w:cs="Calibri Light"/>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698">
      <w:bodyDiv w:val="1"/>
      <w:marLeft w:val="0"/>
      <w:marRight w:val="0"/>
      <w:marTop w:val="0"/>
      <w:marBottom w:val="0"/>
      <w:divBdr>
        <w:top w:val="none" w:sz="0" w:space="0" w:color="auto"/>
        <w:left w:val="none" w:sz="0" w:space="0" w:color="auto"/>
        <w:bottom w:val="none" w:sz="0" w:space="0" w:color="auto"/>
        <w:right w:val="none" w:sz="0" w:space="0" w:color="auto"/>
      </w:divBdr>
    </w:div>
    <w:div w:id="273287703">
      <w:bodyDiv w:val="1"/>
      <w:marLeft w:val="0"/>
      <w:marRight w:val="0"/>
      <w:marTop w:val="0"/>
      <w:marBottom w:val="0"/>
      <w:divBdr>
        <w:top w:val="none" w:sz="0" w:space="0" w:color="auto"/>
        <w:left w:val="none" w:sz="0" w:space="0" w:color="auto"/>
        <w:bottom w:val="none" w:sz="0" w:space="0" w:color="auto"/>
        <w:right w:val="none" w:sz="0" w:space="0" w:color="auto"/>
      </w:divBdr>
    </w:div>
    <w:div w:id="388187449">
      <w:bodyDiv w:val="1"/>
      <w:marLeft w:val="0"/>
      <w:marRight w:val="0"/>
      <w:marTop w:val="0"/>
      <w:marBottom w:val="0"/>
      <w:divBdr>
        <w:top w:val="none" w:sz="0" w:space="0" w:color="auto"/>
        <w:left w:val="none" w:sz="0" w:space="0" w:color="auto"/>
        <w:bottom w:val="none" w:sz="0" w:space="0" w:color="auto"/>
        <w:right w:val="none" w:sz="0" w:space="0" w:color="auto"/>
      </w:divBdr>
    </w:div>
    <w:div w:id="1115095827">
      <w:bodyDiv w:val="1"/>
      <w:marLeft w:val="0"/>
      <w:marRight w:val="0"/>
      <w:marTop w:val="0"/>
      <w:marBottom w:val="0"/>
      <w:divBdr>
        <w:top w:val="none" w:sz="0" w:space="0" w:color="auto"/>
        <w:left w:val="none" w:sz="0" w:space="0" w:color="auto"/>
        <w:bottom w:val="none" w:sz="0" w:space="0" w:color="auto"/>
        <w:right w:val="none" w:sz="0" w:space="0" w:color="auto"/>
      </w:divBdr>
    </w:div>
    <w:div w:id="1176378793">
      <w:bodyDiv w:val="1"/>
      <w:marLeft w:val="0"/>
      <w:marRight w:val="0"/>
      <w:marTop w:val="0"/>
      <w:marBottom w:val="0"/>
      <w:divBdr>
        <w:top w:val="none" w:sz="0" w:space="0" w:color="auto"/>
        <w:left w:val="none" w:sz="0" w:space="0" w:color="auto"/>
        <w:bottom w:val="none" w:sz="0" w:space="0" w:color="auto"/>
        <w:right w:val="none" w:sz="0" w:space="0" w:color="auto"/>
      </w:divBdr>
      <w:divsChild>
        <w:div w:id="636304732">
          <w:marLeft w:val="274"/>
          <w:marRight w:val="0"/>
          <w:marTop w:val="0"/>
          <w:marBottom w:val="80"/>
          <w:divBdr>
            <w:top w:val="none" w:sz="0" w:space="0" w:color="auto"/>
            <w:left w:val="none" w:sz="0" w:space="0" w:color="auto"/>
            <w:bottom w:val="none" w:sz="0" w:space="0" w:color="auto"/>
            <w:right w:val="none" w:sz="0" w:space="0" w:color="auto"/>
          </w:divBdr>
        </w:div>
        <w:div w:id="1203790311">
          <w:marLeft w:val="274"/>
          <w:marRight w:val="0"/>
          <w:marTop w:val="0"/>
          <w:marBottom w:val="80"/>
          <w:divBdr>
            <w:top w:val="none" w:sz="0" w:space="0" w:color="auto"/>
            <w:left w:val="none" w:sz="0" w:space="0" w:color="auto"/>
            <w:bottom w:val="none" w:sz="0" w:space="0" w:color="auto"/>
            <w:right w:val="none" w:sz="0" w:space="0" w:color="auto"/>
          </w:divBdr>
        </w:div>
        <w:div w:id="1824278756">
          <w:marLeft w:val="274"/>
          <w:marRight w:val="0"/>
          <w:marTop w:val="0"/>
          <w:marBottom w:val="80"/>
          <w:divBdr>
            <w:top w:val="none" w:sz="0" w:space="0" w:color="auto"/>
            <w:left w:val="none" w:sz="0" w:space="0" w:color="auto"/>
            <w:bottom w:val="none" w:sz="0" w:space="0" w:color="auto"/>
            <w:right w:val="none" w:sz="0" w:space="0" w:color="auto"/>
          </w:divBdr>
        </w:div>
        <w:div w:id="2050839970">
          <w:marLeft w:val="274"/>
          <w:marRight w:val="0"/>
          <w:marTop w:val="0"/>
          <w:marBottom w:val="80"/>
          <w:divBdr>
            <w:top w:val="none" w:sz="0" w:space="0" w:color="auto"/>
            <w:left w:val="none" w:sz="0" w:space="0" w:color="auto"/>
            <w:bottom w:val="none" w:sz="0" w:space="0" w:color="auto"/>
            <w:right w:val="none" w:sz="0" w:space="0" w:color="auto"/>
          </w:divBdr>
        </w:div>
        <w:div w:id="1779134564">
          <w:marLeft w:val="274"/>
          <w:marRight w:val="0"/>
          <w:marTop w:val="0"/>
          <w:marBottom w:val="80"/>
          <w:divBdr>
            <w:top w:val="none" w:sz="0" w:space="0" w:color="auto"/>
            <w:left w:val="none" w:sz="0" w:space="0" w:color="auto"/>
            <w:bottom w:val="none" w:sz="0" w:space="0" w:color="auto"/>
            <w:right w:val="none" w:sz="0" w:space="0" w:color="auto"/>
          </w:divBdr>
        </w:div>
      </w:divsChild>
    </w:div>
    <w:div w:id="1233547440">
      <w:bodyDiv w:val="1"/>
      <w:marLeft w:val="0"/>
      <w:marRight w:val="0"/>
      <w:marTop w:val="0"/>
      <w:marBottom w:val="0"/>
      <w:divBdr>
        <w:top w:val="none" w:sz="0" w:space="0" w:color="auto"/>
        <w:left w:val="none" w:sz="0" w:space="0" w:color="auto"/>
        <w:bottom w:val="none" w:sz="0" w:space="0" w:color="auto"/>
        <w:right w:val="none" w:sz="0" w:space="0" w:color="auto"/>
      </w:divBdr>
    </w:div>
    <w:div w:id="1604722872">
      <w:bodyDiv w:val="1"/>
      <w:marLeft w:val="0"/>
      <w:marRight w:val="0"/>
      <w:marTop w:val="0"/>
      <w:marBottom w:val="0"/>
      <w:divBdr>
        <w:top w:val="none" w:sz="0" w:space="0" w:color="auto"/>
        <w:left w:val="none" w:sz="0" w:space="0" w:color="auto"/>
        <w:bottom w:val="none" w:sz="0" w:space="0" w:color="auto"/>
        <w:right w:val="none" w:sz="0" w:space="0" w:color="auto"/>
      </w:divBdr>
    </w:div>
    <w:div w:id="1881895859">
      <w:bodyDiv w:val="1"/>
      <w:marLeft w:val="0"/>
      <w:marRight w:val="0"/>
      <w:marTop w:val="0"/>
      <w:marBottom w:val="0"/>
      <w:divBdr>
        <w:top w:val="none" w:sz="0" w:space="0" w:color="auto"/>
        <w:left w:val="none" w:sz="0" w:space="0" w:color="auto"/>
        <w:bottom w:val="none" w:sz="0" w:space="0" w:color="auto"/>
        <w:right w:val="none" w:sz="0" w:space="0" w:color="auto"/>
      </w:divBdr>
    </w:div>
    <w:div w:id="1998069010">
      <w:bodyDiv w:val="1"/>
      <w:marLeft w:val="0"/>
      <w:marRight w:val="0"/>
      <w:marTop w:val="0"/>
      <w:marBottom w:val="0"/>
      <w:divBdr>
        <w:top w:val="none" w:sz="0" w:space="0" w:color="auto"/>
        <w:left w:val="none" w:sz="0" w:space="0" w:color="auto"/>
        <w:bottom w:val="none" w:sz="0" w:space="0" w:color="auto"/>
        <w:right w:val="none" w:sz="0" w:space="0" w:color="auto"/>
      </w:divBdr>
      <w:divsChild>
        <w:div w:id="565455653">
          <w:marLeft w:val="274"/>
          <w:marRight w:val="0"/>
          <w:marTop w:val="0"/>
          <w:marBottom w:val="80"/>
          <w:divBdr>
            <w:top w:val="none" w:sz="0" w:space="0" w:color="auto"/>
            <w:left w:val="none" w:sz="0" w:space="0" w:color="auto"/>
            <w:bottom w:val="none" w:sz="0" w:space="0" w:color="auto"/>
            <w:right w:val="none" w:sz="0" w:space="0" w:color="auto"/>
          </w:divBdr>
        </w:div>
        <w:div w:id="1338194380">
          <w:marLeft w:val="274"/>
          <w:marRight w:val="0"/>
          <w:marTop w:val="0"/>
          <w:marBottom w:val="80"/>
          <w:divBdr>
            <w:top w:val="none" w:sz="0" w:space="0" w:color="auto"/>
            <w:left w:val="none" w:sz="0" w:space="0" w:color="auto"/>
            <w:bottom w:val="none" w:sz="0" w:space="0" w:color="auto"/>
            <w:right w:val="none" w:sz="0" w:space="0" w:color="auto"/>
          </w:divBdr>
        </w:div>
        <w:div w:id="915701047">
          <w:marLeft w:val="274"/>
          <w:marRight w:val="0"/>
          <w:marTop w:val="0"/>
          <w:marBottom w:val="80"/>
          <w:divBdr>
            <w:top w:val="none" w:sz="0" w:space="0" w:color="auto"/>
            <w:left w:val="none" w:sz="0" w:space="0" w:color="auto"/>
            <w:bottom w:val="none" w:sz="0" w:space="0" w:color="auto"/>
            <w:right w:val="none" w:sz="0" w:space="0" w:color="auto"/>
          </w:divBdr>
        </w:div>
        <w:div w:id="1048214924">
          <w:marLeft w:val="274"/>
          <w:marRight w:val="0"/>
          <w:marTop w:val="0"/>
          <w:marBottom w:val="80"/>
          <w:divBdr>
            <w:top w:val="none" w:sz="0" w:space="0" w:color="auto"/>
            <w:left w:val="none" w:sz="0" w:space="0" w:color="auto"/>
            <w:bottom w:val="none" w:sz="0" w:space="0" w:color="auto"/>
            <w:right w:val="none" w:sz="0" w:space="0" w:color="auto"/>
          </w:divBdr>
        </w:div>
        <w:div w:id="642463324">
          <w:marLeft w:val="274"/>
          <w:marRight w:val="0"/>
          <w:marTop w:val="0"/>
          <w:marBottom w:val="80"/>
          <w:divBdr>
            <w:top w:val="none" w:sz="0" w:space="0" w:color="auto"/>
            <w:left w:val="none" w:sz="0" w:space="0" w:color="auto"/>
            <w:bottom w:val="none" w:sz="0" w:space="0" w:color="auto"/>
            <w:right w:val="none" w:sz="0" w:space="0" w:color="auto"/>
          </w:divBdr>
        </w:div>
      </w:divsChild>
    </w:div>
    <w:div w:id="21197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gov.au/pre-accredited-training-and-programs" TargetMode="External"/><Relationship Id="rId18" Type="http://schemas.openxmlformats.org/officeDocument/2006/relationships/hyperlink" Target="mailto:servicedesk@edumail.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vic.gov.au/svts/Account/SVTSUserGui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ducation.vic.gov.au/svts" TargetMode="External"/><Relationship Id="rId20" Type="http://schemas.openxmlformats.org/officeDocument/2006/relationships/hyperlink" Target="mailto:training.participation@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ducation.vic.gov.au/training/providers/rto/Pages/datacollection.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ducation.vic.gov.au/Documents/training/providers/rto/Funding%20source%20identifier%20STA%20supplement%20-%202021%20v1.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cver.edu.au/rto-hub/avetmiss-compliant-software-registe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2022</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2f065c21e29dfcf2e962c33db5634d17">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26d772b5aa5aca1ac140b97b2fa91bc2"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0EFE72BC-3876-487E-9060-9059AB7FF5CF}">
  <ds:schemaRefs>
    <ds:schemaRef ds:uri="http://schemas.microsoft.com/sharepoint/v3/contenttype/forms"/>
  </ds:schemaRefs>
</ds:datastoreItem>
</file>

<file path=customXml/itemProps3.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4.xml><?xml version="1.0" encoding="utf-8"?>
<ds:datastoreItem xmlns:ds="http://schemas.openxmlformats.org/officeDocument/2006/customXml" ds:itemID="{FF88158E-B453-424E-B82C-602308243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5D39F-D3C5-4C8B-8F64-4D9565F5B9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2748</Words>
  <Characters>15667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Christine Marett</cp:lastModifiedBy>
  <cp:revision>2</cp:revision>
  <cp:lastPrinted>2020-02-20T03:53:00Z</cp:lastPrinted>
  <dcterms:created xsi:type="dcterms:W3CDTF">2022-02-13T22:02:00Z</dcterms:created>
  <dcterms:modified xsi:type="dcterms:W3CDTF">2022-02-13T22:02:00Z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{18c5058d-9248-48c7-81a9-e8dbea25fdce}</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R20211876078</vt:lpwstr>
  </property>
  <property fmtid="{D5CDD505-2E9C-101B-9397-08002B2CF9AE}" pid="9" name="RecordPoint_SubmissionCompleted">
    <vt:lpwstr>2021-09-13T10:18:15.1025636+10:00</vt:lpwstr>
  </property>
</Properties>
</file>