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68DC" w14:textId="06CE42BB" w:rsidR="00624A55" w:rsidRPr="00140E03" w:rsidRDefault="005364B6" w:rsidP="00624A55">
      <w:pPr>
        <w:pStyle w:val="Heading2"/>
        <w:rPr>
          <w:sz w:val="24"/>
          <w:szCs w:val="24"/>
          <w:lang w:val="en-AU"/>
        </w:rPr>
      </w:pPr>
      <w:r w:rsidRPr="00140E03">
        <w:rPr>
          <w:sz w:val="24"/>
          <w:szCs w:val="24"/>
          <w:lang w:val="en-AU"/>
        </w:rPr>
        <w:t xml:space="preserve">1872 </w:t>
      </w:r>
    </w:p>
    <w:p w14:paraId="368BB2F0" w14:textId="70A04AA7" w:rsidR="00624A55" w:rsidRPr="00624A55" w:rsidRDefault="005364B6" w:rsidP="00624A55">
      <w:pPr>
        <w:pStyle w:val="Heading3"/>
        <w:rPr>
          <w:lang w:val="en-AU"/>
        </w:rPr>
      </w:pPr>
      <w:r>
        <w:rPr>
          <w:lang w:val="en-AU"/>
        </w:rPr>
        <w:t>Education Act 1872</w:t>
      </w:r>
      <w:r w:rsidR="00C20722">
        <w:rPr>
          <w:lang w:val="en-AU"/>
        </w:rPr>
        <w:t xml:space="preserve"> </w:t>
      </w:r>
    </w:p>
    <w:p w14:paraId="47715FD5" w14:textId="7F0DF968" w:rsidR="006076B0" w:rsidRDefault="00D818AD" w:rsidP="00D818AD">
      <w:pPr>
        <w:rPr>
          <w:lang w:val="en-AU"/>
        </w:rPr>
      </w:pPr>
      <w:r>
        <w:rPr>
          <w:lang w:val="en-AU"/>
        </w:rPr>
        <w:t xml:space="preserve">The Education Act made Victoria the first Australian colony (and one of the first </w:t>
      </w:r>
      <w:r w:rsidR="002C24B8">
        <w:rPr>
          <w:lang w:val="en-AU"/>
        </w:rPr>
        <w:t>regions</w:t>
      </w:r>
      <w:r>
        <w:rPr>
          <w:lang w:val="en-AU"/>
        </w:rPr>
        <w:t xml:space="preserve"> in the world) to offer free</w:t>
      </w:r>
      <w:r w:rsidR="006F70E6">
        <w:rPr>
          <w:lang w:val="en-AU"/>
        </w:rPr>
        <w:t xml:space="preserve">, </w:t>
      </w:r>
      <w:r w:rsidR="00051CD1">
        <w:rPr>
          <w:lang w:val="en-AU"/>
        </w:rPr>
        <w:t>secular,</w:t>
      </w:r>
      <w:r w:rsidR="00E96A40">
        <w:rPr>
          <w:lang w:val="en-AU"/>
        </w:rPr>
        <w:t xml:space="preserve"> an</w:t>
      </w:r>
      <w:r>
        <w:rPr>
          <w:lang w:val="en-AU"/>
        </w:rPr>
        <w:t xml:space="preserve">d compulsory education </w:t>
      </w:r>
      <w:r w:rsidR="00E96A40">
        <w:rPr>
          <w:lang w:val="en-AU"/>
        </w:rPr>
        <w:t>to childre</w:t>
      </w:r>
      <w:r w:rsidR="003B6904">
        <w:rPr>
          <w:lang w:val="en-AU"/>
        </w:rPr>
        <w:t>n</w:t>
      </w:r>
      <w:r w:rsidR="00051CD1">
        <w:rPr>
          <w:lang w:val="en-AU"/>
        </w:rPr>
        <w:t xml:space="preserve">. </w:t>
      </w:r>
      <w:r w:rsidR="00051CD1" w:rsidRPr="00051CD1">
        <w:rPr>
          <w:lang w:val="en-AU"/>
        </w:rPr>
        <w:t>The 1872 legislation required all children aged 6</w:t>
      </w:r>
      <w:r w:rsidR="008167C7" w:rsidRPr="002A6101">
        <w:t>–</w:t>
      </w:r>
      <w:r w:rsidR="00051CD1" w:rsidRPr="00051CD1">
        <w:rPr>
          <w:lang w:val="en-AU"/>
        </w:rPr>
        <w:t>15 years to attend school unless they had a reasonable excuse.</w:t>
      </w:r>
    </w:p>
    <w:p w14:paraId="6B714828" w14:textId="7E316476" w:rsidR="00624A55" w:rsidRPr="00140E03" w:rsidRDefault="005364B6" w:rsidP="00624A55">
      <w:pPr>
        <w:pStyle w:val="Heading2"/>
        <w:rPr>
          <w:sz w:val="24"/>
          <w:szCs w:val="24"/>
          <w:lang w:val="en-AU"/>
        </w:rPr>
      </w:pPr>
      <w:r w:rsidRPr="00140E03">
        <w:rPr>
          <w:sz w:val="24"/>
          <w:szCs w:val="24"/>
          <w:lang w:val="en-AU"/>
        </w:rPr>
        <w:t>1890</w:t>
      </w:r>
    </w:p>
    <w:p w14:paraId="3AA143CD" w14:textId="7EFA6BA9" w:rsidR="005364B6" w:rsidRPr="005364B6" w:rsidRDefault="005364B6" w:rsidP="005364B6">
      <w:pPr>
        <w:pStyle w:val="Heading3"/>
        <w:rPr>
          <w:lang w:val="en-AU"/>
        </w:rPr>
      </w:pPr>
      <w:r>
        <w:rPr>
          <w:lang w:val="en-AU"/>
        </w:rPr>
        <w:t>Melbourne Teachers’ College opened</w:t>
      </w:r>
      <w:r w:rsidR="000F0ABC">
        <w:rPr>
          <w:lang w:val="en-AU"/>
        </w:rPr>
        <w:t xml:space="preserve"> </w:t>
      </w:r>
    </w:p>
    <w:p w14:paraId="1398BA3D" w14:textId="5DAE94EB" w:rsidR="002A6101" w:rsidRDefault="002A6101" w:rsidP="002A6101">
      <w:r>
        <w:t xml:space="preserve">The Melbourne Teachers’ College opened as </w:t>
      </w:r>
      <w:r w:rsidRPr="002A6101">
        <w:t xml:space="preserve">the Training College </w:t>
      </w:r>
      <w:r>
        <w:t>and was a leading force in Victorian teacher training. In 1913 it was renamed, expanding beyond primary training to secondary, kindergarten and other specialised areas. In 1973 it was renamed the Melbourne State College, and, in 1983, the Melbourne College of Advanced Education. In 1989 it joined the Education Faculty of the University of Melbourne to form the Institute of Education.</w:t>
      </w:r>
    </w:p>
    <w:p w14:paraId="1E2876A0" w14:textId="6758F500" w:rsidR="002A6101" w:rsidRPr="002A6101" w:rsidRDefault="002A6101" w:rsidP="002A6101">
      <w:r w:rsidRPr="002A6101">
        <w:t>Today, teachers do their initial training at university, and undertake additional professional learning throughout their careers – including at the new Victorian Academy of Teaching and Leadership.</w:t>
      </w:r>
      <w:r>
        <w:t xml:space="preserve"> Find out more: </w:t>
      </w:r>
      <w:hyperlink r:id="rId12" w:history="1">
        <w:r>
          <w:rPr>
            <w:rStyle w:val="Hyperlink"/>
          </w:rPr>
          <w:t>Victorian Academy of Teaching and Leadership</w:t>
        </w:r>
      </w:hyperlink>
    </w:p>
    <w:p w14:paraId="1057A598" w14:textId="1E60C572" w:rsidR="005364B6" w:rsidRPr="00140E03" w:rsidRDefault="005364B6" w:rsidP="005364B6">
      <w:pPr>
        <w:pStyle w:val="Heading2"/>
        <w:rPr>
          <w:sz w:val="24"/>
          <w:szCs w:val="24"/>
          <w:lang w:val="en-AU"/>
        </w:rPr>
      </w:pPr>
      <w:bookmarkStart w:id="0" w:name="_Hlk100672989"/>
      <w:r w:rsidRPr="00140E03">
        <w:rPr>
          <w:sz w:val="24"/>
          <w:szCs w:val="24"/>
          <w:lang w:val="en-AU"/>
        </w:rPr>
        <w:t>19</w:t>
      </w:r>
      <w:r w:rsidR="00005A24" w:rsidRPr="00140E03">
        <w:rPr>
          <w:sz w:val="24"/>
          <w:szCs w:val="24"/>
          <w:lang w:val="en-AU"/>
        </w:rPr>
        <w:t>07</w:t>
      </w:r>
    </w:p>
    <w:p w14:paraId="62A465C1" w14:textId="0B6BD6C4" w:rsidR="005364B6" w:rsidRPr="00317E3B" w:rsidRDefault="00005A24" w:rsidP="005364B6">
      <w:pPr>
        <w:pStyle w:val="Heading3"/>
        <w:rPr>
          <w:color w:val="FF0000"/>
        </w:rPr>
      </w:pPr>
      <w:r>
        <w:t>First state-funded kindergarten</w:t>
      </w:r>
      <w:r w:rsidR="00A86197">
        <w:t xml:space="preserve"> </w:t>
      </w:r>
    </w:p>
    <w:p w14:paraId="1876734A" w14:textId="77777777" w:rsidR="00910489" w:rsidRDefault="00910489" w:rsidP="00910489">
      <w:bookmarkStart w:id="1" w:name="_Hlk100673500"/>
      <w:bookmarkEnd w:id="0"/>
      <w:r>
        <w:t xml:space="preserve">Emmeline Pye, teacher and lecturer was one of the pioneers of kindergarten education in Victoria. In 1907 she opened the first state-funded kindergarten in Brunswick, Victoria. </w:t>
      </w:r>
    </w:p>
    <w:p w14:paraId="1331A2E5" w14:textId="096F7AAE" w:rsidR="00910489" w:rsidRDefault="00910489" w:rsidP="00910489">
      <w:r>
        <w:t xml:space="preserve">In 2022, Victoria became the first state to introduce funded Three-Year-Old kindergarten </w:t>
      </w:r>
      <w:r w:rsidR="008167C7" w:rsidRPr="002A6101">
        <w:t>–</w:t>
      </w:r>
      <w:r>
        <w:t xml:space="preserve"> the largest social, economic and educational reform in early childhood education in Australia’s history.</w:t>
      </w:r>
    </w:p>
    <w:p w14:paraId="7242E9D4" w14:textId="77777777" w:rsidR="00910489" w:rsidRDefault="00910489" w:rsidP="00910489">
      <w:r>
        <w:t xml:space="preserve">Learn more about kinder in Victoria today: </w:t>
      </w:r>
      <w:hyperlink r:id="rId13" w:history="1">
        <w:r>
          <w:rPr>
            <w:rStyle w:val="Hyperlink"/>
          </w:rPr>
          <w:t>Give your child the best start | Victorian Government (www.vic.gov.au)</w:t>
        </w:r>
      </w:hyperlink>
    </w:p>
    <w:p w14:paraId="5EA14916" w14:textId="5726D4EE" w:rsidR="00005A24" w:rsidRPr="00140E03" w:rsidRDefault="00005A24" w:rsidP="00005A24">
      <w:pPr>
        <w:pStyle w:val="Heading2"/>
        <w:rPr>
          <w:sz w:val="24"/>
          <w:szCs w:val="24"/>
          <w:lang w:val="en-AU"/>
        </w:rPr>
      </w:pPr>
      <w:r w:rsidRPr="00140E03">
        <w:rPr>
          <w:sz w:val="24"/>
          <w:szCs w:val="24"/>
          <w:lang w:val="en-AU"/>
        </w:rPr>
        <w:t>1912</w:t>
      </w:r>
    </w:p>
    <w:p w14:paraId="7C34AF0E" w14:textId="56C32BA5" w:rsidR="005364B6" w:rsidRDefault="00005A24" w:rsidP="00005A24">
      <w:pPr>
        <w:pStyle w:val="Heading3"/>
      </w:pPr>
      <w:r>
        <w:t>Opening of new technical colleges</w:t>
      </w:r>
      <w:r w:rsidR="00C20722">
        <w:t xml:space="preserve"> </w:t>
      </w:r>
    </w:p>
    <w:bookmarkEnd w:id="1"/>
    <w:p w14:paraId="3C1D8FA4" w14:textId="77777777" w:rsidR="00460CB8" w:rsidRDefault="00460CB8" w:rsidP="00460CB8">
      <w:r w:rsidRPr="00460CB8">
        <w:t xml:space="preserve">The history of TAFE in Victoria stems from both technical colleges such as the Ballarat School of Mines and the Mechanics Institute tradition. The Ballarat School of Mines was established in 1870, and is now a part of Federation University, one Victoria’s four dual sector universities. Mechanics Institutes began in Scotland in 1821 and quickly spread across the world, with more than 9,000 established by 1900. The first Victorian Mechanics Institute was the Melbourne Mechanics Institute in 1839. </w:t>
      </w:r>
    </w:p>
    <w:p w14:paraId="3D4CB34D" w14:textId="7FD5A362" w:rsidR="00460CB8" w:rsidRDefault="00460CB8" w:rsidP="00460CB8">
      <w:r w:rsidRPr="00460CB8">
        <w:t xml:space="preserve">The Victorian Education Department became more fully involved in technical education after the Education Act 1910. The Act made it possible to open new technical schools to address the shortage of skilled tradespeople. Technical schools offered students a pre-vocational course to prepare them for a trade or other employment. The first of these new colleges opened in 1912 in Collingwood, followed shortly after in Sunshine, Box Hill and Preston. </w:t>
      </w:r>
    </w:p>
    <w:p w14:paraId="5FF1410B" w14:textId="77777777" w:rsidR="00460CB8" w:rsidRDefault="00460CB8" w:rsidP="00460CB8">
      <w:r w:rsidRPr="00460CB8">
        <w:t xml:space="preserve">Today, Victorians enjoy access to hundreds of opportunities at 16 institutes across the state including more than 60 Free TAFE courses. Find out more at </w:t>
      </w:r>
      <w:hyperlink r:id="rId14" w:history="1">
        <w:r w:rsidRPr="00460CB8">
          <w:rPr>
            <w:rStyle w:val="Hyperlink"/>
          </w:rPr>
          <w:t>https://www.vic.gov.au/tafe</w:t>
        </w:r>
      </w:hyperlink>
    </w:p>
    <w:p w14:paraId="1BE5509D" w14:textId="520C0679" w:rsidR="009719B7" w:rsidRPr="00140E03" w:rsidRDefault="009719B7" w:rsidP="009719B7">
      <w:pPr>
        <w:pStyle w:val="Heading2"/>
        <w:rPr>
          <w:sz w:val="24"/>
          <w:szCs w:val="24"/>
          <w:lang w:val="en-AU"/>
        </w:rPr>
      </w:pPr>
      <w:r w:rsidRPr="00140E03">
        <w:rPr>
          <w:sz w:val="24"/>
          <w:szCs w:val="24"/>
          <w:lang w:val="en-AU"/>
        </w:rPr>
        <w:t>1913</w:t>
      </w:r>
    </w:p>
    <w:p w14:paraId="32612155" w14:textId="3BC3AD18" w:rsidR="009719B7" w:rsidRPr="00B25CD5" w:rsidRDefault="009719B7" w:rsidP="009719B7">
      <w:pPr>
        <w:pStyle w:val="Heading3"/>
        <w:rPr>
          <w:color w:val="FF0000"/>
        </w:rPr>
      </w:pPr>
      <w:r>
        <w:t>School nursing program</w:t>
      </w:r>
      <w:r w:rsidR="007A13FC">
        <w:t xml:space="preserve"> </w:t>
      </w:r>
    </w:p>
    <w:p w14:paraId="735F9EF2" w14:textId="77777777" w:rsidR="008167C7" w:rsidRDefault="00B55064" w:rsidP="00B55064">
      <w:bookmarkStart w:id="2" w:name="_Hlk100673939"/>
      <w:r w:rsidRPr="00B55064">
        <w:t>The Primary School Nursing Program began in Victoria from humble beginnings in 1913 and has now grown into a nationally recognised and highly valued program. The program has undergone significant changes over the last century, but its main aim has always been to improve health and developmental outcomes to support children to achieve their potential. </w:t>
      </w:r>
    </w:p>
    <w:p w14:paraId="41436F28" w14:textId="14C20C54" w:rsidR="00B55064" w:rsidRDefault="0056036B" w:rsidP="00B55064">
      <w:r>
        <w:br/>
      </w:r>
      <w:r w:rsidR="00B55064" w:rsidRPr="00B55064">
        <w:t xml:space="preserve">The Secondary School Nursing Program is a relatively new edition starting in 2000. This innovative program supports both school wide approaches to health promotion and individual health interventions for young people. </w:t>
      </w:r>
      <w:r w:rsidR="00B55064">
        <w:t> </w:t>
      </w:r>
    </w:p>
    <w:p w14:paraId="74571F80" w14:textId="148A8CAF" w:rsidR="00762EAC" w:rsidRPr="00140E03" w:rsidRDefault="00762EAC" w:rsidP="00762EAC">
      <w:pPr>
        <w:pStyle w:val="Heading2"/>
        <w:rPr>
          <w:sz w:val="24"/>
          <w:szCs w:val="24"/>
          <w:lang w:val="en-AU"/>
        </w:rPr>
      </w:pPr>
      <w:r w:rsidRPr="00140E03">
        <w:rPr>
          <w:sz w:val="24"/>
          <w:szCs w:val="24"/>
          <w:lang w:val="en-AU"/>
        </w:rPr>
        <w:t>1930</w:t>
      </w:r>
    </w:p>
    <w:p w14:paraId="2243C947" w14:textId="6B336DE2" w:rsidR="00762EAC" w:rsidRDefault="00762EAC" w:rsidP="00762EAC">
      <w:pPr>
        <w:pStyle w:val="Heading3"/>
      </w:pPr>
      <w:r>
        <w:t xml:space="preserve">State </w:t>
      </w:r>
      <w:r w:rsidR="00EB5529">
        <w:t>schools’</w:t>
      </w:r>
      <w:r>
        <w:t xml:space="preserve"> relief</w:t>
      </w:r>
      <w:r w:rsidR="00A86197">
        <w:t xml:space="preserve"> </w:t>
      </w:r>
    </w:p>
    <w:p w14:paraId="124E41BD" w14:textId="0B9C794C" w:rsidR="00D039E8" w:rsidRDefault="00D039E8" w:rsidP="00D039E8">
      <w:pPr>
        <w:rPr>
          <w:color w:val="19191C"/>
          <w:shd w:val="clear" w:color="auto" w:fill="FFFFFF"/>
        </w:rPr>
      </w:pPr>
      <w:r>
        <w:t>State Schools</w:t>
      </w:r>
      <w:r>
        <w:rPr>
          <w:color w:val="1F3864"/>
        </w:rPr>
        <w:t>’</w:t>
      </w:r>
      <w:r>
        <w:t xml:space="preserve"> Relief was founded in 1930 during the Great Depression, by Anton </w:t>
      </w:r>
      <w:proofErr w:type="spellStart"/>
      <w:r>
        <w:t>Vroland</w:t>
      </w:r>
      <w:proofErr w:type="spellEnd"/>
      <w:r>
        <w:t>, a head teacher from Elsternwick State School. Today, State Schools</w:t>
      </w:r>
      <w:r>
        <w:rPr>
          <w:color w:val="1F3864"/>
        </w:rPr>
        <w:t>’</w:t>
      </w:r>
      <w:r>
        <w:t xml:space="preserve"> Relief assists Victorian </w:t>
      </w:r>
      <w:r w:rsidR="00DC7BDC">
        <w:t xml:space="preserve">Government </w:t>
      </w:r>
      <w:r>
        <w:t xml:space="preserve">school </w:t>
      </w:r>
      <w:r w:rsidR="00DC7BDC">
        <w:t>students</w:t>
      </w:r>
      <w:r w:rsidR="00DC7BDC">
        <w:rPr>
          <w:color w:val="19191C"/>
          <w:shd w:val="clear" w:color="auto" w:fill="FFFFFF"/>
        </w:rPr>
        <w:t xml:space="preserve"> whose</w:t>
      </w:r>
      <w:r>
        <w:rPr>
          <w:color w:val="19191C"/>
          <w:shd w:val="clear" w:color="auto" w:fill="FFFFFF"/>
        </w:rPr>
        <w:t xml:space="preserve"> family or carers are facing difficulty in providing the appropriate uniform, </w:t>
      </w:r>
      <w:r w:rsidR="007D2354">
        <w:rPr>
          <w:color w:val="19191C"/>
          <w:shd w:val="clear" w:color="auto" w:fill="FFFFFF"/>
        </w:rPr>
        <w:t>footwear,</w:t>
      </w:r>
      <w:r>
        <w:rPr>
          <w:color w:val="19191C"/>
          <w:shd w:val="clear" w:color="auto" w:fill="FFFFFF"/>
        </w:rPr>
        <w:t xml:space="preserve"> or educational items for attending school.</w:t>
      </w:r>
    </w:p>
    <w:p w14:paraId="63C3FDCA" w14:textId="41BB5F2D" w:rsidR="00DC7BDC" w:rsidRDefault="00DC7BDC" w:rsidP="00D039E8">
      <w:pPr>
        <w:rPr>
          <w:color w:val="19191C"/>
          <w:shd w:val="clear" w:color="auto" w:fill="FFFFFF"/>
        </w:rPr>
      </w:pPr>
      <w:r>
        <w:rPr>
          <w:color w:val="19191C"/>
          <w:shd w:val="clear" w:color="auto" w:fill="FFFFFF"/>
        </w:rPr>
        <w:t xml:space="preserve">Find out more: </w:t>
      </w:r>
      <w:hyperlink r:id="rId15" w:history="1">
        <w:r>
          <w:rPr>
            <w:rStyle w:val="Hyperlink"/>
          </w:rPr>
          <w:t>State Schools' Relief (stateschoolsrelief.org.au)</w:t>
        </w:r>
      </w:hyperlink>
    </w:p>
    <w:bookmarkEnd w:id="2"/>
    <w:p w14:paraId="05D491A3" w14:textId="3A5D8FC8" w:rsidR="00F2539D" w:rsidRPr="00140E03" w:rsidRDefault="00EB5529" w:rsidP="00EB5529">
      <w:pPr>
        <w:pStyle w:val="Heading2"/>
        <w:rPr>
          <w:sz w:val="24"/>
          <w:szCs w:val="24"/>
          <w:lang w:val="en-AU"/>
        </w:rPr>
      </w:pPr>
      <w:r w:rsidRPr="00140E03">
        <w:rPr>
          <w:sz w:val="24"/>
          <w:szCs w:val="24"/>
          <w:lang w:val="en-AU"/>
        </w:rPr>
        <w:t>1944</w:t>
      </w:r>
    </w:p>
    <w:p w14:paraId="3261C7E5" w14:textId="7E91E1CC" w:rsidR="00EB5529" w:rsidRPr="00317E3B" w:rsidRDefault="00EB5529" w:rsidP="00EB5529">
      <w:pPr>
        <w:pStyle w:val="Heading3"/>
        <w:rPr>
          <w:b w:val="0"/>
          <w:bCs/>
          <w:color w:val="auto"/>
        </w:rPr>
      </w:pPr>
      <w:r>
        <w:t>First Education Week</w:t>
      </w:r>
      <w:r w:rsidR="00317E3B">
        <w:t xml:space="preserve"> </w:t>
      </w:r>
    </w:p>
    <w:p w14:paraId="386618C5" w14:textId="23620077" w:rsidR="00F60AAF" w:rsidRDefault="00F60AAF" w:rsidP="00EB5529">
      <w:r w:rsidRPr="00F60AAF">
        <w:t>Education Week is an opportunity for all primary and secondary schools, higher education</w:t>
      </w:r>
      <w:r>
        <w:rPr>
          <w:rFonts w:ascii="Arial" w:hAnsi="Arial" w:cs="Arial"/>
          <w:color w:val="011A3C"/>
        </w:rPr>
        <w:t xml:space="preserve"> </w:t>
      </w:r>
      <w:r w:rsidRPr="00F60AAF">
        <w:t>providers, and early childhood education and care services to</w:t>
      </w:r>
      <w:r>
        <w:t xml:space="preserve"> celebrate education in Victoria. </w:t>
      </w:r>
      <w:r w:rsidR="00B02CB9">
        <w:t>Education Week</w:t>
      </w:r>
      <w:r>
        <w:t xml:space="preserve"> started as an education rally in </w:t>
      </w:r>
      <w:r w:rsidR="00C03209">
        <w:t xml:space="preserve">1944 </w:t>
      </w:r>
      <w:r w:rsidR="000952AE">
        <w:t xml:space="preserve">and became an ongoing </w:t>
      </w:r>
      <w:r w:rsidR="00C7154D">
        <w:t>education campaign</w:t>
      </w:r>
      <w:r w:rsidR="000952AE">
        <w:t>.</w:t>
      </w:r>
      <w:r w:rsidR="008C78E7">
        <w:t xml:space="preserve"> </w:t>
      </w:r>
      <w:r>
        <w:t>Find out more</w:t>
      </w:r>
      <w:r w:rsidR="008C78E7">
        <w:t xml:space="preserve"> about</w:t>
      </w:r>
      <w:r w:rsidR="00C7154D">
        <w:t xml:space="preserve"> what is happening at</w:t>
      </w:r>
      <w:r w:rsidR="008C78E7">
        <w:t xml:space="preserve"> this year’s</w:t>
      </w:r>
      <w:r>
        <w:t xml:space="preserve"> </w:t>
      </w:r>
      <w:hyperlink r:id="rId16" w:history="1">
        <w:r>
          <w:rPr>
            <w:rStyle w:val="Hyperlink"/>
          </w:rPr>
          <w:t>Education Week 2022 | Victorian Government (www.vic.gov.au)</w:t>
        </w:r>
      </w:hyperlink>
    </w:p>
    <w:p w14:paraId="34B23B3F" w14:textId="55A77170" w:rsidR="009C05BD" w:rsidRPr="00140E03" w:rsidRDefault="009C07C8" w:rsidP="009C07C8">
      <w:pPr>
        <w:pStyle w:val="Heading2"/>
        <w:rPr>
          <w:sz w:val="24"/>
          <w:szCs w:val="24"/>
          <w:lang w:val="en-AU"/>
        </w:rPr>
      </w:pPr>
      <w:bookmarkStart w:id="3" w:name="_Hlk100676361"/>
      <w:r w:rsidRPr="00140E03">
        <w:rPr>
          <w:sz w:val="24"/>
          <w:szCs w:val="24"/>
          <w:lang w:val="en-AU"/>
        </w:rPr>
        <w:t xml:space="preserve">1971 </w:t>
      </w:r>
    </w:p>
    <w:p w14:paraId="13B7BBBE" w14:textId="264AA728" w:rsidR="009C07C8" w:rsidRDefault="009C07C8" w:rsidP="00C31490">
      <w:r w:rsidRPr="00C31490">
        <w:rPr>
          <w:rFonts w:asciiTheme="majorHAnsi" w:eastAsiaTheme="majorEastAsia" w:hAnsiTheme="majorHAnsi" w:cstheme="majorBidi"/>
          <w:b/>
          <w:color w:val="0090DA" w:themeColor="accent4"/>
          <w:sz w:val="24"/>
        </w:rPr>
        <w:t>Migrant education program</w:t>
      </w:r>
      <w:r w:rsidR="00C31490">
        <w:t xml:space="preserve"> </w:t>
      </w:r>
    </w:p>
    <w:p w14:paraId="0A0EDDFF" w14:textId="36619F1A" w:rsidR="00EF5885" w:rsidRPr="00EF5885" w:rsidRDefault="00EF5885" w:rsidP="00EF5885">
      <w:bookmarkStart w:id="4" w:name="_Hlk100830346"/>
      <w:bookmarkEnd w:id="3"/>
      <w:r w:rsidRPr="00EF5885">
        <w:t>In August 1971</w:t>
      </w:r>
      <w:r w:rsidR="008167C7">
        <w:t>,</w:t>
      </w:r>
      <w:r w:rsidRPr="00EF5885">
        <w:t xml:space="preserve"> Victoria received funding to hire teachers to support migrant students in government schools through the creation of the Commonwealth Migrant Education Program. </w:t>
      </w:r>
    </w:p>
    <w:p w14:paraId="65BFBD44" w14:textId="7DA57339" w:rsidR="003E67FE" w:rsidRPr="00140E03" w:rsidRDefault="003E67FE" w:rsidP="003E67FE">
      <w:pPr>
        <w:pStyle w:val="Heading2"/>
        <w:rPr>
          <w:sz w:val="24"/>
          <w:szCs w:val="24"/>
          <w:lang w:val="en-AU"/>
        </w:rPr>
      </w:pPr>
      <w:r w:rsidRPr="00140E03">
        <w:rPr>
          <w:sz w:val="24"/>
          <w:szCs w:val="24"/>
          <w:lang w:val="en-AU"/>
        </w:rPr>
        <w:t>1981</w:t>
      </w:r>
    </w:p>
    <w:p w14:paraId="4F424578" w14:textId="080935CF" w:rsidR="003E67FE" w:rsidRDefault="003C6DFF" w:rsidP="006704B1">
      <w:r>
        <w:rPr>
          <w:rFonts w:asciiTheme="majorHAnsi" w:eastAsiaTheme="majorEastAsia" w:hAnsiTheme="majorHAnsi" w:cstheme="majorBidi"/>
          <w:b/>
          <w:color w:val="0090DA" w:themeColor="accent4"/>
          <w:sz w:val="24"/>
        </w:rPr>
        <w:t>Introduction of computer technology in classrooms</w:t>
      </w:r>
      <w:r w:rsidR="00210DC4">
        <w:t xml:space="preserve"> </w:t>
      </w:r>
    </w:p>
    <w:bookmarkEnd w:id="4"/>
    <w:p w14:paraId="24C23476" w14:textId="77777777" w:rsidR="00422487" w:rsidRPr="00422487" w:rsidRDefault="00422487" w:rsidP="00422487">
      <w:r>
        <w:t xml:space="preserve">The 1980s saw the introduction of computer technology in the classrooms, which offered new opportunities and changed the landscape of schools. </w:t>
      </w:r>
    </w:p>
    <w:p w14:paraId="00C22D51" w14:textId="77777777" w:rsidR="00422487" w:rsidRDefault="00422487" w:rsidP="00422487">
      <w:r>
        <w:t xml:space="preserve">In 1998 the education department established a range of programs to assist schools obtain computers for teaching and learning purposes. </w:t>
      </w:r>
    </w:p>
    <w:p w14:paraId="29F7FEF9" w14:textId="77777777" w:rsidR="00422487" w:rsidRDefault="00422487" w:rsidP="00422487">
      <w:r>
        <w:t>Today, across government schools there are more computers than students.</w:t>
      </w:r>
    </w:p>
    <w:p w14:paraId="37CEA63D" w14:textId="4FAAA1D9" w:rsidR="003E67FE" w:rsidRPr="00140E03" w:rsidRDefault="003E67FE" w:rsidP="003E67FE">
      <w:pPr>
        <w:pStyle w:val="Heading2"/>
        <w:rPr>
          <w:sz w:val="24"/>
          <w:szCs w:val="24"/>
          <w:lang w:val="en-AU"/>
        </w:rPr>
      </w:pPr>
      <w:r w:rsidRPr="00140E03">
        <w:rPr>
          <w:sz w:val="24"/>
          <w:szCs w:val="24"/>
          <w:lang w:val="en-AU"/>
        </w:rPr>
        <w:t>1984</w:t>
      </w:r>
    </w:p>
    <w:p w14:paraId="5A95A569" w14:textId="3473E37E" w:rsidR="001D5209" w:rsidRPr="00F17E28" w:rsidRDefault="001D5209" w:rsidP="001D5209">
      <w:pPr>
        <w:pStyle w:val="Heading2"/>
        <w:rPr>
          <w:rFonts w:eastAsia="Times New Roman"/>
          <w:color w:val="FF0000"/>
        </w:rPr>
      </w:pPr>
      <w:r w:rsidRPr="001D5209">
        <w:rPr>
          <w:rFonts w:cstheme="majorBidi"/>
          <w:color w:val="0090DA" w:themeColor="accent4"/>
          <w:sz w:val="24"/>
          <w:szCs w:val="24"/>
        </w:rPr>
        <w:t>Ministerial review of services for students with disability</w:t>
      </w:r>
      <w:r w:rsidR="00F17E28">
        <w:rPr>
          <w:rFonts w:cstheme="majorBidi"/>
          <w:color w:val="0090DA" w:themeColor="accent4"/>
          <w:sz w:val="24"/>
          <w:szCs w:val="24"/>
        </w:rPr>
        <w:t xml:space="preserve"> </w:t>
      </w:r>
    </w:p>
    <w:p w14:paraId="68D6F9A5" w14:textId="656959D6" w:rsidR="001D5209" w:rsidRPr="00E41E63" w:rsidRDefault="001D5209" w:rsidP="00E41E63">
      <w:pPr>
        <w:rPr>
          <w:lang w:val="en-AU"/>
        </w:rPr>
      </w:pPr>
      <w:r w:rsidRPr="00F17E28">
        <w:t>The</w:t>
      </w:r>
      <w:r>
        <w:t xml:space="preserve"> Integration in Victorian education: report of the Ministerial Review of Educational Services for the Disabled (1984), also known as the Collins Report, outlined the beginnings of a substantial reform agenda. The introduction of ‘integration’ in Victorian schools in 1984 marked the beginning of a significant cultural shift that placed Victoria at the forefront of national practice. Integration established the presence of children and young people with disabilities in local neighbourhood schools and provided a place for all children and young people within the government school system.</w:t>
      </w:r>
      <w:r w:rsidR="00E41E63">
        <w:t xml:space="preserve"> </w:t>
      </w:r>
      <w:r w:rsidRPr="001D5209">
        <w:rPr>
          <w:rFonts w:asciiTheme="majorHAnsi" w:hAnsiTheme="majorHAnsi" w:cstheme="majorHAnsi"/>
        </w:rPr>
        <w:t xml:space="preserve">Learn more about </w:t>
      </w:r>
      <w:r w:rsidR="00A215FA">
        <w:rPr>
          <w:rFonts w:asciiTheme="majorHAnsi" w:hAnsiTheme="majorHAnsi" w:cstheme="majorHAnsi"/>
        </w:rPr>
        <w:t>D</w:t>
      </w:r>
      <w:r w:rsidRPr="001D5209">
        <w:rPr>
          <w:rFonts w:asciiTheme="majorHAnsi" w:hAnsiTheme="majorHAnsi" w:cstheme="majorHAnsi"/>
        </w:rPr>
        <w:t xml:space="preserve">isability </w:t>
      </w:r>
      <w:r w:rsidR="00A215FA">
        <w:rPr>
          <w:rFonts w:asciiTheme="majorHAnsi" w:hAnsiTheme="majorHAnsi" w:cstheme="majorHAnsi"/>
        </w:rPr>
        <w:t>I</w:t>
      </w:r>
      <w:r w:rsidRPr="001D5209">
        <w:rPr>
          <w:rFonts w:asciiTheme="majorHAnsi" w:hAnsiTheme="majorHAnsi" w:cstheme="majorHAnsi"/>
        </w:rPr>
        <w:t>nclusion in schools today at</w:t>
      </w:r>
      <w:r w:rsidRPr="001D5209">
        <w:rPr>
          <w:rFonts w:asciiTheme="majorHAnsi" w:hAnsiTheme="majorHAnsi" w:cstheme="majorHAnsi"/>
          <w:b/>
          <w:bCs/>
        </w:rPr>
        <w:t xml:space="preserve"> </w:t>
      </w:r>
      <w:hyperlink r:id="rId17" w:history="1">
        <w:r w:rsidRPr="001D5209">
          <w:rPr>
            <w:rStyle w:val="Hyperlink"/>
            <w:rFonts w:asciiTheme="majorHAnsi" w:hAnsiTheme="majorHAnsi" w:cstheme="majorHAnsi"/>
          </w:rPr>
          <w:t>www.vic.gov.au/disability-and-inclusive-education</w:t>
        </w:r>
      </w:hyperlink>
    </w:p>
    <w:p w14:paraId="21BBA7AD" w14:textId="4B30CD61" w:rsidR="003E67FE" w:rsidRPr="00140E03" w:rsidRDefault="003E67FE" w:rsidP="003E67FE">
      <w:pPr>
        <w:pStyle w:val="Heading2"/>
        <w:rPr>
          <w:sz w:val="24"/>
          <w:szCs w:val="24"/>
          <w:lang w:val="en-AU"/>
        </w:rPr>
      </w:pPr>
      <w:r w:rsidRPr="00140E03">
        <w:rPr>
          <w:sz w:val="24"/>
          <w:szCs w:val="24"/>
          <w:lang w:val="en-AU"/>
        </w:rPr>
        <w:t>2001</w:t>
      </w:r>
    </w:p>
    <w:p w14:paraId="4CBA4AD5" w14:textId="347089FE" w:rsidR="003E67FE" w:rsidRDefault="003E67FE" w:rsidP="003E67FE">
      <w:pPr>
        <w:pStyle w:val="Heading3"/>
      </w:pPr>
      <w:r>
        <w:t>Yalca</w:t>
      </w:r>
      <w:r w:rsidR="00C11D94">
        <w:t xml:space="preserve"> </w:t>
      </w:r>
    </w:p>
    <w:p w14:paraId="0C959071" w14:textId="25E697F3" w:rsidR="00C56882" w:rsidRDefault="00C56882" w:rsidP="00E544E3">
      <w:r>
        <w:t>In 2001 the Victorian Aboriginal Education Association</w:t>
      </w:r>
      <w:r w:rsidR="0086223F">
        <w:t xml:space="preserve"> Inc.</w:t>
      </w:r>
      <w:r w:rsidR="00493F7B">
        <w:t xml:space="preserve"> (VAEAI)</w:t>
      </w:r>
      <w:r>
        <w:t xml:space="preserve"> and the </w:t>
      </w:r>
      <w:r w:rsidR="0086223F">
        <w:t xml:space="preserve">Victorian </w:t>
      </w:r>
      <w:r w:rsidR="00A215FA">
        <w:t xml:space="preserve">Government </w:t>
      </w:r>
      <w:r>
        <w:t xml:space="preserve">released </w:t>
      </w:r>
      <w:proofErr w:type="spellStart"/>
      <w:r>
        <w:t>Yalca</w:t>
      </w:r>
      <w:proofErr w:type="spellEnd"/>
      <w:r w:rsidR="00493F7B">
        <w:t xml:space="preserve"> </w:t>
      </w:r>
      <w:r w:rsidR="008167C7" w:rsidRPr="002A6101">
        <w:t>–</w:t>
      </w:r>
      <w:r>
        <w:t xml:space="preserve"> </w:t>
      </w:r>
      <w:r w:rsidR="008167C7">
        <w:t>a</w:t>
      </w:r>
      <w:r>
        <w:t xml:space="preserve"> partnership in Education and Training for the New Millennium policy. </w:t>
      </w:r>
      <w:r w:rsidR="00493F7B">
        <w:br/>
      </w:r>
      <w:r>
        <w:t xml:space="preserve">It supported a lifelong philosophy of education, placing the student at the centre of education policy and decision making; and acknowledged local Koorie communities are best able to determine local education needs. Yalca paved the way for VAEAI and the </w:t>
      </w:r>
      <w:r w:rsidR="00493F7B">
        <w:t xml:space="preserve">Victorian </w:t>
      </w:r>
      <w:r w:rsidR="00A215FA">
        <w:t xml:space="preserve">Government </w:t>
      </w:r>
      <w:r w:rsidR="00493F7B">
        <w:t>to</w:t>
      </w:r>
      <w:r>
        <w:t xml:space="preserve"> collaborate for the first ever </w:t>
      </w:r>
      <w:r w:rsidR="00493F7B">
        <w:t>10</w:t>
      </w:r>
      <w:r>
        <w:t xml:space="preserve">-year plan for Koorie education in Victoria with the creation of </w:t>
      </w:r>
      <w:proofErr w:type="spellStart"/>
      <w:r>
        <w:t>Marrung</w:t>
      </w:r>
      <w:proofErr w:type="spellEnd"/>
      <w:r>
        <w:t>, an Aboriginal Education Plan for 2016-2026.</w:t>
      </w:r>
    </w:p>
    <w:p w14:paraId="60D2FA3E" w14:textId="77777777" w:rsidR="00C56882" w:rsidRDefault="00C56882" w:rsidP="00C56882">
      <w:r>
        <w:t xml:space="preserve">Find out more at </w:t>
      </w:r>
      <w:hyperlink r:id="rId18" w:history="1">
        <w:r>
          <w:rPr>
            <w:rStyle w:val="Hyperlink"/>
          </w:rPr>
          <w:t>https://www.vic.gov.au/marrung</w:t>
        </w:r>
      </w:hyperlink>
    </w:p>
    <w:p w14:paraId="0D6136DF" w14:textId="7522DFC0" w:rsidR="003E67FE" w:rsidRPr="00140E03" w:rsidRDefault="003E67FE" w:rsidP="003E67FE">
      <w:pPr>
        <w:pStyle w:val="Heading2"/>
        <w:rPr>
          <w:sz w:val="24"/>
          <w:szCs w:val="24"/>
          <w:lang w:val="en-AU"/>
        </w:rPr>
      </w:pPr>
      <w:r w:rsidRPr="00140E03">
        <w:rPr>
          <w:sz w:val="24"/>
          <w:szCs w:val="24"/>
          <w:lang w:val="en-AU"/>
        </w:rPr>
        <w:t>2022</w:t>
      </w:r>
    </w:p>
    <w:p w14:paraId="55EEB060" w14:textId="43CE10C6" w:rsidR="003E67FE" w:rsidRPr="00317E3B" w:rsidRDefault="003E67FE" w:rsidP="003E67FE">
      <w:pPr>
        <w:pStyle w:val="Heading3"/>
        <w:rPr>
          <w:b w:val="0"/>
          <w:bCs/>
          <w:color w:val="auto"/>
        </w:rPr>
      </w:pPr>
      <w:r>
        <w:t>150</w:t>
      </w:r>
      <w:r w:rsidRPr="003E67FE">
        <w:rPr>
          <w:vertAlign w:val="superscript"/>
        </w:rPr>
        <w:t>th</w:t>
      </w:r>
      <w:r>
        <w:t xml:space="preserve"> anniversary of public education in Victoria</w:t>
      </w:r>
    </w:p>
    <w:p w14:paraId="53716E01" w14:textId="66B7E72E" w:rsidR="006076B0" w:rsidRDefault="006076B0" w:rsidP="006076B0">
      <w:r>
        <w:t xml:space="preserve">In 1872 there were over 480 schools in Victoria, more than 170 of these continue teaching today. </w:t>
      </w:r>
      <w:r>
        <w:br/>
        <w:t xml:space="preserve">A lot has changed in the last 150 years, but public education remains a vital part of the Victorian community. </w:t>
      </w:r>
    </w:p>
    <w:p w14:paraId="66486FA8" w14:textId="77777777" w:rsidR="00F2539D" w:rsidRDefault="00F2539D">
      <w:pPr>
        <w:spacing w:after="0"/>
        <w:rPr>
          <w:sz w:val="12"/>
          <w:szCs w:val="12"/>
        </w:rPr>
      </w:pPr>
    </w:p>
    <w:p w14:paraId="0736AF80" w14:textId="77777777" w:rsidR="0016287D" w:rsidRDefault="0016287D" w:rsidP="0016287D">
      <w:pPr>
        <w:pStyle w:val="FootnoteText"/>
        <w:ind w:right="4507"/>
        <w:rPr>
          <w:sz w:val="12"/>
          <w:szCs w:val="12"/>
        </w:rPr>
      </w:pPr>
    </w:p>
    <w:p w14:paraId="3950F060" w14:textId="22553F0B" w:rsidR="00122369" w:rsidRPr="00E34721" w:rsidRDefault="0016287D" w:rsidP="007D40FC">
      <w:pPr>
        <w:pStyle w:val="Copyrighttext"/>
        <w:rPr>
          <w:rFonts w:cstheme="minorHAnsi"/>
        </w:rPr>
      </w:pPr>
      <w:r w:rsidRPr="001105FA">
        <w:t>© State of Victoria (Department of Education and Training)</w:t>
      </w:r>
      <w:r w:rsidR="00E77EB9">
        <w:t xml:space="preserve"> </w:t>
      </w:r>
      <w:r w:rsidR="00E77EB9" w:rsidRPr="00A16706">
        <w:t>20</w:t>
      </w:r>
      <w:r w:rsidR="00735566" w:rsidRPr="00A16706">
        <w:t>21</w:t>
      </w:r>
      <w:r w:rsidR="00E77EB9" w:rsidRPr="00A16706">
        <w:t>.</w:t>
      </w:r>
      <w:r w:rsidRPr="00A16706">
        <w:t xml:space="preserve"> </w:t>
      </w:r>
      <w:r w:rsidR="00E34721" w:rsidRPr="00A16706">
        <w:rPr>
          <w:rFonts w:cstheme="minorHAnsi"/>
          <w:color w:val="000000"/>
        </w:rPr>
        <w:t>Except</w:t>
      </w:r>
      <w:r w:rsidR="00E34721" w:rsidRPr="00E34721">
        <w:rPr>
          <w:rFonts w:cstheme="minorHAnsi"/>
          <w:color w:val="000000"/>
        </w:rPr>
        <w:t xml:space="preserve"> where otherwise </w:t>
      </w:r>
      <w:hyperlink r:id="rId19"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D40FC">
        <w:rPr>
          <w:rFonts w:cstheme="minorHAnsi"/>
          <w:color w:val="000000"/>
        </w:rPr>
        <w:t xml:space="preserve"> </w:t>
      </w:r>
      <w:hyperlink r:id="rId20"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21" w:history="1">
        <w:r w:rsidR="00E34721" w:rsidRPr="00E34721">
          <w:rPr>
            <w:rStyle w:val="Hyperlink"/>
            <w:rFonts w:cstheme="minorHAnsi"/>
          </w:rPr>
          <w:t>copyright notice </w:t>
        </w:r>
      </w:hyperlink>
    </w:p>
    <w:sectPr w:rsidR="00122369" w:rsidRPr="00E34721" w:rsidSect="0056036B">
      <w:headerReference w:type="even" r:id="rId22"/>
      <w:headerReference w:type="default" r:id="rId23"/>
      <w:footerReference w:type="even" r:id="rId24"/>
      <w:footerReference w:type="default" r:id="rId25"/>
      <w:headerReference w:type="first" r:id="rId26"/>
      <w:footerReference w:type="first" r:id="rId27"/>
      <w:pgSz w:w="11900" w:h="16840"/>
      <w:pgMar w:top="2694"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5197" w14:textId="77777777" w:rsidR="00BF5D1E" w:rsidRDefault="00BF5D1E" w:rsidP="003967DD">
      <w:pPr>
        <w:spacing w:after="0"/>
      </w:pPr>
      <w:r>
        <w:separator/>
      </w:r>
    </w:p>
  </w:endnote>
  <w:endnote w:type="continuationSeparator" w:id="0">
    <w:p w14:paraId="29275BE3" w14:textId="77777777" w:rsidR="00BF5D1E" w:rsidRDefault="00BF5D1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4CD8" w14:textId="77777777" w:rsidR="00F73821" w:rsidRDefault="00F7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10F9" w14:textId="77777777" w:rsidR="00BF5D1E" w:rsidRDefault="00BF5D1E" w:rsidP="003967DD">
      <w:pPr>
        <w:spacing w:after="0"/>
      </w:pPr>
      <w:r>
        <w:separator/>
      </w:r>
    </w:p>
  </w:footnote>
  <w:footnote w:type="continuationSeparator" w:id="0">
    <w:p w14:paraId="60CFCD1E" w14:textId="77777777" w:rsidR="00BF5D1E" w:rsidRDefault="00BF5D1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02F8" w14:textId="77777777" w:rsidR="00F73821" w:rsidRDefault="00F73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7E9A6D25">
          <wp:simplePos x="0" y="0"/>
          <wp:positionH relativeFrom="page">
            <wp:posOffset>0</wp:posOffset>
          </wp:positionH>
          <wp:positionV relativeFrom="page">
            <wp:posOffset>0</wp:posOffset>
          </wp:positionV>
          <wp:extent cx="7550420" cy="10672107"/>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B209" w14:textId="77777777" w:rsidR="00F73821" w:rsidRDefault="00F7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9256F"/>
    <w:multiLevelType w:val="hybridMultilevel"/>
    <w:tmpl w:val="E2F695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E5423DA"/>
    <w:multiLevelType w:val="multilevel"/>
    <w:tmpl w:val="1D4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23215"/>
    <w:multiLevelType w:val="multilevel"/>
    <w:tmpl w:val="2F9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16CC2"/>
    <w:multiLevelType w:val="hybridMultilevel"/>
    <w:tmpl w:val="B70A825A"/>
    <w:lvl w:ilvl="0" w:tplc="DCE274C2">
      <w:start w:val="3"/>
      <w:numFmt w:val="bullet"/>
      <w:lvlText w:val="-"/>
      <w:lvlJc w:val="left"/>
      <w:pPr>
        <w:ind w:left="1080" w:hanging="360"/>
      </w:pPr>
      <w:rPr>
        <w:rFonts w:ascii="Verdana" w:eastAsia="Calibri" w:hAnsi="Verdana" w:cs="Times New Roman" w:hint="default"/>
        <w:i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2"/>
  </w:num>
  <w:num w:numId="19">
    <w:abstractNumId w:val="11"/>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A24"/>
    <w:rsid w:val="00011251"/>
    <w:rsid w:val="00011F31"/>
    <w:rsid w:val="00013339"/>
    <w:rsid w:val="000256E2"/>
    <w:rsid w:val="00027053"/>
    <w:rsid w:val="00051CD1"/>
    <w:rsid w:val="00080DA9"/>
    <w:rsid w:val="0008539F"/>
    <w:rsid w:val="000861DD"/>
    <w:rsid w:val="000952AE"/>
    <w:rsid w:val="000A47D4"/>
    <w:rsid w:val="000C600E"/>
    <w:rsid w:val="000E4EAC"/>
    <w:rsid w:val="000F0ABC"/>
    <w:rsid w:val="000F3D2F"/>
    <w:rsid w:val="00122369"/>
    <w:rsid w:val="001348A3"/>
    <w:rsid w:val="00140E03"/>
    <w:rsid w:val="00150E0F"/>
    <w:rsid w:val="00157212"/>
    <w:rsid w:val="0016287D"/>
    <w:rsid w:val="001B4A12"/>
    <w:rsid w:val="001C3F6B"/>
    <w:rsid w:val="001C59AD"/>
    <w:rsid w:val="001D0D94"/>
    <w:rsid w:val="001D13F9"/>
    <w:rsid w:val="001D5209"/>
    <w:rsid w:val="001E2B54"/>
    <w:rsid w:val="001F39DD"/>
    <w:rsid w:val="00210DC4"/>
    <w:rsid w:val="00211F39"/>
    <w:rsid w:val="00227172"/>
    <w:rsid w:val="00230FE3"/>
    <w:rsid w:val="002512BE"/>
    <w:rsid w:val="00256FA0"/>
    <w:rsid w:val="00271625"/>
    <w:rsid w:val="00275FB8"/>
    <w:rsid w:val="002A2405"/>
    <w:rsid w:val="002A4A96"/>
    <w:rsid w:val="002A6101"/>
    <w:rsid w:val="002C24B8"/>
    <w:rsid w:val="002D5377"/>
    <w:rsid w:val="002E3BED"/>
    <w:rsid w:val="002F41D7"/>
    <w:rsid w:val="002F6115"/>
    <w:rsid w:val="002F75BD"/>
    <w:rsid w:val="00312720"/>
    <w:rsid w:val="00313C49"/>
    <w:rsid w:val="00317E3B"/>
    <w:rsid w:val="0032559D"/>
    <w:rsid w:val="00326333"/>
    <w:rsid w:val="00343AFC"/>
    <w:rsid w:val="0034745C"/>
    <w:rsid w:val="00387AD0"/>
    <w:rsid w:val="003967DD"/>
    <w:rsid w:val="003A4C39"/>
    <w:rsid w:val="003B6697"/>
    <w:rsid w:val="003B6904"/>
    <w:rsid w:val="003C6DFF"/>
    <w:rsid w:val="003E3213"/>
    <w:rsid w:val="003E67FE"/>
    <w:rsid w:val="00422487"/>
    <w:rsid w:val="0042333B"/>
    <w:rsid w:val="0042634F"/>
    <w:rsid w:val="00431020"/>
    <w:rsid w:val="00432632"/>
    <w:rsid w:val="00443433"/>
    <w:rsid w:val="00443E58"/>
    <w:rsid w:val="00460CB8"/>
    <w:rsid w:val="00490976"/>
    <w:rsid w:val="00493B70"/>
    <w:rsid w:val="00493F7B"/>
    <w:rsid w:val="00493FD1"/>
    <w:rsid w:val="004A2E74"/>
    <w:rsid w:val="004B2ED6"/>
    <w:rsid w:val="00500ADA"/>
    <w:rsid w:val="00512BBA"/>
    <w:rsid w:val="005364B6"/>
    <w:rsid w:val="00555277"/>
    <w:rsid w:val="0056036B"/>
    <w:rsid w:val="00567CF0"/>
    <w:rsid w:val="00584366"/>
    <w:rsid w:val="005A4F12"/>
    <w:rsid w:val="005A558B"/>
    <w:rsid w:val="005C1C80"/>
    <w:rsid w:val="005C1EFE"/>
    <w:rsid w:val="005E0713"/>
    <w:rsid w:val="005F3CF1"/>
    <w:rsid w:val="00600B7A"/>
    <w:rsid w:val="006076B0"/>
    <w:rsid w:val="00624A55"/>
    <w:rsid w:val="006435FC"/>
    <w:rsid w:val="006523D7"/>
    <w:rsid w:val="006579A0"/>
    <w:rsid w:val="006671CE"/>
    <w:rsid w:val="006704B1"/>
    <w:rsid w:val="006A1F8A"/>
    <w:rsid w:val="006A25AC"/>
    <w:rsid w:val="006A3842"/>
    <w:rsid w:val="006A6593"/>
    <w:rsid w:val="006B6A19"/>
    <w:rsid w:val="006C45C0"/>
    <w:rsid w:val="006E2B9A"/>
    <w:rsid w:val="006E542B"/>
    <w:rsid w:val="006F3653"/>
    <w:rsid w:val="006F70E6"/>
    <w:rsid w:val="00710CED"/>
    <w:rsid w:val="00715215"/>
    <w:rsid w:val="00720FE3"/>
    <w:rsid w:val="00735566"/>
    <w:rsid w:val="00740B70"/>
    <w:rsid w:val="00762EAC"/>
    <w:rsid w:val="00767573"/>
    <w:rsid w:val="00784C8F"/>
    <w:rsid w:val="00784CE2"/>
    <w:rsid w:val="007A13FC"/>
    <w:rsid w:val="007B556E"/>
    <w:rsid w:val="007D2354"/>
    <w:rsid w:val="007D3E38"/>
    <w:rsid w:val="007D40FC"/>
    <w:rsid w:val="007F5D3B"/>
    <w:rsid w:val="007F5FA4"/>
    <w:rsid w:val="008065DA"/>
    <w:rsid w:val="0081094F"/>
    <w:rsid w:val="008121E9"/>
    <w:rsid w:val="008167C7"/>
    <w:rsid w:val="0086223F"/>
    <w:rsid w:val="00887EC5"/>
    <w:rsid w:val="00890680"/>
    <w:rsid w:val="00892E24"/>
    <w:rsid w:val="008A4D13"/>
    <w:rsid w:val="008B1737"/>
    <w:rsid w:val="008C327C"/>
    <w:rsid w:val="008C78E7"/>
    <w:rsid w:val="008F3D35"/>
    <w:rsid w:val="008F7748"/>
    <w:rsid w:val="00910489"/>
    <w:rsid w:val="00952690"/>
    <w:rsid w:val="00954B9A"/>
    <w:rsid w:val="009719B7"/>
    <w:rsid w:val="0099358C"/>
    <w:rsid w:val="009B1AB5"/>
    <w:rsid w:val="009C05BD"/>
    <w:rsid w:val="009C07C8"/>
    <w:rsid w:val="009E7771"/>
    <w:rsid w:val="009F6A77"/>
    <w:rsid w:val="00A14AC0"/>
    <w:rsid w:val="00A16706"/>
    <w:rsid w:val="00A215FA"/>
    <w:rsid w:val="00A31926"/>
    <w:rsid w:val="00A36E2C"/>
    <w:rsid w:val="00A550FF"/>
    <w:rsid w:val="00A710DF"/>
    <w:rsid w:val="00A75122"/>
    <w:rsid w:val="00A86197"/>
    <w:rsid w:val="00AD36D2"/>
    <w:rsid w:val="00AD6D90"/>
    <w:rsid w:val="00B02CB9"/>
    <w:rsid w:val="00B20708"/>
    <w:rsid w:val="00B21562"/>
    <w:rsid w:val="00B24310"/>
    <w:rsid w:val="00B25CD5"/>
    <w:rsid w:val="00B36CE2"/>
    <w:rsid w:val="00B519A3"/>
    <w:rsid w:val="00B55064"/>
    <w:rsid w:val="00B70A33"/>
    <w:rsid w:val="00B775D4"/>
    <w:rsid w:val="00BA2F14"/>
    <w:rsid w:val="00BB33F5"/>
    <w:rsid w:val="00BC2383"/>
    <w:rsid w:val="00BE16EA"/>
    <w:rsid w:val="00BE78BA"/>
    <w:rsid w:val="00BF5D1E"/>
    <w:rsid w:val="00C03209"/>
    <w:rsid w:val="00C11D94"/>
    <w:rsid w:val="00C20722"/>
    <w:rsid w:val="00C31490"/>
    <w:rsid w:val="00C35162"/>
    <w:rsid w:val="00C41954"/>
    <w:rsid w:val="00C539BB"/>
    <w:rsid w:val="00C56882"/>
    <w:rsid w:val="00C62614"/>
    <w:rsid w:val="00C7154D"/>
    <w:rsid w:val="00C73181"/>
    <w:rsid w:val="00C7370A"/>
    <w:rsid w:val="00CC353E"/>
    <w:rsid w:val="00CC5AA8"/>
    <w:rsid w:val="00CD5993"/>
    <w:rsid w:val="00CE1C53"/>
    <w:rsid w:val="00CE7916"/>
    <w:rsid w:val="00D02810"/>
    <w:rsid w:val="00D039E8"/>
    <w:rsid w:val="00D17E55"/>
    <w:rsid w:val="00D2181F"/>
    <w:rsid w:val="00D61BEF"/>
    <w:rsid w:val="00D818AD"/>
    <w:rsid w:val="00D9777A"/>
    <w:rsid w:val="00DA5C37"/>
    <w:rsid w:val="00DC4D0D"/>
    <w:rsid w:val="00DC7BDC"/>
    <w:rsid w:val="00E06227"/>
    <w:rsid w:val="00E253A1"/>
    <w:rsid w:val="00E30352"/>
    <w:rsid w:val="00E34263"/>
    <w:rsid w:val="00E34721"/>
    <w:rsid w:val="00E41E63"/>
    <w:rsid w:val="00E4317E"/>
    <w:rsid w:val="00E47519"/>
    <w:rsid w:val="00E47A87"/>
    <w:rsid w:val="00E5030B"/>
    <w:rsid w:val="00E544E3"/>
    <w:rsid w:val="00E55A12"/>
    <w:rsid w:val="00E64758"/>
    <w:rsid w:val="00E705FD"/>
    <w:rsid w:val="00E77EB9"/>
    <w:rsid w:val="00E96A40"/>
    <w:rsid w:val="00EB5529"/>
    <w:rsid w:val="00EF5885"/>
    <w:rsid w:val="00F12673"/>
    <w:rsid w:val="00F17E28"/>
    <w:rsid w:val="00F2539D"/>
    <w:rsid w:val="00F33849"/>
    <w:rsid w:val="00F519EF"/>
    <w:rsid w:val="00F5271F"/>
    <w:rsid w:val="00F60AAF"/>
    <w:rsid w:val="00F66CDC"/>
    <w:rsid w:val="00F73821"/>
    <w:rsid w:val="00F83363"/>
    <w:rsid w:val="00F94715"/>
    <w:rsid w:val="00FA6158"/>
    <w:rsid w:val="00FC5D6C"/>
    <w:rsid w:val="00FD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B6697"/>
    <w:pPr>
      <w:keepNext/>
      <w:keepLines/>
      <w:spacing w:before="240"/>
      <w:outlineLvl w:val="0"/>
    </w:pPr>
    <w:rPr>
      <w:rFonts w:asciiTheme="majorHAnsi" w:eastAsiaTheme="majorEastAsia" w:hAnsiTheme="majorHAnsi" w:cs="Times New Roman (Headings CS)"/>
      <w:b/>
      <w:color w:val="0090DA" w:themeColor="accent4"/>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3B6697"/>
    <w:pPr>
      <w:keepNext/>
      <w:keepLines/>
      <w:spacing w:before="40"/>
      <w:outlineLvl w:val="2"/>
    </w:pPr>
    <w:rPr>
      <w:rFonts w:asciiTheme="majorHAnsi" w:eastAsiaTheme="majorEastAsia" w:hAnsiTheme="majorHAnsi" w:cstheme="majorBidi"/>
      <w:b/>
      <w:color w:val="0090DA" w:themeColor="accent4"/>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B6697"/>
    <w:rPr>
      <w:rFonts w:asciiTheme="majorHAnsi" w:eastAsiaTheme="majorEastAsia" w:hAnsiTheme="majorHAnsi" w:cs="Times New Roman (Headings CS)"/>
      <w:b/>
      <w:color w:val="0090DA" w:themeColor="accent4"/>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3B6697"/>
    <w:rPr>
      <w:rFonts w:asciiTheme="majorHAnsi" w:eastAsiaTheme="majorEastAsia" w:hAnsiTheme="majorHAnsi" w:cstheme="majorBidi"/>
      <w:b/>
      <w:color w:val="0090DA" w:themeColor="accent4"/>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semiHidden/>
    <w:unhideWhenUsed/>
    <w:rsid w:val="00211F39"/>
    <w:pPr>
      <w:spacing w:before="100" w:beforeAutospacing="1" w:after="100" w:afterAutospacing="1"/>
    </w:pPr>
    <w:rPr>
      <w:rFonts w:ascii="Times New Roman" w:eastAsia="Times New Roman" w:hAnsi="Times New Roman" w:cs="Times New Roman"/>
      <w:sz w:val="24"/>
      <w:lang w:val="en-AU" w:eastAsia="en-AU"/>
    </w:rPr>
  </w:style>
  <w:style w:type="paragraph" w:styleId="PlainText">
    <w:name w:val="Plain Text"/>
    <w:basedOn w:val="Normal"/>
    <w:link w:val="PlainTextChar"/>
    <w:uiPriority w:val="99"/>
    <w:unhideWhenUsed/>
    <w:rsid w:val="00762EAC"/>
    <w:pPr>
      <w:spacing w:after="0"/>
    </w:pPr>
    <w:rPr>
      <w:rFonts w:ascii="Calibri" w:hAnsi="Calibri" w:cs="Calibri"/>
      <w:szCs w:val="22"/>
      <w:lang w:val="en-AU"/>
    </w:rPr>
  </w:style>
  <w:style w:type="character" w:customStyle="1" w:styleId="PlainTextChar">
    <w:name w:val="Plain Text Char"/>
    <w:basedOn w:val="DefaultParagraphFont"/>
    <w:link w:val="PlainText"/>
    <w:uiPriority w:val="99"/>
    <w:rsid w:val="00762EAC"/>
    <w:rPr>
      <w:rFonts w:ascii="Calibri" w:hAnsi="Calibri" w:cs="Calibri"/>
      <w:sz w:val="22"/>
      <w:szCs w:val="22"/>
      <w:lang w:val="en-AU"/>
    </w:rPr>
  </w:style>
  <w:style w:type="character" w:styleId="Emphasis">
    <w:name w:val="Emphasis"/>
    <w:basedOn w:val="DefaultParagraphFont"/>
    <w:uiPriority w:val="20"/>
    <w:qFormat/>
    <w:rsid w:val="00F66CDC"/>
    <w:rPr>
      <w:i/>
      <w:iCs/>
    </w:rPr>
  </w:style>
  <w:style w:type="character" w:styleId="CommentReference">
    <w:name w:val="annotation reference"/>
    <w:basedOn w:val="DefaultParagraphFont"/>
    <w:uiPriority w:val="99"/>
    <w:semiHidden/>
    <w:unhideWhenUsed/>
    <w:rsid w:val="008C78E7"/>
    <w:rPr>
      <w:sz w:val="16"/>
      <w:szCs w:val="16"/>
    </w:rPr>
  </w:style>
  <w:style w:type="paragraph" w:styleId="CommentText">
    <w:name w:val="annotation text"/>
    <w:basedOn w:val="Normal"/>
    <w:link w:val="CommentTextChar"/>
    <w:uiPriority w:val="99"/>
    <w:semiHidden/>
    <w:unhideWhenUsed/>
    <w:rsid w:val="008C78E7"/>
    <w:rPr>
      <w:sz w:val="20"/>
      <w:szCs w:val="20"/>
    </w:rPr>
  </w:style>
  <w:style w:type="character" w:customStyle="1" w:styleId="CommentTextChar">
    <w:name w:val="Comment Text Char"/>
    <w:basedOn w:val="DefaultParagraphFont"/>
    <w:link w:val="CommentText"/>
    <w:uiPriority w:val="99"/>
    <w:semiHidden/>
    <w:rsid w:val="008C78E7"/>
    <w:rPr>
      <w:sz w:val="20"/>
      <w:szCs w:val="20"/>
    </w:rPr>
  </w:style>
  <w:style w:type="paragraph" w:styleId="CommentSubject">
    <w:name w:val="annotation subject"/>
    <w:basedOn w:val="CommentText"/>
    <w:next w:val="CommentText"/>
    <w:link w:val="CommentSubjectChar"/>
    <w:uiPriority w:val="99"/>
    <w:semiHidden/>
    <w:unhideWhenUsed/>
    <w:rsid w:val="008C78E7"/>
    <w:rPr>
      <w:b/>
      <w:bCs/>
    </w:rPr>
  </w:style>
  <w:style w:type="character" w:customStyle="1" w:styleId="CommentSubjectChar">
    <w:name w:val="Comment Subject Char"/>
    <w:basedOn w:val="CommentTextChar"/>
    <w:link w:val="CommentSubject"/>
    <w:uiPriority w:val="99"/>
    <w:semiHidden/>
    <w:rsid w:val="008C78E7"/>
    <w:rPr>
      <w:b/>
      <w:bCs/>
      <w:sz w:val="20"/>
      <w:szCs w:val="20"/>
    </w:rPr>
  </w:style>
  <w:style w:type="paragraph" w:customStyle="1" w:styleId="xmsonormal">
    <w:name w:val="x_msonormal"/>
    <w:basedOn w:val="Normal"/>
    <w:rsid w:val="00460CB8"/>
    <w:pPr>
      <w:spacing w:after="0"/>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471894">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58235279">
      <w:bodyDiv w:val="1"/>
      <w:marLeft w:val="0"/>
      <w:marRight w:val="0"/>
      <w:marTop w:val="0"/>
      <w:marBottom w:val="0"/>
      <w:divBdr>
        <w:top w:val="none" w:sz="0" w:space="0" w:color="auto"/>
        <w:left w:val="none" w:sz="0" w:space="0" w:color="auto"/>
        <w:bottom w:val="none" w:sz="0" w:space="0" w:color="auto"/>
        <w:right w:val="none" w:sz="0" w:space="0" w:color="auto"/>
      </w:divBdr>
    </w:div>
    <w:div w:id="226037282">
      <w:bodyDiv w:val="1"/>
      <w:marLeft w:val="0"/>
      <w:marRight w:val="0"/>
      <w:marTop w:val="0"/>
      <w:marBottom w:val="0"/>
      <w:divBdr>
        <w:top w:val="none" w:sz="0" w:space="0" w:color="auto"/>
        <w:left w:val="none" w:sz="0" w:space="0" w:color="auto"/>
        <w:bottom w:val="none" w:sz="0" w:space="0" w:color="auto"/>
        <w:right w:val="none" w:sz="0" w:space="0" w:color="auto"/>
      </w:divBdr>
    </w:div>
    <w:div w:id="282620049">
      <w:bodyDiv w:val="1"/>
      <w:marLeft w:val="0"/>
      <w:marRight w:val="0"/>
      <w:marTop w:val="0"/>
      <w:marBottom w:val="0"/>
      <w:divBdr>
        <w:top w:val="none" w:sz="0" w:space="0" w:color="auto"/>
        <w:left w:val="none" w:sz="0" w:space="0" w:color="auto"/>
        <w:bottom w:val="none" w:sz="0" w:space="0" w:color="auto"/>
        <w:right w:val="none" w:sz="0" w:space="0" w:color="auto"/>
      </w:divBdr>
    </w:div>
    <w:div w:id="362247453">
      <w:bodyDiv w:val="1"/>
      <w:marLeft w:val="0"/>
      <w:marRight w:val="0"/>
      <w:marTop w:val="0"/>
      <w:marBottom w:val="0"/>
      <w:divBdr>
        <w:top w:val="none" w:sz="0" w:space="0" w:color="auto"/>
        <w:left w:val="none" w:sz="0" w:space="0" w:color="auto"/>
        <w:bottom w:val="none" w:sz="0" w:space="0" w:color="auto"/>
        <w:right w:val="none" w:sz="0" w:space="0" w:color="auto"/>
      </w:divBdr>
    </w:div>
    <w:div w:id="449324526">
      <w:bodyDiv w:val="1"/>
      <w:marLeft w:val="0"/>
      <w:marRight w:val="0"/>
      <w:marTop w:val="0"/>
      <w:marBottom w:val="0"/>
      <w:divBdr>
        <w:top w:val="none" w:sz="0" w:space="0" w:color="auto"/>
        <w:left w:val="none" w:sz="0" w:space="0" w:color="auto"/>
        <w:bottom w:val="none" w:sz="0" w:space="0" w:color="auto"/>
        <w:right w:val="none" w:sz="0" w:space="0" w:color="auto"/>
      </w:divBdr>
    </w:div>
    <w:div w:id="475805276">
      <w:bodyDiv w:val="1"/>
      <w:marLeft w:val="0"/>
      <w:marRight w:val="0"/>
      <w:marTop w:val="0"/>
      <w:marBottom w:val="0"/>
      <w:divBdr>
        <w:top w:val="none" w:sz="0" w:space="0" w:color="auto"/>
        <w:left w:val="none" w:sz="0" w:space="0" w:color="auto"/>
        <w:bottom w:val="none" w:sz="0" w:space="0" w:color="auto"/>
        <w:right w:val="none" w:sz="0" w:space="0" w:color="auto"/>
      </w:divBdr>
    </w:div>
    <w:div w:id="545726537">
      <w:bodyDiv w:val="1"/>
      <w:marLeft w:val="0"/>
      <w:marRight w:val="0"/>
      <w:marTop w:val="0"/>
      <w:marBottom w:val="0"/>
      <w:divBdr>
        <w:top w:val="none" w:sz="0" w:space="0" w:color="auto"/>
        <w:left w:val="none" w:sz="0" w:space="0" w:color="auto"/>
        <w:bottom w:val="none" w:sz="0" w:space="0" w:color="auto"/>
        <w:right w:val="none" w:sz="0" w:space="0" w:color="auto"/>
      </w:divBdr>
    </w:div>
    <w:div w:id="575357509">
      <w:bodyDiv w:val="1"/>
      <w:marLeft w:val="0"/>
      <w:marRight w:val="0"/>
      <w:marTop w:val="0"/>
      <w:marBottom w:val="0"/>
      <w:divBdr>
        <w:top w:val="none" w:sz="0" w:space="0" w:color="auto"/>
        <w:left w:val="none" w:sz="0" w:space="0" w:color="auto"/>
        <w:bottom w:val="none" w:sz="0" w:space="0" w:color="auto"/>
        <w:right w:val="none" w:sz="0" w:space="0" w:color="auto"/>
      </w:divBdr>
    </w:div>
    <w:div w:id="865097147">
      <w:bodyDiv w:val="1"/>
      <w:marLeft w:val="0"/>
      <w:marRight w:val="0"/>
      <w:marTop w:val="0"/>
      <w:marBottom w:val="0"/>
      <w:divBdr>
        <w:top w:val="none" w:sz="0" w:space="0" w:color="auto"/>
        <w:left w:val="none" w:sz="0" w:space="0" w:color="auto"/>
        <w:bottom w:val="none" w:sz="0" w:space="0" w:color="auto"/>
        <w:right w:val="none" w:sz="0" w:space="0" w:color="auto"/>
      </w:divBdr>
    </w:div>
    <w:div w:id="883492085">
      <w:bodyDiv w:val="1"/>
      <w:marLeft w:val="0"/>
      <w:marRight w:val="0"/>
      <w:marTop w:val="0"/>
      <w:marBottom w:val="0"/>
      <w:divBdr>
        <w:top w:val="none" w:sz="0" w:space="0" w:color="auto"/>
        <w:left w:val="none" w:sz="0" w:space="0" w:color="auto"/>
        <w:bottom w:val="none" w:sz="0" w:space="0" w:color="auto"/>
        <w:right w:val="none" w:sz="0" w:space="0" w:color="auto"/>
      </w:divBdr>
    </w:div>
    <w:div w:id="905605098">
      <w:bodyDiv w:val="1"/>
      <w:marLeft w:val="0"/>
      <w:marRight w:val="0"/>
      <w:marTop w:val="0"/>
      <w:marBottom w:val="0"/>
      <w:divBdr>
        <w:top w:val="none" w:sz="0" w:space="0" w:color="auto"/>
        <w:left w:val="none" w:sz="0" w:space="0" w:color="auto"/>
        <w:bottom w:val="none" w:sz="0" w:space="0" w:color="auto"/>
        <w:right w:val="none" w:sz="0" w:space="0" w:color="auto"/>
      </w:divBdr>
    </w:div>
    <w:div w:id="979845174">
      <w:bodyDiv w:val="1"/>
      <w:marLeft w:val="0"/>
      <w:marRight w:val="0"/>
      <w:marTop w:val="0"/>
      <w:marBottom w:val="0"/>
      <w:divBdr>
        <w:top w:val="none" w:sz="0" w:space="0" w:color="auto"/>
        <w:left w:val="none" w:sz="0" w:space="0" w:color="auto"/>
        <w:bottom w:val="none" w:sz="0" w:space="0" w:color="auto"/>
        <w:right w:val="none" w:sz="0" w:space="0" w:color="auto"/>
      </w:divBdr>
    </w:div>
    <w:div w:id="1036470265">
      <w:bodyDiv w:val="1"/>
      <w:marLeft w:val="0"/>
      <w:marRight w:val="0"/>
      <w:marTop w:val="0"/>
      <w:marBottom w:val="0"/>
      <w:divBdr>
        <w:top w:val="none" w:sz="0" w:space="0" w:color="auto"/>
        <w:left w:val="none" w:sz="0" w:space="0" w:color="auto"/>
        <w:bottom w:val="none" w:sz="0" w:space="0" w:color="auto"/>
        <w:right w:val="none" w:sz="0" w:space="0" w:color="auto"/>
      </w:divBdr>
    </w:div>
    <w:div w:id="1091004287">
      <w:bodyDiv w:val="1"/>
      <w:marLeft w:val="0"/>
      <w:marRight w:val="0"/>
      <w:marTop w:val="0"/>
      <w:marBottom w:val="0"/>
      <w:divBdr>
        <w:top w:val="none" w:sz="0" w:space="0" w:color="auto"/>
        <w:left w:val="none" w:sz="0" w:space="0" w:color="auto"/>
        <w:bottom w:val="none" w:sz="0" w:space="0" w:color="auto"/>
        <w:right w:val="none" w:sz="0" w:space="0" w:color="auto"/>
      </w:divBdr>
    </w:div>
    <w:div w:id="1175417992">
      <w:bodyDiv w:val="1"/>
      <w:marLeft w:val="0"/>
      <w:marRight w:val="0"/>
      <w:marTop w:val="0"/>
      <w:marBottom w:val="0"/>
      <w:divBdr>
        <w:top w:val="none" w:sz="0" w:space="0" w:color="auto"/>
        <w:left w:val="none" w:sz="0" w:space="0" w:color="auto"/>
        <w:bottom w:val="none" w:sz="0" w:space="0" w:color="auto"/>
        <w:right w:val="none" w:sz="0" w:space="0" w:color="auto"/>
      </w:divBdr>
    </w:div>
    <w:div w:id="124492292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0155482">
      <w:bodyDiv w:val="1"/>
      <w:marLeft w:val="0"/>
      <w:marRight w:val="0"/>
      <w:marTop w:val="0"/>
      <w:marBottom w:val="0"/>
      <w:divBdr>
        <w:top w:val="none" w:sz="0" w:space="0" w:color="auto"/>
        <w:left w:val="none" w:sz="0" w:space="0" w:color="auto"/>
        <w:bottom w:val="none" w:sz="0" w:space="0" w:color="auto"/>
        <w:right w:val="none" w:sz="0" w:space="0" w:color="auto"/>
      </w:divBdr>
    </w:div>
    <w:div w:id="1582061507">
      <w:bodyDiv w:val="1"/>
      <w:marLeft w:val="0"/>
      <w:marRight w:val="0"/>
      <w:marTop w:val="0"/>
      <w:marBottom w:val="0"/>
      <w:divBdr>
        <w:top w:val="none" w:sz="0" w:space="0" w:color="auto"/>
        <w:left w:val="none" w:sz="0" w:space="0" w:color="auto"/>
        <w:bottom w:val="none" w:sz="0" w:space="0" w:color="auto"/>
        <w:right w:val="none" w:sz="0" w:space="0" w:color="auto"/>
      </w:divBdr>
    </w:div>
    <w:div w:id="1685086078">
      <w:bodyDiv w:val="1"/>
      <w:marLeft w:val="0"/>
      <w:marRight w:val="0"/>
      <w:marTop w:val="0"/>
      <w:marBottom w:val="0"/>
      <w:divBdr>
        <w:top w:val="none" w:sz="0" w:space="0" w:color="auto"/>
        <w:left w:val="none" w:sz="0" w:space="0" w:color="auto"/>
        <w:bottom w:val="none" w:sz="0" w:space="0" w:color="auto"/>
        <w:right w:val="none" w:sz="0" w:space="0" w:color="auto"/>
      </w:divBdr>
    </w:div>
    <w:div w:id="1688672663">
      <w:bodyDiv w:val="1"/>
      <w:marLeft w:val="0"/>
      <w:marRight w:val="0"/>
      <w:marTop w:val="0"/>
      <w:marBottom w:val="0"/>
      <w:divBdr>
        <w:top w:val="none" w:sz="0" w:space="0" w:color="auto"/>
        <w:left w:val="none" w:sz="0" w:space="0" w:color="auto"/>
        <w:bottom w:val="none" w:sz="0" w:space="0" w:color="auto"/>
        <w:right w:val="none" w:sz="0" w:space="0" w:color="auto"/>
      </w:divBdr>
    </w:div>
    <w:div w:id="1801413228">
      <w:bodyDiv w:val="1"/>
      <w:marLeft w:val="0"/>
      <w:marRight w:val="0"/>
      <w:marTop w:val="0"/>
      <w:marBottom w:val="0"/>
      <w:divBdr>
        <w:top w:val="none" w:sz="0" w:space="0" w:color="auto"/>
        <w:left w:val="none" w:sz="0" w:space="0" w:color="auto"/>
        <w:bottom w:val="none" w:sz="0" w:space="0" w:color="auto"/>
        <w:right w:val="none" w:sz="0" w:space="0" w:color="auto"/>
      </w:divBdr>
    </w:div>
    <w:div w:id="1853033094">
      <w:bodyDiv w:val="1"/>
      <w:marLeft w:val="0"/>
      <w:marRight w:val="0"/>
      <w:marTop w:val="0"/>
      <w:marBottom w:val="0"/>
      <w:divBdr>
        <w:top w:val="none" w:sz="0" w:space="0" w:color="auto"/>
        <w:left w:val="none" w:sz="0" w:space="0" w:color="auto"/>
        <w:bottom w:val="none" w:sz="0" w:space="0" w:color="auto"/>
        <w:right w:val="none" w:sz="0" w:space="0" w:color="auto"/>
      </w:divBdr>
    </w:div>
    <w:div w:id="213968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vic.gov.au%2Fgive-your-child-the-best-start-in-life&amp;data=04%7C01%7CAnna.Masters%40education.vic.gov.au%7C696404010d034a225d9b08da1dc2ce76%7Cd96cb3371a8744cfb69b3cec334a4c1f%7C0%7C0%7C637855019768852091%7CUnknown%7CTWFpbGZsb3d8eyJWIjoiMC4wLjAwMDAiLCJQIjoiV2luMzIiLCJBTiI6Ik1haWwiLCJXVCI6Mn0%3D%7C3000&amp;sdata=vWqk%2FuxI7PE1Kfa2C9jw9wqED%2FVobtpn2S7Vx8m4ojM%3D&amp;reserved=0" TargetMode="External"/><Relationship Id="rId18" Type="http://schemas.openxmlformats.org/officeDocument/2006/relationships/hyperlink" Target="https://aus01.safelinks.protection.outlook.com/?url=https%3A%2F%2Fwww.vic.gov.au%2Fmarrung&amp;data=04%7C01%7CAnna.Masters%40education.vic.gov.au%7Cbf51ced3aecb48b7838b08da1dbf03bd%7Cd96cb3371a8744cfb69b3cec334a4c1f%7C0%7C0%7C637855003516595403%7CUnknown%7CTWFpbGZsb3d8eyJWIjoiMC4wLjAwMDAiLCJQIjoiV2luMzIiLCJBTiI6Ik1haWwiLCJXVCI6Mn0%3D%7C3000&amp;sdata=ivtsdRxSRzaG04J5fTqdWvxS8NmGEUveCm2Iin7NxfU%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tyles" Target="styles.xml"/><Relationship Id="rId12" Type="http://schemas.openxmlformats.org/officeDocument/2006/relationships/hyperlink" Target="https://www.academy.vic.gov.au/" TargetMode="External"/><Relationship Id="rId17" Type="http://schemas.openxmlformats.org/officeDocument/2006/relationships/hyperlink" Target="https://aus01.safelinks.protection.outlook.com/?url=http%3A%2F%2Fwww.vic.gov.au%2Fdisability-and-inclusive-education&amp;data=04%7C01%7CAnna.Masters%40education.vic.gov.au%7C3e7e7589d73d47a164cf08da1dad4a3a%7Cd96cb3371a8744cfb69b3cec334a4c1f%7C0%7C0%7C637854927359584874%7CUnknown%7CTWFpbGZsb3d8eyJWIjoiMC4wLjAwMDAiLCJQIjoiV2luMzIiLCJBTiI6Ik1haWwiLCJXVCI6Mn0%3D%7C3000&amp;sdata=7eT%2BrRddE6A%2F2OSLkzuMGlPEA3eXSBO8BGzZB244PpE%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education-week-2022" TargetMode="External"/><Relationship Id="rId20" Type="http://schemas.openxmlformats.org/officeDocument/2006/relationships/hyperlink" Target="https://creativecommons.org/licenses/by/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tateschoolsrelief.org.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vic.gov.au%2Ftafe&amp;data=05%7C01%7CAmelia.Cooper%40education.vic.gov.au%7C0ca68f48e36a4968987108da27368ae3%7Cd96cb3371a8744cfb69b3cec334a4c1f%7C0%7C0%7C637865412454827343%7CUnknown%7CTWFpbGZsb3d8eyJWIjoiMC4wLjAwMDAiLCJQIjoiV2luMzIiLCJBTiI6Ik1haWwiLCJXVCI6Mn0%3D%7C3000%7C%7C%7C&amp;sdata=Jc6yLlbeJoe7SOpKsTZzscSpH2Amcuns8ZMey1Sllk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EB49-33F4-46CC-B217-B65B71C8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F9C47C-BDC0-4F93-9461-DEB5C21651F3}">
  <ds:schemaRefs>
    <ds:schemaRef ds:uri="http://schemas.microsoft.com/sharepoint/event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Amelia Cooper</cp:lastModifiedBy>
  <cp:revision>2</cp:revision>
  <cp:lastPrinted>2022-04-27T22:50:00Z</cp:lastPrinted>
  <dcterms:created xsi:type="dcterms:W3CDTF">2022-04-27T22:51:00Z</dcterms:created>
  <dcterms:modified xsi:type="dcterms:W3CDTF">2022-04-27T22:51:00Z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0x0101009D7DA41B6C045A47975C9609A19BC98B</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ies>
</file>