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4EA7A799" w:rsidR="00624A55" w:rsidRPr="00787299" w:rsidRDefault="00682B9B" w:rsidP="00787299">
      <w:pPr>
        <w:pStyle w:val="Heading1"/>
      </w:pPr>
      <w:r>
        <w:rPr>
          <w:lang w:val="en-AU"/>
        </w:rPr>
        <w:t>Guidance</w:t>
      </w:r>
      <w:r w:rsidR="006E4F63">
        <w:rPr>
          <w:lang w:val="en-AU"/>
        </w:rPr>
        <w:t xml:space="preserve"> for the Victorian Public Sector: LGBTIQ+ Executive Sponsors</w:t>
      </w:r>
    </w:p>
    <w:p w14:paraId="53054E35" w14:textId="066BF57C" w:rsidR="00C315A7" w:rsidRDefault="00816718" w:rsidP="00C315A7">
      <w:pPr>
        <w:pStyle w:val="Heading2"/>
        <w:rPr>
          <w:lang w:val="en-AU"/>
        </w:rPr>
      </w:pPr>
      <w:r>
        <w:rPr>
          <w:lang w:val="en-AU"/>
        </w:rPr>
        <w:t>Context</w:t>
      </w:r>
    </w:p>
    <w:p w14:paraId="7CE2D434" w14:textId="77777777" w:rsidR="00DA660F" w:rsidRDefault="00E86312" w:rsidP="004A3880">
      <w:pPr>
        <w:rPr>
          <w:lang w:val="en-AU"/>
        </w:rPr>
      </w:pPr>
      <w:r w:rsidRPr="00E86312">
        <w:rPr>
          <w:lang w:val="en-AU"/>
        </w:rPr>
        <w:t>LGBTIQ</w:t>
      </w:r>
      <w:r w:rsidR="004A4B99">
        <w:rPr>
          <w:lang w:val="en-AU"/>
        </w:rPr>
        <w:t>+</w:t>
      </w:r>
      <w:r w:rsidRPr="00E86312">
        <w:rPr>
          <w:lang w:val="en-AU"/>
        </w:rPr>
        <w:t xml:space="preserve"> stands for Lesbian, Gay, Bisexual, </w:t>
      </w:r>
      <w:proofErr w:type="gramStart"/>
      <w:r w:rsidRPr="00E86312">
        <w:rPr>
          <w:lang w:val="en-AU"/>
        </w:rPr>
        <w:t>Trans</w:t>
      </w:r>
      <w:proofErr w:type="gramEnd"/>
      <w:r w:rsidRPr="00E86312">
        <w:rPr>
          <w:lang w:val="en-AU"/>
        </w:rPr>
        <w:t xml:space="preserve"> and gender diverse, Intersex, Queer and questioning</w:t>
      </w:r>
      <w:r w:rsidR="004A4B99">
        <w:rPr>
          <w:lang w:val="en-AU"/>
        </w:rPr>
        <w:t>. LGBTIQ+ is</w:t>
      </w:r>
      <w:r w:rsidR="006B2389">
        <w:rPr>
          <w:lang w:val="en-AU"/>
        </w:rPr>
        <w:t xml:space="preserve"> used in this document as</w:t>
      </w:r>
      <w:r w:rsidRPr="00E86312">
        <w:rPr>
          <w:lang w:val="en-AU"/>
        </w:rPr>
        <w:t xml:space="preserve"> an inclusive umbrella abbreviation to encompass a range of diverse sexualities, </w:t>
      </w:r>
      <w:proofErr w:type="gramStart"/>
      <w:r w:rsidRPr="00E86312">
        <w:rPr>
          <w:lang w:val="en-AU"/>
        </w:rPr>
        <w:t>genders</w:t>
      </w:r>
      <w:proofErr w:type="gramEnd"/>
      <w:r w:rsidRPr="00E86312">
        <w:rPr>
          <w:lang w:val="en-AU"/>
        </w:rPr>
        <w:t xml:space="preserve"> and sex characteristics.</w:t>
      </w:r>
      <w:r w:rsidR="00DA660F">
        <w:rPr>
          <w:lang w:val="en-AU"/>
        </w:rPr>
        <w:t xml:space="preserve"> </w:t>
      </w:r>
    </w:p>
    <w:p w14:paraId="5FF1D9C2" w14:textId="63DA4040" w:rsidR="00834F65" w:rsidRDefault="00175211" w:rsidP="004A3880">
      <w:pPr>
        <w:rPr>
          <w:lang w:val="en-AU"/>
        </w:rPr>
      </w:pPr>
      <w:r w:rsidRPr="3CCF27A9">
        <w:rPr>
          <w:lang w:val="en-AU"/>
        </w:rPr>
        <w:t>It is important to remember that e</w:t>
      </w:r>
      <w:r w:rsidR="00DA660F" w:rsidRPr="3CCF27A9">
        <w:rPr>
          <w:lang w:val="en-AU"/>
        </w:rPr>
        <w:t>ach letter in LGBTIQ+ represents a community within itself</w:t>
      </w:r>
      <w:r w:rsidR="00834F65" w:rsidRPr="3CCF27A9">
        <w:rPr>
          <w:lang w:val="en-AU"/>
        </w:rPr>
        <w:t xml:space="preserve">. </w:t>
      </w:r>
      <w:r w:rsidR="005456BE" w:rsidRPr="3CCF27A9">
        <w:rPr>
          <w:lang w:val="en-AU"/>
        </w:rPr>
        <w:t xml:space="preserve">Some staff who identify as LGBTIQ+ may identify with only one of the </w:t>
      </w:r>
      <w:r w:rsidR="00DA660F" w:rsidRPr="3CCF27A9">
        <w:rPr>
          <w:lang w:val="en-AU"/>
        </w:rPr>
        <w:t>communities</w:t>
      </w:r>
      <w:r w:rsidR="00A47B22" w:rsidRPr="3CCF27A9">
        <w:rPr>
          <w:lang w:val="en-AU"/>
        </w:rPr>
        <w:t xml:space="preserve">. </w:t>
      </w:r>
      <w:r w:rsidR="00834F65" w:rsidRPr="3CCF27A9">
        <w:rPr>
          <w:lang w:val="en-AU"/>
        </w:rPr>
        <w:t>Examples of this</w:t>
      </w:r>
      <w:r w:rsidR="00A47B22" w:rsidRPr="3CCF27A9">
        <w:rPr>
          <w:lang w:val="en-AU"/>
        </w:rPr>
        <w:t xml:space="preserve"> may include an intersex woman, or a </w:t>
      </w:r>
      <w:r w:rsidR="009B5EFC" w:rsidRPr="3CCF27A9">
        <w:rPr>
          <w:lang w:val="en-AU"/>
        </w:rPr>
        <w:t xml:space="preserve">gay man. </w:t>
      </w:r>
      <w:r w:rsidR="00834F65" w:rsidRPr="3CCF27A9">
        <w:rPr>
          <w:lang w:val="en-AU"/>
        </w:rPr>
        <w:t xml:space="preserve">Some staff who identify as LGBTIQ+ may identify with many </w:t>
      </w:r>
      <w:r w:rsidR="00353113" w:rsidRPr="3CCF27A9">
        <w:rPr>
          <w:lang w:val="en-AU"/>
        </w:rPr>
        <w:t>different LGBTIQ+ communities. Examples of this may include a bisexual non-binary person</w:t>
      </w:r>
      <w:r w:rsidR="00FD2A68" w:rsidRPr="3CCF27A9">
        <w:rPr>
          <w:lang w:val="en-AU"/>
        </w:rPr>
        <w:t>,</w:t>
      </w:r>
      <w:r w:rsidR="00353113" w:rsidRPr="3CCF27A9">
        <w:rPr>
          <w:lang w:val="en-AU"/>
        </w:rPr>
        <w:t xml:space="preserve"> or a trans</w:t>
      </w:r>
      <w:r w:rsidR="00FD2A68" w:rsidRPr="3CCF27A9">
        <w:rPr>
          <w:lang w:val="en-AU"/>
        </w:rPr>
        <w:t xml:space="preserve"> woman who is a lesbian. </w:t>
      </w:r>
    </w:p>
    <w:p w14:paraId="484F4A1A" w14:textId="3BDACA2A" w:rsidR="00C92ED6" w:rsidRDefault="004A3880" w:rsidP="004A3880">
      <w:pPr>
        <w:rPr>
          <w:lang w:val="en-AU"/>
        </w:rPr>
      </w:pPr>
      <w:r w:rsidRPr="004A3880">
        <w:rPr>
          <w:lang w:val="en-AU"/>
        </w:rPr>
        <w:t>It is</w:t>
      </w:r>
      <w:r w:rsidR="002619C5">
        <w:rPr>
          <w:lang w:val="en-AU"/>
        </w:rPr>
        <w:t xml:space="preserve"> also</w:t>
      </w:r>
      <w:r w:rsidRPr="004A3880">
        <w:rPr>
          <w:lang w:val="en-AU"/>
        </w:rPr>
        <w:t xml:space="preserve"> important to recognise the diversity of LGBTIQ+ experiences. Being LGBTIQ+ is only one part of any person’s identity. As well as being diverse in their sexuality, gender identity or sex characteristics, LGBTIQ+ </w:t>
      </w:r>
      <w:r w:rsidR="00474661">
        <w:rPr>
          <w:lang w:val="en-AU"/>
        </w:rPr>
        <w:t>staff</w:t>
      </w:r>
      <w:r w:rsidRPr="004A3880">
        <w:rPr>
          <w:lang w:val="en-AU"/>
        </w:rPr>
        <w:t xml:space="preserve"> are diverse in other ways. This might include</w:t>
      </w:r>
      <w:r w:rsidR="00C92ED6">
        <w:rPr>
          <w:lang w:val="en-AU"/>
        </w:rPr>
        <w:t>:</w:t>
      </w:r>
      <w:r w:rsidRPr="004A3880">
        <w:rPr>
          <w:lang w:val="en-AU"/>
        </w:rPr>
        <w:t xml:space="preserve"> </w:t>
      </w:r>
    </w:p>
    <w:p w14:paraId="21E639DE" w14:textId="77777777" w:rsidR="000E4170" w:rsidRDefault="000E4170" w:rsidP="00C92ED6">
      <w:pPr>
        <w:pStyle w:val="Bullet1"/>
        <w:sectPr w:rsidR="000E4170" w:rsidSect="006E2B9A">
          <w:headerReference w:type="even" r:id="rId11"/>
          <w:headerReference w:type="default" r:id="rId12"/>
          <w:footerReference w:type="even" r:id="rId13"/>
          <w:footerReference w:type="default" r:id="rId14"/>
          <w:headerReference w:type="first" r:id="rId15"/>
          <w:footerReference w:type="first" r:id="rId16"/>
          <w:pgSz w:w="11900" w:h="16840"/>
          <w:pgMar w:top="2155" w:right="1134" w:bottom="1701" w:left="1134" w:header="709" w:footer="709" w:gutter="0"/>
          <w:cols w:space="708"/>
          <w:docGrid w:linePitch="360"/>
        </w:sectPr>
      </w:pPr>
    </w:p>
    <w:p w14:paraId="5C069CD9" w14:textId="10794FEB" w:rsidR="00C92ED6" w:rsidRDefault="004A3880" w:rsidP="00C92ED6">
      <w:pPr>
        <w:pStyle w:val="Bullet1"/>
      </w:pPr>
      <w:r w:rsidRPr="004A3880">
        <w:t>Aboriginality</w:t>
      </w:r>
    </w:p>
    <w:p w14:paraId="41A0E43A" w14:textId="06CF6BEC" w:rsidR="00C92ED6" w:rsidRDefault="004A3880" w:rsidP="00C92ED6">
      <w:pPr>
        <w:pStyle w:val="Bullet1"/>
      </w:pPr>
      <w:r w:rsidRPr="004A3880">
        <w:t>ethnicity</w:t>
      </w:r>
    </w:p>
    <w:p w14:paraId="11427584" w14:textId="6FA5C55F" w:rsidR="00C92ED6" w:rsidRDefault="004A3880" w:rsidP="00C92ED6">
      <w:pPr>
        <w:pStyle w:val="Bullet1"/>
      </w:pPr>
      <w:r w:rsidRPr="004A3880">
        <w:t>colour</w:t>
      </w:r>
    </w:p>
    <w:p w14:paraId="32C3223A" w14:textId="025D5BF6" w:rsidR="00C92ED6" w:rsidRDefault="004A3880" w:rsidP="00C92ED6">
      <w:pPr>
        <w:pStyle w:val="Bullet1"/>
      </w:pPr>
      <w:r w:rsidRPr="004A3880">
        <w:t>nationality</w:t>
      </w:r>
    </w:p>
    <w:p w14:paraId="6B30CE72" w14:textId="04B2FF19" w:rsidR="00C92ED6" w:rsidRDefault="004A3880" w:rsidP="00C92ED6">
      <w:pPr>
        <w:pStyle w:val="Bullet1"/>
      </w:pPr>
      <w:r w:rsidRPr="004A3880">
        <w:t>refugee or asylum seeker background</w:t>
      </w:r>
    </w:p>
    <w:p w14:paraId="4FB1D3FC" w14:textId="563B3ADD" w:rsidR="00C92ED6" w:rsidRDefault="004A3880" w:rsidP="00C92ED6">
      <w:pPr>
        <w:pStyle w:val="Bullet1"/>
      </w:pPr>
      <w:r w:rsidRPr="004A3880">
        <w:t>migration or visa status</w:t>
      </w:r>
    </w:p>
    <w:p w14:paraId="48017DD6" w14:textId="2CBAB72D" w:rsidR="00C92ED6" w:rsidRDefault="004A3880" w:rsidP="00C92ED6">
      <w:pPr>
        <w:pStyle w:val="Bullet1"/>
      </w:pPr>
      <w:r w:rsidRPr="004A3880">
        <w:t>language</w:t>
      </w:r>
    </w:p>
    <w:p w14:paraId="09BC75F6" w14:textId="4FA301FA" w:rsidR="00C92ED6" w:rsidRDefault="004A3880" w:rsidP="00C92ED6">
      <w:pPr>
        <w:pStyle w:val="Bullet1"/>
      </w:pPr>
      <w:r w:rsidRPr="004A3880">
        <w:t>faith</w:t>
      </w:r>
    </w:p>
    <w:p w14:paraId="6A65D773" w14:textId="076628AF" w:rsidR="00C92ED6" w:rsidRDefault="004A3880" w:rsidP="00C92ED6">
      <w:pPr>
        <w:pStyle w:val="Bullet1"/>
      </w:pPr>
      <w:r w:rsidRPr="004A3880">
        <w:t>ability</w:t>
      </w:r>
    </w:p>
    <w:p w14:paraId="10621DBE" w14:textId="54B613E2" w:rsidR="00C92ED6" w:rsidRDefault="004A3880" w:rsidP="00C92ED6">
      <w:pPr>
        <w:pStyle w:val="Bullet1"/>
      </w:pPr>
      <w:r w:rsidRPr="004A3880">
        <w:t>age</w:t>
      </w:r>
    </w:p>
    <w:p w14:paraId="087899DC" w14:textId="2741E856" w:rsidR="00C92ED6" w:rsidRDefault="004A3880" w:rsidP="00C92ED6">
      <w:pPr>
        <w:pStyle w:val="Bullet1"/>
      </w:pPr>
      <w:r w:rsidRPr="004A3880">
        <w:t>mental health</w:t>
      </w:r>
      <w:r w:rsidR="000E4170">
        <w:t xml:space="preserve"> needs</w:t>
      </w:r>
    </w:p>
    <w:p w14:paraId="1AA304BE" w14:textId="7A3670B6" w:rsidR="00C92ED6" w:rsidRDefault="004A3880" w:rsidP="00C92ED6">
      <w:pPr>
        <w:pStyle w:val="Bullet1"/>
      </w:pPr>
      <w:r w:rsidRPr="004A3880">
        <w:t>socioeconomic status</w:t>
      </w:r>
    </w:p>
    <w:p w14:paraId="59BC7010" w14:textId="42464DDC" w:rsidR="00C92ED6" w:rsidRDefault="004A3880" w:rsidP="00C92ED6">
      <w:pPr>
        <w:pStyle w:val="Bullet1"/>
      </w:pPr>
      <w:r w:rsidRPr="004A3880">
        <w:t>housing status</w:t>
      </w:r>
    </w:p>
    <w:p w14:paraId="2645799C" w14:textId="7AF9BC5F" w:rsidR="004A3880" w:rsidRDefault="004A3880" w:rsidP="00C92ED6">
      <w:pPr>
        <w:pStyle w:val="Bullet1"/>
      </w:pPr>
      <w:r w:rsidRPr="004A3880">
        <w:t xml:space="preserve">geographic location. </w:t>
      </w:r>
    </w:p>
    <w:p w14:paraId="6C10236A" w14:textId="77777777" w:rsidR="000E4170" w:rsidRDefault="000E4170" w:rsidP="004A3880">
      <w:pPr>
        <w:rPr>
          <w:lang w:val="en-AU"/>
        </w:rPr>
        <w:sectPr w:rsidR="000E4170" w:rsidSect="000E4170">
          <w:type w:val="continuous"/>
          <w:pgSz w:w="11900" w:h="16840"/>
          <w:pgMar w:top="2155" w:right="1134" w:bottom="1701" w:left="1134" w:header="709" w:footer="709" w:gutter="0"/>
          <w:cols w:num="2" w:space="708"/>
          <w:docGrid w:linePitch="360"/>
        </w:sectPr>
      </w:pPr>
    </w:p>
    <w:p w14:paraId="7F7D3991" w14:textId="5ACC4FE2" w:rsidR="00221E89" w:rsidRDefault="00221E89" w:rsidP="002619C5">
      <w:pPr>
        <w:rPr>
          <w:lang w:val="en-AU"/>
        </w:rPr>
      </w:pPr>
      <w:r>
        <w:rPr>
          <w:lang w:val="en-AU"/>
        </w:rPr>
        <w:t xml:space="preserve">For more information about </w:t>
      </w:r>
      <w:r w:rsidR="00BC77D3">
        <w:rPr>
          <w:lang w:val="en-AU"/>
        </w:rPr>
        <w:t xml:space="preserve">Victorian </w:t>
      </w:r>
      <w:r>
        <w:rPr>
          <w:lang w:val="en-AU"/>
        </w:rPr>
        <w:t xml:space="preserve">LGBTIQ+ communities </w:t>
      </w:r>
      <w:r w:rsidR="00C54EA6">
        <w:rPr>
          <w:lang w:val="en-AU"/>
        </w:rPr>
        <w:t xml:space="preserve">and </w:t>
      </w:r>
      <w:r w:rsidR="00BC77D3">
        <w:rPr>
          <w:lang w:val="en-AU"/>
        </w:rPr>
        <w:t>targets for</w:t>
      </w:r>
      <w:r w:rsidR="00C54EA6">
        <w:rPr>
          <w:lang w:val="en-AU"/>
        </w:rPr>
        <w:t xml:space="preserve"> LGBTIQ+ employment and inclusion in the Victorian Public Sector (VPS)</w:t>
      </w:r>
      <w:r>
        <w:rPr>
          <w:lang w:val="en-AU"/>
        </w:rPr>
        <w:t xml:space="preserve">, please read </w:t>
      </w:r>
      <w:r w:rsidRPr="00221E89">
        <w:rPr>
          <w:lang w:val="en-AU"/>
        </w:rPr>
        <w:t>‘Pride in our Future’, the whole of Victorian government’s 10 year LGBTIQ+ Strategy</w:t>
      </w:r>
      <w:r w:rsidR="007701D9">
        <w:rPr>
          <w:lang w:val="en-AU"/>
        </w:rPr>
        <w:t xml:space="preserve">: </w:t>
      </w:r>
      <w:hyperlink r:id="rId17" w:history="1">
        <w:r w:rsidR="007701D9" w:rsidRPr="00FD3164">
          <w:rPr>
            <w:rStyle w:val="Hyperlink"/>
          </w:rPr>
          <w:t>vic.gov.au/</w:t>
        </w:r>
        <w:proofErr w:type="spellStart"/>
        <w:r w:rsidR="007701D9" w:rsidRPr="00FD3164">
          <w:rPr>
            <w:rStyle w:val="Hyperlink"/>
          </w:rPr>
          <w:t>victorian</w:t>
        </w:r>
        <w:proofErr w:type="spellEnd"/>
        <w:r w:rsidR="007701D9" w:rsidRPr="00FD3164">
          <w:rPr>
            <w:rStyle w:val="Hyperlink"/>
          </w:rPr>
          <w:t>-</w:t>
        </w:r>
        <w:proofErr w:type="spellStart"/>
        <w:r w:rsidR="007701D9" w:rsidRPr="00FD3164">
          <w:rPr>
            <w:rStyle w:val="Hyperlink"/>
          </w:rPr>
          <w:t>lgbtiq</w:t>
        </w:r>
        <w:proofErr w:type="spellEnd"/>
        <w:r w:rsidR="007701D9" w:rsidRPr="00FD3164">
          <w:rPr>
            <w:rStyle w:val="Hyperlink"/>
          </w:rPr>
          <w:t>-strategy</w:t>
        </w:r>
      </w:hyperlink>
    </w:p>
    <w:p w14:paraId="7B0FA31F" w14:textId="2888FB6D" w:rsidR="00AA19F7" w:rsidRDefault="00AA19F7" w:rsidP="002619C5">
      <w:pPr>
        <w:rPr>
          <w:lang w:val="en-AU"/>
        </w:rPr>
      </w:pPr>
      <w:r>
        <w:rPr>
          <w:lang w:val="en-AU"/>
        </w:rPr>
        <w:t xml:space="preserve">For more information about LGBTIQ+ terminology and implementing LGBTIQ+ inclusive language, please read the </w:t>
      </w:r>
      <w:r w:rsidR="00F76CC1">
        <w:rPr>
          <w:lang w:val="en-AU"/>
        </w:rPr>
        <w:t>VPS</w:t>
      </w:r>
      <w:r>
        <w:rPr>
          <w:lang w:val="en-AU"/>
        </w:rPr>
        <w:t xml:space="preserve"> inclusive language guide: </w:t>
      </w:r>
      <w:hyperlink r:id="rId18" w:history="1">
        <w:r w:rsidRPr="00FD3164">
          <w:rPr>
            <w:rStyle w:val="Hyperlink"/>
            <w:lang w:val="en-AU"/>
          </w:rPr>
          <w:t>vic.gov.au/inclusive-language-guide</w:t>
        </w:r>
      </w:hyperlink>
      <w:r>
        <w:rPr>
          <w:lang w:val="en-AU"/>
        </w:rPr>
        <w:t xml:space="preserve"> </w:t>
      </w:r>
    </w:p>
    <w:p w14:paraId="6CC33485" w14:textId="5C63B79B" w:rsidR="00193A43" w:rsidRDefault="00DD440B" w:rsidP="00B02071">
      <w:pPr>
        <w:pStyle w:val="Heading2"/>
        <w:rPr>
          <w:lang w:val="en-AU"/>
        </w:rPr>
      </w:pPr>
      <w:r>
        <w:rPr>
          <w:lang w:val="en-AU"/>
        </w:rPr>
        <w:t xml:space="preserve">Executive Sponsors are </w:t>
      </w:r>
      <w:r w:rsidR="005A419B">
        <w:rPr>
          <w:lang w:val="en-AU"/>
        </w:rPr>
        <w:t>critical to c</w:t>
      </w:r>
      <w:r w:rsidR="000A076E">
        <w:rPr>
          <w:lang w:val="en-AU"/>
        </w:rPr>
        <w:t xml:space="preserve">reating and sustaining an inclusive </w:t>
      </w:r>
      <w:r w:rsidR="005A419B">
        <w:rPr>
          <w:lang w:val="en-AU"/>
        </w:rPr>
        <w:t>work</w:t>
      </w:r>
      <w:r w:rsidR="00B02071">
        <w:rPr>
          <w:lang w:val="en-AU"/>
        </w:rPr>
        <w:t xml:space="preserve"> environment</w:t>
      </w:r>
    </w:p>
    <w:p w14:paraId="36936F27" w14:textId="77777777" w:rsidR="00FB5297" w:rsidRDefault="00782EC1" w:rsidP="00585E81">
      <w:pPr>
        <w:rPr>
          <w:lang w:val="en-AU"/>
        </w:rPr>
      </w:pPr>
      <w:r>
        <w:rPr>
          <w:lang w:val="en-AU"/>
        </w:rPr>
        <w:t xml:space="preserve">There are three key </w:t>
      </w:r>
      <w:r w:rsidR="006C5744">
        <w:rPr>
          <w:lang w:val="en-AU"/>
        </w:rPr>
        <w:t>pillars</w:t>
      </w:r>
      <w:r w:rsidR="0004541D">
        <w:rPr>
          <w:lang w:val="en-AU"/>
        </w:rPr>
        <w:t xml:space="preserve"> </w:t>
      </w:r>
      <w:r w:rsidR="00E6723D">
        <w:rPr>
          <w:lang w:val="en-AU"/>
        </w:rPr>
        <w:t xml:space="preserve">that must </w:t>
      </w:r>
      <w:r w:rsidR="00EE5EFB">
        <w:rPr>
          <w:lang w:val="en-AU"/>
        </w:rPr>
        <w:t>be in place</w:t>
      </w:r>
      <w:r w:rsidR="00E6723D">
        <w:rPr>
          <w:lang w:val="en-AU"/>
        </w:rPr>
        <w:t xml:space="preserve"> to create and sustain an inclusive work environment for LGBTIQ+ staff</w:t>
      </w:r>
      <w:r w:rsidR="0044730F">
        <w:rPr>
          <w:lang w:val="en-AU"/>
        </w:rPr>
        <w:t>. They are</w:t>
      </w:r>
      <w:r w:rsidR="00FB5297">
        <w:rPr>
          <w:lang w:val="en-AU"/>
        </w:rPr>
        <w:t>:</w:t>
      </w:r>
      <w:r w:rsidR="003F6153">
        <w:rPr>
          <w:lang w:val="en-AU"/>
        </w:rPr>
        <w:t xml:space="preserve"> </w:t>
      </w:r>
    </w:p>
    <w:p w14:paraId="79C71E06" w14:textId="66F0FF36" w:rsidR="00FB5297" w:rsidRDefault="00FB5297" w:rsidP="00FB5297">
      <w:pPr>
        <w:pStyle w:val="Bullet1"/>
      </w:pPr>
      <w:r>
        <w:t>S</w:t>
      </w:r>
      <w:r w:rsidR="003F6153">
        <w:t>upport</w:t>
      </w:r>
      <w:r w:rsidR="0044730F">
        <w:t xml:space="preserve"> from leaders</w:t>
      </w:r>
      <w:r>
        <w:t xml:space="preserve">, </w:t>
      </w:r>
      <w:r w:rsidR="0044730F">
        <w:t>including direct line management and senior leadership</w:t>
      </w:r>
      <w:r w:rsidR="00F73225">
        <w:t>.</w:t>
      </w:r>
    </w:p>
    <w:p w14:paraId="711E24FD" w14:textId="467BB2BA" w:rsidR="00FB5297" w:rsidRDefault="00FB5297" w:rsidP="00FB5297">
      <w:pPr>
        <w:pStyle w:val="Bullet1"/>
      </w:pPr>
      <w:r>
        <w:t>S</w:t>
      </w:r>
      <w:r w:rsidR="0044730F">
        <w:t>upport from peers</w:t>
      </w:r>
      <w:r>
        <w:t xml:space="preserve">, </w:t>
      </w:r>
      <w:r w:rsidR="00EE7E34">
        <w:t xml:space="preserve">including </w:t>
      </w:r>
      <w:r w:rsidR="00CB6932">
        <w:t>staff networks,</w:t>
      </w:r>
      <w:r w:rsidR="0044730F">
        <w:t xml:space="preserve"> LGBTIQ+ peers and allies</w:t>
      </w:r>
      <w:r w:rsidR="00F73225">
        <w:t>.</w:t>
      </w:r>
    </w:p>
    <w:p w14:paraId="4956F688" w14:textId="7863E625" w:rsidR="00FB5297" w:rsidRDefault="00FB5297" w:rsidP="00FB5297">
      <w:pPr>
        <w:pStyle w:val="Bullet1"/>
      </w:pPr>
      <w:r>
        <w:t>S</w:t>
      </w:r>
      <w:r w:rsidR="0044730F">
        <w:t>upport from human resources</w:t>
      </w:r>
      <w:r>
        <w:t xml:space="preserve">, </w:t>
      </w:r>
      <w:r w:rsidR="00EE7E34">
        <w:t>including</w:t>
      </w:r>
      <w:r w:rsidR="00A62A1C">
        <w:t xml:space="preserve"> </w:t>
      </w:r>
      <w:r w:rsidR="00EE7E34">
        <w:t xml:space="preserve">staff policies, </w:t>
      </w:r>
      <w:proofErr w:type="gramStart"/>
      <w:r w:rsidR="00EE7E34">
        <w:t>programs</w:t>
      </w:r>
      <w:proofErr w:type="gramEnd"/>
      <w:r w:rsidR="00EE7E34">
        <w:t xml:space="preserve"> and training</w:t>
      </w:r>
      <w:r>
        <w:t>.</w:t>
      </w:r>
    </w:p>
    <w:p w14:paraId="15651570" w14:textId="3CEB9BAD" w:rsidR="00C4241C" w:rsidRPr="00C4241C" w:rsidRDefault="00C4241C" w:rsidP="00585E81">
      <w:pPr>
        <w:rPr>
          <w:lang w:val="en-AU"/>
        </w:rPr>
      </w:pPr>
      <w:r>
        <w:rPr>
          <w:lang w:val="en-AU"/>
        </w:rPr>
        <w:t>The relationship</w:t>
      </w:r>
      <w:r w:rsidR="00FB5297">
        <w:rPr>
          <w:lang w:val="en-AU"/>
        </w:rPr>
        <w:t>s</w:t>
      </w:r>
      <w:r>
        <w:rPr>
          <w:lang w:val="en-AU"/>
        </w:rPr>
        <w:t xml:space="preserve"> between the pillars</w:t>
      </w:r>
      <w:r w:rsidR="00FB5297">
        <w:rPr>
          <w:lang w:val="en-AU"/>
        </w:rPr>
        <w:t>, LGBTIQ+ staff and the workplace</w:t>
      </w:r>
      <w:r>
        <w:rPr>
          <w:lang w:val="en-AU"/>
        </w:rPr>
        <w:t xml:space="preserve"> </w:t>
      </w:r>
      <w:r w:rsidR="00FB5297">
        <w:rPr>
          <w:lang w:val="en-AU"/>
        </w:rPr>
        <w:t>are</w:t>
      </w:r>
      <w:r>
        <w:rPr>
          <w:lang w:val="en-AU"/>
        </w:rPr>
        <w:t xml:space="preserve"> </w:t>
      </w:r>
      <w:r w:rsidR="00FB5297">
        <w:rPr>
          <w:lang w:val="en-AU"/>
        </w:rPr>
        <w:t>illustrated</w:t>
      </w:r>
      <w:r>
        <w:rPr>
          <w:lang w:val="en-AU"/>
        </w:rPr>
        <w:t xml:space="preserve"> in </w:t>
      </w:r>
      <w:r>
        <w:rPr>
          <w:b/>
          <w:bCs/>
          <w:lang w:val="en-AU"/>
        </w:rPr>
        <w:t>Chart 1</w:t>
      </w:r>
      <w:r>
        <w:rPr>
          <w:lang w:val="en-AU"/>
        </w:rPr>
        <w:t>.</w:t>
      </w:r>
      <w:r w:rsidR="00715472">
        <w:rPr>
          <w:lang w:val="en-AU"/>
        </w:rPr>
        <w:t xml:space="preserve"> </w:t>
      </w:r>
    </w:p>
    <w:p w14:paraId="2C8979DD" w14:textId="77777777" w:rsidR="00AA19F7" w:rsidRDefault="00AA19F7">
      <w:pPr>
        <w:spacing w:after="0"/>
        <w:rPr>
          <w:b/>
          <w:lang w:val="en-AU"/>
        </w:rPr>
      </w:pPr>
      <w:r>
        <w:br w:type="page"/>
      </w:r>
    </w:p>
    <w:p w14:paraId="219E8F73" w14:textId="089A8FC0" w:rsidR="00C4241C" w:rsidRDefault="00C4241C" w:rsidP="00C4241C">
      <w:pPr>
        <w:pStyle w:val="TableHead"/>
        <w:rPr>
          <w:color w:val="auto"/>
        </w:rPr>
      </w:pPr>
      <w:r w:rsidRPr="00A819E5">
        <w:rPr>
          <w:color w:val="auto"/>
        </w:rPr>
        <w:lastRenderedPageBreak/>
        <w:t>Chart</w:t>
      </w:r>
      <w:r>
        <w:rPr>
          <w:color w:val="auto"/>
        </w:rPr>
        <w:t xml:space="preserve"> </w:t>
      </w:r>
      <w:r w:rsidRPr="00A819E5">
        <w:rPr>
          <w:color w:val="auto"/>
        </w:rPr>
        <w:t>1</w:t>
      </w:r>
      <w:r>
        <w:rPr>
          <w:color w:val="auto"/>
        </w:rPr>
        <w:t>: Pillars of an inclusive work environment</w:t>
      </w:r>
    </w:p>
    <w:p w14:paraId="5AF1FDE6" w14:textId="77777777" w:rsidR="00C4241C" w:rsidRDefault="00C4241C" w:rsidP="00C4241C">
      <w:pPr>
        <w:pStyle w:val="TableHead"/>
        <w:rPr>
          <w:color w:val="auto"/>
        </w:rPr>
      </w:pPr>
      <w:r>
        <w:rPr>
          <w:noProof/>
        </w:rPr>
        <w:drawing>
          <wp:inline distT="0" distB="0" distL="0" distR="0" wp14:anchorId="10A65991" wp14:editId="58C6D090">
            <wp:extent cx="4029075" cy="3645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35071" cy="3651111"/>
                    </a:xfrm>
                    <a:prstGeom prst="rect">
                      <a:avLst/>
                    </a:prstGeom>
                  </pic:spPr>
                </pic:pic>
              </a:graphicData>
            </a:graphic>
          </wp:inline>
        </w:drawing>
      </w:r>
    </w:p>
    <w:p w14:paraId="75658E39" w14:textId="48B37508" w:rsidR="001E1C9B" w:rsidRDefault="007C2DEA" w:rsidP="00D35354">
      <w:pPr>
        <w:rPr>
          <w:lang w:val="en-AU"/>
        </w:rPr>
      </w:pPr>
      <w:r>
        <w:rPr>
          <w:lang w:val="en-AU"/>
        </w:rPr>
        <w:t xml:space="preserve">VPS departments and agencies are encouraged to </w:t>
      </w:r>
      <w:r w:rsidR="00556FCF">
        <w:rPr>
          <w:lang w:val="en-AU"/>
        </w:rPr>
        <w:t>embed the elements of an inclusive work environment</w:t>
      </w:r>
      <w:r>
        <w:rPr>
          <w:lang w:val="en-AU"/>
        </w:rPr>
        <w:t xml:space="preserve"> in formal policies</w:t>
      </w:r>
      <w:r w:rsidR="004F793A">
        <w:rPr>
          <w:lang w:val="en-AU"/>
        </w:rPr>
        <w:t xml:space="preserve"> (for example, in a diversity and inclusion framework)</w:t>
      </w:r>
      <w:r w:rsidR="00556FCF">
        <w:rPr>
          <w:lang w:val="en-AU"/>
        </w:rPr>
        <w:t>, as this</w:t>
      </w:r>
      <w:r w:rsidR="00556FCF">
        <w:rPr>
          <w:lang w:val="en-AU"/>
        </w:rPr>
        <w:t xml:space="preserve"> </w:t>
      </w:r>
      <w:r w:rsidR="00556FCF">
        <w:rPr>
          <w:lang w:val="en-AU"/>
        </w:rPr>
        <w:t>improves</w:t>
      </w:r>
      <w:r w:rsidR="00556FCF">
        <w:rPr>
          <w:lang w:val="en-AU"/>
        </w:rPr>
        <w:t xml:space="preserve"> transparency and accountability to LGBTIQ+ staff. </w:t>
      </w:r>
      <w:r>
        <w:rPr>
          <w:lang w:val="en-AU"/>
        </w:rPr>
        <w:t xml:space="preserve"> </w:t>
      </w:r>
      <w:r w:rsidR="004F793A">
        <w:rPr>
          <w:lang w:val="en-AU"/>
        </w:rPr>
        <w:t>Policies</w:t>
      </w:r>
      <w:r w:rsidR="001E1C9B">
        <w:rPr>
          <w:lang w:val="en-AU"/>
        </w:rPr>
        <w:t xml:space="preserve"> should be supported by </w:t>
      </w:r>
      <w:r w:rsidR="00B57A88">
        <w:rPr>
          <w:lang w:val="en-AU"/>
        </w:rPr>
        <w:t xml:space="preserve">relevant </w:t>
      </w:r>
      <w:r w:rsidR="001E1C9B">
        <w:rPr>
          <w:lang w:val="en-AU"/>
        </w:rPr>
        <w:t xml:space="preserve">data </w:t>
      </w:r>
      <w:r w:rsidR="004F793A">
        <w:rPr>
          <w:lang w:val="en-AU"/>
        </w:rPr>
        <w:t xml:space="preserve">capture and analysis </w:t>
      </w:r>
      <w:r w:rsidR="001E1C9B">
        <w:rPr>
          <w:lang w:val="en-AU"/>
        </w:rPr>
        <w:t>to identify</w:t>
      </w:r>
      <w:r w:rsidR="000D093F">
        <w:rPr>
          <w:lang w:val="en-AU"/>
        </w:rPr>
        <w:t xml:space="preserve"> issues and track progress within an organisation and across the sector</w:t>
      </w:r>
      <w:r w:rsidR="00F65AA7">
        <w:rPr>
          <w:lang w:val="en-AU"/>
        </w:rPr>
        <w:t xml:space="preserve">, with data collected by human resources and shared </w:t>
      </w:r>
      <w:r w:rsidR="00E43A3B">
        <w:rPr>
          <w:lang w:val="en-AU"/>
        </w:rPr>
        <w:t xml:space="preserve">regularly </w:t>
      </w:r>
      <w:r w:rsidR="00F65AA7">
        <w:rPr>
          <w:lang w:val="en-AU"/>
        </w:rPr>
        <w:t>with peers and leaders</w:t>
      </w:r>
      <w:r w:rsidR="000D093F">
        <w:rPr>
          <w:lang w:val="en-AU"/>
        </w:rPr>
        <w:t>.</w:t>
      </w:r>
    </w:p>
    <w:p w14:paraId="056046EA" w14:textId="48D92CF0" w:rsidR="00A421FE" w:rsidRDefault="00641AF1" w:rsidP="008C06E4">
      <w:pPr>
        <w:rPr>
          <w:lang w:val="en-AU"/>
        </w:rPr>
      </w:pPr>
      <w:r>
        <w:rPr>
          <w:lang w:val="en-AU"/>
        </w:rPr>
        <w:t xml:space="preserve">While informal support for </w:t>
      </w:r>
      <w:r w:rsidR="00912643">
        <w:rPr>
          <w:lang w:val="en-AU"/>
        </w:rPr>
        <w:t xml:space="preserve">LGBTIQ+ </w:t>
      </w:r>
      <w:r w:rsidR="000D093F">
        <w:rPr>
          <w:lang w:val="en-AU"/>
        </w:rPr>
        <w:t>staff</w:t>
      </w:r>
      <w:r>
        <w:rPr>
          <w:lang w:val="en-AU"/>
        </w:rPr>
        <w:t xml:space="preserve"> is </w:t>
      </w:r>
      <w:r w:rsidR="00507867">
        <w:rPr>
          <w:lang w:val="en-AU"/>
        </w:rPr>
        <w:t xml:space="preserve">necessary for </w:t>
      </w:r>
      <w:r w:rsidR="00597CBB">
        <w:rPr>
          <w:lang w:val="en-AU"/>
        </w:rPr>
        <w:t>individual cultural shifts</w:t>
      </w:r>
      <w:r>
        <w:rPr>
          <w:lang w:val="en-AU"/>
        </w:rPr>
        <w:t>,</w:t>
      </w:r>
      <w:r w:rsidR="00597CBB">
        <w:rPr>
          <w:lang w:val="en-AU"/>
        </w:rPr>
        <w:t xml:space="preserve"> it should not be relied upon as a driver of organisational change.</w:t>
      </w:r>
      <w:r>
        <w:rPr>
          <w:lang w:val="en-AU"/>
        </w:rPr>
        <w:t xml:space="preserve"> </w:t>
      </w:r>
      <w:r w:rsidR="008C06E4">
        <w:rPr>
          <w:lang w:val="en-AU"/>
        </w:rPr>
        <w:t>R</w:t>
      </w:r>
      <w:r w:rsidR="006E4F63">
        <w:rPr>
          <w:lang w:val="en-AU"/>
        </w:rPr>
        <w:t>elying on i</w:t>
      </w:r>
      <w:r w:rsidR="003964C8">
        <w:rPr>
          <w:lang w:val="en-AU"/>
        </w:rPr>
        <w:t xml:space="preserve">nformal </w:t>
      </w:r>
      <w:r w:rsidR="00154775">
        <w:rPr>
          <w:lang w:val="en-AU"/>
        </w:rPr>
        <w:t xml:space="preserve">support from </w:t>
      </w:r>
      <w:r w:rsidR="00877DE5">
        <w:rPr>
          <w:lang w:val="en-AU"/>
        </w:rPr>
        <w:t>any</w:t>
      </w:r>
      <w:r>
        <w:rPr>
          <w:lang w:val="en-AU"/>
        </w:rPr>
        <w:t xml:space="preserve"> of the </w:t>
      </w:r>
      <w:r w:rsidR="00912643">
        <w:rPr>
          <w:lang w:val="en-AU"/>
        </w:rPr>
        <w:t>three</w:t>
      </w:r>
      <w:r w:rsidR="00877DE5">
        <w:rPr>
          <w:lang w:val="en-AU"/>
        </w:rPr>
        <w:t xml:space="preserve"> pillars (</w:t>
      </w:r>
      <w:r w:rsidR="00154775">
        <w:rPr>
          <w:lang w:val="en-AU"/>
        </w:rPr>
        <w:t xml:space="preserve">leaders, </w:t>
      </w:r>
      <w:proofErr w:type="gramStart"/>
      <w:r w:rsidR="00154775">
        <w:rPr>
          <w:lang w:val="en-AU"/>
        </w:rPr>
        <w:t>peers</w:t>
      </w:r>
      <w:proofErr w:type="gramEnd"/>
      <w:r w:rsidR="00154775">
        <w:rPr>
          <w:lang w:val="en-AU"/>
        </w:rPr>
        <w:t xml:space="preserve"> or human resources</w:t>
      </w:r>
      <w:r w:rsidR="00877DE5">
        <w:rPr>
          <w:lang w:val="en-AU"/>
        </w:rPr>
        <w:t>)</w:t>
      </w:r>
      <w:r w:rsidR="00154775">
        <w:rPr>
          <w:lang w:val="en-AU"/>
        </w:rPr>
        <w:t xml:space="preserve"> </w:t>
      </w:r>
      <w:r w:rsidR="002F4828">
        <w:rPr>
          <w:lang w:val="en-AU"/>
        </w:rPr>
        <w:t xml:space="preserve">creates significant risk </w:t>
      </w:r>
      <w:r w:rsidR="00371B1B">
        <w:rPr>
          <w:lang w:val="en-AU"/>
        </w:rPr>
        <w:t>of disconnection</w:t>
      </w:r>
      <w:r w:rsidR="002170D1">
        <w:rPr>
          <w:lang w:val="en-AU"/>
        </w:rPr>
        <w:t xml:space="preserve"> </w:t>
      </w:r>
      <w:r w:rsidR="00507867">
        <w:rPr>
          <w:lang w:val="en-AU"/>
        </w:rPr>
        <w:t>and</w:t>
      </w:r>
      <w:r w:rsidR="002170D1">
        <w:rPr>
          <w:lang w:val="en-AU"/>
        </w:rPr>
        <w:t xml:space="preserve"> disruption</w:t>
      </w:r>
      <w:r w:rsidR="008C06E4">
        <w:rPr>
          <w:lang w:val="en-AU"/>
        </w:rPr>
        <w:t>, which is likely to lead to</w:t>
      </w:r>
      <w:r w:rsidR="004F4AEC">
        <w:rPr>
          <w:lang w:val="en-AU"/>
        </w:rPr>
        <w:t xml:space="preserve"> </w:t>
      </w:r>
      <w:r w:rsidR="002F4828">
        <w:rPr>
          <w:lang w:val="en-AU"/>
        </w:rPr>
        <w:t xml:space="preserve">LGBTIQ+ staff </w:t>
      </w:r>
      <w:r w:rsidR="00FE19C1">
        <w:rPr>
          <w:lang w:val="en-AU"/>
        </w:rPr>
        <w:t>being unable to access support and</w:t>
      </w:r>
      <w:r w:rsidR="00877DE5">
        <w:rPr>
          <w:lang w:val="en-AU"/>
        </w:rPr>
        <w:t xml:space="preserve"> subsequently to</w:t>
      </w:r>
      <w:r w:rsidR="00FE19C1">
        <w:rPr>
          <w:lang w:val="en-AU"/>
        </w:rPr>
        <w:t xml:space="preserve"> disconnect from the organisation</w:t>
      </w:r>
      <w:r w:rsidR="00A658BF">
        <w:rPr>
          <w:lang w:val="en-AU"/>
        </w:rPr>
        <w:t xml:space="preserve">. </w:t>
      </w:r>
    </w:p>
    <w:p w14:paraId="4424BD39" w14:textId="3E419D70" w:rsidR="00F53225" w:rsidRPr="00F53225" w:rsidRDefault="00254827" w:rsidP="00A067C9">
      <w:r>
        <w:rPr>
          <w:lang w:val="en-AU"/>
        </w:rPr>
        <w:t xml:space="preserve">Both formal and informal supports are needed </w:t>
      </w:r>
      <w:r w:rsidR="008B51F8">
        <w:rPr>
          <w:lang w:val="en-AU"/>
        </w:rPr>
        <w:t xml:space="preserve">across the three pillars </w:t>
      </w:r>
      <w:r>
        <w:rPr>
          <w:lang w:val="en-AU"/>
        </w:rPr>
        <w:t>to create an inclusive work environment</w:t>
      </w:r>
      <w:r w:rsidR="00877DE5">
        <w:rPr>
          <w:lang w:val="en-AU"/>
        </w:rPr>
        <w:t xml:space="preserve"> for LGBTIQ+ staff</w:t>
      </w:r>
      <w:r>
        <w:rPr>
          <w:lang w:val="en-AU"/>
        </w:rPr>
        <w:t>.</w:t>
      </w:r>
      <w:r w:rsidR="00A421FE">
        <w:rPr>
          <w:lang w:val="en-AU"/>
        </w:rPr>
        <w:t xml:space="preserve"> </w:t>
      </w:r>
    </w:p>
    <w:p w14:paraId="1D767FAC" w14:textId="77777777" w:rsidR="000A076E" w:rsidRPr="00624A55" w:rsidRDefault="000A076E" w:rsidP="00B02071">
      <w:pPr>
        <w:pStyle w:val="Heading2"/>
        <w:rPr>
          <w:lang w:val="en-AU"/>
        </w:rPr>
      </w:pPr>
      <w:r>
        <w:rPr>
          <w:lang w:val="en-AU"/>
        </w:rPr>
        <w:t>Role purpose</w:t>
      </w:r>
    </w:p>
    <w:p w14:paraId="62AB101C" w14:textId="24EB7776" w:rsidR="00DD440B" w:rsidRDefault="00FB5297" w:rsidP="000A076E">
      <w:pPr>
        <w:rPr>
          <w:lang w:val="en-AU"/>
        </w:rPr>
      </w:pPr>
      <w:r>
        <w:rPr>
          <w:lang w:val="en-AU"/>
        </w:rPr>
        <w:t xml:space="preserve">An </w:t>
      </w:r>
      <w:r w:rsidR="000A076E">
        <w:rPr>
          <w:lang w:val="en-AU"/>
        </w:rPr>
        <w:t>Executive Sponsor</w:t>
      </w:r>
      <w:r>
        <w:rPr>
          <w:lang w:val="en-AU"/>
        </w:rPr>
        <w:t xml:space="preserve"> is</w:t>
      </w:r>
      <w:r w:rsidR="000A076E">
        <w:rPr>
          <w:lang w:val="en-AU"/>
        </w:rPr>
        <w:t xml:space="preserve"> </w:t>
      </w:r>
      <w:r w:rsidR="00781ED1">
        <w:rPr>
          <w:lang w:val="en-AU"/>
        </w:rPr>
        <w:t>a</w:t>
      </w:r>
      <w:r w:rsidR="00DD440B">
        <w:rPr>
          <w:lang w:val="en-AU"/>
        </w:rPr>
        <w:t xml:space="preserve"> formalised element of the</w:t>
      </w:r>
      <w:r w:rsidR="000A076E">
        <w:rPr>
          <w:lang w:val="en-AU"/>
        </w:rPr>
        <w:t xml:space="preserve"> “</w:t>
      </w:r>
      <w:r w:rsidR="000A076E" w:rsidRPr="00F436B2">
        <w:rPr>
          <w:b/>
          <w:bCs/>
          <w:lang w:val="en-AU"/>
        </w:rPr>
        <w:t>support from leaders</w:t>
      </w:r>
      <w:r w:rsidR="000A076E">
        <w:rPr>
          <w:lang w:val="en-AU"/>
        </w:rPr>
        <w:t xml:space="preserve">” pillar. </w:t>
      </w:r>
    </w:p>
    <w:p w14:paraId="675E77B7" w14:textId="17544B64" w:rsidR="000A076E" w:rsidRDefault="000A076E" w:rsidP="000A076E">
      <w:pPr>
        <w:rPr>
          <w:lang w:val="en-AU"/>
        </w:rPr>
      </w:pPr>
      <w:r>
        <w:rPr>
          <w:lang w:val="en-AU"/>
        </w:rPr>
        <w:t>Without an Executive Sponsor, an organisation may struggle to create or sustain an equitable and inclusive work environment for LGBTIQ+ staff, as LGBTIQ+ staff may not feel visible or acknowledged by leaders</w:t>
      </w:r>
      <w:r w:rsidR="00F436B2">
        <w:rPr>
          <w:lang w:val="en-AU"/>
        </w:rPr>
        <w:t>hip</w:t>
      </w:r>
      <w:r w:rsidR="00FB5297">
        <w:rPr>
          <w:lang w:val="en-AU"/>
        </w:rPr>
        <w:t>, and both human resources and staff may struggle to advocate for or implement cultural change without senior executive support</w:t>
      </w:r>
      <w:r>
        <w:rPr>
          <w:lang w:val="en-AU"/>
        </w:rPr>
        <w:t>.</w:t>
      </w:r>
      <w:r w:rsidR="00F436B2">
        <w:rPr>
          <w:lang w:val="en-AU"/>
        </w:rPr>
        <w:t xml:space="preserve"> </w:t>
      </w:r>
    </w:p>
    <w:p w14:paraId="2E239ADF" w14:textId="07BC6F17" w:rsidR="000A076E" w:rsidRDefault="00DD440B" w:rsidP="000A076E">
      <w:pPr>
        <w:rPr>
          <w:lang w:val="en-AU"/>
        </w:rPr>
      </w:pPr>
      <w:r>
        <w:rPr>
          <w:lang w:val="en-AU"/>
        </w:rPr>
        <w:t>Executive Sponsors</w:t>
      </w:r>
      <w:r w:rsidR="000A076E">
        <w:rPr>
          <w:lang w:val="en-AU"/>
        </w:rPr>
        <w:t xml:space="preserve"> perform a range of unique functions, primarily focused on improving visibility of and advocating for LGBTIQ+ staff needs across an organisation. </w:t>
      </w:r>
    </w:p>
    <w:p w14:paraId="3D0E34C7" w14:textId="1C37D5F9" w:rsidR="00B02071" w:rsidRPr="00624A55" w:rsidRDefault="00913506" w:rsidP="00B02071">
      <w:pPr>
        <w:pStyle w:val="Heading2"/>
        <w:rPr>
          <w:lang w:val="en-AU"/>
        </w:rPr>
      </w:pPr>
      <w:r>
        <w:rPr>
          <w:lang w:val="en-AU"/>
        </w:rPr>
        <w:lastRenderedPageBreak/>
        <w:t>Process for a</w:t>
      </w:r>
      <w:r w:rsidR="00B02071">
        <w:rPr>
          <w:lang w:val="en-AU"/>
        </w:rPr>
        <w:t xml:space="preserve">ppointing </w:t>
      </w:r>
      <w:r w:rsidR="009B27C9">
        <w:rPr>
          <w:lang w:val="en-AU"/>
        </w:rPr>
        <w:t>an Executive Sponsor</w:t>
      </w:r>
    </w:p>
    <w:p w14:paraId="650B7EE6" w14:textId="7C0ABD04" w:rsidR="00B02071" w:rsidRDefault="00B02071" w:rsidP="00B02071">
      <w:pPr>
        <w:rPr>
          <w:lang w:val="en-AU"/>
        </w:rPr>
      </w:pPr>
      <w:r>
        <w:rPr>
          <w:lang w:val="en-AU"/>
        </w:rPr>
        <w:t>Appointment of an Executive Sponsor should be the responsibility of the head of the Department or Agency (for example, Secretary or Commissioner)</w:t>
      </w:r>
      <w:r w:rsidR="00666D88">
        <w:rPr>
          <w:lang w:val="en-AU"/>
        </w:rPr>
        <w:t xml:space="preserve"> as a part of the organisation’s commitment to diversity, </w:t>
      </w:r>
      <w:proofErr w:type="gramStart"/>
      <w:r w:rsidR="00666D88">
        <w:rPr>
          <w:lang w:val="en-AU"/>
        </w:rPr>
        <w:t>inclusion</w:t>
      </w:r>
      <w:proofErr w:type="gramEnd"/>
      <w:r w:rsidR="00666D88">
        <w:rPr>
          <w:lang w:val="en-AU"/>
        </w:rPr>
        <w:t xml:space="preserve"> and safety in the workplace</w:t>
      </w:r>
      <w:r>
        <w:rPr>
          <w:lang w:val="en-AU"/>
        </w:rPr>
        <w:t>.</w:t>
      </w:r>
    </w:p>
    <w:p w14:paraId="051017C6" w14:textId="29E8DFC4" w:rsidR="00B02071" w:rsidRDefault="00B02071" w:rsidP="00B02071">
      <w:pPr>
        <w:rPr>
          <w:lang w:val="en-AU"/>
        </w:rPr>
      </w:pPr>
      <w:r>
        <w:rPr>
          <w:lang w:val="en-AU"/>
        </w:rPr>
        <w:t>The head of the Department or Agency should actively identify and encourage volunteers for the position</w:t>
      </w:r>
      <w:r w:rsidR="005604CF">
        <w:rPr>
          <w:lang w:val="en-AU"/>
        </w:rPr>
        <w:t xml:space="preserve"> from a variety of backgrounds who understand </w:t>
      </w:r>
      <w:r w:rsidR="006D1046">
        <w:rPr>
          <w:lang w:val="en-AU"/>
        </w:rPr>
        <w:t>issues impacting LGBTIQ+ communities</w:t>
      </w:r>
      <w:r>
        <w:rPr>
          <w:lang w:val="en-AU"/>
        </w:rPr>
        <w:t xml:space="preserve">. Equity, </w:t>
      </w:r>
      <w:proofErr w:type="gramStart"/>
      <w:r>
        <w:rPr>
          <w:lang w:val="en-AU"/>
        </w:rPr>
        <w:t>diversity</w:t>
      </w:r>
      <w:proofErr w:type="gramEnd"/>
      <w:r>
        <w:rPr>
          <w:lang w:val="en-AU"/>
        </w:rPr>
        <w:t xml:space="preserve"> and inclusion should be everyone’s responsibility</w:t>
      </w:r>
      <w:r w:rsidR="006D1046">
        <w:rPr>
          <w:lang w:val="en-AU"/>
        </w:rPr>
        <w:t xml:space="preserve">, and should not fall solely </w:t>
      </w:r>
      <w:r w:rsidR="00733C77">
        <w:rPr>
          <w:lang w:val="en-AU"/>
        </w:rPr>
        <w:t>to</w:t>
      </w:r>
      <w:r w:rsidR="006D1046">
        <w:rPr>
          <w:lang w:val="en-AU"/>
        </w:rPr>
        <w:t xml:space="preserve"> executives who are </w:t>
      </w:r>
      <w:r w:rsidR="00733C77">
        <w:rPr>
          <w:lang w:val="en-AU"/>
        </w:rPr>
        <w:t>also</w:t>
      </w:r>
      <w:r w:rsidR="00E7321E">
        <w:rPr>
          <w:lang w:val="en-AU"/>
        </w:rPr>
        <w:t xml:space="preserve"> members of an</w:t>
      </w:r>
      <w:r w:rsidR="00733C77">
        <w:rPr>
          <w:lang w:val="en-AU"/>
        </w:rPr>
        <w:t xml:space="preserve"> </w:t>
      </w:r>
      <w:r w:rsidR="006D1046">
        <w:rPr>
          <w:lang w:val="en-AU"/>
        </w:rPr>
        <w:t>LGBTIQ+</w:t>
      </w:r>
      <w:r w:rsidR="00E7321E">
        <w:rPr>
          <w:lang w:val="en-AU"/>
        </w:rPr>
        <w:t xml:space="preserve"> community</w:t>
      </w:r>
      <w:r>
        <w:rPr>
          <w:lang w:val="en-AU"/>
        </w:rPr>
        <w:t>.</w:t>
      </w:r>
    </w:p>
    <w:p w14:paraId="556CAEB7" w14:textId="77777777" w:rsidR="00B02071" w:rsidRPr="00B02071" w:rsidRDefault="00B02071" w:rsidP="00B02071">
      <w:pPr>
        <w:rPr>
          <w:lang w:val="en-AU"/>
        </w:rPr>
      </w:pPr>
      <w:r>
        <w:rPr>
          <w:lang w:val="en-AU"/>
        </w:rPr>
        <w:t xml:space="preserve">Should an Executive Sponsor wish to resign the position before the end of the appointment (for example, if leaving the organisation), they should submit their resignation to the head of their </w:t>
      </w:r>
      <w:proofErr w:type="gramStart"/>
      <w:r>
        <w:rPr>
          <w:lang w:val="en-AU"/>
        </w:rPr>
        <w:t>Department</w:t>
      </w:r>
      <w:proofErr w:type="gramEnd"/>
      <w:r>
        <w:rPr>
          <w:lang w:val="en-AU"/>
        </w:rPr>
        <w:t xml:space="preserve"> or Agency to enable appointment of a new candidate and appropriate handover.</w:t>
      </w:r>
    </w:p>
    <w:p w14:paraId="561FE547" w14:textId="3AC85315" w:rsidR="004C7D79" w:rsidRDefault="00E7321E" w:rsidP="00F70844">
      <w:r>
        <w:t>Executive Sponsors</w:t>
      </w:r>
      <w:r w:rsidR="004C7D79">
        <w:t xml:space="preserve"> should be a volunteer role, with no additional pay awarded.</w:t>
      </w:r>
    </w:p>
    <w:p w14:paraId="02F90638" w14:textId="730044B5" w:rsidR="001C764B" w:rsidRDefault="001C764B" w:rsidP="00F70844">
      <w:r>
        <w:t>Appointment</w:t>
      </w:r>
      <w:r w:rsidR="00F70844">
        <w:t>s</w:t>
      </w:r>
      <w:r>
        <w:t xml:space="preserve"> should be for a period of at least twelve (12) months</w:t>
      </w:r>
      <w:r w:rsidR="00D0749F">
        <w:t xml:space="preserve"> and </w:t>
      </w:r>
      <w:r w:rsidR="001F3DE0">
        <w:t>are</w:t>
      </w:r>
      <w:r w:rsidR="00D0749F">
        <w:t xml:space="preserve"> recommended to align with the </w:t>
      </w:r>
      <w:r w:rsidR="00ED11B1">
        <w:t>performance and development planning (PDP)</w:t>
      </w:r>
      <w:r w:rsidR="00D0749F">
        <w:t xml:space="preserve"> cycle.</w:t>
      </w:r>
    </w:p>
    <w:p w14:paraId="40523F48" w14:textId="0340FE51" w:rsidR="00F70844" w:rsidRPr="00F70844" w:rsidRDefault="00F70844" w:rsidP="00F70844">
      <w:pPr>
        <w:pStyle w:val="Heading2"/>
        <w:rPr>
          <w:lang w:val="en-AU"/>
        </w:rPr>
      </w:pPr>
      <w:r>
        <w:rPr>
          <w:lang w:val="en-AU"/>
        </w:rPr>
        <w:t>Role requirements</w:t>
      </w:r>
    </w:p>
    <w:p w14:paraId="5148BC44" w14:textId="4A451415" w:rsidR="00CC7A05" w:rsidRDefault="00CC7A05" w:rsidP="00CC7A05">
      <w:pPr>
        <w:pStyle w:val="Bullet1"/>
        <w:numPr>
          <w:ilvl w:val="0"/>
          <w:numId w:val="0"/>
        </w:numPr>
        <w:ind w:left="284" w:hanging="284"/>
      </w:pPr>
      <w:r>
        <w:t xml:space="preserve">Appointee </w:t>
      </w:r>
      <w:r w:rsidRPr="00CC7A05">
        <w:rPr>
          <w:u w:val="single"/>
        </w:rPr>
        <w:t>should</w:t>
      </w:r>
      <w:r>
        <w:t>:</w:t>
      </w:r>
    </w:p>
    <w:p w14:paraId="5B1CD7C3" w14:textId="77777777" w:rsidR="00CC7A05" w:rsidRDefault="00CC7A05" w:rsidP="001C764B">
      <w:pPr>
        <w:pStyle w:val="Bullet1"/>
      </w:pPr>
      <w:r>
        <w:t>B</w:t>
      </w:r>
      <w:r w:rsidR="001C764B">
        <w:t>e from the most senior level of staff, with a level of influence outside their direct reports. For example, an executive on the Board of Management.</w:t>
      </w:r>
    </w:p>
    <w:p w14:paraId="73D6EE0C" w14:textId="2C469F06" w:rsidR="007A21E3" w:rsidRDefault="00B7722F" w:rsidP="007A21E3">
      <w:pPr>
        <w:pStyle w:val="Bullet1"/>
      </w:pPr>
      <w:r>
        <w:t xml:space="preserve">Demonstrate an interest in, and </w:t>
      </w:r>
      <w:r w:rsidR="00B9342A">
        <w:t>understanding</w:t>
      </w:r>
      <w:r>
        <w:t xml:space="preserve"> of, issues impacting LGBTIQ+ communit</w:t>
      </w:r>
      <w:r w:rsidR="00B9342A">
        <w:t>ies</w:t>
      </w:r>
      <w:r w:rsidR="00504BEC">
        <w:t xml:space="preserve">, </w:t>
      </w:r>
      <w:r w:rsidR="00A8539B">
        <w:t>including intersections with other identities and communities.</w:t>
      </w:r>
    </w:p>
    <w:p w14:paraId="4AAAFE51" w14:textId="22CC58C1" w:rsidR="00582B4B" w:rsidRPr="00582B4B" w:rsidRDefault="00582B4B" w:rsidP="00582B4B">
      <w:pPr>
        <w:pStyle w:val="Bullet1"/>
      </w:pPr>
      <w:r>
        <w:t>Incorporate the key accountabilities of the executive sponsor role into their PDP or equivalent.</w:t>
      </w:r>
    </w:p>
    <w:p w14:paraId="0B1CAC07" w14:textId="2D2266FD" w:rsidR="00CC7A05" w:rsidRPr="00CC7A05" w:rsidRDefault="00CC7A05" w:rsidP="00CC7A05">
      <w:pPr>
        <w:rPr>
          <w:lang w:val="en-AU"/>
        </w:rPr>
      </w:pPr>
      <w:r>
        <w:rPr>
          <w:lang w:val="en-AU"/>
        </w:rPr>
        <w:t xml:space="preserve">Appointee </w:t>
      </w:r>
      <w:r w:rsidRPr="00CC7A05">
        <w:rPr>
          <w:u w:val="single"/>
          <w:lang w:val="en-AU"/>
        </w:rPr>
        <w:t>should not</w:t>
      </w:r>
      <w:r>
        <w:rPr>
          <w:lang w:val="en-AU"/>
        </w:rPr>
        <w:t>:</w:t>
      </w:r>
    </w:p>
    <w:p w14:paraId="69BD699F" w14:textId="48796D2E" w:rsidR="001C764B" w:rsidRDefault="00CC7A05" w:rsidP="001C764B">
      <w:pPr>
        <w:pStyle w:val="Bullet1"/>
      </w:pPr>
      <w:r>
        <w:t>Have</w:t>
      </w:r>
      <w:r w:rsidR="001C764B">
        <w:t xml:space="preserve"> a </w:t>
      </w:r>
      <w:r>
        <w:t>substantive</w:t>
      </w:r>
      <w:r w:rsidR="001C764B">
        <w:t xml:space="preserve"> position </w:t>
      </w:r>
      <w:r>
        <w:t>related to</w:t>
      </w:r>
      <w:r w:rsidR="001C764B">
        <w:t xml:space="preserve"> </w:t>
      </w:r>
      <w:r w:rsidR="00922588">
        <w:t>human resources,</w:t>
      </w:r>
      <w:r w:rsidR="001C764B">
        <w:t xml:space="preserve"> </w:t>
      </w:r>
      <w:proofErr w:type="gramStart"/>
      <w:r w:rsidR="001C764B">
        <w:t>diversity</w:t>
      </w:r>
      <w:proofErr w:type="gramEnd"/>
      <w:r w:rsidR="001C764B">
        <w:t xml:space="preserve"> </w:t>
      </w:r>
      <w:r w:rsidR="00922588">
        <w:t>or</w:t>
      </w:r>
      <w:r w:rsidR="001C764B">
        <w:t xml:space="preserve"> inclusion. A key accountability of the Executive Sponsor </w:t>
      </w:r>
      <w:r w:rsidR="00846E70">
        <w:t xml:space="preserve">(see below) </w:t>
      </w:r>
      <w:r w:rsidR="001C764B">
        <w:t xml:space="preserve">is to liaise with the organisation’s HR and diversity divisions, and therefore the positions cannot be jointly held. </w:t>
      </w:r>
    </w:p>
    <w:p w14:paraId="16D35D38" w14:textId="65692ED1" w:rsidR="00C933E9" w:rsidRDefault="00C933E9" w:rsidP="00B02071">
      <w:pPr>
        <w:pStyle w:val="Heading2"/>
        <w:rPr>
          <w:lang w:val="en-AU"/>
        </w:rPr>
      </w:pPr>
      <w:r>
        <w:rPr>
          <w:lang w:val="en-AU"/>
        </w:rPr>
        <w:t>Key accountabilities</w:t>
      </w:r>
    </w:p>
    <w:p w14:paraId="4E74356A" w14:textId="533E1CDC" w:rsidR="000B33FD" w:rsidRPr="000B33FD" w:rsidRDefault="000B33FD" w:rsidP="000B33FD">
      <w:pPr>
        <w:rPr>
          <w:lang w:val="en-AU"/>
        </w:rPr>
      </w:pPr>
      <w:r>
        <w:rPr>
          <w:lang w:val="en-AU"/>
        </w:rPr>
        <w:t xml:space="preserve">Key accountabilities of an Executive Sponsor should be determined in consultation with the organisation’s LGBTIQ+ staff network. </w:t>
      </w:r>
      <w:r w:rsidR="00807CB9">
        <w:rPr>
          <w:lang w:val="en-AU"/>
        </w:rPr>
        <w:t>R</w:t>
      </w:r>
      <w:r w:rsidR="000648AF">
        <w:rPr>
          <w:lang w:val="en-AU"/>
        </w:rPr>
        <w:t xml:space="preserve">ecommended </w:t>
      </w:r>
      <w:r w:rsidR="00807CB9">
        <w:rPr>
          <w:lang w:val="en-AU"/>
        </w:rPr>
        <w:t>key accountabilities</w:t>
      </w:r>
      <w:r w:rsidR="000648AF">
        <w:rPr>
          <w:lang w:val="en-AU"/>
        </w:rPr>
        <w:t xml:space="preserve"> are:</w:t>
      </w:r>
    </w:p>
    <w:p w14:paraId="041A9413" w14:textId="5F3A8B7F" w:rsidR="00DE6618" w:rsidRPr="00DE6618" w:rsidRDefault="00DE6618" w:rsidP="003625B1">
      <w:pPr>
        <w:pStyle w:val="Bullet1"/>
      </w:pPr>
      <w:r>
        <w:rPr>
          <w:b/>
          <w:bCs/>
        </w:rPr>
        <w:t xml:space="preserve">Champion </w:t>
      </w:r>
      <w:r w:rsidR="002D320C">
        <w:rPr>
          <w:b/>
          <w:bCs/>
        </w:rPr>
        <w:t xml:space="preserve">the inclusion </w:t>
      </w:r>
      <w:r w:rsidR="00D27544">
        <w:rPr>
          <w:b/>
          <w:bCs/>
        </w:rPr>
        <w:t xml:space="preserve">and support </w:t>
      </w:r>
      <w:r w:rsidR="002D320C">
        <w:rPr>
          <w:b/>
          <w:bCs/>
        </w:rPr>
        <w:t>of LGBTIQ+ staff within the organisation</w:t>
      </w:r>
      <w:r w:rsidR="002D320C">
        <w:t>.</w:t>
      </w:r>
      <w:r w:rsidR="00D27F2A">
        <w:t xml:space="preserve"> This </w:t>
      </w:r>
      <w:r w:rsidR="00EF77CD">
        <w:t>c</w:t>
      </w:r>
      <w:r w:rsidR="005C3F7B">
        <w:t>ould include</w:t>
      </w:r>
      <w:r w:rsidR="00D27F2A">
        <w:t xml:space="preserve"> </w:t>
      </w:r>
      <w:r w:rsidR="00C5274D">
        <w:t xml:space="preserve">challenging bias and </w:t>
      </w:r>
      <w:r w:rsidR="00D27F2A">
        <w:t xml:space="preserve">role-modelling </w:t>
      </w:r>
      <w:r w:rsidR="00003888">
        <w:t>inclusive language</w:t>
      </w:r>
      <w:r w:rsidR="005C3F7B">
        <w:t xml:space="preserve"> at work</w:t>
      </w:r>
      <w:r w:rsidR="00DF6C12">
        <w:t xml:space="preserve"> with</w:t>
      </w:r>
      <w:r w:rsidR="003674BE">
        <w:t xml:space="preserve"> respectful identification and use of </w:t>
      </w:r>
      <w:r w:rsidR="005C3F7B">
        <w:t xml:space="preserve">correct </w:t>
      </w:r>
      <w:r w:rsidR="003674BE">
        <w:t>pronouns</w:t>
      </w:r>
      <w:r w:rsidR="00321EE8">
        <w:t>.</w:t>
      </w:r>
    </w:p>
    <w:p w14:paraId="195A4B41" w14:textId="18AE83B4" w:rsidR="00BE42D7" w:rsidRDefault="001C3160" w:rsidP="003625B1">
      <w:pPr>
        <w:pStyle w:val="Bullet1"/>
      </w:pPr>
      <w:r>
        <w:rPr>
          <w:b/>
          <w:bCs/>
        </w:rPr>
        <w:t>A</w:t>
      </w:r>
      <w:r w:rsidR="00D43A66">
        <w:rPr>
          <w:b/>
          <w:bCs/>
        </w:rPr>
        <w:t>dvocate fo</w:t>
      </w:r>
      <w:r w:rsidR="00DE6618">
        <w:rPr>
          <w:b/>
          <w:bCs/>
        </w:rPr>
        <w:t>r</w:t>
      </w:r>
      <w:r w:rsidR="002C7AE9" w:rsidRPr="00FD3128">
        <w:rPr>
          <w:b/>
          <w:bCs/>
        </w:rPr>
        <w:t xml:space="preserve"> LGBTIQ+ staff amongst senior leadership</w:t>
      </w:r>
      <w:r w:rsidR="00D43A66">
        <w:rPr>
          <w:b/>
          <w:bCs/>
        </w:rPr>
        <w:t>, including with the organisation’s HR and diversity division/s</w:t>
      </w:r>
      <w:r w:rsidR="001424FB">
        <w:t xml:space="preserve">. This </w:t>
      </w:r>
      <w:r w:rsidR="00416E32">
        <w:t xml:space="preserve">could </w:t>
      </w:r>
      <w:r w:rsidR="001424FB">
        <w:t>include</w:t>
      </w:r>
      <w:r>
        <w:t xml:space="preserve"> </w:t>
      </w:r>
      <w:r w:rsidR="001424FB">
        <w:t xml:space="preserve">advocating </w:t>
      </w:r>
      <w:r w:rsidR="00416E32">
        <w:t>for</w:t>
      </w:r>
      <w:r w:rsidR="001424FB">
        <w:t xml:space="preserve"> LGBTIQ+ staff needs</w:t>
      </w:r>
      <w:r w:rsidR="00BE42D7">
        <w:t xml:space="preserve"> </w:t>
      </w:r>
      <w:r w:rsidR="00416E32">
        <w:t>when</w:t>
      </w:r>
      <w:r w:rsidR="00FD3128">
        <w:t xml:space="preserve"> </w:t>
      </w:r>
      <w:r w:rsidR="00B17A28">
        <w:t>developing</w:t>
      </w:r>
      <w:r w:rsidR="00BE42D7">
        <w:t xml:space="preserve"> new </w:t>
      </w:r>
      <w:r w:rsidR="00416E32">
        <w:t xml:space="preserve">staff </w:t>
      </w:r>
      <w:r w:rsidR="00BE42D7">
        <w:t>training, programs</w:t>
      </w:r>
      <w:r w:rsidR="00416E32">
        <w:t xml:space="preserve">, </w:t>
      </w:r>
      <w:proofErr w:type="gramStart"/>
      <w:r w:rsidR="00BE42D7">
        <w:t>services</w:t>
      </w:r>
      <w:proofErr w:type="gramEnd"/>
      <w:r w:rsidR="00416E32">
        <w:t xml:space="preserve"> or strategies.</w:t>
      </w:r>
    </w:p>
    <w:p w14:paraId="2F81AED4" w14:textId="61971C9C" w:rsidR="00DB141F" w:rsidRDefault="00DB141F" w:rsidP="00454902">
      <w:pPr>
        <w:pStyle w:val="Bullet1"/>
      </w:pPr>
      <w:r>
        <w:rPr>
          <w:b/>
          <w:bCs/>
        </w:rPr>
        <w:t>Be a visible and identifiable ally to LGBTIQ+ communit</w:t>
      </w:r>
      <w:r w:rsidR="00AD2893">
        <w:rPr>
          <w:b/>
          <w:bCs/>
        </w:rPr>
        <w:t>ies</w:t>
      </w:r>
      <w:r>
        <w:rPr>
          <w:b/>
          <w:bCs/>
        </w:rPr>
        <w:t xml:space="preserve"> within the organisation</w:t>
      </w:r>
      <w:r>
        <w:t xml:space="preserve">. This </w:t>
      </w:r>
      <w:r w:rsidR="00233BCA">
        <w:t xml:space="preserve">could include through </w:t>
      </w:r>
      <w:r w:rsidR="00440736">
        <w:t xml:space="preserve">internal </w:t>
      </w:r>
      <w:r w:rsidR="00233BCA">
        <w:t>announcement of the appointee</w:t>
      </w:r>
      <w:r w:rsidR="006A23E6">
        <w:t>, and the appointee undertaking regular promotion of LGBTIQ+ matters</w:t>
      </w:r>
      <w:r w:rsidR="00440736">
        <w:t xml:space="preserve"> (for example, through newsletter</w:t>
      </w:r>
      <w:r w:rsidR="00966199">
        <w:t>s</w:t>
      </w:r>
      <w:r w:rsidR="00440736">
        <w:t xml:space="preserve"> or intranet posts)</w:t>
      </w:r>
      <w:r w:rsidR="00233BCA">
        <w:t>.</w:t>
      </w:r>
    </w:p>
    <w:p w14:paraId="45ABF5F3" w14:textId="6D1A0AC5" w:rsidR="00C933E9" w:rsidRDefault="00936C5B" w:rsidP="00454902">
      <w:pPr>
        <w:pStyle w:val="Bullet1"/>
      </w:pPr>
      <w:r>
        <w:rPr>
          <w:b/>
          <w:bCs/>
        </w:rPr>
        <w:t>Consult with</w:t>
      </w:r>
      <w:r w:rsidR="00B53807">
        <w:rPr>
          <w:b/>
          <w:bCs/>
        </w:rPr>
        <w:t xml:space="preserve"> and be accessible to</w:t>
      </w:r>
      <w:r w:rsidR="00960DFB">
        <w:rPr>
          <w:b/>
          <w:bCs/>
        </w:rPr>
        <w:t xml:space="preserve"> LGBTIQ+ staff</w:t>
      </w:r>
      <w:r w:rsidR="00452ACF">
        <w:t xml:space="preserve">. This could include through regular engagement with the organisation’s </w:t>
      </w:r>
      <w:r w:rsidR="00EF2A4D">
        <w:t>LGBTIQ+</w:t>
      </w:r>
      <w:r w:rsidR="00452ACF">
        <w:t xml:space="preserve"> Network</w:t>
      </w:r>
      <w:r w:rsidR="00DA6297">
        <w:t>, or</w:t>
      </w:r>
      <w:r w:rsidR="00960DFB">
        <w:t>,</w:t>
      </w:r>
      <w:r w:rsidR="00DA6297">
        <w:t xml:space="preserve"> if there is no </w:t>
      </w:r>
      <w:r w:rsidR="00AB49CE">
        <w:t>ne</w:t>
      </w:r>
      <w:r w:rsidR="00DA6297">
        <w:t>twork, through</w:t>
      </w:r>
      <w:r w:rsidR="00EF2A4D">
        <w:t xml:space="preserve"> </w:t>
      </w:r>
      <w:r w:rsidR="00EF2A4D">
        <w:lastRenderedPageBreak/>
        <w:t>engagement with the V</w:t>
      </w:r>
      <w:r w:rsidR="00810F23">
        <w:t xml:space="preserve">ictorian </w:t>
      </w:r>
      <w:r w:rsidR="00EF2A4D">
        <w:t>P</w:t>
      </w:r>
      <w:r w:rsidR="00810F23">
        <w:t xml:space="preserve">ublic </w:t>
      </w:r>
      <w:r w:rsidR="00EF2A4D">
        <w:t>S</w:t>
      </w:r>
      <w:r w:rsidR="00810F23">
        <w:t>ector</w:t>
      </w:r>
      <w:r w:rsidR="00EF2A4D">
        <w:t xml:space="preserve"> LGBTIQ+ Pride Network and</w:t>
      </w:r>
      <w:r w:rsidR="00DA6297">
        <w:t xml:space="preserve"> direct engagement with LGBTIQ+ staff</w:t>
      </w:r>
      <w:r w:rsidR="00960DFB">
        <w:t xml:space="preserve"> in the organisation</w:t>
      </w:r>
      <w:r w:rsidR="00DA6297">
        <w:t>.</w:t>
      </w:r>
    </w:p>
    <w:p w14:paraId="4702B337" w14:textId="46C54FE8" w:rsidR="002E5CC8" w:rsidRPr="00314EDA" w:rsidRDefault="002E5CC8" w:rsidP="002E5CC8">
      <w:pPr>
        <w:pStyle w:val="Bullet1"/>
      </w:pPr>
      <w:r>
        <w:rPr>
          <w:b/>
          <w:bCs/>
        </w:rPr>
        <w:t>Undertake regular training or education about LGBTIQ+ issues</w:t>
      </w:r>
      <w:r w:rsidR="007F1445">
        <w:rPr>
          <w:b/>
          <w:bCs/>
        </w:rPr>
        <w:t>, including at the intersections with other identities and communities</w:t>
      </w:r>
      <w:r>
        <w:t xml:space="preserve">. The nature of this training and education will depend on the appointee’s background and experience, but appointees must continuously improve and expand their knowledge of LGBTIQ+ </w:t>
      </w:r>
      <w:r w:rsidR="007F1445">
        <w:t xml:space="preserve">and intersecting </w:t>
      </w:r>
      <w:r>
        <w:t>issues.</w:t>
      </w:r>
      <w:r w:rsidR="007F1445">
        <w:t xml:space="preserve"> </w:t>
      </w:r>
    </w:p>
    <w:p w14:paraId="75A12A05" w14:textId="76A9F3E0" w:rsidR="00B27EB1" w:rsidRDefault="00EF2A4D" w:rsidP="00EF2A4D">
      <w:pPr>
        <w:pStyle w:val="Bullet1"/>
      </w:pPr>
      <w:r>
        <w:rPr>
          <w:b/>
          <w:bCs/>
        </w:rPr>
        <w:t xml:space="preserve">Regularly attend </w:t>
      </w:r>
      <w:r w:rsidR="0054083C">
        <w:rPr>
          <w:b/>
          <w:bCs/>
        </w:rPr>
        <w:t xml:space="preserve">or participate in </w:t>
      </w:r>
      <w:r>
        <w:rPr>
          <w:b/>
          <w:bCs/>
        </w:rPr>
        <w:t>LGBTIQ+</w:t>
      </w:r>
      <w:r w:rsidR="006C3E83">
        <w:rPr>
          <w:b/>
          <w:bCs/>
        </w:rPr>
        <w:t xml:space="preserve"> </w:t>
      </w:r>
      <w:r w:rsidR="00B53807">
        <w:rPr>
          <w:b/>
          <w:bCs/>
        </w:rPr>
        <w:t>events</w:t>
      </w:r>
      <w:r w:rsidR="004F2C5B">
        <w:t>. This could include functions</w:t>
      </w:r>
      <w:r w:rsidR="006C3E83">
        <w:rPr>
          <w:b/>
          <w:bCs/>
        </w:rPr>
        <w:t xml:space="preserve"> </w:t>
      </w:r>
      <w:r w:rsidR="006C3E83" w:rsidRPr="004F2C5B">
        <w:t xml:space="preserve">hosted by the organisation or </w:t>
      </w:r>
      <w:r w:rsidR="004F2C5B">
        <w:t>in other parts of the Victorian Public Sector</w:t>
      </w:r>
      <w:r w:rsidR="0002632C">
        <w:t xml:space="preserve">, such as </w:t>
      </w:r>
      <w:r w:rsidR="0054083C">
        <w:t xml:space="preserve">participating in </w:t>
      </w:r>
      <w:r w:rsidR="0002632C">
        <w:t>the annual Pride March</w:t>
      </w:r>
      <w:r w:rsidR="000902A7">
        <w:t xml:space="preserve"> or attending event</w:t>
      </w:r>
      <w:r w:rsidR="009F5970">
        <w:t>s linked to day</w:t>
      </w:r>
      <w:r w:rsidR="00AB49CE">
        <w:t>s</w:t>
      </w:r>
      <w:r w:rsidR="009F5970">
        <w:t xml:space="preserve"> of significance</w:t>
      </w:r>
      <w:r w:rsidR="00AB49CE">
        <w:t xml:space="preserve"> for LGBTIQ+ communities</w:t>
      </w:r>
      <w:r w:rsidR="000902A7">
        <w:t>.</w:t>
      </w:r>
    </w:p>
    <w:p w14:paraId="42223A31" w14:textId="59FC87C2" w:rsidR="00EF2A4D" w:rsidRDefault="005C7697" w:rsidP="00EF2A4D">
      <w:pPr>
        <w:pStyle w:val="Bullet1"/>
        <w:rPr>
          <w:rFonts w:eastAsiaTheme="minorEastAsia"/>
          <w:szCs w:val="22"/>
        </w:rPr>
      </w:pPr>
      <w:r w:rsidRPr="3CCF27A9">
        <w:rPr>
          <w:b/>
          <w:bCs/>
        </w:rPr>
        <w:t>Assist the</w:t>
      </w:r>
      <w:r w:rsidR="004A1CBB" w:rsidRPr="3CCF27A9">
        <w:rPr>
          <w:b/>
          <w:bCs/>
        </w:rPr>
        <w:t>ir organisation’s</w:t>
      </w:r>
      <w:r w:rsidR="006A4B55" w:rsidRPr="3CCF27A9">
        <w:rPr>
          <w:b/>
          <w:bCs/>
        </w:rPr>
        <w:t xml:space="preserve"> </w:t>
      </w:r>
      <w:r w:rsidR="00FE3BF5" w:rsidRPr="3CCF27A9">
        <w:rPr>
          <w:b/>
          <w:bCs/>
        </w:rPr>
        <w:t xml:space="preserve">staff </w:t>
      </w:r>
      <w:r w:rsidR="006A4B55" w:rsidRPr="3CCF27A9">
        <w:rPr>
          <w:b/>
          <w:bCs/>
        </w:rPr>
        <w:t>LGBTIQ+</w:t>
      </w:r>
      <w:r w:rsidRPr="3CCF27A9">
        <w:rPr>
          <w:b/>
          <w:bCs/>
        </w:rPr>
        <w:t xml:space="preserve"> network with appropriate advice, </w:t>
      </w:r>
      <w:r w:rsidR="00717E9E" w:rsidRPr="3CCF27A9">
        <w:rPr>
          <w:b/>
          <w:bCs/>
        </w:rPr>
        <w:t xml:space="preserve">support, </w:t>
      </w:r>
      <w:proofErr w:type="gramStart"/>
      <w:r w:rsidRPr="3CCF27A9">
        <w:rPr>
          <w:b/>
          <w:bCs/>
        </w:rPr>
        <w:t>resources</w:t>
      </w:r>
      <w:proofErr w:type="gramEnd"/>
      <w:r w:rsidRPr="3CCF27A9">
        <w:rPr>
          <w:b/>
          <w:bCs/>
        </w:rPr>
        <w:t xml:space="preserve"> and funding</w:t>
      </w:r>
      <w:r>
        <w:t>.</w:t>
      </w:r>
      <w:r w:rsidR="006A4B55">
        <w:t xml:space="preserve"> This could include resolving disputes. </w:t>
      </w:r>
      <w:r w:rsidR="00FE3BF5">
        <w:t xml:space="preserve">If there is no staff network, this may take the form of </w:t>
      </w:r>
      <w:r w:rsidR="00717E9E">
        <w:t>regular liaison with and support for the VPS</w:t>
      </w:r>
      <w:r w:rsidR="00816718">
        <w:t xml:space="preserve"> LGBTIQ+</w:t>
      </w:r>
      <w:r w:rsidR="00717E9E">
        <w:t xml:space="preserve"> Pride Network</w:t>
      </w:r>
      <w:r w:rsidR="007161D9">
        <w:t xml:space="preserve"> or may involve supporting staff to establish governance and operations.</w:t>
      </w:r>
    </w:p>
    <w:p w14:paraId="5E766259" w14:textId="77FF47B7" w:rsidR="00086AE9" w:rsidRPr="00086AE9" w:rsidRDefault="00086AE9" w:rsidP="00086AE9">
      <w:pPr>
        <w:pStyle w:val="Bullet1"/>
      </w:pPr>
      <w:r w:rsidRPr="00105B98">
        <w:rPr>
          <w:b/>
          <w:bCs/>
        </w:rPr>
        <w:t xml:space="preserve">Actively seek to align LGBTIQ+ work done by their </w:t>
      </w:r>
      <w:proofErr w:type="gramStart"/>
      <w:r w:rsidRPr="00105B98">
        <w:rPr>
          <w:b/>
          <w:bCs/>
        </w:rPr>
        <w:t>Department</w:t>
      </w:r>
      <w:proofErr w:type="gramEnd"/>
      <w:r w:rsidRPr="00105B98">
        <w:rPr>
          <w:b/>
          <w:bCs/>
        </w:rPr>
        <w:t xml:space="preserve"> or agency with ‘Pride in our Future’</w:t>
      </w:r>
      <w:r w:rsidRPr="00105B98">
        <w:t xml:space="preserve">, the whole of Victorian government’s 10 year LGBTIQ+ Strategy. </w:t>
      </w:r>
      <w:r>
        <w:t xml:space="preserve">The strategy can be found here: </w:t>
      </w:r>
      <w:hyperlink r:id="rId20" w:history="1">
        <w:r w:rsidRPr="00FD3164">
          <w:rPr>
            <w:rStyle w:val="Hyperlink"/>
          </w:rPr>
          <w:t>vic.gov.au/</w:t>
        </w:r>
        <w:proofErr w:type="spellStart"/>
        <w:r w:rsidRPr="00FD3164">
          <w:rPr>
            <w:rStyle w:val="Hyperlink"/>
          </w:rPr>
          <w:t>victorian</w:t>
        </w:r>
        <w:proofErr w:type="spellEnd"/>
        <w:r w:rsidRPr="00FD3164">
          <w:rPr>
            <w:rStyle w:val="Hyperlink"/>
          </w:rPr>
          <w:t>-</w:t>
        </w:r>
        <w:proofErr w:type="spellStart"/>
        <w:r w:rsidRPr="00FD3164">
          <w:rPr>
            <w:rStyle w:val="Hyperlink"/>
          </w:rPr>
          <w:t>lgbtiq</w:t>
        </w:r>
        <w:proofErr w:type="spellEnd"/>
        <w:r w:rsidRPr="00FD3164">
          <w:rPr>
            <w:rStyle w:val="Hyperlink"/>
          </w:rPr>
          <w:t>-strategy</w:t>
        </w:r>
      </w:hyperlink>
      <w:r>
        <w:t xml:space="preserve"> </w:t>
      </w:r>
    </w:p>
    <w:sectPr w:rsidR="00086AE9" w:rsidRPr="00086AE9" w:rsidSect="000E4170">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360A" w14:textId="77777777" w:rsidR="0090088F" w:rsidRDefault="0090088F" w:rsidP="003967DD">
      <w:pPr>
        <w:spacing w:after="0"/>
      </w:pPr>
      <w:r>
        <w:separator/>
      </w:r>
    </w:p>
  </w:endnote>
  <w:endnote w:type="continuationSeparator" w:id="0">
    <w:p w14:paraId="249FCA82" w14:textId="77777777" w:rsidR="0090088F" w:rsidRDefault="0090088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ECB0" w14:textId="77777777" w:rsidR="002F73F9" w:rsidRDefault="002F7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C78F" w14:textId="77777777" w:rsidR="0090088F" w:rsidRDefault="0090088F" w:rsidP="003967DD">
      <w:pPr>
        <w:spacing w:after="0"/>
      </w:pPr>
      <w:r>
        <w:separator/>
      </w:r>
    </w:p>
  </w:footnote>
  <w:footnote w:type="continuationSeparator" w:id="0">
    <w:p w14:paraId="79F889A9" w14:textId="77777777" w:rsidR="0090088F" w:rsidRDefault="0090088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6991" w14:textId="77777777" w:rsidR="002F73F9" w:rsidRDefault="002F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7F7AA56D">
          <wp:simplePos x="0" y="0"/>
          <wp:positionH relativeFrom="page">
            <wp:posOffset>0</wp:posOffset>
          </wp:positionH>
          <wp:positionV relativeFrom="page">
            <wp:posOffset>8389</wp:posOffset>
          </wp:positionV>
          <wp:extent cx="7550420"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0"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5AA3" w14:textId="77777777" w:rsidR="002F73F9" w:rsidRDefault="002F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888"/>
    <w:rsid w:val="00005AF8"/>
    <w:rsid w:val="00011F31"/>
    <w:rsid w:val="00013339"/>
    <w:rsid w:val="000256E2"/>
    <w:rsid w:val="0002632C"/>
    <w:rsid w:val="00037C3C"/>
    <w:rsid w:val="000408B5"/>
    <w:rsid w:val="00043AFE"/>
    <w:rsid w:val="0004541D"/>
    <w:rsid w:val="000479A8"/>
    <w:rsid w:val="000522EA"/>
    <w:rsid w:val="0005422F"/>
    <w:rsid w:val="000648AF"/>
    <w:rsid w:val="000653FB"/>
    <w:rsid w:val="00070768"/>
    <w:rsid w:val="00072CD5"/>
    <w:rsid w:val="00080DA9"/>
    <w:rsid w:val="000861DD"/>
    <w:rsid w:val="00086AE9"/>
    <w:rsid w:val="0008747D"/>
    <w:rsid w:val="000902A7"/>
    <w:rsid w:val="0009153A"/>
    <w:rsid w:val="000A076E"/>
    <w:rsid w:val="000A47D4"/>
    <w:rsid w:val="000A539E"/>
    <w:rsid w:val="000B33FD"/>
    <w:rsid w:val="000C600E"/>
    <w:rsid w:val="000D093F"/>
    <w:rsid w:val="000D550F"/>
    <w:rsid w:val="000E4170"/>
    <w:rsid w:val="001022F1"/>
    <w:rsid w:val="00105B98"/>
    <w:rsid w:val="00122369"/>
    <w:rsid w:val="00137F52"/>
    <w:rsid w:val="001424FB"/>
    <w:rsid w:val="0015082E"/>
    <w:rsid w:val="00150E0F"/>
    <w:rsid w:val="00154775"/>
    <w:rsid w:val="00157212"/>
    <w:rsid w:val="0016287D"/>
    <w:rsid w:val="00175211"/>
    <w:rsid w:val="001770C5"/>
    <w:rsid w:val="00193A43"/>
    <w:rsid w:val="001C3160"/>
    <w:rsid w:val="001C764B"/>
    <w:rsid w:val="001D0D94"/>
    <w:rsid w:val="001D13F9"/>
    <w:rsid w:val="001E1C9B"/>
    <w:rsid w:val="001E26C9"/>
    <w:rsid w:val="001F39DD"/>
    <w:rsid w:val="001F3DE0"/>
    <w:rsid w:val="00211FBC"/>
    <w:rsid w:val="002170D1"/>
    <w:rsid w:val="00221E89"/>
    <w:rsid w:val="00233BCA"/>
    <w:rsid w:val="002348D1"/>
    <w:rsid w:val="002512BE"/>
    <w:rsid w:val="00254827"/>
    <w:rsid w:val="002619C5"/>
    <w:rsid w:val="0026383B"/>
    <w:rsid w:val="002719BA"/>
    <w:rsid w:val="00275FB8"/>
    <w:rsid w:val="002A4A96"/>
    <w:rsid w:val="002C7AE9"/>
    <w:rsid w:val="002D320C"/>
    <w:rsid w:val="002E3BED"/>
    <w:rsid w:val="002E594A"/>
    <w:rsid w:val="002E5CC8"/>
    <w:rsid w:val="002F2890"/>
    <w:rsid w:val="002F41D7"/>
    <w:rsid w:val="002F4828"/>
    <w:rsid w:val="002F4E12"/>
    <w:rsid w:val="002F6115"/>
    <w:rsid w:val="002F73F9"/>
    <w:rsid w:val="00312720"/>
    <w:rsid w:val="00314EDA"/>
    <w:rsid w:val="003173AE"/>
    <w:rsid w:val="00321EE8"/>
    <w:rsid w:val="00322A4F"/>
    <w:rsid w:val="0032354F"/>
    <w:rsid w:val="0034008A"/>
    <w:rsid w:val="0034341E"/>
    <w:rsid w:val="00343AFC"/>
    <w:rsid w:val="0034745C"/>
    <w:rsid w:val="003502E6"/>
    <w:rsid w:val="0035154B"/>
    <w:rsid w:val="00353113"/>
    <w:rsid w:val="00362589"/>
    <w:rsid w:val="003674BE"/>
    <w:rsid w:val="00371B1B"/>
    <w:rsid w:val="003964C8"/>
    <w:rsid w:val="003967DD"/>
    <w:rsid w:val="003A4C39"/>
    <w:rsid w:val="003B107F"/>
    <w:rsid w:val="003F4176"/>
    <w:rsid w:val="003F6153"/>
    <w:rsid w:val="00416065"/>
    <w:rsid w:val="00416E32"/>
    <w:rsid w:val="0042333B"/>
    <w:rsid w:val="004239F5"/>
    <w:rsid w:val="00440736"/>
    <w:rsid w:val="00441D3D"/>
    <w:rsid w:val="00443E58"/>
    <w:rsid w:val="0044730F"/>
    <w:rsid w:val="004500B3"/>
    <w:rsid w:val="00452ACF"/>
    <w:rsid w:val="00454902"/>
    <w:rsid w:val="00456C7E"/>
    <w:rsid w:val="00474661"/>
    <w:rsid w:val="00494BC0"/>
    <w:rsid w:val="004A1C41"/>
    <w:rsid w:val="004A1CBB"/>
    <w:rsid w:val="004A2E74"/>
    <w:rsid w:val="004A3880"/>
    <w:rsid w:val="004A4B99"/>
    <w:rsid w:val="004A7003"/>
    <w:rsid w:val="004B2ED6"/>
    <w:rsid w:val="004C7B70"/>
    <w:rsid w:val="004C7D79"/>
    <w:rsid w:val="004E391E"/>
    <w:rsid w:val="004F2C5B"/>
    <w:rsid w:val="004F4AEC"/>
    <w:rsid w:val="004F793A"/>
    <w:rsid w:val="00500ADA"/>
    <w:rsid w:val="00504BEC"/>
    <w:rsid w:val="0050701A"/>
    <w:rsid w:val="00507867"/>
    <w:rsid w:val="00512BBA"/>
    <w:rsid w:val="00520789"/>
    <w:rsid w:val="0053075A"/>
    <w:rsid w:val="0054083C"/>
    <w:rsid w:val="005456BE"/>
    <w:rsid w:val="00547773"/>
    <w:rsid w:val="00552B7E"/>
    <w:rsid w:val="00555277"/>
    <w:rsid w:val="00556FCF"/>
    <w:rsid w:val="005604CF"/>
    <w:rsid w:val="00567413"/>
    <w:rsid w:val="00567CF0"/>
    <w:rsid w:val="00572EC0"/>
    <w:rsid w:val="005762A1"/>
    <w:rsid w:val="00582B4B"/>
    <w:rsid w:val="00584366"/>
    <w:rsid w:val="00585E81"/>
    <w:rsid w:val="00590502"/>
    <w:rsid w:val="00592776"/>
    <w:rsid w:val="00594132"/>
    <w:rsid w:val="00597CBB"/>
    <w:rsid w:val="005A3D26"/>
    <w:rsid w:val="005A419B"/>
    <w:rsid w:val="005A4F12"/>
    <w:rsid w:val="005A5067"/>
    <w:rsid w:val="005B07C3"/>
    <w:rsid w:val="005C3F7B"/>
    <w:rsid w:val="005C730B"/>
    <w:rsid w:val="005C7697"/>
    <w:rsid w:val="005D1570"/>
    <w:rsid w:val="005D1753"/>
    <w:rsid w:val="005E0713"/>
    <w:rsid w:val="00600887"/>
    <w:rsid w:val="00602B2F"/>
    <w:rsid w:val="00611E47"/>
    <w:rsid w:val="00623264"/>
    <w:rsid w:val="00624A55"/>
    <w:rsid w:val="00641AF1"/>
    <w:rsid w:val="006523D7"/>
    <w:rsid w:val="006576D7"/>
    <w:rsid w:val="0066422D"/>
    <w:rsid w:val="00666D88"/>
    <w:rsid w:val="006671CE"/>
    <w:rsid w:val="00682B9B"/>
    <w:rsid w:val="00686D74"/>
    <w:rsid w:val="006A1F8A"/>
    <w:rsid w:val="006A23E6"/>
    <w:rsid w:val="006A25AC"/>
    <w:rsid w:val="006A4B55"/>
    <w:rsid w:val="006B2389"/>
    <w:rsid w:val="006B60EF"/>
    <w:rsid w:val="006C3E83"/>
    <w:rsid w:val="006C45C0"/>
    <w:rsid w:val="006C5744"/>
    <w:rsid w:val="006D1046"/>
    <w:rsid w:val="006D4F39"/>
    <w:rsid w:val="006E2B9A"/>
    <w:rsid w:val="006E4F63"/>
    <w:rsid w:val="00701A9E"/>
    <w:rsid w:val="00710CED"/>
    <w:rsid w:val="00712A3E"/>
    <w:rsid w:val="0071320C"/>
    <w:rsid w:val="00715472"/>
    <w:rsid w:val="007161D9"/>
    <w:rsid w:val="00717E9E"/>
    <w:rsid w:val="00720159"/>
    <w:rsid w:val="00733C77"/>
    <w:rsid w:val="00735566"/>
    <w:rsid w:val="00757BCB"/>
    <w:rsid w:val="00767573"/>
    <w:rsid w:val="007701D9"/>
    <w:rsid w:val="00781ED1"/>
    <w:rsid w:val="00782EC1"/>
    <w:rsid w:val="00787299"/>
    <w:rsid w:val="007A21E3"/>
    <w:rsid w:val="007B2720"/>
    <w:rsid w:val="007B3AA7"/>
    <w:rsid w:val="007B556E"/>
    <w:rsid w:val="007C14CC"/>
    <w:rsid w:val="007C2DEA"/>
    <w:rsid w:val="007D3E38"/>
    <w:rsid w:val="007D3F70"/>
    <w:rsid w:val="007D40FC"/>
    <w:rsid w:val="007E2144"/>
    <w:rsid w:val="007F1445"/>
    <w:rsid w:val="007F783D"/>
    <w:rsid w:val="0080557D"/>
    <w:rsid w:val="008065DA"/>
    <w:rsid w:val="00807CB9"/>
    <w:rsid w:val="00810557"/>
    <w:rsid w:val="00810F23"/>
    <w:rsid w:val="00816718"/>
    <w:rsid w:val="00820935"/>
    <w:rsid w:val="00834F65"/>
    <w:rsid w:val="00846E70"/>
    <w:rsid w:val="00867DE9"/>
    <w:rsid w:val="0087485C"/>
    <w:rsid w:val="00877DE5"/>
    <w:rsid w:val="00890680"/>
    <w:rsid w:val="00892E24"/>
    <w:rsid w:val="008A0E90"/>
    <w:rsid w:val="008B1737"/>
    <w:rsid w:val="008B51F8"/>
    <w:rsid w:val="008B6DEF"/>
    <w:rsid w:val="008C0573"/>
    <w:rsid w:val="008C06E4"/>
    <w:rsid w:val="008E5C65"/>
    <w:rsid w:val="008F3D35"/>
    <w:rsid w:val="0090088F"/>
    <w:rsid w:val="00910FE3"/>
    <w:rsid w:val="00912643"/>
    <w:rsid w:val="00913506"/>
    <w:rsid w:val="00913772"/>
    <w:rsid w:val="00922588"/>
    <w:rsid w:val="009369D5"/>
    <w:rsid w:val="00936C5B"/>
    <w:rsid w:val="00945320"/>
    <w:rsid w:val="00950C88"/>
    <w:rsid w:val="00952690"/>
    <w:rsid w:val="00954B9A"/>
    <w:rsid w:val="00960DFB"/>
    <w:rsid w:val="00966199"/>
    <w:rsid w:val="00985C5A"/>
    <w:rsid w:val="0099358C"/>
    <w:rsid w:val="00993833"/>
    <w:rsid w:val="00997494"/>
    <w:rsid w:val="009B27C9"/>
    <w:rsid w:val="009B5EFC"/>
    <w:rsid w:val="009C0710"/>
    <w:rsid w:val="009C74AD"/>
    <w:rsid w:val="009D3F6F"/>
    <w:rsid w:val="009D6508"/>
    <w:rsid w:val="009F5970"/>
    <w:rsid w:val="009F6A77"/>
    <w:rsid w:val="00A00AAD"/>
    <w:rsid w:val="00A00F64"/>
    <w:rsid w:val="00A067C9"/>
    <w:rsid w:val="00A14DEB"/>
    <w:rsid w:val="00A31926"/>
    <w:rsid w:val="00A421FE"/>
    <w:rsid w:val="00A47B22"/>
    <w:rsid w:val="00A61118"/>
    <w:rsid w:val="00A62A1C"/>
    <w:rsid w:val="00A658BF"/>
    <w:rsid w:val="00A67497"/>
    <w:rsid w:val="00A710DF"/>
    <w:rsid w:val="00A819E5"/>
    <w:rsid w:val="00A8539B"/>
    <w:rsid w:val="00A936FA"/>
    <w:rsid w:val="00A97436"/>
    <w:rsid w:val="00AA19F7"/>
    <w:rsid w:val="00AB49CE"/>
    <w:rsid w:val="00AD2893"/>
    <w:rsid w:val="00AD53A1"/>
    <w:rsid w:val="00AE2FEB"/>
    <w:rsid w:val="00B02071"/>
    <w:rsid w:val="00B03BA6"/>
    <w:rsid w:val="00B0608F"/>
    <w:rsid w:val="00B13593"/>
    <w:rsid w:val="00B17A28"/>
    <w:rsid w:val="00B21562"/>
    <w:rsid w:val="00B27EB1"/>
    <w:rsid w:val="00B53807"/>
    <w:rsid w:val="00B57A88"/>
    <w:rsid w:val="00B645B2"/>
    <w:rsid w:val="00B7722F"/>
    <w:rsid w:val="00B775D4"/>
    <w:rsid w:val="00B918E3"/>
    <w:rsid w:val="00B91DDF"/>
    <w:rsid w:val="00B9342A"/>
    <w:rsid w:val="00B955DB"/>
    <w:rsid w:val="00BC77D3"/>
    <w:rsid w:val="00BD6B2B"/>
    <w:rsid w:val="00BE42D7"/>
    <w:rsid w:val="00C03CD2"/>
    <w:rsid w:val="00C06B67"/>
    <w:rsid w:val="00C10B03"/>
    <w:rsid w:val="00C233BD"/>
    <w:rsid w:val="00C23525"/>
    <w:rsid w:val="00C315A7"/>
    <w:rsid w:val="00C35FB1"/>
    <w:rsid w:val="00C41222"/>
    <w:rsid w:val="00C4241C"/>
    <w:rsid w:val="00C5274D"/>
    <w:rsid w:val="00C539BB"/>
    <w:rsid w:val="00C54EA6"/>
    <w:rsid w:val="00C56C9D"/>
    <w:rsid w:val="00C7485A"/>
    <w:rsid w:val="00C91B22"/>
    <w:rsid w:val="00C92ED6"/>
    <w:rsid w:val="00C933E9"/>
    <w:rsid w:val="00CA6DBC"/>
    <w:rsid w:val="00CA7522"/>
    <w:rsid w:val="00CB6932"/>
    <w:rsid w:val="00CC06F9"/>
    <w:rsid w:val="00CC5AA8"/>
    <w:rsid w:val="00CC717A"/>
    <w:rsid w:val="00CC7A05"/>
    <w:rsid w:val="00CC7B31"/>
    <w:rsid w:val="00CD2279"/>
    <w:rsid w:val="00CD5993"/>
    <w:rsid w:val="00CD5A1E"/>
    <w:rsid w:val="00CE322C"/>
    <w:rsid w:val="00CE3BE1"/>
    <w:rsid w:val="00CE7916"/>
    <w:rsid w:val="00D0749F"/>
    <w:rsid w:val="00D17E55"/>
    <w:rsid w:val="00D27544"/>
    <w:rsid w:val="00D27F2A"/>
    <w:rsid w:val="00D302FA"/>
    <w:rsid w:val="00D3038E"/>
    <w:rsid w:val="00D35354"/>
    <w:rsid w:val="00D43A66"/>
    <w:rsid w:val="00D51A1C"/>
    <w:rsid w:val="00D54468"/>
    <w:rsid w:val="00D73EA3"/>
    <w:rsid w:val="00D86572"/>
    <w:rsid w:val="00D9777A"/>
    <w:rsid w:val="00DA1FE0"/>
    <w:rsid w:val="00DA6297"/>
    <w:rsid w:val="00DA660F"/>
    <w:rsid w:val="00DB141F"/>
    <w:rsid w:val="00DB7BAB"/>
    <w:rsid w:val="00DC4D0D"/>
    <w:rsid w:val="00DC76E0"/>
    <w:rsid w:val="00DD440B"/>
    <w:rsid w:val="00DE3C5A"/>
    <w:rsid w:val="00DE6618"/>
    <w:rsid w:val="00DF0CEC"/>
    <w:rsid w:val="00DF16B6"/>
    <w:rsid w:val="00DF6C12"/>
    <w:rsid w:val="00E100A2"/>
    <w:rsid w:val="00E233FD"/>
    <w:rsid w:val="00E32363"/>
    <w:rsid w:val="00E34263"/>
    <w:rsid w:val="00E34721"/>
    <w:rsid w:val="00E41699"/>
    <w:rsid w:val="00E4317E"/>
    <w:rsid w:val="00E43A3B"/>
    <w:rsid w:val="00E46BEB"/>
    <w:rsid w:val="00E47519"/>
    <w:rsid w:val="00E5030B"/>
    <w:rsid w:val="00E64758"/>
    <w:rsid w:val="00E6723D"/>
    <w:rsid w:val="00E67E28"/>
    <w:rsid w:val="00E7321E"/>
    <w:rsid w:val="00E7375B"/>
    <w:rsid w:val="00E77EB9"/>
    <w:rsid w:val="00E84ACB"/>
    <w:rsid w:val="00E86312"/>
    <w:rsid w:val="00E921D9"/>
    <w:rsid w:val="00E94326"/>
    <w:rsid w:val="00E97A0D"/>
    <w:rsid w:val="00EA13C2"/>
    <w:rsid w:val="00EB6227"/>
    <w:rsid w:val="00EB6618"/>
    <w:rsid w:val="00ED11B1"/>
    <w:rsid w:val="00EE5EFB"/>
    <w:rsid w:val="00EE7E34"/>
    <w:rsid w:val="00EF2A4D"/>
    <w:rsid w:val="00EF77CD"/>
    <w:rsid w:val="00F26FD1"/>
    <w:rsid w:val="00F3156B"/>
    <w:rsid w:val="00F436B2"/>
    <w:rsid w:val="00F5271F"/>
    <w:rsid w:val="00F53225"/>
    <w:rsid w:val="00F548A8"/>
    <w:rsid w:val="00F65AA7"/>
    <w:rsid w:val="00F70844"/>
    <w:rsid w:val="00F73225"/>
    <w:rsid w:val="00F76CC1"/>
    <w:rsid w:val="00F94715"/>
    <w:rsid w:val="00FB5297"/>
    <w:rsid w:val="00FC68C9"/>
    <w:rsid w:val="00FD2A68"/>
    <w:rsid w:val="00FD3128"/>
    <w:rsid w:val="00FE19C1"/>
    <w:rsid w:val="00FE3BF5"/>
    <w:rsid w:val="00FE58D2"/>
    <w:rsid w:val="00FF71E8"/>
    <w:rsid w:val="02D9BE9A"/>
    <w:rsid w:val="12F705A1"/>
    <w:rsid w:val="33A1C1B8"/>
    <w:rsid w:val="3CCF27A9"/>
    <w:rsid w:val="4CFA8259"/>
    <w:rsid w:val="6B79B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787299"/>
    <w:pPr>
      <w:keepNext/>
      <w:keepLines/>
      <w:spacing w:before="240"/>
      <w:outlineLvl w:val="0"/>
    </w:pPr>
    <w:rPr>
      <w:rFonts w:asciiTheme="majorHAnsi" w:eastAsiaTheme="majorEastAsia" w:hAnsiTheme="majorHAnsi" w:cs="Times New Roman (Headings CS)"/>
      <w:b/>
      <w:color w:val="87189D" w:themeColor="accent3"/>
      <w:sz w:val="48"/>
      <w:szCs w:val="32"/>
    </w:rPr>
  </w:style>
  <w:style w:type="paragraph" w:styleId="Heading2">
    <w:name w:val="heading 2"/>
    <w:basedOn w:val="Normal"/>
    <w:next w:val="Normal"/>
    <w:link w:val="Heading2Char"/>
    <w:uiPriority w:val="9"/>
    <w:unhideWhenUsed/>
    <w:qFormat/>
    <w:rsid w:val="00787299"/>
    <w:pPr>
      <w:keepNext/>
      <w:keepLines/>
      <w:spacing w:before="40"/>
      <w:outlineLvl w:val="1"/>
    </w:pPr>
    <w:rPr>
      <w:rFonts w:asciiTheme="majorHAnsi" w:eastAsiaTheme="majorEastAsia" w:hAnsiTheme="majorHAnsi" w:cs="Times New Roman (Headings CS)"/>
      <w:b/>
      <w:color w:val="004C97" w:themeColor="accent4"/>
      <w:sz w:val="32"/>
      <w:szCs w:val="26"/>
    </w:rPr>
  </w:style>
  <w:style w:type="paragraph" w:styleId="Heading3">
    <w:name w:val="heading 3"/>
    <w:basedOn w:val="Normal"/>
    <w:next w:val="Normal"/>
    <w:link w:val="Heading3Char"/>
    <w:uiPriority w:val="9"/>
    <w:unhideWhenUsed/>
    <w:qFormat/>
    <w:rsid w:val="00787299"/>
    <w:pPr>
      <w:keepNext/>
      <w:keepLines/>
      <w:spacing w:before="40"/>
      <w:outlineLvl w:val="2"/>
    </w:pPr>
    <w:rPr>
      <w:rFonts w:asciiTheme="majorHAnsi" w:eastAsiaTheme="majorEastAsia" w:hAnsiTheme="majorHAnsi" w:cstheme="majorBidi"/>
      <w:b/>
      <w:color w:val="535659"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87299"/>
    <w:rPr>
      <w:rFonts w:asciiTheme="majorHAnsi" w:eastAsiaTheme="majorEastAsia" w:hAnsiTheme="majorHAnsi" w:cs="Times New Roman (Headings CS)"/>
      <w:b/>
      <w:color w:val="87189D" w:themeColor="accent3"/>
      <w:sz w:val="48"/>
      <w:szCs w:val="32"/>
    </w:rPr>
  </w:style>
  <w:style w:type="paragraph" w:customStyle="1" w:styleId="Intro">
    <w:name w:val="Intro"/>
    <w:basedOn w:val="Normal"/>
    <w:qFormat/>
    <w:rsid w:val="002E594A"/>
    <w:pPr>
      <w:pBdr>
        <w:top w:val="single" w:sz="4" w:space="1" w:color="535659" w:themeColor="accent2"/>
      </w:pBdr>
    </w:pPr>
    <w:rPr>
      <w:b/>
      <w:color w:val="535659" w:themeColor="accent2"/>
      <w:sz w:val="24"/>
      <w:lang w:val="en-AU"/>
    </w:rPr>
  </w:style>
  <w:style w:type="character" w:customStyle="1" w:styleId="Heading2Char">
    <w:name w:val="Heading 2 Char"/>
    <w:basedOn w:val="DefaultParagraphFont"/>
    <w:link w:val="Heading2"/>
    <w:uiPriority w:val="9"/>
    <w:rsid w:val="00787299"/>
    <w:rPr>
      <w:rFonts w:asciiTheme="majorHAnsi" w:eastAsiaTheme="majorEastAsia" w:hAnsiTheme="majorHAnsi" w:cs="Times New Roman (Headings CS)"/>
      <w:b/>
      <w:color w:val="004C97" w:themeColor="accent4"/>
      <w:sz w:val="32"/>
      <w:szCs w:val="26"/>
    </w:rPr>
  </w:style>
  <w:style w:type="character" w:customStyle="1" w:styleId="Heading3Char">
    <w:name w:val="Heading 3 Char"/>
    <w:basedOn w:val="DefaultParagraphFont"/>
    <w:link w:val="Heading3"/>
    <w:uiPriority w:val="9"/>
    <w:rsid w:val="00787299"/>
    <w:rPr>
      <w:rFonts w:asciiTheme="majorHAnsi" w:eastAsiaTheme="majorEastAsia" w:hAnsiTheme="majorHAnsi" w:cstheme="majorBidi"/>
      <w:b/>
      <w:color w:val="535659"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67E28"/>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4"/>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4C96"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0408B5"/>
    <w:pPr>
      <w:pBdr>
        <w:top w:val="single" w:sz="4" w:space="10" w:color="D9D9D6" w:themeColor="accent1"/>
        <w:bottom w:val="single" w:sz="4" w:space="10" w:color="D9D9D6" w:themeColor="accent1"/>
      </w:pBdr>
      <w:spacing w:before="360" w:after="360"/>
    </w:pPr>
    <w:rPr>
      <w:b/>
      <w:iCs/>
      <w:color w:val="535659" w:themeColor="accent2"/>
    </w:rPr>
  </w:style>
  <w:style w:type="character" w:customStyle="1" w:styleId="IntenseQuoteChar">
    <w:name w:val="Intense Quote Char"/>
    <w:basedOn w:val="DefaultParagraphFont"/>
    <w:link w:val="IntenseQuote"/>
    <w:uiPriority w:val="30"/>
    <w:rsid w:val="000408B5"/>
    <w:rPr>
      <w:b/>
      <w:iCs/>
      <w:color w:val="535659" w:themeColor="accent2"/>
      <w:sz w:val="22"/>
    </w:rPr>
  </w:style>
  <w:style w:type="paragraph" w:customStyle="1" w:styleId="Copyrighttext">
    <w:name w:val="Copyright text"/>
    <w:basedOn w:val="Normal"/>
    <w:qFormat/>
    <w:rsid w:val="007D40FC"/>
    <w:pPr>
      <w:spacing w:after="40"/>
    </w:pPr>
    <w:rPr>
      <w:sz w:val="12"/>
      <w:szCs w:val="12"/>
    </w:rPr>
  </w:style>
  <w:style w:type="character" w:styleId="IntenseReference">
    <w:name w:val="Intense Reference"/>
    <w:basedOn w:val="DefaultParagraphFont"/>
    <w:uiPriority w:val="32"/>
    <w:qFormat/>
    <w:rsid w:val="000408B5"/>
    <w:rPr>
      <w:b/>
      <w:bCs/>
      <w:smallCaps/>
      <w:color w:val="535659" w:themeColor="accent2"/>
      <w:spacing w:val="5"/>
    </w:rPr>
  </w:style>
  <w:style w:type="character" w:styleId="CommentReference">
    <w:name w:val="annotation reference"/>
    <w:basedOn w:val="DefaultParagraphFont"/>
    <w:uiPriority w:val="99"/>
    <w:semiHidden/>
    <w:unhideWhenUsed/>
    <w:rsid w:val="00CC7B31"/>
    <w:rPr>
      <w:sz w:val="16"/>
      <w:szCs w:val="16"/>
    </w:rPr>
  </w:style>
  <w:style w:type="paragraph" w:styleId="CommentText">
    <w:name w:val="annotation text"/>
    <w:basedOn w:val="Normal"/>
    <w:link w:val="CommentTextChar"/>
    <w:uiPriority w:val="99"/>
    <w:semiHidden/>
    <w:unhideWhenUsed/>
    <w:rsid w:val="00CC7B31"/>
    <w:rPr>
      <w:sz w:val="20"/>
      <w:szCs w:val="20"/>
    </w:rPr>
  </w:style>
  <w:style w:type="character" w:customStyle="1" w:styleId="CommentTextChar">
    <w:name w:val="Comment Text Char"/>
    <w:basedOn w:val="DefaultParagraphFont"/>
    <w:link w:val="CommentText"/>
    <w:uiPriority w:val="99"/>
    <w:semiHidden/>
    <w:rsid w:val="00CC7B31"/>
    <w:rPr>
      <w:sz w:val="20"/>
      <w:szCs w:val="20"/>
    </w:rPr>
  </w:style>
  <w:style w:type="paragraph" w:styleId="CommentSubject">
    <w:name w:val="annotation subject"/>
    <w:basedOn w:val="CommentText"/>
    <w:next w:val="CommentText"/>
    <w:link w:val="CommentSubjectChar"/>
    <w:uiPriority w:val="99"/>
    <w:semiHidden/>
    <w:unhideWhenUsed/>
    <w:rsid w:val="00CC7B31"/>
    <w:rPr>
      <w:b/>
      <w:bCs/>
    </w:rPr>
  </w:style>
  <w:style w:type="character" w:customStyle="1" w:styleId="CommentSubjectChar">
    <w:name w:val="Comment Subject Char"/>
    <w:basedOn w:val="CommentTextChar"/>
    <w:link w:val="CommentSubject"/>
    <w:uiPriority w:val="99"/>
    <w:semiHidden/>
    <w:rsid w:val="00CC7B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22657736">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ic.gov.au/inclusive-language-gui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vic.gov.au/victorian-lgbtiq-strateg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vic.gov.au/victorian-lgbtiq-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VPS Pride Network">
      <a:dk1>
        <a:srgbClr val="000000"/>
      </a:dk1>
      <a:lt1>
        <a:srgbClr val="FFFFFF"/>
      </a:lt1>
      <a:dk2>
        <a:srgbClr val="000000"/>
      </a:dk2>
      <a:lt2>
        <a:srgbClr val="E7E6E6"/>
      </a:lt2>
      <a:accent1>
        <a:srgbClr val="D9D9D6"/>
      </a:accent1>
      <a:accent2>
        <a:srgbClr val="535659"/>
      </a:accent2>
      <a:accent3>
        <a:srgbClr val="87189D"/>
      </a:accent3>
      <a:accent4>
        <a:srgbClr val="004C97"/>
      </a:accent4>
      <a:accent5>
        <a:srgbClr val="D50032"/>
      </a:accent5>
      <a:accent6>
        <a:srgbClr val="E57100"/>
      </a:accent6>
      <a:hlink>
        <a:srgbClr val="004C96"/>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AF526E0F7664CA72B3D8011C726C1" ma:contentTypeVersion="12" ma:contentTypeDescription="Create a new document." ma:contentTypeScope="" ma:versionID="5823d2b049e8b8b54d1b95b50eb934eb">
  <xsd:schema xmlns:xsd="http://www.w3.org/2001/XMLSchema" xmlns:xs="http://www.w3.org/2001/XMLSchema" xmlns:p="http://schemas.microsoft.com/office/2006/metadata/properties" xmlns:ns2="943c3ecf-c68a-4c47-8f1d-049452bf0327" xmlns:ns3="231194a9-3684-49ca-bda1-8da55cde7429" targetNamespace="http://schemas.microsoft.com/office/2006/metadata/properties" ma:root="true" ma:fieldsID="c4632a74e49b44e56b794027953452ab" ns2:_="" ns3:_="">
    <xsd:import namespace="943c3ecf-c68a-4c47-8f1d-049452bf0327"/>
    <xsd:import namespace="231194a9-3684-49ca-bda1-8da55cde7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c3ecf-c68a-4c47-8f1d-049452bf0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194a9-3684-49ca-bda1-8da55cde74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31194a9-3684-49ca-bda1-8da55cde7429">
      <UserInfo>
        <DisplayName>Godino, Grant S</DisplayName>
        <AccountId>10</AccountId>
        <AccountType/>
      </UserInfo>
      <UserInfo>
        <DisplayName>Zoe Moorman (DJCS)</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40B73-3F53-4CD8-B200-22DDF6BC0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c3ecf-c68a-4c47-8f1d-049452bf0327"/>
    <ds:schemaRef ds:uri="231194a9-3684-49ca-bda1-8da55cde7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231194a9-3684-49ca-bda1-8da55cde7429"/>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1252</Words>
  <Characters>7141</Characters>
  <Application>Microsoft Office Word</Application>
  <DocSecurity>0</DocSecurity>
  <Lines>59</Lines>
  <Paragraphs>16</Paragraphs>
  <ScaleCrop>false</ScaleCrop>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Zoe Moorman (DJCS)</cp:lastModifiedBy>
  <cp:revision>320</cp:revision>
  <dcterms:created xsi:type="dcterms:W3CDTF">2022-04-06T00:51:00Z</dcterms:created>
  <dcterms:modified xsi:type="dcterms:W3CDTF">2022-06-29T23:41:00Z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0x01010034CAF526E0F7664CA72B3D8011C726C1</vt:lpwstr>
  </property>
</Properties>
</file>