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42364A5C" w:rsidR="00B1131E" w:rsidRDefault="00C730F2" w:rsidP="00B1131E">
      <w:pPr>
        <w:ind w:left="-426" w:right="701"/>
        <w:outlineLvl w:val="0"/>
      </w:pPr>
      <w:bookmarkStart w:id="0" w:name="_Toc33609441"/>
      <w:bookmarkStart w:id="1" w:name="_Toc35006355"/>
      <w:bookmarkStart w:id="2" w:name="_Toc45015310"/>
      <w:bookmarkStart w:id="3" w:name="_Toc59090121"/>
      <w:bookmarkStart w:id="4" w:name="_Hlk19784699"/>
      <w:r>
        <w:rPr>
          <w:noProof/>
        </w:rPr>
        <w:drawing>
          <wp:anchor distT="0" distB="0" distL="114300" distR="114300" simplePos="0" relativeHeight="251658240" behindDoc="1" locked="0" layoutInCell="1" allowOverlap="1" wp14:anchorId="3576F839" wp14:editId="3B314C4A">
            <wp:simplePos x="0" y="0"/>
            <wp:positionH relativeFrom="page">
              <wp:posOffset>-360045</wp:posOffset>
            </wp:positionH>
            <wp:positionV relativeFrom="page">
              <wp:posOffset>-1800225</wp:posOffset>
            </wp:positionV>
            <wp:extent cx="8082000" cy="2354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48C8A656"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4B2C7B41" w:rsidR="006E4E5B" w:rsidRDefault="006E4E5B" w:rsidP="006E4E5B">
      <w:pPr>
        <w:ind w:left="-426"/>
        <w:outlineLvl w:val="0"/>
        <w:rPr>
          <w:rFonts w:ascii="Calibri Light" w:hAnsi="Calibri Light" w:cs="Calibri Light"/>
        </w:rPr>
      </w:pPr>
    </w:p>
    <w:p w14:paraId="61C43AFF" w14:textId="19B2F404" w:rsidR="006E4E5B" w:rsidRPr="00692504" w:rsidRDefault="00880D06" w:rsidP="00692504">
      <w:pPr>
        <w:ind w:left="-426" w:right="701"/>
        <w:outlineLvl w:val="0"/>
        <w:rPr>
          <w:rFonts w:asciiTheme="minorHAnsi" w:hAnsiTheme="minorHAnsi" w:cs="@MS PMincho"/>
          <w:color w:val="FFFFFF" w:themeColor="background1"/>
          <w:sz w:val="68"/>
          <w:szCs w:val="68"/>
        </w:rPr>
      </w:pPr>
      <w:bookmarkStart w:id="7" w:name="_Hlk97559626"/>
      <w:r>
        <w:rPr>
          <w:rFonts w:asciiTheme="minorHAnsi" w:hAnsiTheme="minorHAnsi" w:cs="@MS PMincho"/>
          <w:color w:val="FFFFFF" w:themeColor="background1"/>
          <w:sz w:val="68"/>
          <w:szCs w:val="68"/>
        </w:rPr>
        <w:t>Remuneration bands for executives employed in public service bodies (Victoria)</w:t>
      </w:r>
      <w:r>
        <w:rPr>
          <w:rFonts w:asciiTheme="minorHAnsi" w:hAnsiTheme="minorHAnsi" w:cs="@MS PMincho"/>
          <w:color w:val="FFFFFF" w:themeColor="background1"/>
          <w:sz w:val="68"/>
          <w:szCs w:val="68"/>
        </w:rPr>
        <w:br/>
        <w:t>Annual Adjustment</w:t>
      </w:r>
      <w:r w:rsidR="006E4E5B">
        <w:rPr>
          <w:rFonts w:asciiTheme="minorHAnsi" w:hAnsiTheme="minorHAnsi" w:cs="@MS PMincho"/>
          <w:color w:val="FFFFFF" w:themeColor="background1"/>
          <w:sz w:val="68"/>
          <w:szCs w:val="68"/>
        </w:rPr>
        <w:t xml:space="preserve"> </w:t>
      </w:r>
      <w:r w:rsidR="006E4E5B" w:rsidRPr="007921BD">
        <w:rPr>
          <w:rFonts w:asciiTheme="minorHAnsi" w:hAnsiTheme="minorHAnsi" w:cs="@MS PMincho"/>
          <w:color w:val="FFFFFF" w:themeColor="background1"/>
          <w:sz w:val="68"/>
          <w:szCs w:val="68"/>
        </w:rPr>
        <w:t xml:space="preserve">Determination </w:t>
      </w:r>
      <w:bookmarkEnd w:id="7"/>
      <w:r w:rsidRPr="00880D06">
        <w:rPr>
          <w:rFonts w:asciiTheme="minorHAnsi" w:hAnsiTheme="minorHAnsi" w:cs="@MS PMincho"/>
          <w:color w:val="FFFFFF" w:themeColor="background1"/>
          <w:sz w:val="68"/>
          <w:szCs w:val="68"/>
        </w:rPr>
        <w:t>2022</w:t>
      </w:r>
    </w:p>
    <w:p w14:paraId="401827F2" w14:textId="498042CC" w:rsidR="006E4E5B" w:rsidRPr="00BD24F3" w:rsidRDefault="006E4E5B" w:rsidP="006E4E5B"/>
    <w:p w14:paraId="79C14A8C" w14:textId="03C45139" w:rsidR="006E4E5B" w:rsidRDefault="006E4E5B" w:rsidP="006E4E5B"/>
    <w:p w14:paraId="0755E2AF" w14:textId="4CF7FB2A" w:rsidR="006E4E5B" w:rsidRDefault="009759C5" w:rsidP="006E4E5B">
      <w:pPr>
        <w:tabs>
          <w:tab w:val="right" w:pos="8498"/>
        </w:tabs>
        <w:spacing w:after="80"/>
        <w:rPr>
          <w:b/>
          <w:bCs/>
        </w:rPr>
      </w:pPr>
      <w:r>
        <w:rPr>
          <w:noProof/>
        </w:rPr>
        <w:drawing>
          <wp:anchor distT="0" distB="0" distL="114300" distR="114300" simplePos="0" relativeHeight="251658245" behindDoc="0" locked="0" layoutInCell="1" allowOverlap="1" wp14:anchorId="71C6AE9A" wp14:editId="105B0C0C">
            <wp:simplePos x="0" y="0"/>
            <wp:positionH relativeFrom="page">
              <wp:posOffset>791845</wp:posOffset>
            </wp:positionH>
            <wp:positionV relativeFrom="page">
              <wp:posOffset>7920990</wp:posOffset>
            </wp:positionV>
            <wp:extent cx="2106000" cy="177840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06000" cy="1778400"/>
                    </a:xfrm>
                    <a:prstGeom prst="rect">
                      <a:avLst/>
                    </a:prstGeom>
                  </pic:spPr>
                </pic:pic>
              </a:graphicData>
            </a:graphic>
            <wp14:sizeRelH relativeFrom="margin">
              <wp14:pctWidth>0</wp14:pctWidth>
            </wp14:sizeRelH>
            <wp14:sizeRelV relativeFrom="margin">
              <wp14:pctHeight>0</wp14:pctHeight>
            </wp14:sizeRelV>
          </wp:anchor>
        </w:drawing>
      </w:r>
      <w:r w:rsidR="006E4E5B">
        <w:rPr>
          <w:b/>
          <w:bCs/>
        </w:rPr>
        <w:br w:type="page"/>
      </w:r>
      <w:r w:rsidR="006E4E5B">
        <w:rPr>
          <w:b/>
          <w:bCs/>
        </w:rPr>
        <w:lastRenderedPageBreak/>
        <w:tab/>
      </w:r>
    </w:p>
    <w:p w14:paraId="181E7617" w14:textId="09D929C1" w:rsidR="006E4E5B" w:rsidRDefault="006E4E5B" w:rsidP="006E4E5B">
      <w:pPr>
        <w:spacing w:after="80"/>
        <w:rPr>
          <w:b/>
          <w:bCs/>
        </w:rPr>
      </w:pPr>
      <w:r>
        <w:rPr>
          <w:noProof/>
        </w:rPr>
        <w:drawing>
          <wp:anchor distT="0" distB="0" distL="114300" distR="114300" simplePos="0" relativeHeight="251658244"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4"/>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27D83EB9" w14:textId="63BB8529" w:rsidR="00C3360F" w:rsidRDefault="00C3360F" w:rsidP="006E4E5B">
      <w:pPr>
        <w:spacing w:after="80"/>
        <w:rPr>
          <w:b/>
          <w:bCs/>
        </w:rPr>
        <w:sectPr w:rsidR="00C3360F" w:rsidSect="00B1131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Default="00B1131E" w:rsidP="00F90BEA">
            <w:pPr>
              <w:pStyle w:val="03VIRTHeading3"/>
            </w:pPr>
            <w:r w:rsidRPr="00B62251">
              <w:lastRenderedPageBreak/>
              <w:t>DETERMINATION</w:t>
            </w:r>
          </w:p>
        </w:tc>
        <w:tc>
          <w:tcPr>
            <w:tcW w:w="4196" w:type="dxa"/>
            <w:shd w:val="clear" w:color="auto" w:fill="auto"/>
          </w:tcPr>
          <w:p w14:paraId="04CDC1C5" w14:textId="7A7A63E0" w:rsidR="00B1131E" w:rsidRPr="006E545C"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6E545C">
              <w:rPr>
                <w:b w:val="0"/>
                <w:bCs/>
                <w:color w:val="auto"/>
              </w:rPr>
              <w:t>[</w:t>
            </w:r>
            <w:r w:rsidR="00880D06">
              <w:rPr>
                <w:b w:val="0"/>
                <w:bCs/>
                <w:color w:val="auto"/>
              </w:rPr>
              <w:t>2022</w:t>
            </w:r>
            <w:r w:rsidRPr="006E545C">
              <w:rPr>
                <w:b w:val="0"/>
                <w:bCs/>
                <w:color w:val="auto"/>
              </w:rPr>
              <w:t xml:space="preserve">] </w:t>
            </w:r>
            <w:r w:rsidR="00880D06">
              <w:rPr>
                <w:b w:val="0"/>
                <w:bCs/>
                <w:color w:val="auto"/>
              </w:rPr>
              <w:t>DVPSA</w:t>
            </w:r>
            <w:r w:rsidRPr="006E545C">
              <w:rPr>
                <w:b w:val="0"/>
                <w:bCs/>
                <w:color w:val="auto"/>
              </w:rPr>
              <w:t xml:space="preserve"> </w:t>
            </w:r>
            <w:r w:rsidR="00880D06">
              <w:rPr>
                <w:b w:val="0"/>
                <w:bCs/>
                <w:color w:val="auto"/>
              </w:rPr>
              <w:t>01</w:t>
            </w:r>
          </w:p>
        </w:tc>
      </w:tr>
    </w:tbl>
    <w:p w14:paraId="685527A4" w14:textId="77777777" w:rsidR="00B1131E" w:rsidRDefault="00B1131E" w:rsidP="00B1131E">
      <w:pPr>
        <w:pStyle w:val="Instrumenttableofcontents"/>
      </w:pPr>
      <w:r w:rsidRPr="00B62251">
        <w:t>Victorian Independent Remuneration Tribunal and Improving Parliamentary Standards Act 2019</w:t>
      </w:r>
      <w:r>
        <w:t xml:space="preserve"> (Vic)</w:t>
      </w:r>
    </w:p>
    <w:p w14:paraId="25DEBBB6" w14:textId="759F7424" w:rsidR="00B1131E" w:rsidRDefault="00B1131E" w:rsidP="00B1131E">
      <w:pPr>
        <w:pStyle w:val="Instrumenttableofcontents"/>
      </w:pPr>
      <w:r>
        <w:t>Part 3—</w:t>
      </w:r>
      <w:r w:rsidR="00880D06" w:rsidRPr="00880D06">
        <w:t>Determinations for annual adjustments in relation to executives employed in public service bodies.</w:t>
      </w:r>
    </w:p>
    <w:p w14:paraId="6CD3F5A1" w14:textId="5EACE523" w:rsidR="00B1131E" w:rsidRDefault="00880D06" w:rsidP="00B1131E">
      <w:pPr>
        <w:pStyle w:val="02VIRTHeading2"/>
        <w:ind w:left="0" w:firstLine="0"/>
      </w:pPr>
      <w:bookmarkStart w:id="8" w:name="_Toc101357045"/>
      <w:bookmarkStart w:id="9" w:name="_Toc102031451"/>
      <w:bookmarkStart w:id="10" w:name="_Toc106614523"/>
      <w:r>
        <w:t>Remuneration bands for executives employed in public service bodies (Victoria) Annual Adjustment Determination 2022</w:t>
      </w:r>
      <w:bookmarkEnd w:id="8"/>
      <w:bookmarkEnd w:id="9"/>
      <w:bookmarkEnd w:id="10"/>
    </w:p>
    <w:p w14:paraId="1A830A64" w14:textId="77777777" w:rsidR="00B1131E" w:rsidRDefault="00B1131E" w:rsidP="00B1131E">
      <w:pPr>
        <w:pStyle w:val="03VIRTHeading3"/>
      </w:pPr>
      <w:r>
        <w:rPr>
          <w:noProof/>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36BB800B" w14:textId="23E7DECB" w:rsidR="00DB6310" w:rsidRPr="00DB6310" w:rsidRDefault="00DB6310" w:rsidP="00DB6310">
      <w:pPr>
        <w:numPr>
          <w:ilvl w:val="0"/>
          <w:numId w:val="41"/>
        </w:numPr>
        <w:spacing w:before="180" w:line="276" w:lineRule="auto"/>
        <w:jc w:val="both"/>
        <w:rPr>
          <w:rFonts w:ascii="Calibri Light" w:hAnsi="Calibri Light" w:cs="Times New Roman (Body CS)"/>
          <w:color w:val="000000" w:themeColor="text1"/>
          <w:sz w:val="26"/>
          <w:szCs w:val="44"/>
        </w:rPr>
      </w:pPr>
      <w:r w:rsidRPr="00DB6310">
        <w:rPr>
          <w:rFonts w:ascii="Calibri Light" w:hAnsi="Calibri Light" w:cs="Times New Roman (Body CS)"/>
          <w:color w:val="000000" w:themeColor="text1"/>
          <w:sz w:val="26"/>
          <w:szCs w:val="44"/>
        </w:rPr>
        <w:t xml:space="preserve">Pursuant to section </w:t>
      </w:r>
      <w:r>
        <w:rPr>
          <w:rFonts w:ascii="Calibri Light" w:hAnsi="Calibri Light" w:cs="Times New Roman (Body CS)"/>
          <w:color w:val="000000" w:themeColor="text1"/>
          <w:sz w:val="26"/>
          <w:szCs w:val="44"/>
        </w:rPr>
        <w:t>22</w:t>
      </w:r>
      <w:r w:rsidRPr="00DB6310">
        <w:rPr>
          <w:rFonts w:ascii="Calibri Light" w:hAnsi="Calibri Light" w:cs="Times New Roman (Body CS)"/>
          <w:color w:val="000000" w:themeColor="text1"/>
          <w:sz w:val="26"/>
          <w:szCs w:val="44"/>
        </w:rPr>
        <w:t xml:space="preserve">(1) of the </w:t>
      </w:r>
      <w:r w:rsidRPr="00DB6310">
        <w:rPr>
          <w:rFonts w:ascii="Calibri Light" w:hAnsi="Calibri Light" w:cs="Times New Roman (Body CS)"/>
          <w:i/>
          <w:iCs/>
          <w:color w:val="000000" w:themeColor="text1"/>
          <w:sz w:val="26"/>
          <w:szCs w:val="44"/>
        </w:rPr>
        <w:t xml:space="preserve">Victorian Independent Remuneration Tribunal and Improving Parliamentary Standards Act 2019 </w:t>
      </w:r>
      <w:r w:rsidRPr="00DB6310">
        <w:rPr>
          <w:rFonts w:ascii="Calibri Light" w:hAnsi="Calibri Light" w:cs="Times New Roman (Body CS)"/>
          <w:color w:val="000000" w:themeColor="text1"/>
          <w:sz w:val="26"/>
          <w:szCs w:val="44"/>
        </w:rPr>
        <w:t>(Vic) (VIRTIPS Act), the Tribunal determines to make the following adjustment</w:t>
      </w:r>
      <w:r>
        <w:rPr>
          <w:rFonts w:ascii="Calibri Light" w:hAnsi="Calibri Light" w:cs="Times New Roman (Body CS)"/>
          <w:color w:val="000000" w:themeColor="text1"/>
          <w:sz w:val="26"/>
          <w:szCs w:val="44"/>
        </w:rPr>
        <w:t>s</w:t>
      </w:r>
      <w:r w:rsidRPr="00DB6310">
        <w:rPr>
          <w:rFonts w:ascii="Calibri Light" w:hAnsi="Calibri Light" w:cs="Times New Roman (Body CS)"/>
          <w:color w:val="000000" w:themeColor="text1"/>
          <w:sz w:val="26"/>
          <w:szCs w:val="44"/>
        </w:rPr>
        <w:t xml:space="preserve"> to the values of the </w:t>
      </w:r>
      <w:r>
        <w:rPr>
          <w:rFonts w:ascii="Calibri Light" w:hAnsi="Calibri Light" w:cs="Times New Roman (Body CS)"/>
          <w:color w:val="000000" w:themeColor="text1"/>
          <w:sz w:val="26"/>
          <w:szCs w:val="44"/>
        </w:rPr>
        <w:t>remuneration bands</w:t>
      </w:r>
      <w:r w:rsidRPr="00DB6310">
        <w:rPr>
          <w:rFonts w:ascii="Calibri Light" w:hAnsi="Calibri Light" w:cs="Times New Roman (Body CS)"/>
          <w:color w:val="000000" w:themeColor="text1"/>
          <w:sz w:val="26"/>
          <w:szCs w:val="44"/>
        </w:rPr>
        <w:t xml:space="preserve"> set in the</w:t>
      </w:r>
      <w:r w:rsidRPr="00DB6310">
        <w:rPr>
          <w:rFonts w:ascii="Calibri Light" w:hAnsi="Calibri Light" w:cs="Times New Roman (Body CS)"/>
          <w:i/>
          <w:iCs/>
          <w:color w:val="000000" w:themeColor="text1"/>
          <w:sz w:val="26"/>
          <w:szCs w:val="44"/>
        </w:rPr>
        <w:t xml:space="preserve"> </w:t>
      </w:r>
      <w:r>
        <w:rPr>
          <w:rFonts w:ascii="Calibri Light" w:hAnsi="Calibri Light" w:cs="Times New Roman (Body CS)"/>
          <w:i/>
          <w:iCs/>
          <w:color w:val="000000" w:themeColor="text1"/>
          <w:sz w:val="26"/>
          <w:szCs w:val="44"/>
        </w:rPr>
        <w:t>Remuneration bands for executives employed in public service bodies (Victoria) Determination No. 01/2020</w:t>
      </w:r>
      <w:r w:rsidR="00782153" w:rsidRPr="003A64AD">
        <w:rPr>
          <w:rFonts w:ascii="Calibri Light" w:hAnsi="Calibri Light" w:cs="Times New Roman (Body CS)"/>
          <w:color w:val="000000" w:themeColor="text1"/>
          <w:sz w:val="26"/>
          <w:szCs w:val="44"/>
        </w:rPr>
        <w:t>.</w:t>
      </w:r>
    </w:p>
    <w:p w14:paraId="15876EA8" w14:textId="47CB26B5" w:rsidR="007B4294" w:rsidRDefault="00DB6310" w:rsidP="007B4294">
      <w:pPr>
        <w:numPr>
          <w:ilvl w:val="0"/>
          <w:numId w:val="42"/>
        </w:numPr>
        <w:spacing w:before="180" w:line="276" w:lineRule="auto"/>
        <w:jc w:val="both"/>
        <w:rPr>
          <w:rFonts w:ascii="Calibri Light" w:hAnsi="Calibri Light" w:cs="Times New Roman (Body CS)"/>
          <w:color w:val="000000" w:themeColor="text1"/>
          <w:sz w:val="26"/>
          <w:szCs w:val="44"/>
        </w:rPr>
      </w:pPr>
      <w:r w:rsidRPr="00DB6310">
        <w:rPr>
          <w:rFonts w:ascii="Calibri Light" w:hAnsi="Calibri Light" w:cs="Times New Roman (Body CS)"/>
          <w:color w:val="000000" w:themeColor="text1"/>
          <w:sz w:val="26"/>
          <w:szCs w:val="44"/>
        </w:rPr>
        <w:t xml:space="preserve">Delete </w:t>
      </w:r>
      <w:r w:rsidR="00814D29">
        <w:rPr>
          <w:rFonts w:ascii="Calibri Light" w:hAnsi="Calibri Light" w:cs="Times New Roman (Body CS)"/>
          <w:color w:val="000000" w:themeColor="text1"/>
          <w:sz w:val="26"/>
          <w:szCs w:val="44"/>
        </w:rPr>
        <w:t>T</w:t>
      </w:r>
      <w:r w:rsidR="007B4294">
        <w:rPr>
          <w:rFonts w:ascii="Calibri Light" w:hAnsi="Calibri Light" w:cs="Times New Roman (Body CS)"/>
          <w:color w:val="000000" w:themeColor="text1"/>
          <w:sz w:val="26"/>
          <w:szCs w:val="44"/>
        </w:rPr>
        <w:t>able 1 and replace it with the following:</w:t>
      </w:r>
    </w:p>
    <w:p w14:paraId="09F366DF" w14:textId="622F6C97" w:rsidR="007B4294" w:rsidRDefault="007B4294" w:rsidP="007B4294">
      <w:pPr>
        <w:pStyle w:val="08Figuretableboxheading"/>
      </w:pPr>
      <w:r>
        <w:t>Table 1: Values of remuneration bands for subordinate executives from 1 July 2022</w:t>
      </w:r>
    </w:p>
    <w:tbl>
      <w:tblPr>
        <w:tblStyle w:val="ListTable3-Accent2"/>
        <w:tblW w:w="5000" w:type="pct"/>
        <w:tblLook w:val="04A0" w:firstRow="1" w:lastRow="0" w:firstColumn="1" w:lastColumn="0" w:noHBand="0" w:noVBand="1"/>
      </w:tblPr>
      <w:tblGrid>
        <w:gridCol w:w="2854"/>
        <w:gridCol w:w="2374"/>
        <w:gridCol w:w="3276"/>
      </w:tblGrid>
      <w:tr w:rsidR="007B4294" w:rsidRPr="004E25A2" w14:paraId="1D0E1991" w14:textId="77777777" w:rsidTr="00124A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59BE1D80" w14:textId="77777777" w:rsidR="007B4294" w:rsidRPr="004B28E7" w:rsidRDefault="007B4294" w:rsidP="00124AE0">
            <w:pPr>
              <w:pStyle w:val="Textinthetable"/>
            </w:pPr>
            <w:r>
              <w:t>Classification</w:t>
            </w:r>
          </w:p>
        </w:tc>
        <w:tc>
          <w:tcPr>
            <w:tcW w:w="1396" w:type="pct"/>
          </w:tcPr>
          <w:p w14:paraId="6D7EA2F2" w14:textId="77777777" w:rsidR="007B4294" w:rsidRPr="00A153D6"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pPr>
            <w:r w:rsidRPr="004B28E7">
              <w:t>Base of band TRP</w:t>
            </w:r>
            <w:r w:rsidRPr="004B28E7">
              <w:br/>
              <w:t xml:space="preserve">$ per </w:t>
            </w:r>
            <w:r>
              <w:t>annum</w:t>
            </w:r>
          </w:p>
        </w:tc>
        <w:tc>
          <w:tcPr>
            <w:tcW w:w="1926" w:type="pct"/>
          </w:tcPr>
          <w:p w14:paraId="2E3E09E3" w14:textId="77777777" w:rsidR="007B4294" w:rsidRPr="00A153D6"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pPr>
            <w:r w:rsidRPr="004B28E7">
              <w:t>Top of band TRP</w:t>
            </w:r>
            <w:r w:rsidRPr="004B28E7">
              <w:br/>
              <w:t xml:space="preserve">$ per </w:t>
            </w:r>
            <w:r>
              <w:t>annum</w:t>
            </w:r>
          </w:p>
        </w:tc>
      </w:tr>
      <w:tr w:rsidR="007B4294" w:rsidRPr="004E25A2" w14:paraId="0C262590"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0F789D2" w14:textId="77777777" w:rsidR="007B4294" w:rsidRPr="0023667A" w:rsidRDefault="007B4294" w:rsidP="007B4294">
            <w:pPr>
              <w:pStyle w:val="10Tabletext"/>
              <w:rPr>
                <w:b/>
                <w:bCs w:val="0"/>
              </w:rPr>
            </w:pPr>
            <w:r w:rsidRPr="0023667A">
              <w:t xml:space="preserve">Senior Executive Service-3 </w:t>
            </w:r>
          </w:p>
        </w:tc>
        <w:tc>
          <w:tcPr>
            <w:tcW w:w="1396" w:type="pct"/>
            <w:vAlign w:val="center"/>
          </w:tcPr>
          <w:p w14:paraId="736F1554" w14:textId="41B8F3F5" w:rsidR="007B4294" w:rsidRPr="00194AE6" w:rsidRDefault="009E792B" w:rsidP="007B4294">
            <w:pPr>
              <w:pStyle w:val="10Tabletext"/>
              <w:jc w:val="right"/>
              <w:cnfStyle w:val="000000100000" w:firstRow="0" w:lastRow="0" w:firstColumn="0" w:lastColumn="0" w:oddVBand="0" w:evenVBand="0" w:oddHBand="1" w:evenHBand="0" w:firstRowFirstColumn="0" w:firstRowLastColumn="0" w:lastRowFirstColumn="0" w:lastRowLastColumn="0"/>
            </w:pPr>
            <w:r>
              <w:t>384,541</w:t>
            </w:r>
          </w:p>
        </w:tc>
        <w:tc>
          <w:tcPr>
            <w:tcW w:w="1926" w:type="pct"/>
            <w:vAlign w:val="center"/>
          </w:tcPr>
          <w:p w14:paraId="079221C5" w14:textId="1A755F0E" w:rsidR="007B4294" w:rsidRPr="00194AE6" w:rsidRDefault="009E792B" w:rsidP="007B4294">
            <w:pPr>
              <w:pStyle w:val="10Tabletext"/>
              <w:jc w:val="right"/>
              <w:cnfStyle w:val="000000100000" w:firstRow="0" w:lastRow="0" w:firstColumn="0" w:lastColumn="0" w:oddVBand="0" w:evenVBand="0" w:oddHBand="1" w:evenHBand="0" w:firstRowFirstColumn="0" w:firstRowLastColumn="0" w:lastRowFirstColumn="0" w:lastRowLastColumn="0"/>
            </w:pPr>
            <w:r>
              <w:t>511,862</w:t>
            </w:r>
          </w:p>
        </w:tc>
      </w:tr>
      <w:tr w:rsidR="007B4294" w:rsidRPr="004E25A2" w14:paraId="07EBC581" w14:textId="77777777" w:rsidTr="007B4294">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2E7BB21F" w14:textId="77777777" w:rsidR="007B4294" w:rsidRPr="0023667A" w:rsidRDefault="007B4294" w:rsidP="007B4294">
            <w:pPr>
              <w:pStyle w:val="10Tabletext"/>
              <w:rPr>
                <w:b/>
                <w:bCs w:val="0"/>
              </w:rPr>
            </w:pPr>
            <w:r w:rsidRPr="0023667A">
              <w:t xml:space="preserve">Senior Executive Service-2 </w:t>
            </w:r>
          </w:p>
        </w:tc>
        <w:tc>
          <w:tcPr>
            <w:tcW w:w="1396" w:type="pct"/>
            <w:vAlign w:val="center"/>
          </w:tcPr>
          <w:p w14:paraId="5A6D1A90" w14:textId="458A3AFF" w:rsidR="007B4294" w:rsidRPr="00B14611" w:rsidRDefault="0010272F" w:rsidP="007B4294">
            <w:pPr>
              <w:pStyle w:val="10Tabletext"/>
              <w:jc w:val="right"/>
              <w:cnfStyle w:val="000000000000" w:firstRow="0" w:lastRow="0" w:firstColumn="0" w:lastColumn="0" w:oddVBand="0" w:evenVBand="0" w:oddHBand="0" w:evenHBand="0" w:firstRowFirstColumn="0" w:firstRowLastColumn="0" w:lastRowFirstColumn="0" w:lastRowLastColumn="0"/>
            </w:pPr>
            <w:r>
              <w:t>267,446</w:t>
            </w:r>
          </w:p>
        </w:tc>
        <w:tc>
          <w:tcPr>
            <w:tcW w:w="1926" w:type="pct"/>
            <w:vAlign w:val="center"/>
          </w:tcPr>
          <w:p w14:paraId="26A0F535" w14:textId="213BA0F3" w:rsidR="007B4294" w:rsidRPr="00194AE6" w:rsidRDefault="0010272F" w:rsidP="007B4294">
            <w:pPr>
              <w:pStyle w:val="10Tabletext"/>
              <w:jc w:val="right"/>
              <w:cnfStyle w:val="000000000000" w:firstRow="0" w:lastRow="0" w:firstColumn="0" w:lastColumn="0" w:oddVBand="0" w:evenVBand="0" w:oddHBand="0" w:evenHBand="0" w:firstRowFirstColumn="0" w:firstRowLastColumn="0" w:lastRowFirstColumn="0" w:lastRowLastColumn="0"/>
            </w:pPr>
            <w:r>
              <w:t>384,5</w:t>
            </w:r>
            <w:r w:rsidR="003D4EF1">
              <w:t>40</w:t>
            </w:r>
          </w:p>
        </w:tc>
      </w:tr>
      <w:tr w:rsidR="007B4294" w:rsidRPr="004E25A2" w14:paraId="7EAC6DC3" w14:textId="77777777" w:rsidTr="007B4294">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B0491C5" w14:textId="77777777" w:rsidR="007B4294" w:rsidRPr="0023667A" w:rsidRDefault="007B4294" w:rsidP="007B4294">
            <w:pPr>
              <w:pStyle w:val="10Tabletext"/>
              <w:rPr>
                <w:b/>
                <w:bCs w:val="0"/>
              </w:rPr>
            </w:pPr>
            <w:r w:rsidRPr="0023667A">
              <w:t xml:space="preserve">Senior Executive Service-1 </w:t>
            </w:r>
          </w:p>
        </w:tc>
        <w:tc>
          <w:tcPr>
            <w:tcW w:w="1396" w:type="pct"/>
            <w:vAlign w:val="center"/>
          </w:tcPr>
          <w:p w14:paraId="79591D56" w14:textId="563302EC" w:rsidR="007B4294" w:rsidRPr="00B14611" w:rsidRDefault="00B14611" w:rsidP="007B4294">
            <w:pPr>
              <w:pStyle w:val="10Tabletext"/>
              <w:jc w:val="right"/>
              <w:cnfStyle w:val="000000100000" w:firstRow="0" w:lastRow="0" w:firstColumn="0" w:lastColumn="0" w:oddVBand="0" w:evenVBand="0" w:oddHBand="1" w:evenHBand="0" w:firstRowFirstColumn="0" w:firstRowLastColumn="0" w:lastRowFirstColumn="0" w:lastRowLastColumn="0"/>
            </w:pPr>
            <w:r w:rsidRPr="00B14611">
              <w:t>207,116</w:t>
            </w:r>
          </w:p>
        </w:tc>
        <w:tc>
          <w:tcPr>
            <w:tcW w:w="1926" w:type="pct"/>
            <w:vAlign w:val="center"/>
          </w:tcPr>
          <w:p w14:paraId="6AC7664C" w14:textId="74111FF1" w:rsidR="007B4294" w:rsidRPr="00194AE6" w:rsidRDefault="00B14611" w:rsidP="007B4294">
            <w:pPr>
              <w:pStyle w:val="10Tabletext"/>
              <w:jc w:val="right"/>
              <w:cnfStyle w:val="000000100000" w:firstRow="0" w:lastRow="0" w:firstColumn="0" w:lastColumn="0" w:oddVBand="0" w:evenVBand="0" w:oddHBand="1" w:evenHBand="0" w:firstRowFirstColumn="0" w:firstRowLastColumn="0" w:lastRowFirstColumn="0" w:lastRowLastColumn="0"/>
            </w:pPr>
            <w:r>
              <w:t>267,445</w:t>
            </w:r>
          </w:p>
        </w:tc>
      </w:tr>
    </w:tbl>
    <w:p w14:paraId="37FBD14B" w14:textId="2174439C" w:rsidR="007B4294" w:rsidRPr="0073539C" w:rsidRDefault="007B4294" w:rsidP="007B4294">
      <w:pPr>
        <w:pStyle w:val="09Sourcesandnotesfortablesfiguresboxes"/>
      </w:pPr>
      <w:r w:rsidRPr="00BE04D4">
        <w:t xml:space="preserve">Note: </w:t>
      </w:r>
      <w:r>
        <w:t>T</w:t>
      </w:r>
      <w:r w:rsidRPr="00BE04D4">
        <w:t>he above values are for executives</w:t>
      </w:r>
      <w:r>
        <w:t xml:space="preserve"> </w:t>
      </w:r>
      <w:r w:rsidRPr="00BE04D4">
        <w:t xml:space="preserve">employed on a 1.0 FTE </w:t>
      </w:r>
      <w:proofErr w:type="gramStart"/>
      <w:r w:rsidRPr="00BE04D4">
        <w:t>basis, and</w:t>
      </w:r>
      <w:proofErr w:type="gramEnd"/>
      <w:r w:rsidRPr="00BE04D4">
        <w:t xml:space="preserve"> apply </w:t>
      </w:r>
      <w:r w:rsidRPr="00540652">
        <w:t>pro rata</w:t>
      </w:r>
      <w:r w:rsidRPr="00BE04D4">
        <w:t xml:space="preserve"> to executives employed on a part-time basis.</w:t>
      </w:r>
    </w:p>
    <w:p w14:paraId="7DC6149F" w14:textId="0673DCF7" w:rsidR="00DB6310" w:rsidRDefault="007B4294" w:rsidP="008B3FC2">
      <w:pPr>
        <w:keepNext/>
        <w:numPr>
          <w:ilvl w:val="0"/>
          <w:numId w:val="42"/>
        </w:numPr>
        <w:spacing w:before="180" w:line="276" w:lineRule="auto"/>
        <w:jc w:val="both"/>
        <w:rPr>
          <w:rFonts w:ascii="Calibri Light" w:hAnsi="Calibri Light" w:cs="Times New Roman (Body CS)"/>
          <w:color w:val="000000" w:themeColor="text1"/>
          <w:sz w:val="26"/>
          <w:szCs w:val="44"/>
        </w:rPr>
      </w:pPr>
      <w:r>
        <w:rPr>
          <w:rFonts w:ascii="Calibri Light" w:hAnsi="Calibri Light" w:cs="Times New Roman (Body CS)"/>
          <w:color w:val="000000" w:themeColor="text1"/>
          <w:sz w:val="26"/>
          <w:szCs w:val="44"/>
        </w:rPr>
        <w:lastRenderedPageBreak/>
        <w:t xml:space="preserve">Delete </w:t>
      </w:r>
      <w:r w:rsidR="00FD57F9">
        <w:rPr>
          <w:rFonts w:ascii="Calibri Light" w:hAnsi="Calibri Light" w:cs="Times New Roman (Body CS)"/>
          <w:color w:val="000000" w:themeColor="text1"/>
          <w:sz w:val="26"/>
          <w:szCs w:val="44"/>
        </w:rPr>
        <w:t>T</w:t>
      </w:r>
      <w:r>
        <w:rPr>
          <w:rFonts w:ascii="Calibri Light" w:hAnsi="Calibri Light" w:cs="Times New Roman (Body CS)"/>
          <w:color w:val="000000" w:themeColor="text1"/>
          <w:sz w:val="26"/>
          <w:szCs w:val="44"/>
        </w:rPr>
        <w:t>able 2 and replace it with the following:</w:t>
      </w:r>
    </w:p>
    <w:p w14:paraId="6D68A03E" w14:textId="4B9B61D0" w:rsidR="007B4294" w:rsidRDefault="007B4294" w:rsidP="007B4294">
      <w:pPr>
        <w:pStyle w:val="08Figuretableboxheading"/>
      </w:pPr>
      <w:r>
        <w:t>Table 2: Values of remuneration bands for Administrative Office Heads from 1 July 202</w:t>
      </w:r>
      <w:r w:rsidR="00E24743">
        <w:t>2</w:t>
      </w:r>
    </w:p>
    <w:tbl>
      <w:tblPr>
        <w:tblStyle w:val="ListTable3-Accent2"/>
        <w:tblW w:w="5000" w:type="pct"/>
        <w:tblLook w:val="04A0" w:firstRow="1" w:lastRow="0" w:firstColumn="1" w:lastColumn="0" w:noHBand="0" w:noVBand="1"/>
      </w:tblPr>
      <w:tblGrid>
        <w:gridCol w:w="2854"/>
        <w:gridCol w:w="2374"/>
        <w:gridCol w:w="3276"/>
      </w:tblGrid>
      <w:tr w:rsidR="007B4294" w:rsidRPr="004E25A2" w14:paraId="142F7E1D" w14:textId="77777777" w:rsidTr="00124A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61D85A17" w14:textId="77777777" w:rsidR="007B4294" w:rsidRPr="00A153D6" w:rsidRDefault="007B4294" w:rsidP="00124AE0">
            <w:pPr>
              <w:pStyle w:val="Textinthetable"/>
            </w:pPr>
            <w:r w:rsidRPr="00A153D6">
              <w:t>Classification</w:t>
            </w:r>
          </w:p>
        </w:tc>
        <w:tc>
          <w:tcPr>
            <w:tcW w:w="1396" w:type="pct"/>
          </w:tcPr>
          <w:p w14:paraId="44051007" w14:textId="77777777" w:rsidR="007B4294" w:rsidRPr="00A153D6"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b w:val="0"/>
                <w:bCs w:val="0"/>
              </w:rPr>
            </w:pPr>
            <w:r w:rsidRPr="00A153D6">
              <w:t>Base of band TRP</w:t>
            </w:r>
            <w:r w:rsidRPr="00A153D6">
              <w:br/>
              <w:t>$ per annum</w:t>
            </w:r>
          </w:p>
        </w:tc>
        <w:tc>
          <w:tcPr>
            <w:tcW w:w="1926" w:type="pct"/>
          </w:tcPr>
          <w:p w14:paraId="1144B70F" w14:textId="77777777" w:rsidR="007B4294" w:rsidRPr="00A153D6"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b w:val="0"/>
                <w:bCs w:val="0"/>
              </w:rPr>
            </w:pPr>
            <w:r w:rsidRPr="00A153D6">
              <w:t>Top of band TRP</w:t>
            </w:r>
            <w:r w:rsidRPr="00A153D6">
              <w:br/>
              <w:t>$ per annum</w:t>
            </w:r>
          </w:p>
        </w:tc>
      </w:tr>
      <w:tr w:rsidR="007B4294" w:rsidRPr="004E25A2" w14:paraId="341FFFC3"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D05D2D5" w14:textId="77777777" w:rsidR="007B4294" w:rsidRPr="0023667A" w:rsidRDefault="007B4294" w:rsidP="007B4294">
            <w:pPr>
              <w:pStyle w:val="Textinthetable"/>
              <w:rPr>
                <w:b/>
                <w:bCs w:val="0"/>
              </w:rPr>
            </w:pPr>
            <w:r w:rsidRPr="0023667A">
              <w:t>Administrative Office Head-3</w:t>
            </w:r>
          </w:p>
        </w:tc>
        <w:tc>
          <w:tcPr>
            <w:tcW w:w="1396" w:type="pct"/>
            <w:vAlign w:val="center"/>
          </w:tcPr>
          <w:p w14:paraId="63762D56" w14:textId="40F2E97B" w:rsidR="007B4294" w:rsidRPr="00194AE6" w:rsidRDefault="00C439DF" w:rsidP="007B4294">
            <w:pPr>
              <w:pStyle w:val="Textinthetable"/>
              <w:jc w:val="right"/>
              <w:cnfStyle w:val="000000100000" w:firstRow="0" w:lastRow="0" w:firstColumn="0" w:lastColumn="0" w:oddVBand="0" w:evenVBand="0" w:oddHBand="1" w:evenHBand="0" w:firstRowFirstColumn="0" w:firstRowLastColumn="0" w:lastRowFirstColumn="0" w:lastRowLastColumn="0"/>
            </w:pPr>
            <w:r>
              <w:t>384,541</w:t>
            </w:r>
          </w:p>
        </w:tc>
        <w:tc>
          <w:tcPr>
            <w:tcW w:w="1926" w:type="pct"/>
            <w:vAlign w:val="center"/>
          </w:tcPr>
          <w:p w14:paraId="47B6351A" w14:textId="4417746F" w:rsidR="007B4294" w:rsidRPr="00194AE6" w:rsidRDefault="00C439DF" w:rsidP="007B4294">
            <w:pPr>
              <w:pStyle w:val="Textinthetable"/>
              <w:jc w:val="right"/>
              <w:cnfStyle w:val="000000100000" w:firstRow="0" w:lastRow="0" w:firstColumn="0" w:lastColumn="0" w:oddVBand="0" w:evenVBand="0" w:oddHBand="1" w:evenHBand="0" w:firstRowFirstColumn="0" w:firstRowLastColumn="0" w:lastRowFirstColumn="0" w:lastRowLastColumn="0"/>
            </w:pPr>
            <w:r>
              <w:t>511,862</w:t>
            </w:r>
          </w:p>
        </w:tc>
      </w:tr>
      <w:tr w:rsidR="007B4294" w:rsidRPr="004E25A2" w14:paraId="65CC05B6" w14:textId="77777777" w:rsidTr="00124AE0">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AA3A319" w14:textId="77777777" w:rsidR="007B4294" w:rsidRPr="0023667A" w:rsidRDefault="007B4294" w:rsidP="007B4294">
            <w:pPr>
              <w:pStyle w:val="Textinthetable"/>
              <w:rPr>
                <w:b/>
                <w:bCs w:val="0"/>
              </w:rPr>
            </w:pPr>
            <w:r w:rsidRPr="0023667A">
              <w:t>Administrative Office Head-2</w:t>
            </w:r>
          </w:p>
        </w:tc>
        <w:tc>
          <w:tcPr>
            <w:tcW w:w="1396" w:type="pct"/>
            <w:vAlign w:val="center"/>
          </w:tcPr>
          <w:p w14:paraId="02B4C5F6" w14:textId="255C7E2B" w:rsidR="007B4294" w:rsidRPr="00194AE6" w:rsidRDefault="00C439DF" w:rsidP="007B4294">
            <w:pPr>
              <w:pStyle w:val="Textinthetable"/>
              <w:jc w:val="right"/>
              <w:cnfStyle w:val="000000000000" w:firstRow="0" w:lastRow="0" w:firstColumn="0" w:lastColumn="0" w:oddVBand="0" w:evenVBand="0" w:oddHBand="0" w:evenHBand="0" w:firstRowFirstColumn="0" w:firstRowLastColumn="0" w:lastRowFirstColumn="0" w:lastRowLastColumn="0"/>
            </w:pPr>
            <w:r>
              <w:t>267,446</w:t>
            </w:r>
          </w:p>
        </w:tc>
        <w:tc>
          <w:tcPr>
            <w:tcW w:w="1926" w:type="pct"/>
            <w:vAlign w:val="center"/>
          </w:tcPr>
          <w:p w14:paraId="6C1B139B" w14:textId="6C94A84F" w:rsidR="007B4294" w:rsidRPr="00194AE6" w:rsidRDefault="00C439DF" w:rsidP="007B4294">
            <w:pPr>
              <w:pStyle w:val="Textinthetable"/>
              <w:jc w:val="right"/>
              <w:cnfStyle w:val="000000000000" w:firstRow="0" w:lastRow="0" w:firstColumn="0" w:lastColumn="0" w:oddVBand="0" w:evenVBand="0" w:oddHBand="0" w:evenHBand="0" w:firstRowFirstColumn="0" w:firstRowLastColumn="0" w:lastRowFirstColumn="0" w:lastRowLastColumn="0"/>
            </w:pPr>
            <w:r>
              <w:t>384,540</w:t>
            </w:r>
          </w:p>
        </w:tc>
      </w:tr>
      <w:tr w:rsidR="007B4294" w:rsidRPr="004E25A2" w14:paraId="740FC033"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5F041751" w14:textId="77777777" w:rsidR="007B4294" w:rsidRPr="0023667A" w:rsidRDefault="007B4294" w:rsidP="007B4294">
            <w:pPr>
              <w:pStyle w:val="Textinthetable"/>
              <w:rPr>
                <w:b/>
                <w:bCs w:val="0"/>
              </w:rPr>
            </w:pPr>
            <w:r w:rsidRPr="0023667A">
              <w:t>Administrative Office Head-1</w:t>
            </w:r>
          </w:p>
        </w:tc>
        <w:tc>
          <w:tcPr>
            <w:tcW w:w="1396" w:type="pct"/>
            <w:vAlign w:val="center"/>
          </w:tcPr>
          <w:p w14:paraId="3AFF7676" w14:textId="7743E914" w:rsidR="007B4294" w:rsidRPr="00194AE6" w:rsidRDefault="00C439DF" w:rsidP="007B4294">
            <w:pPr>
              <w:pStyle w:val="Textinthetable"/>
              <w:jc w:val="right"/>
              <w:cnfStyle w:val="000000100000" w:firstRow="0" w:lastRow="0" w:firstColumn="0" w:lastColumn="0" w:oddVBand="0" w:evenVBand="0" w:oddHBand="1" w:evenHBand="0" w:firstRowFirstColumn="0" w:firstRowLastColumn="0" w:lastRowFirstColumn="0" w:lastRowLastColumn="0"/>
            </w:pPr>
            <w:r w:rsidRPr="00B14611">
              <w:t>207,116</w:t>
            </w:r>
          </w:p>
        </w:tc>
        <w:tc>
          <w:tcPr>
            <w:tcW w:w="1926" w:type="pct"/>
            <w:vAlign w:val="center"/>
          </w:tcPr>
          <w:p w14:paraId="75706641" w14:textId="6E1C818B" w:rsidR="007B4294" w:rsidRPr="00194AE6" w:rsidRDefault="00C439DF" w:rsidP="007B4294">
            <w:pPr>
              <w:pStyle w:val="Textinthetable"/>
              <w:jc w:val="right"/>
              <w:cnfStyle w:val="000000100000" w:firstRow="0" w:lastRow="0" w:firstColumn="0" w:lastColumn="0" w:oddVBand="0" w:evenVBand="0" w:oddHBand="1" w:evenHBand="0" w:firstRowFirstColumn="0" w:firstRowLastColumn="0" w:lastRowFirstColumn="0" w:lastRowLastColumn="0"/>
            </w:pPr>
            <w:r>
              <w:t>267,445</w:t>
            </w:r>
          </w:p>
        </w:tc>
      </w:tr>
    </w:tbl>
    <w:p w14:paraId="1B4D56A5" w14:textId="6EEA3CBD" w:rsidR="007B4294" w:rsidRDefault="007B4294" w:rsidP="007B4294">
      <w:pPr>
        <w:pStyle w:val="09Sourcesandnotesfortablesfiguresboxes"/>
      </w:pPr>
      <w:r w:rsidRPr="00BE04D4">
        <w:t xml:space="preserve">Note: </w:t>
      </w:r>
      <w:r>
        <w:t>T</w:t>
      </w:r>
      <w:r w:rsidRPr="00BE04D4">
        <w:t>he above values are for executives</w:t>
      </w:r>
      <w:r>
        <w:t xml:space="preserve"> </w:t>
      </w:r>
      <w:r w:rsidRPr="00BE04D4">
        <w:t xml:space="preserve">employed on a 1.0 FTE </w:t>
      </w:r>
      <w:proofErr w:type="gramStart"/>
      <w:r w:rsidRPr="00BE04D4">
        <w:t>basis, and</w:t>
      </w:r>
      <w:proofErr w:type="gramEnd"/>
      <w:r w:rsidRPr="00BE04D4">
        <w:t xml:space="preserve"> apply </w:t>
      </w:r>
      <w:r w:rsidRPr="00C7209E">
        <w:t>pro rata</w:t>
      </w:r>
      <w:r w:rsidRPr="00BE04D4">
        <w:t xml:space="preserve"> to executives employed on a part-time basis.</w:t>
      </w:r>
    </w:p>
    <w:p w14:paraId="209D185A" w14:textId="19565516" w:rsidR="00E24743" w:rsidRDefault="00E24743" w:rsidP="00DB6310">
      <w:pPr>
        <w:numPr>
          <w:ilvl w:val="0"/>
          <w:numId w:val="42"/>
        </w:numPr>
        <w:spacing w:before="180" w:line="276" w:lineRule="auto"/>
        <w:jc w:val="both"/>
        <w:rPr>
          <w:rFonts w:ascii="Calibri Light" w:hAnsi="Calibri Light" w:cs="Times New Roman (Body CS)"/>
          <w:color w:val="000000" w:themeColor="text1"/>
          <w:sz w:val="26"/>
          <w:szCs w:val="44"/>
        </w:rPr>
      </w:pPr>
      <w:r>
        <w:rPr>
          <w:rFonts w:ascii="Calibri Light" w:hAnsi="Calibri Light" w:cs="Times New Roman (Body CS)"/>
          <w:color w:val="000000" w:themeColor="text1"/>
          <w:sz w:val="26"/>
          <w:szCs w:val="44"/>
        </w:rPr>
        <w:t xml:space="preserve">Delete </w:t>
      </w:r>
      <w:r w:rsidR="00FD57F9">
        <w:rPr>
          <w:rFonts w:ascii="Calibri Light" w:hAnsi="Calibri Light" w:cs="Times New Roman (Body CS)"/>
          <w:color w:val="000000" w:themeColor="text1"/>
          <w:sz w:val="26"/>
          <w:szCs w:val="44"/>
        </w:rPr>
        <w:t>T</w:t>
      </w:r>
      <w:r>
        <w:rPr>
          <w:rFonts w:ascii="Calibri Light" w:hAnsi="Calibri Light" w:cs="Times New Roman (Body CS)"/>
          <w:color w:val="000000" w:themeColor="text1"/>
          <w:sz w:val="26"/>
          <w:szCs w:val="44"/>
        </w:rPr>
        <w:t>able 3 and replace it with the following:</w:t>
      </w:r>
    </w:p>
    <w:p w14:paraId="60838000" w14:textId="049D4517" w:rsidR="00E24743" w:rsidRDefault="00E24743" w:rsidP="00E24743">
      <w:pPr>
        <w:pStyle w:val="08Figuretableboxheading"/>
      </w:pPr>
      <w:r>
        <w:t>Table 3: Values of remuneration band for Department Heads and the Victorian Public Sector Commissioner from 1 July 2022</w:t>
      </w:r>
    </w:p>
    <w:tbl>
      <w:tblPr>
        <w:tblStyle w:val="ListTable3-Accent2"/>
        <w:tblW w:w="5000" w:type="pct"/>
        <w:tblLook w:val="04A0" w:firstRow="1" w:lastRow="0" w:firstColumn="1" w:lastColumn="0" w:noHBand="0" w:noVBand="1"/>
      </w:tblPr>
      <w:tblGrid>
        <w:gridCol w:w="2854"/>
        <w:gridCol w:w="2374"/>
        <w:gridCol w:w="3276"/>
      </w:tblGrid>
      <w:tr w:rsidR="00E24743" w:rsidRPr="004E25A2" w14:paraId="3032230D" w14:textId="77777777" w:rsidTr="00124AE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2FD270D8" w14:textId="77777777" w:rsidR="00E24743" w:rsidRPr="004B28E7" w:rsidRDefault="00E24743" w:rsidP="00124AE0">
            <w:pPr>
              <w:pStyle w:val="Textinthetable"/>
            </w:pPr>
            <w:r>
              <w:t>Classification</w:t>
            </w:r>
          </w:p>
        </w:tc>
        <w:tc>
          <w:tcPr>
            <w:tcW w:w="1396" w:type="pct"/>
          </w:tcPr>
          <w:p w14:paraId="373FD713" w14:textId="77777777" w:rsidR="00E24743" w:rsidRPr="00A153D6" w:rsidRDefault="00E24743" w:rsidP="00124AE0">
            <w:pPr>
              <w:pStyle w:val="Textinthetable"/>
              <w:jc w:val="right"/>
              <w:cnfStyle w:val="100000000000" w:firstRow="1" w:lastRow="0" w:firstColumn="0" w:lastColumn="0" w:oddVBand="0" w:evenVBand="0" w:oddHBand="0" w:evenHBand="0" w:firstRowFirstColumn="0" w:firstRowLastColumn="0" w:lastRowFirstColumn="0" w:lastRowLastColumn="0"/>
            </w:pPr>
            <w:r w:rsidRPr="004B28E7">
              <w:t>Base of band TRP</w:t>
            </w:r>
            <w:r w:rsidRPr="004B28E7">
              <w:br/>
              <w:t xml:space="preserve">$ per </w:t>
            </w:r>
            <w:r>
              <w:t>annum</w:t>
            </w:r>
          </w:p>
        </w:tc>
        <w:tc>
          <w:tcPr>
            <w:tcW w:w="1926" w:type="pct"/>
          </w:tcPr>
          <w:p w14:paraId="272ACE1E" w14:textId="77777777" w:rsidR="00E24743" w:rsidRPr="00A153D6" w:rsidRDefault="00E24743" w:rsidP="00124AE0">
            <w:pPr>
              <w:pStyle w:val="Textinthetable"/>
              <w:jc w:val="right"/>
              <w:cnfStyle w:val="100000000000" w:firstRow="1" w:lastRow="0" w:firstColumn="0" w:lastColumn="0" w:oddVBand="0" w:evenVBand="0" w:oddHBand="0" w:evenHBand="0" w:firstRowFirstColumn="0" w:firstRowLastColumn="0" w:lastRowFirstColumn="0" w:lastRowLastColumn="0"/>
            </w:pPr>
            <w:r w:rsidRPr="004B28E7">
              <w:t>Top of band TRP</w:t>
            </w:r>
            <w:r w:rsidRPr="004B28E7">
              <w:br/>
              <w:t xml:space="preserve">$ per </w:t>
            </w:r>
            <w:r>
              <w:t>annum</w:t>
            </w:r>
          </w:p>
        </w:tc>
      </w:tr>
      <w:tr w:rsidR="00E24743" w:rsidRPr="004E25A2" w14:paraId="0E374470"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shd w:val="clear" w:color="auto" w:fill="auto"/>
          </w:tcPr>
          <w:p w14:paraId="0E776E83" w14:textId="77777777" w:rsidR="00E24743" w:rsidRPr="00BB7886" w:rsidRDefault="00E24743" w:rsidP="00E24743">
            <w:pPr>
              <w:pStyle w:val="Textinthetable"/>
              <w:rPr>
                <w:b/>
                <w:bCs w:val="0"/>
              </w:rPr>
            </w:pPr>
            <w:r w:rsidRPr="00BB7886">
              <w:t>Department Head / Victorian Public Sector Commissioner</w:t>
            </w:r>
          </w:p>
        </w:tc>
        <w:tc>
          <w:tcPr>
            <w:tcW w:w="1396" w:type="pct"/>
            <w:shd w:val="clear" w:color="auto" w:fill="auto"/>
            <w:vAlign w:val="center"/>
          </w:tcPr>
          <w:p w14:paraId="16D74154" w14:textId="43320FA6" w:rsidR="00E24743" w:rsidRPr="00194AE6" w:rsidRDefault="00FE1BEA" w:rsidP="00E24743">
            <w:pPr>
              <w:pStyle w:val="Textinthetable"/>
              <w:jc w:val="right"/>
              <w:cnfStyle w:val="000000100000" w:firstRow="0" w:lastRow="0" w:firstColumn="0" w:lastColumn="0" w:oddVBand="0" w:evenVBand="0" w:oddHBand="1" w:evenHBand="0" w:firstRowFirstColumn="0" w:firstRowLastColumn="0" w:lastRowFirstColumn="0" w:lastRowLastColumn="0"/>
            </w:pPr>
            <w:r>
              <w:t>554,443</w:t>
            </w:r>
          </w:p>
        </w:tc>
        <w:tc>
          <w:tcPr>
            <w:tcW w:w="1926" w:type="pct"/>
            <w:shd w:val="clear" w:color="auto" w:fill="auto"/>
            <w:vAlign w:val="center"/>
          </w:tcPr>
          <w:p w14:paraId="5AF1EDA9" w14:textId="58D886EF" w:rsidR="00E24743" w:rsidRPr="00194AE6" w:rsidRDefault="00735C4C" w:rsidP="00E24743">
            <w:pPr>
              <w:pStyle w:val="Textinthetable"/>
              <w:jc w:val="right"/>
              <w:cnfStyle w:val="000000100000" w:firstRow="0" w:lastRow="0" w:firstColumn="0" w:lastColumn="0" w:oddVBand="0" w:evenVBand="0" w:oddHBand="1" w:evenHBand="0" w:firstRowFirstColumn="0" w:firstRowLastColumn="0" w:lastRowFirstColumn="0" w:lastRowLastColumn="0"/>
            </w:pPr>
            <w:r>
              <w:t>747,497</w:t>
            </w:r>
          </w:p>
        </w:tc>
      </w:tr>
    </w:tbl>
    <w:p w14:paraId="79494092" w14:textId="7BC558B3" w:rsidR="00E24743" w:rsidRDefault="00E24743" w:rsidP="00E24743">
      <w:pPr>
        <w:pStyle w:val="09Sourcesandnotesfortablesfiguresboxes"/>
      </w:pPr>
      <w:r w:rsidRPr="00BE04D4">
        <w:t xml:space="preserve">Note: </w:t>
      </w:r>
      <w:r w:rsidR="00817DBF">
        <w:t>T</w:t>
      </w:r>
      <w:r w:rsidRPr="00BE04D4">
        <w:t>he above values are for executives</w:t>
      </w:r>
      <w:r>
        <w:t xml:space="preserve"> </w:t>
      </w:r>
      <w:r w:rsidRPr="00BE04D4">
        <w:t xml:space="preserve">employed on a 1.0 FTE </w:t>
      </w:r>
      <w:proofErr w:type="gramStart"/>
      <w:r w:rsidRPr="00BE04D4">
        <w:t>basis, and</w:t>
      </w:r>
      <w:proofErr w:type="gramEnd"/>
      <w:r w:rsidRPr="00BE04D4">
        <w:t xml:space="preserve"> apply </w:t>
      </w:r>
      <w:r w:rsidRPr="00540652">
        <w:t>pro rata</w:t>
      </w:r>
      <w:r w:rsidRPr="00BE04D4">
        <w:t xml:space="preserve"> to executives employed on a part-time basis.</w:t>
      </w:r>
    </w:p>
    <w:p w14:paraId="72CFA717" w14:textId="590C7F51" w:rsidR="00E24743" w:rsidRPr="00937165" w:rsidRDefault="00E24743" w:rsidP="00937165">
      <w:pPr>
        <w:numPr>
          <w:ilvl w:val="0"/>
          <w:numId w:val="41"/>
        </w:numPr>
        <w:spacing w:before="180" w:line="276" w:lineRule="auto"/>
        <w:jc w:val="both"/>
        <w:rPr>
          <w:rFonts w:ascii="Calibri Light" w:hAnsi="Calibri Light" w:cs="Times New Roman (Body CS)"/>
          <w:color w:val="000000" w:themeColor="text1"/>
          <w:sz w:val="26"/>
          <w:szCs w:val="44"/>
        </w:rPr>
      </w:pPr>
      <w:r w:rsidRPr="00937165">
        <w:rPr>
          <w:rFonts w:ascii="Calibri Light" w:hAnsi="Calibri Light" w:cs="Times New Roman (Body CS)"/>
          <w:color w:val="000000" w:themeColor="text1"/>
          <w:sz w:val="26"/>
          <w:szCs w:val="44"/>
        </w:rPr>
        <w:t xml:space="preserve">This Determination commences on 1 July 2022. </w:t>
      </w:r>
    </w:p>
    <w:p w14:paraId="234A19D0" w14:textId="4F7D2E0D" w:rsidR="00E24743" w:rsidRPr="00937165" w:rsidRDefault="00E24743" w:rsidP="00937165">
      <w:pPr>
        <w:numPr>
          <w:ilvl w:val="0"/>
          <w:numId w:val="41"/>
        </w:numPr>
        <w:spacing w:before="180" w:line="276" w:lineRule="auto"/>
        <w:jc w:val="both"/>
        <w:rPr>
          <w:rFonts w:ascii="Calibri Light" w:hAnsi="Calibri Light" w:cs="Times New Roman (Body CS)"/>
          <w:color w:val="000000" w:themeColor="text1"/>
          <w:sz w:val="26"/>
          <w:szCs w:val="44"/>
        </w:rPr>
      </w:pPr>
      <w:r w:rsidRPr="00937165">
        <w:rPr>
          <w:rFonts w:ascii="Calibri Light" w:hAnsi="Calibri Light" w:cs="Times New Roman (Body CS)"/>
          <w:color w:val="000000" w:themeColor="text1"/>
          <w:sz w:val="26"/>
          <w:szCs w:val="44"/>
        </w:rPr>
        <w:t xml:space="preserve">The </w:t>
      </w:r>
      <w:r w:rsidRPr="00937165">
        <w:rPr>
          <w:rFonts w:ascii="Calibri Light" w:hAnsi="Calibri Light" w:cs="Times New Roman (Body CS)"/>
          <w:i/>
          <w:iCs/>
          <w:color w:val="000000" w:themeColor="text1"/>
          <w:sz w:val="26"/>
          <w:szCs w:val="44"/>
        </w:rPr>
        <w:t>Remuneration bands for executives employed in public service bodies (Victoria) Determination No. 01/2020</w:t>
      </w:r>
      <w:r w:rsidRPr="00937165">
        <w:rPr>
          <w:rFonts w:ascii="Calibri Light" w:hAnsi="Calibri Light" w:cs="Times New Roman (Body CS)"/>
          <w:color w:val="000000" w:themeColor="text1"/>
          <w:sz w:val="26"/>
          <w:szCs w:val="44"/>
        </w:rPr>
        <w:t xml:space="preserve"> as varied is available on the Tribunal’s website.</w:t>
      </w:r>
    </w:p>
    <w:p w14:paraId="492D9391" w14:textId="74830FF8" w:rsidR="00AD76DC" w:rsidRDefault="00AD76DC" w:rsidP="00AD76DC">
      <w:pPr>
        <w:pStyle w:val="Instrumenttableofcontents"/>
        <w:rPr>
          <w:bCs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78"/>
      </w:tblGrid>
      <w:tr w:rsidR="00C15228" w14:paraId="2FA84BE6" w14:textId="77777777" w:rsidTr="007B2287">
        <w:tc>
          <w:tcPr>
            <w:tcW w:w="4226" w:type="dxa"/>
          </w:tcPr>
          <w:p w14:paraId="5F1FDE2C" w14:textId="77777777" w:rsidR="00C15228" w:rsidRDefault="00C15228" w:rsidP="007B2287">
            <w:bookmarkStart w:id="11" w:name="_Hlk97561172"/>
            <w:bookmarkEnd w:id="6"/>
            <w:r w:rsidRPr="00FB009D">
              <w:rPr>
                <w:noProof/>
              </w:rPr>
              <w:drawing>
                <wp:inline distT="0" distB="0" distL="0" distR="0" wp14:anchorId="490D287D" wp14:editId="18D73022">
                  <wp:extent cx="1657581" cy="685896"/>
                  <wp:effectExtent l="0" t="0" r="0" b="0"/>
                  <wp:docPr id="1761793379" name="Picture 176179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57581" cy="685896"/>
                          </a:xfrm>
                          <a:prstGeom prst="rect">
                            <a:avLst/>
                          </a:prstGeom>
                        </pic:spPr>
                      </pic:pic>
                    </a:graphicData>
                  </a:graphic>
                </wp:inline>
              </w:drawing>
            </w:r>
          </w:p>
        </w:tc>
        <w:tc>
          <w:tcPr>
            <w:tcW w:w="4278" w:type="dxa"/>
          </w:tcPr>
          <w:p w14:paraId="649B2A07" w14:textId="77777777" w:rsidR="00C15228" w:rsidRDefault="00C15228" w:rsidP="007B2287">
            <w:r w:rsidRPr="00FB009D">
              <w:rPr>
                <w:noProof/>
              </w:rPr>
              <w:drawing>
                <wp:inline distT="0" distB="0" distL="0" distR="0" wp14:anchorId="125E5156" wp14:editId="47630092">
                  <wp:extent cx="1857634" cy="657317"/>
                  <wp:effectExtent l="0" t="0" r="0" b="9525"/>
                  <wp:docPr id="1761793383" name="Picture 176179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57634" cy="657317"/>
                          </a:xfrm>
                          <a:prstGeom prst="rect">
                            <a:avLst/>
                          </a:prstGeom>
                        </pic:spPr>
                      </pic:pic>
                    </a:graphicData>
                  </a:graphic>
                </wp:inline>
              </w:drawing>
            </w:r>
          </w:p>
        </w:tc>
      </w:tr>
      <w:tr w:rsidR="00C15228" w:rsidRPr="005C0247" w14:paraId="446E302F" w14:textId="77777777" w:rsidTr="007B2287">
        <w:tc>
          <w:tcPr>
            <w:tcW w:w="4226" w:type="dxa"/>
          </w:tcPr>
          <w:p w14:paraId="66748BF9" w14:textId="77777777" w:rsidR="00C15228" w:rsidRPr="005C0247" w:rsidRDefault="00C15228" w:rsidP="007B2287">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Warren McCann</w:t>
            </w:r>
          </w:p>
          <w:p w14:paraId="202AABFF" w14:textId="77777777" w:rsidR="00C15228" w:rsidRPr="005C0247" w:rsidRDefault="00C15228" w:rsidP="007B2287">
            <w:pPr>
              <w:spacing w:after="0"/>
              <w:ind w:left="462"/>
              <w:rPr>
                <w:rFonts w:ascii="Calibri Light" w:hAnsi="Calibri Light" w:cs="Calibri Light"/>
                <w:color w:val="auto"/>
                <w:sz w:val="26"/>
                <w:szCs w:val="26"/>
              </w:rPr>
            </w:pPr>
          </w:p>
          <w:p w14:paraId="201515A1" w14:textId="77777777" w:rsidR="00C15228" w:rsidRPr="005C0247" w:rsidRDefault="00C15228" w:rsidP="007B2287">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Chair</w:t>
            </w:r>
          </w:p>
          <w:p w14:paraId="63EB799C" w14:textId="77777777" w:rsidR="00C15228" w:rsidRPr="005C0247" w:rsidRDefault="00C15228" w:rsidP="007B2287">
            <w:pPr>
              <w:spacing w:after="0"/>
              <w:ind w:left="462"/>
              <w:rPr>
                <w:rFonts w:ascii="Calibri Light" w:hAnsi="Calibri Light" w:cs="Calibri Light"/>
                <w:color w:val="auto"/>
                <w:sz w:val="26"/>
                <w:szCs w:val="26"/>
              </w:rPr>
            </w:pPr>
          </w:p>
          <w:p w14:paraId="5BA53162" w14:textId="77777777" w:rsidR="00C15228" w:rsidRPr="005C0247" w:rsidRDefault="00C15228" w:rsidP="007B2287">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Victorian Independent</w:t>
            </w:r>
          </w:p>
          <w:p w14:paraId="6B646307" w14:textId="77777777" w:rsidR="00C15228" w:rsidRPr="005C0247" w:rsidRDefault="00C15228" w:rsidP="007B2287">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Remuneration Tribunal</w:t>
            </w:r>
          </w:p>
        </w:tc>
        <w:tc>
          <w:tcPr>
            <w:tcW w:w="4278" w:type="dxa"/>
          </w:tcPr>
          <w:p w14:paraId="0537E900" w14:textId="77777777" w:rsidR="00C15228" w:rsidRPr="005C0247" w:rsidRDefault="00C15228" w:rsidP="007B2287">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The Honourable Jennifer Acton</w:t>
            </w:r>
          </w:p>
          <w:p w14:paraId="4CF25661" w14:textId="77777777" w:rsidR="00C15228" w:rsidRPr="005C0247" w:rsidRDefault="00C15228" w:rsidP="007B2287">
            <w:pPr>
              <w:spacing w:after="0"/>
              <w:ind w:left="342"/>
              <w:rPr>
                <w:rFonts w:ascii="Calibri Light" w:hAnsi="Calibri Light" w:cs="Calibri Light"/>
                <w:color w:val="auto"/>
                <w:sz w:val="26"/>
                <w:szCs w:val="26"/>
              </w:rPr>
            </w:pPr>
          </w:p>
          <w:p w14:paraId="07E8959E" w14:textId="77777777" w:rsidR="00C15228" w:rsidRPr="005C0247" w:rsidRDefault="00C15228" w:rsidP="007B2287">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Member</w:t>
            </w:r>
          </w:p>
          <w:p w14:paraId="00C081BA" w14:textId="77777777" w:rsidR="00C15228" w:rsidRPr="005C0247" w:rsidRDefault="00C15228" w:rsidP="007B2287">
            <w:pPr>
              <w:spacing w:after="0"/>
              <w:ind w:left="342"/>
              <w:rPr>
                <w:rFonts w:ascii="Calibri Light" w:hAnsi="Calibri Light" w:cs="Calibri Light"/>
                <w:color w:val="auto"/>
                <w:sz w:val="26"/>
                <w:szCs w:val="26"/>
              </w:rPr>
            </w:pPr>
          </w:p>
          <w:p w14:paraId="743D804D" w14:textId="77777777" w:rsidR="00C15228" w:rsidRPr="005C0247" w:rsidRDefault="00C15228" w:rsidP="007B2287">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Victorian Independent</w:t>
            </w:r>
          </w:p>
          <w:p w14:paraId="767011F7" w14:textId="77777777" w:rsidR="00C15228" w:rsidRPr="005C0247" w:rsidRDefault="00C15228" w:rsidP="007B2287">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Remuneration Tribunal</w:t>
            </w:r>
          </w:p>
        </w:tc>
      </w:tr>
      <w:bookmarkEnd w:id="11"/>
    </w:tbl>
    <w:p w14:paraId="3ADAAC52" w14:textId="77777777" w:rsidR="00C15228" w:rsidRDefault="00C15228" w:rsidP="00B1131E">
      <w:pPr>
        <w:ind w:left="-426" w:right="701"/>
        <w:outlineLvl w:val="0"/>
        <w:rPr>
          <w:rFonts w:ascii="Calibri Light" w:hAnsi="Calibri Light" w:cs="Calibri Light"/>
          <w:color w:val="auto"/>
          <w:sz w:val="26"/>
          <w:szCs w:val="26"/>
        </w:rPr>
      </w:pPr>
    </w:p>
    <w:p w14:paraId="50839E84" w14:textId="26D86FAC" w:rsidR="00C15228" w:rsidRDefault="00C15228" w:rsidP="00B1131E">
      <w:pPr>
        <w:ind w:left="-426" w:right="701"/>
        <w:outlineLvl w:val="0"/>
      </w:pPr>
      <w:r w:rsidRPr="00C15228">
        <w:rPr>
          <w:rFonts w:ascii="Calibri Light" w:hAnsi="Calibri Light" w:cs="Calibri Light"/>
          <w:color w:val="auto"/>
          <w:sz w:val="26"/>
          <w:szCs w:val="26"/>
        </w:rPr>
        <w:t>Date: 22/06/2022</w:t>
      </w:r>
    </w:p>
    <w:p w14:paraId="490CCA31" w14:textId="64651B32"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lastRenderedPageBreak/>
        <w:drawing>
          <wp:anchor distT="0" distB="0" distL="114300" distR="114300" simplePos="0" relativeHeight="251658242"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3"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392ED33C" w:rsidR="00B1131E" w:rsidRPr="00BD24F3" w:rsidRDefault="00880D06" w:rsidP="00B1131E">
      <w:pPr>
        <w:ind w:left="-426" w:right="701"/>
        <w:outlineLvl w:val="0"/>
      </w:pPr>
      <w:r>
        <w:rPr>
          <w:rFonts w:asciiTheme="minorHAnsi" w:hAnsiTheme="minorHAnsi" w:cs="@MS PMincho"/>
          <w:color w:val="FFFFFF" w:themeColor="background1"/>
          <w:sz w:val="68"/>
          <w:szCs w:val="68"/>
        </w:rPr>
        <w:t>Remuneration bands for executives employed in public service bodies (Victoria) Annual Adjustment Determination 2022</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7777777" w:rsidR="00B1131E" w:rsidRDefault="00B1131E" w:rsidP="00B1131E">
      <w:pPr>
        <w:ind w:left="-426" w:right="701"/>
        <w:outlineLvl w:val="0"/>
        <w:rPr>
          <w:rFonts w:asciiTheme="minorHAnsi" w:hAnsiTheme="minorHAnsi" w:cs="@MS PMincho"/>
          <w:color w:val="FFFFFF" w:themeColor="background1"/>
          <w:sz w:val="56"/>
          <w:szCs w:val="56"/>
        </w:rPr>
      </w:pPr>
      <w:r w:rsidRPr="00B04C96">
        <w:rPr>
          <w:rFonts w:asciiTheme="minorHAnsi" w:hAnsiTheme="minorHAnsi" w:cs="@MS PMincho"/>
          <w:color w:val="FFFFFF" w:themeColor="background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24"/>
          <w:headerReference w:type="default" r:id="rId25"/>
          <w:footerReference w:type="default" r:id="rId26"/>
          <w:headerReference w:type="first" r:id="rId27"/>
          <w:pgSz w:w="11906" w:h="16838"/>
          <w:pgMar w:top="1701" w:right="1701" w:bottom="1559" w:left="1701" w:header="425" w:footer="709" w:gutter="0"/>
          <w:pgNumType w:start="1"/>
          <w:cols w:space="282"/>
          <w:docGrid w:linePitch="360"/>
        </w:sectPr>
      </w:pPr>
    </w:p>
    <w:p w14:paraId="3929C3F7" w14:textId="77777777" w:rsidR="00B1131E" w:rsidRDefault="00B1131E" w:rsidP="00B1131E">
      <w:pPr>
        <w:pStyle w:val="Chapterheading"/>
        <w:rPr>
          <w:szCs w:val="72"/>
        </w:rPr>
        <w:sectPr w:rsidR="00B1131E" w:rsidSect="00F90BEA">
          <w:pgSz w:w="11906" w:h="16838"/>
          <w:pgMar w:top="1701" w:right="1701" w:bottom="1559" w:left="1701" w:header="425" w:footer="709" w:gutter="0"/>
          <w:cols w:space="282"/>
          <w:docGrid w:linePitch="360"/>
        </w:sectPr>
      </w:pPr>
      <w:bookmarkStart w:id="12" w:name="_Toc95484857"/>
      <w:bookmarkStart w:id="13" w:name="_Toc95485126"/>
      <w:bookmarkStart w:id="14" w:name="_Toc95488103"/>
      <w:bookmarkStart w:id="15" w:name="_Toc95488209"/>
      <w:bookmarkStart w:id="16" w:name="_Toc96353782"/>
      <w:bookmarkStart w:id="17" w:name="_Toc96429461"/>
      <w:bookmarkStart w:id="18" w:name="_Toc97105409"/>
      <w:bookmarkStart w:id="19" w:name="_Toc97282687"/>
      <w:bookmarkStart w:id="20" w:name="_Toc97728583"/>
      <w:bookmarkStart w:id="21" w:name="_Toc101357046"/>
      <w:bookmarkStart w:id="22" w:name="_Toc102031452"/>
      <w:bookmarkStart w:id="23" w:name="_Toc106614524"/>
      <w:r w:rsidRPr="007F4324">
        <w:rPr>
          <w:noProof/>
          <w:sz w:val="16"/>
          <w:lang w:eastAsia="en-AU"/>
        </w:rPr>
        <w:lastRenderedPageBreak/>
        <w:drawing>
          <wp:anchor distT="0" distB="0" distL="114300" distR="114300" simplePos="0" relativeHeight="251658241" behindDoc="1" locked="0" layoutInCell="1" allowOverlap="1" wp14:anchorId="31E81519" wp14:editId="2F7E2E4F">
            <wp:simplePos x="0" y="0"/>
            <wp:positionH relativeFrom="page">
              <wp:posOffset>5046980</wp:posOffset>
            </wp:positionH>
            <wp:positionV relativeFrom="page">
              <wp:posOffset>2866634</wp:posOffset>
            </wp:positionV>
            <wp:extent cx="2188800" cy="13964400"/>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2"/>
      <w:bookmarkEnd w:id="13"/>
      <w:bookmarkEnd w:id="14"/>
      <w:bookmarkEnd w:id="15"/>
      <w:bookmarkEnd w:id="16"/>
      <w:bookmarkEnd w:id="17"/>
      <w:bookmarkEnd w:id="18"/>
      <w:bookmarkEnd w:id="19"/>
      <w:bookmarkEnd w:id="20"/>
      <w:bookmarkEnd w:id="21"/>
      <w:bookmarkEnd w:id="22"/>
      <w:bookmarkEnd w:id="23"/>
    </w:p>
    <w:p w14:paraId="124FBA31" w14:textId="03F50FC0" w:rsidR="00B1131E" w:rsidRDefault="00B1131E" w:rsidP="00D43074">
      <w:pPr>
        <w:pStyle w:val="01Chapterheading"/>
      </w:pPr>
      <w:bookmarkStart w:id="24" w:name="_Toc102031453"/>
      <w:bookmarkStart w:id="25" w:name="_Toc106614525"/>
      <w:r w:rsidRPr="00C02C39">
        <w:lastRenderedPageBreak/>
        <w:t>Contents</w:t>
      </w:r>
      <w:r w:rsidRPr="00C02C39">
        <w:br/>
      </w:r>
      <w:r w:rsidRPr="00C02C39">
        <w:rPr>
          <w:noProof/>
        </w:rPr>
        <w:drawing>
          <wp:inline distT="0" distB="0" distL="0" distR="0" wp14:anchorId="16C35874" wp14:editId="5F25261E">
            <wp:extent cx="2222500" cy="253365"/>
            <wp:effectExtent l="0" t="0" r="6350" b="0"/>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24"/>
      <w:bookmarkEnd w:id="25"/>
    </w:p>
    <w:sdt>
      <w:sdtPr>
        <w:rPr>
          <w:rFonts w:ascii="Arial" w:hAnsi="Arial" w:cs="Arial"/>
          <w:b/>
          <w:color w:val="7F7F7F" w:themeColor="text1" w:themeTint="80"/>
          <w:sz w:val="20"/>
          <w:szCs w:val="20"/>
        </w:rPr>
        <w:id w:val="1578161639"/>
        <w:docPartObj>
          <w:docPartGallery w:val="Table of Contents"/>
          <w:docPartUnique/>
        </w:docPartObj>
      </w:sdtPr>
      <w:sdtEndPr>
        <w:rPr>
          <w:rFonts w:ascii="Calibri Light" w:hAnsi="Calibri Light"/>
          <w:sz w:val="26"/>
        </w:rPr>
      </w:sdtEndPr>
      <w:sdtContent>
        <w:p w14:paraId="01A3C6C9" w14:textId="06ABAFFA" w:rsidR="00AD4BBB" w:rsidRDefault="00D714D0" w:rsidP="004F428C">
          <w:pPr>
            <w:pStyle w:val="TOC2"/>
            <w:tabs>
              <w:tab w:val="right" w:leader="dot" w:pos="8494"/>
            </w:tabs>
            <w:rPr>
              <w:rFonts w:asciiTheme="minorHAnsi" w:eastAsiaTheme="minorEastAsia" w:hAnsiTheme="minorHAnsi"/>
              <w:noProof/>
              <w:color w:val="auto"/>
              <w:sz w:val="22"/>
              <w:lang w:eastAsia="en-AU"/>
            </w:rPr>
          </w:pPr>
          <w:r>
            <w:rPr>
              <w:rFonts w:asciiTheme="majorHAnsi" w:eastAsiaTheme="majorEastAsia" w:hAnsiTheme="majorHAnsi" w:cstheme="majorBidi"/>
              <w:bCs/>
              <w:color w:val="000000" w:themeColor="text1"/>
              <w:sz w:val="28"/>
              <w:szCs w:val="28"/>
              <w:lang w:val="en-US"/>
            </w:rPr>
            <w:fldChar w:fldCharType="begin"/>
          </w:r>
          <w:r>
            <w:rPr>
              <w:rFonts w:asciiTheme="majorHAnsi" w:eastAsiaTheme="majorEastAsia" w:hAnsiTheme="majorHAnsi" w:cstheme="majorBidi"/>
              <w:bCs/>
              <w:color w:val="000000" w:themeColor="text1"/>
              <w:sz w:val="28"/>
              <w:szCs w:val="28"/>
              <w:lang w:val="en-US"/>
            </w:rPr>
            <w:instrText xml:space="preserve"> TOC \o "1-2" \h \z \t "Heading 3,3,Chapter heading,1,01. Chapter heading,1" </w:instrText>
          </w:r>
          <w:r>
            <w:rPr>
              <w:rFonts w:asciiTheme="majorHAnsi" w:eastAsiaTheme="majorEastAsia" w:hAnsiTheme="majorHAnsi" w:cstheme="majorBidi"/>
              <w:bCs/>
              <w:color w:val="000000" w:themeColor="text1"/>
              <w:sz w:val="28"/>
              <w:szCs w:val="28"/>
              <w:lang w:val="en-US"/>
            </w:rPr>
            <w:fldChar w:fldCharType="separate"/>
          </w:r>
        </w:p>
        <w:p w14:paraId="349B8277" w14:textId="7489B2FA" w:rsidR="00732115" w:rsidRPr="00FB01E3" w:rsidRDefault="00936595">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614526" w:history="1">
            <w:r w:rsidR="00732115" w:rsidRPr="00FB01E3">
              <w:rPr>
                <w:rStyle w:val="Hyperlink"/>
                <w:noProof/>
                <w:color w:val="auto"/>
              </w:rPr>
              <w:t xml:space="preserve">Abbreviations and glossary </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_Toc106614526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6</w:t>
            </w:r>
            <w:r w:rsidR="00732115" w:rsidRPr="00FB01E3">
              <w:rPr>
                <w:noProof/>
                <w:webHidden/>
                <w:color w:val="auto"/>
              </w:rPr>
              <w:fldChar w:fldCharType="end"/>
            </w:r>
          </w:hyperlink>
        </w:p>
        <w:p w14:paraId="4CE8E16D" w14:textId="2B32E6CA" w:rsidR="00732115" w:rsidRPr="00FB01E3" w:rsidRDefault="00936595">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614527" w:history="1">
            <w:r w:rsidR="00732115" w:rsidRPr="00FB01E3">
              <w:rPr>
                <w:rStyle w:val="Hyperlink"/>
                <w:noProof/>
                <w:color w:val="auto"/>
              </w:rPr>
              <w:t>1</w:t>
            </w:r>
            <w:r w:rsidR="00732115" w:rsidRPr="00FB01E3">
              <w:rPr>
                <w:rFonts w:asciiTheme="minorHAnsi" w:eastAsiaTheme="minorEastAsia" w:hAnsiTheme="minorHAnsi" w:cstheme="minorBidi"/>
                <w:b w:val="0"/>
                <w:noProof/>
                <w:color w:val="auto"/>
                <w:sz w:val="22"/>
                <w:szCs w:val="22"/>
                <w:lang w:eastAsia="en-AU"/>
              </w:rPr>
              <w:tab/>
            </w:r>
            <w:r w:rsidR="00732115" w:rsidRPr="00FB01E3">
              <w:rPr>
                <w:rStyle w:val="Hyperlink"/>
                <w:noProof/>
                <w:color w:val="auto"/>
              </w:rPr>
              <w:t>Context</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_Toc106614527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7</w:t>
            </w:r>
            <w:r w:rsidR="00732115" w:rsidRPr="00FB01E3">
              <w:rPr>
                <w:noProof/>
                <w:webHidden/>
                <w:color w:val="auto"/>
              </w:rPr>
              <w:fldChar w:fldCharType="end"/>
            </w:r>
          </w:hyperlink>
        </w:p>
        <w:p w14:paraId="1D1CF668" w14:textId="7BD5B64D"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28" w:history="1">
            <w:r w:rsidR="00732115" w:rsidRPr="00FB01E3">
              <w:rPr>
                <w:rStyle w:val="Hyperlink"/>
                <w:noProof/>
                <w:color w:val="auto"/>
              </w:rPr>
              <w:t>1.1</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Legislative requirements</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_Toc106614528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8</w:t>
            </w:r>
            <w:r w:rsidR="00732115" w:rsidRPr="00FB01E3">
              <w:rPr>
                <w:noProof/>
                <w:webHidden/>
                <w:color w:val="auto"/>
              </w:rPr>
              <w:fldChar w:fldCharType="end"/>
            </w:r>
          </w:hyperlink>
        </w:p>
        <w:p w14:paraId="7B25A528" w14:textId="5E9DB35D"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29" w:history="1">
            <w:r w:rsidR="00732115" w:rsidRPr="00FB01E3">
              <w:rPr>
                <w:rStyle w:val="Hyperlink"/>
                <w:noProof/>
                <w:color w:val="auto"/>
              </w:rPr>
              <w:t>1.2</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Consultation</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_Toc106614529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9</w:t>
            </w:r>
            <w:r w:rsidR="00732115" w:rsidRPr="00FB01E3">
              <w:rPr>
                <w:noProof/>
                <w:webHidden/>
                <w:color w:val="auto"/>
              </w:rPr>
              <w:fldChar w:fldCharType="end"/>
            </w:r>
          </w:hyperlink>
        </w:p>
        <w:p w14:paraId="6E3DE444" w14:textId="7138E0E0" w:rsidR="00732115" w:rsidRPr="00FB01E3" w:rsidRDefault="00936595">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614530" w:history="1">
            <w:r w:rsidR="00732115" w:rsidRPr="00FB01E3">
              <w:rPr>
                <w:rStyle w:val="Hyperlink"/>
                <w:noProof/>
                <w:color w:val="auto"/>
              </w:rPr>
              <w:t>2</w:t>
            </w:r>
            <w:r w:rsidR="00732115" w:rsidRPr="00FB01E3">
              <w:rPr>
                <w:rFonts w:asciiTheme="minorHAnsi" w:eastAsiaTheme="minorEastAsia" w:hAnsiTheme="minorHAnsi" w:cstheme="minorBidi"/>
                <w:b w:val="0"/>
                <w:noProof/>
                <w:color w:val="auto"/>
                <w:sz w:val="22"/>
                <w:szCs w:val="22"/>
                <w:lang w:eastAsia="en-AU"/>
              </w:rPr>
              <w:tab/>
            </w:r>
            <w:r w:rsidR="00732115" w:rsidRPr="00FB01E3">
              <w:rPr>
                <w:rStyle w:val="Hyperlink"/>
                <w:noProof/>
                <w:color w:val="auto"/>
              </w:rPr>
              <w:t xml:space="preserve">Victorian Government remuneration policies </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_Toc106614530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10</w:t>
            </w:r>
            <w:r w:rsidR="00732115" w:rsidRPr="00FB01E3">
              <w:rPr>
                <w:noProof/>
                <w:webHidden/>
                <w:color w:val="auto"/>
              </w:rPr>
              <w:fldChar w:fldCharType="end"/>
            </w:r>
          </w:hyperlink>
        </w:p>
        <w:p w14:paraId="576B04E8" w14:textId="0CF798E6"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1" w:history="1">
            <w:r w:rsidR="00732115" w:rsidRPr="00FB01E3">
              <w:rPr>
                <w:rStyle w:val="Hyperlink"/>
                <w:noProof/>
                <w:color w:val="auto"/>
              </w:rPr>
              <w:t>2.1</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Wages Policy</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_Toc106614531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10</w:t>
            </w:r>
            <w:r w:rsidR="00732115" w:rsidRPr="00FB01E3">
              <w:rPr>
                <w:noProof/>
                <w:webHidden/>
                <w:color w:val="auto"/>
              </w:rPr>
              <w:fldChar w:fldCharType="end"/>
            </w:r>
          </w:hyperlink>
        </w:p>
        <w:p w14:paraId="3FA80A07" w14:textId="32D9F742"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2" w:history="1">
            <w:r w:rsidR="00732115" w:rsidRPr="00FB01E3">
              <w:rPr>
                <w:rStyle w:val="Hyperlink"/>
                <w:noProof/>
                <w:color w:val="auto"/>
              </w:rPr>
              <w:t>2.2</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Executive employment and remuneration policies</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_Toc106614532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11</w:t>
            </w:r>
            <w:r w:rsidR="00732115" w:rsidRPr="00FB01E3">
              <w:rPr>
                <w:noProof/>
                <w:webHidden/>
                <w:color w:val="auto"/>
              </w:rPr>
              <w:fldChar w:fldCharType="end"/>
            </w:r>
          </w:hyperlink>
        </w:p>
        <w:p w14:paraId="2C958EE7" w14:textId="6D02CE78" w:rsidR="00732115" w:rsidRPr="00FB01E3" w:rsidRDefault="00936595">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614533" w:history="1">
            <w:r w:rsidR="00732115" w:rsidRPr="00FB01E3">
              <w:rPr>
                <w:rStyle w:val="Hyperlink"/>
                <w:noProof/>
                <w:color w:val="auto"/>
              </w:rPr>
              <w:t>3</w:t>
            </w:r>
            <w:r w:rsidR="00732115" w:rsidRPr="00FB01E3">
              <w:rPr>
                <w:rFonts w:asciiTheme="minorHAnsi" w:eastAsiaTheme="minorEastAsia" w:hAnsiTheme="minorHAnsi" w:cstheme="minorBidi"/>
                <w:b w:val="0"/>
                <w:noProof/>
                <w:color w:val="auto"/>
                <w:sz w:val="22"/>
                <w:szCs w:val="22"/>
                <w:lang w:eastAsia="en-AU"/>
              </w:rPr>
              <w:tab/>
            </w:r>
            <w:r w:rsidR="00732115" w:rsidRPr="00FB01E3">
              <w:rPr>
                <w:rStyle w:val="Hyperlink"/>
                <w:noProof/>
                <w:color w:val="auto"/>
              </w:rPr>
              <w:t xml:space="preserve">Economic factors </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_Toc106614533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14</w:t>
            </w:r>
            <w:r w:rsidR="00732115" w:rsidRPr="00FB01E3">
              <w:rPr>
                <w:noProof/>
                <w:webHidden/>
                <w:color w:val="auto"/>
              </w:rPr>
              <w:fldChar w:fldCharType="end"/>
            </w:r>
          </w:hyperlink>
        </w:p>
        <w:p w14:paraId="0097FE07" w14:textId="7ACB38AF"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4" w:history="1">
            <w:r w:rsidR="00732115" w:rsidRPr="00FB01E3">
              <w:rPr>
                <w:rStyle w:val="Hyperlink"/>
                <w:noProof/>
                <w:color w:val="auto"/>
              </w:rPr>
              <w:t>3.1</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Current and projected economic conditions and trends</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_Toc106614534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14</w:t>
            </w:r>
            <w:r w:rsidR="00732115" w:rsidRPr="00FB01E3">
              <w:rPr>
                <w:noProof/>
                <w:webHidden/>
                <w:color w:val="auto"/>
              </w:rPr>
              <w:fldChar w:fldCharType="end"/>
            </w:r>
          </w:hyperlink>
        </w:p>
        <w:p w14:paraId="61F8F84E" w14:textId="34DF99DB"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5" w:history="1">
            <w:r w:rsidR="00732115" w:rsidRPr="00FB01E3">
              <w:rPr>
                <w:rStyle w:val="Hyperlink"/>
                <w:noProof/>
                <w:color w:val="auto"/>
              </w:rPr>
              <w:t>3.2</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Financial position and fiscal strategy of the State of Victoria</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_Toc106614535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19</w:t>
            </w:r>
            <w:r w:rsidR="00732115" w:rsidRPr="00FB01E3">
              <w:rPr>
                <w:noProof/>
                <w:webHidden/>
                <w:color w:val="auto"/>
              </w:rPr>
              <w:fldChar w:fldCharType="end"/>
            </w:r>
          </w:hyperlink>
        </w:p>
        <w:p w14:paraId="275AB728" w14:textId="2F535E9A" w:rsidR="00732115" w:rsidRPr="00FB01E3" w:rsidRDefault="00936595">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614536" w:history="1">
            <w:r w:rsidR="00732115" w:rsidRPr="00FB01E3">
              <w:rPr>
                <w:rStyle w:val="Hyperlink"/>
                <w:noProof/>
                <w:color w:val="auto"/>
              </w:rPr>
              <w:t>4</w:t>
            </w:r>
            <w:r w:rsidR="00732115" w:rsidRPr="00FB01E3">
              <w:rPr>
                <w:rFonts w:asciiTheme="minorHAnsi" w:eastAsiaTheme="minorEastAsia" w:hAnsiTheme="minorHAnsi" w:cstheme="minorBidi"/>
                <w:b w:val="0"/>
                <w:noProof/>
                <w:color w:val="auto"/>
                <w:sz w:val="22"/>
                <w:szCs w:val="22"/>
                <w:lang w:eastAsia="en-AU"/>
              </w:rPr>
              <w:tab/>
            </w:r>
            <w:r w:rsidR="00732115" w:rsidRPr="00FB01E3">
              <w:rPr>
                <w:rStyle w:val="Hyperlink"/>
                <w:noProof/>
                <w:color w:val="auto"/>
              </w:rPr>
              <w:t xml:space="preserve">Tribunal’s considerations </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_Toc106614536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21</w:t>
            </w:r>
            <w:r w:rsidR="00732115" w:rsidRPr="00FB01E3">
              <w:rPr>
                <w:noProof/>
                <w:webHidden/>
                <w:color w:val="auto"/>
              </w:rPr>
              <w:fldChar w:fldCharType="end"/>
            </w:r>
          </w:hyperlink>
        </w:p>
        <w:p w14:paraId="5E315145" w14:textId="0A0A5914"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7" w:history="1">
            <w:r w:rsidR="00732115" w:rsidRPr="00FB01E3">
              <w:rPr>
                <w:rStyle w:val="Hyperlink"/>
                <w:noProof/>
                <w:color w:val="auto"/>
              </w:rPr>
              <w:t>4.1</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Salary component</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_Toc106614537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21</w:t>
            </w:r>
            <w:r w:rsidR="00732115" w:rsidRPr="00FB01E3">
              <w:rPr>
                <w:noProof/>
                <w:webHidden/>
                <w:color w:val="auto"/>
              </w:rPr>
              <w:fldChar w:fldCharType="end"/>
            </w:r>
          </w:hyperlink>
        </w:p>
        <w:p w14:paraId="2507B8CF" w14:textId="7245EE92"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8" w:history="1">
            <w:r w:rsidR="00732115" w:rsidRPr="00FB01E3">
              <w:rPr>
                <w:rStyle w:val="Hyperlink"/>
                <w:noProof/>
                <w:color w:val="auto"/>
              </w:rPr>
              <w:t>4.2</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Superannuation component</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_Toc106614538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23</w:t>
            </w:r>
            <w:r w:rsidR="00732115" w:rsidRPr="00FB01E3">
              <w:rPr>
                <w:noProof/>
                <w:webHidden/>
                <w:color w:val="auto"/>
              </w:rPr>
              <w:fldChar w:fldCharType="end"/>
            </w:r>
          </w:hyperlink>
        </w:p>
        <w:p w14:paraId="34499087" w14:textId="74909B4C"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39" w:history="1">
            <w:r w:rsidR="00732115" w:rsidRPr="00FB01E3">
              <w:rPr>
                <w:rStyle w:val="Hyperlink"/>
                <w:noProof/>
                <w:color w:val="auto"/>
              </w:rPr>
              <w:t>4.3</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Total adjustment to the bands</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_Toc106614539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26</w:t>
            </w:r>
            <w:r w:rsidR="00732115" w:rsidRPr="00FB01E3">
              <w:rPr>
                <w:noProof/>
                <w:webHidden/>
                <w:color w:val="auto"/>
              </w:rPr>
              <w:fldChar w:fldCharType="end"/>
            </w:r>
          </w:hyperlink>
        </w:p>
        <w:p w14:paraId="053A4EC8" w14:textId="4284C0C9" w:rsidR="00732115" w:rsidRPr="00FB01E3" w:rsidRDefault="00936595">
          <w:pPr>
            <w:pStyle w:val="TOC2"/>
            <w:tabs>
              <w:tab w:val="left" w:pos="1200"/>
              <w:tab w:val="right" w:leader="dot" w:pos="8494"/>
            </w:tabs>
            <w:rPr>
              <w:rFonts w:asciiTheme="minorHAnsi" w:eastAsiaTheme="minorEastAsia" w:hAnsiTheme="minorHAnsi"/>
              <w:noProof/>
              <w:color w:val="auto"/>
              <w:sz w:val="22"/>
              <w:lang w:eastAsia="en-AU"/>
            </w:rPr>
          </w:pPr>
          <w:hyperlink w:anchor="_Toc106614540" w:history="1">
            <w:r w:rsidR="00732115" w:rsidRPr="00FB01E3">
              <w:rPr>
                <w:rStyle w:val="Hyperlink"/>
                <w:noProof/>
                <w:color w:val="auto"/>
              </w:rPr>
              <w:t>4.4</w:t>
            </w:r>
            <w:r w:rsidR="00732115" w:rsidRPr="00FB01E3">
              <w:rPr>
                <w:rFonts w:asciiTheme="minorHAnsi" w:eastAsiaTheme="minorEastAsia" w:hAnsiTheme="minorHAnsi"/>
                <w:noProof/>
                <w:color w:val="auto"/>
                <w:sz w:val="22"/>
                <w:lang w:eastAsia="en-AU"/>
              </w:rPr>
              <w:tab/>
            </w:r>
            <w:r w:rsidR="00732115" w:rsidRPr="00FB01E3">
              <w:rPr>
                <w:rStyle w:val="Hyperlink"/>
                <w:noProof/>
                <w:color w:val="auto"/>
              </w:rPr>
              <w:t>Conclusion</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_Toc106614540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26</w:t>
            </w:r>
            <w:r w:rsidR="00732115" w:rsidRPr="00FB01E3">
              <w:rPr>
                <w:noProof/>
                <w:webHidden/>
                <w:color w:val="auto"/>
              </w:rPr>
              <w:fldChar w:fldCharType="end"/>
            </w:r>
          </w:hyperlink>
        </w:p>
        <w:p w14:paraId="28ED09ED" w14:textId="6C1F96D0" w:rsidR="00732115" w:rsidRPr="00FB01E3" w:rsidRDefault="00936595">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614541" w:history="1">
            <w:r w:rsidR="00732115" w:rsidRPr="00FB01E3">
              <w:rPr>
                <w:rStyle w:val="Hyperlink"/>
                <w:noProof/>
                <w:color w:val="auto"/>
              </w:rPr>
              <w:t xml:space="preserve">References </w:t>
            </w:r>
            <w:r w:rsidR="00732115" w:rsidRPr="00FB01E3">
              <w:rPr>
                <w:noProof/>
                <w:webHidden/>
                <w:color w:val="auto"/>
              </w:rPr>
              <w:tab/>
            </w:r>
            <w:r w:rsidR="00732115" w:rsidRPr="00FB01E3">
              <w:rPr>
                <w:noProof/>
                <w:webHidden/>
                <w:color w:val="auto"/>
              </w:rPr>
              <w:fldChar w:fldCharType="begin"/>
            </w:r>
            <w:r w:rsidR="00732115" w:rsidRPr="00FB01E3">
              <w:rPr>
                <w:noProof/>
                <w:webHidden/>
                <w:color w:val="auto"/>
              </w:rPr>
              <w:instrText xml:space="preserve"> PAGEREF _Toc106614541 \h </w:instrText>
            </w:r>
            <w:r w:rsidR="00732115" w:rsidRPr="00FB01E3">
              <w:rPr>
                <w:noProof/>
                <w:webHidden/>
                <w:color w:val="auto"/>
              </w:rPr>
            </w:r>
            <w:r w:rsidR="00732115" w:rsidRPr="00FB01E3">
              <w:rPr>
                <w:noProof/>
                <w:webHidden/>
                <w:color w:val="auto"/>
              </w:rPr>
              <w:fldChar w:fldCharType="separate"/>
            </w:r>
            <w:r w:rsidR="00FB01E3" w:rsidRPr="00FB01E3">
              <w:rPr>
                <w:noProof/>
                <w:webHidden/>
                <w:color w:val="auto"/>
              </w:rPr>
              <w:t>28</w:t>
            </w:r>
            <w:r w:rsidR="00732115" w:rsidRPr="00FB01E3">
              <w:rPr>
                <w:noProof/>
                <w:webHidden/>
                <w:color w:val="auto"/>
              </w:rPr>
              <w:fldChar w:fldCharType="end"/>
            </w:r>
          </w:hyperlink>
        </w:p>
        <w:p w14:paraId="3437B370" w14:textId="70868BCB" w:rsidR="00B1131E" w:rsidRPr="00D8674E" w:rsidRDefault="00D714D0" w:rsidP="00D714D0">
          <w:pPr>
            <w:pStyle w:val="TOC1"/>
            <w:tabs>
              <w:tab w:val="right" w:leader="dot" w:pos="8494"/>
            </w:tabs>
            <w:rPr>
              <w:rFonts w:asciiTheme="majorHAnsi" w:eastAsiaTheme="majorEastAsia" w:hAnsiTheme="majorHAnsi" w:cstheme="majorBidi"/>
              <w:sz w:val="28"/>
              <w:szCs w:val="28"/>
              <w:lang w:val="en-US"/>
            </w:rPr>
          </w:pPr>
          <w:r>
            <w:rPr>
              <w:rFonts w:asciiTheme="majorHAnsi" w:eastAsiaTheme="majorEastAsia" w:hAnsiTheme="majorHAnsi" w:cstheme="majorBidi"/>
              <w:bCs/>
              <w:color w:val="000000" w:themeColor="text1"/>
              <w:sz w:val="28"/>
              <w:szCs w:val="28"/>
              <w:lang w:val="en-US"/>
            </w:rPr>
            <w:fldChar w:fldCharType="end"/>
          </w:r>
          <w:r w:rsidR="00827D44">
            <w:rPr>
              <w:rFonts w:asciiTheme="majorHAnsi" w:eastAsiaTheme="majorEastAsia" w:hAnsiTheme="majorHAnsi" w:cstheme="majorBidi"/>
              <w:bCs/>
              <w:sz w:val="28"/>
              <w:szCs w:val="28"/>
              <w:lang w:val="en-US"/>
            </w:rPr>
            <w:br w:type="page"/>
          </w:r>
        </w:p>
      </w:sdtContent>
    </w:sdt>
    <w:p w14:paraId="57EB8FAD" w14:textId="5F4E3AEA" w:rsidR="003209FB" w:rsidRPr="00155237" w:rsidRDefault="003209FB" w:rsidP="00B1131E">
      <w:pPr>
        <w:pStyle w:val="Chapterheading"/>
        <w:rPr>
          <w:sz w:val="28"/>
          <w:szCs w:val="28"/>
        </w:rPr>
        <w:sectPr w:rsidR="003209FB" w:rsidRPr="00155237" w:rsidSect="00F90BEA">
          <w:pgSz w:w="11906" w:h="16838"/>
          <w:pgMar w:top="1701" w:right="1701" w:bottom="1559" w:left="1701" w:header="425" w:footer="709" w:gutter="0"/>
          <w:cols w:space="282"/>
          <w:docGrid w:linePitch="360"/>
        </w:sectPr>
      </w:pPr>
    </w:p>
    <w:p w14:paraId="6A70F24A" w14:textId="4AA28CE0" w:rsidR="00EA6264" w:rsidRDefault="00D917F6" w:rsidP="003B13AF">
      <w:pPr>
        <w:pStyle w:val="01Chapterheading"/>
      </w:pPr>
      <w:bookmarkStart w:id="26" w:name="_Toc106614526"/>
      <w:r>
        <w:lastRenderedPageBreak/>
        <w:t>Abbreviations and g</w:t>
      </w:r>
      <w:r w:rsidR="0036425F">
        <w:t>lossary</w:t>
      </w:r>
      <w:r w:rsidR="00EA6264">
        <w:br/>
      </w:r>
      <w:r w:rsidR="00EA6264" w:rsidRPr="00C02C39">
        <w:rPr>
          <w:noProof/>
        </w:rPr>
        <w:drawing>
          <wp:inline distT="0" distB="0" distL="0" distR="0" wp14:anchorId="75CD494A" wp14:editId="5F817FD6">
            <wp:extent cx="2222500" cy="253365"/>
            <wp:effectExtent l="0" t="0" r="6350" b="0"/>
            <wp:docPr id="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26"/>
    </w:p>
    <w:tbl>
      <w:tblPr>
        <w:tblStyle w:val="ListTable3-Accent21"/>
        <w:tblW w:w="0" w:type="auto"/>
        <w:tblInd w:w="5" w:type="dxa"/>
        <w:tblLook w:val="04A0" w:firstRow="1" w:lastRow="0" w:firstColumn="1" w:lastColumn="0" w:noHBand="0" w:noVBand="1"/>
      </w:tblPr>
      <w:tblGrid>
        <w:gridCol w:w="2972"/>
        <w:gridCol w:w="5522"/>
      </w:tblGrid>
      <w:tr w:rsidR="00685242" w14:paraId="07C46788" w14:textId="77777777" w:rsidTr="008644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Pr>
          <w:p w14:paraId="7965D06F" w14:textId="5B0246F9" w:rsidR="00685242" w:rsidRDefault="003B13AF" w:rsidP="003B13AF">
            <w:pPr>
              <w:pStyle w:val="Textinthetable"/>
            </w:pPr>
            <w:r>
              <w:t>Term or abbreviation</w:t>
            </w:r>
          </w:p>
        </w:tc>
        <w:tc>
          <w:tcPr>
            <w:tcW w:w="5522" w:type="dxa"/>
          </w:tcPr>
          <w:p w14:paraId="51FA3B5E" w14:textId="03DBC60F" w:rsidR="00685242" w:rsidRDefault="003B13AF" w:rsidP="003B13AF">
            <w:pPr>
              <w:pStyle w:val="Textinthetable"/>
              <w:cnfStyle w:val="100000000000" w:firstRow="1" w:lastRow="0" w:firstColumn="0" w:lastColumn="0" w:oddVBand="0" w:evenVBand="0" w:oddHBand="0" w:evenHBand="0" w:firstRowFirstColumn="0" w:firstRowLastColumn="0" w:lastRowFirstColumn="0" w:lastRowLastColumn="0"/>
            </w:pPr>
            <w:r>
              <w:t>Definition</w:t>
            </w:r>
          </w:p>
        </w:tc>
      </w:tr>
      <w:tr w:rsidR="00B002A7" w14:paraId="2A008B6A"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53DE696" w14:textId="71F12924" w:rsidR="00B002A7" w:rsidRPr="002B6365" w:rsidRDefault="00B002A7" w:rsidP="003B13AF">
            <w:pPr>
              <w:pStyle w:val="Textinthetable"/>
              <w:rPr>
                <w:color w:val="auto"/>
              </w:rPr>
            </w:pPr>
            <w:r w:rsidRPr="002B6365">
              <w:rPr>
                <w:color w:val="auto"/>
              </w:rPr>
              <w:t>2022 VPS Annual Adjustment Determination</w:t>
            </w:r>
          </w:p>
        </w:tc>
        <w:tc>
          <w:tcPr>
            <w:tcW w:w="5522" w:type="dxa"/>
          </w:tcPr>
          <w:p w14:paraId="02C3BB99" w14:textId="779B07D5" w:rsidR="00B002A7" w:rsidRPr="002B6365" w:rsidRDefault="00B002A7" w:rsidP="003B13AF">
            <w:pPr>
              <w:pStyle w:val="Textinthetable"/>
              <w:cnfStyle w:val="000000100000" w:firstRow="0" w:lastRow="0" w:firstColumn="0" w:lastColumn="0" w:oddVBand="0" w:evenVBand="0" w:oddHBand="1" w:evenHBand="0" w:firstRowFirstColumn="0" w:firstRowLastColumn="0" w:lastRowFirstColumn="0" w:lastRowLastColumn="0"/>
              <w:rPr>
                <w:i/>
                <w:iCs/>
                <w:color w:val="auto"/>
              </w:rPr>
            </w:pPr>
            <w:r w:rsidRPr="002B6365">
              <w:rPr>
                <w:i/>
                <w:iCs/>
                <w:color w:val="auto"/>
              </w:rPr>
              <w:t>Remuneration bands for executives employed in public service bodies (Victoria) Annual Adjustment Determination 2022</w:t>
            </w:r>
          </w:p>
        </w:tc>
      </w:tr>
      <w:tr w:rsidR="00685242" w14:paraId="05BB75A9"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14C492D8" w14:textId="05587DDE" w:rsidR="00685242" w:rsidRPr="00864404" w:rsidRDefault="00393CE4" w:rsidP="003B13AF">
            <w:pPr>
              <w:pStyle w:val="Textinthetable"/>
              <w:rPr>
                <w:b/>
                <w:bCs w:val="0"/>
                <w:color w:val="auto"/>
              </w:rPr>
            </w:pPr>
            <w:r w:rsidRPr="00864404">
              <w:rPr>
                <w:bCs w:val="0"/>
                <w:color w:val="auto"/>
              </w:rPr>
              <w:t>ABS</w:t>
            </w:r>
          </w:p>
        </w:tc>
        <w:tc>
          <w:tcPr>
            <w:tcW w:w="5522" w:type="dxa"/>
          </w:tcPr>
          <w:p w14:paraId="5442120E" w14:textId="571668EE" w:rsidR="00685242" w:rsidRPr="00864404" w:rsidRDefault="002E719F"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Australian Bureau of Statistics</w:t>
            </w:r>
          </w:p>
        </w:tc>
      </w:tr>
      <w:tr w:rsidR="00E802DF" w:rsidDel="00FD678D" w14:paraId="39CC3CF5"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079824C" w14:textId="42EB3686" w:rsidR="00E802DF" w:rsidRPr="00B7343B" w:rsidDel="00FD678D" w:rsidRDefault="00E802DF" w:rsidP="003B13AF">
            <w:pPr>
              <w:pStyle w:val="Textinthetable"/>
              <w:rPr>
                <w:bCs w:val="0"/>
                <w:color w:val="auto"/>
              </w:rPr>
            </w:pPr>
            <w:r w:rsidRPr="00B7343B">
              <w:rPr>
                <w:bCs w:val="0"/>
                <w:color w:val="auto"/>
              </w:rPr>
              <w:t>AO</w:t>
            </w:r>
          </w:p>
        </w:tc>
        <w:tc>
          <w:tcPr>
            <w:tcW w:w="5522" w:type="dxa"/>
          </w:tcPr>
          <w:p w14:paraId="70885906" w14:textId="0710D703" w:rsidR="00E802DF" w:rsidRPr="00B7343B" w:rsidDel="00FD678D" w:rsidRDefault="00E802DF"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B7343B">
              <w:rPr>
                <w:color w:val="auto"/>
              </w:rPr>
              <w:t>Administrative Office</w:t>
            </w:r>
          </w:p>
        </w:tc>
      </w:tr>
      <w:tr w:rsidR="00B7343B" w:rsidDel="00FD678D" w14:paraId="78B905D7"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1DDBECBE" w14:textId="4F66F99E" w:rsidR="00B7343B" w:rsidRPr="00344301" w:rsidRDefault="00B7343B" w:rsidP="003B13AF">
            <w:pPr>
              <w:pStyle w:val="Textinthetable"/>
              <w:rPr>
                <w:bCs w:val="0"/>
                <w:color w:val="auto"/>
              </w:rPr>
            </w:pPr>
            <w:r w:rsidRPr="00344301">
              <w:rPr>
                <w:bCs w:val="0"/>
                <w:color w:val="auto"/>
              </w:rPr>
              <w:t>AWOTE</w:t>
            </w:r>
          </w:p>
        </w:tc>
        <w:tc>
          <w:tcPr>
            <w:tcW w:w="5522" w:type="dxa"/>
          </w:tcPr>
          <w:p w14:paraId="1915E9DA" w14:textId="71629003" w:rsidR="00B7343B" w:rsidRPr="00344301" w:rsidRDefault="00344301"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344301">
              <w:rPr>
                <w:color w:val="auto"/>
              </w:rPr>
              <w:t>a</w:t>
            </w:r>
            <w:r w:rsidR="00B7343B" w:rsidRPr="00344301">
              <w:rPr>
                <w:color w:val="auto"/>
              </w:rPr>
              <w:t xml:space="preserve">verage weekly </w:t>
            </w:r>
            <w:r w:rsidRPr="00344301">
              <w:rPr>
                <w:color w:val="auto"/>
              </w:rPr>
              <w:t>ordinary time earnings</w:t>
            </w:r>
          </w:p>
        </w:tc>
      </w:tr>
      <w:tr w:rsidR="00B96028" w14:paraId="1CD576E4"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47785D8" w14:textId="71C987BC" w:rsidR="00B96028" w:rsidRPr="00864404" w:rsidRDefault="00B96028" w:rsidP="003B13AF">
            <w:pPr>
              <w:pStyle w:val="Textinthetable"/>
              <w:rPr>
                <w:b/>
                <w:bCs w:val="0"/>
                <w:color w:val="auto"/>
              </w:rPr>
            </w:pPr>
            <w:r w:rsidRPr="00864404">
              <w:rPr>
                <w:bCs w:val="0"/>
                <w:color w:val="auto"/>
              </w:rPr>
              <w:t>Budget</w:t>
            </w:r>
          </w:p>
        </w:tc>
        <w:tc>
          <w:tcPr>
            <w:tcW w:w="5522" w:type="dxa"/>
          </w:tcPr>
          <w:p w14:paraId="2856966C" w14:textId="4E0D5C43" w:rsidR="00B96028" w:rsidRPr="008644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i/>
                <w:iCs/>
                <w:color w:val="auto"/>
              </w:rPr>
            </w:pPr>
            <w:r w:rsidRPr="00864404">
              <w:rPr>
                <w:i/>
                <w:iCs/>
                <w:color w:val="auto"/>
              </w:rPr>
              <w:t>Victorian Budget 2022/23</w:t>
            </w:r>
          </w:p>
        </w:tc>
      </w:tr>
      <w:tr w:rsidR="00685242" w14:paraId="3FDC7090"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039D8E51" w14:textId="3AA978D5" w:rsidR="00685242" w:rsidRPr="00864404" w:rsidRDefault="00283BDE" w:rsidP="003B13AF">
            <w:pPr>
              <w:pStyle w:val="Textinthetable"/>
              <w:rPr>
                <w:b/>
                <w:bCs w:val="0"/>
                <w:color w:val="auto"/>
              </w:rPr>
            </w:pPr>
            <w:r w:rsidRPr="00864404">
              <w:rPr>
                <w:bCs w:val="0"/>
                <w:color w:val="auto"/>
              </w:rPr>
              <w:t>CPI</w:t>
            </w:r>
          </w:p>
        </w:tc>
        <w:tc>
          <w:tcPr>
            <w:tcW w:w="5522" w:type="dxa"/>
          </w:tcPr>
          <w:p w14:paraId="4E697C90" w14:textId="45C23A3B" w:rsidR="00685242" w:rsidRPr="00864404" w:rsidRDefault="00283BDE"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Consumer Price Index</w:t>
            </w:r>
          </w:p>
        </w:tc>
      </w:tr>
      <w:tr w:rsidR="00B96028" w14:paraId="3FA76076"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45FA7A" w14:textId="4DAE0DF2" w:rsidR="00B96028" w:rsidRPr="00864404" w:rsidRDefault="00B96028" w:rsidP="003B13AF">
            <w:pPr>
              <w:pStyle w:val="Textinthetable"/>
              <w:rPr>
                <w:b/>
                <w:bCs w:val="0"/>
                <w:color w:val="auto"/>
              </w:rPr>
            </w:pPr>
            <w:r w:rsidRPr="00864404">
              <w:rPr>
                <w:bCs w:val="0"/>
                <w:color w:val="auto"/>
              </w:rPr>
              <w:t>DTF</w:t>
            </w:r>
          </w:p>
        </w:tc>
        <w:tc>
          <w:tcPr>
            <w:tcW w:w="5522" w:type="dxa"/>
          </w:tcPr>
          <w:p w14:paraId="7FA6DE34" w14:textId="718CC6AF" w:rsidR="00B96028" w:rsidRPr="008644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Department of Treasury and Finance</w:t>
            </w:r>
          </w:p>
        </w:tc>
      </w:tr>
      <w:tr w:rsidR="00B93B62" w14:paraId="470C2601"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24047AEE" w14:textId="5FC6E47B" w:rsidR="00B93B62" w:rsidRPr="00864404" w:rsidRDefault="003E18CD" w:rsidP="00B93B62">
            <w:pPr>
              <w:pStyle w:val="Textinthetable"/>
              <w:rPr>
                <w:b/>
                <w:bCs w:val="0"/>
                <w:color w:val="auto"/>
              </w:rPr>
            </w:pPr>
            <w:r w:rsidRPr="00864404">
              <w:rPr>
                <w:bCs w:val="0"/>
                <w:color w:val="auto"/>
              </w:rPr>
              <w:t>FWC</w:t>
            </w:r>
          </w:p>
        </w:tc>
        <w:tc>
          <w:tcPr>
            <w:tcW w:w="5522" w:type="dxa"/>
          </w:tcPr>
          <w:p w14:paraId="5AECBC99" w14:textId="021FE81B" w:rsidR="00B93B62" w:rsidRPr="00864404" w:rsidRDefault="00B93B62" w:rsidP="00B93B62">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Fair Work Commission</w:t>
            </w:r>
          </w:p>
        </w:tc>
      </w:tr>
      <w:tr w:rsidR="006B65A4" w14:paraId="6C7946FA"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F18831" w14:textId="0C67D350" w:rsidR="006B65A4" w:rsidRPr="00864404" w:rsidRDefault="006B65A4" w:rsidP="003B13AF">
            <w:pPr>
              <w:pStyle w:val="Textinthetable"/>
              <w:rPr>
                <w:b/>
                <w:bCs w:val="0"/>
                <w:color w:val="auto"/>
              </w:rPr>
            </w:pPr>
            <w:r w:rsidRPr="00864404">
              <w:rPr>
                <w:bCs w:val="0"/>
                <w:color w:val="auto"/>
              </w:rPr>
              <w:t>GDP</w:t>
            </w:r>
          </w:p>
        </w:tc>
        <w:tc>
          <w:tcPr>
            <w:tcW w:w="5522" w:type="dxa"/>
          </w:tcPr>
          <w:p w14:paraId="5C02A4CD" w14:textId="518A2C47" w:rsidR="006B65A4" w:rsidRPr="00864404" w:rsidRDefault="006B65A4"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Gross Domestic Product</w:t>
            </w:r>
          </w:p>
        </w:tc>
      </w:tr>
      <w:tr w:rsidR="006B65A4" w14:paraId="59BDB244"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65A6DDB7" w14:textId="247EB516" w:rsidR="006B65A4" w:rsidRPr="00864404" w:rsidRDefault="006B65A4" w:rsidP="003B13AF">
            <w:pPr>
              <w:pStyle w:val="Textinthetable"/>
              <w:rPr>
                <w:b/>
                <w:bCs w:val="0"/>
                <w:color w:val="auto"/>
              </w:rPr>
            </w:pPr>
            <w:r w:rsidRPr="00864404">
              <w:rPr>
                <w:bCs w:val="0"/>
                <w:color w:val="auto"/>
              </w:rPr>
              <w:t>GSP</w:t>
            </w:r>
          </w:p>
        </w:tc>
        <w:tc>
          <w:tcPr>
            <w:tcW w:w="5522" w:type="dxa"/>
          </w:tcPr>
          <w:p w14:paraId="4D949FA7" w14:textId="54293E1F" w:rsidR="006B65A4" w:rsidRPr="00864404" w:rsidRDefault="006B65A4"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Gross State Product</w:t>
            </w:r>
          </w:p>
        </w:tc>
      </w:tr>
      <w:tr w:rsidR="00B96028" w14:paraId="2CDF862B"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E9FB80F" w14:textId="1CA46E02" w:rsidR="00B96028" w:rsidRPr="00864404" w:rsidRDefault="00B96028" w:rsidP="003B13AF">
            <w:pPr>
              <w:pStyle w:val="Textinthetable"/>
              <w:rPr>
                <w:b/>
                <w:bCs w:val="0"/>
                <w:color w:val="auto"/>
              </w:rPr>
            </w:pPr>
            <w:r w:rsidRPr="00864404">
              <w:rPr>
                <w:bCs w:val="0"/>
                <w:color w:val="auto"/>
              </w:rPr>
              <w:t>Handbook</w:t>
            </w:r>
          </w:p>
        </w:tc>
        <w:tc>
          <w:tcPr>
            <w:tcW w:w="5522" w:type="dxa"/>
          </w:tcPr>
          <w:p w14:paraId="3064FA35" w14:textId="3B738F61" w:rsidR="00B96028" w:rsidRPr="008644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VPS Executive Employment Handbook</w:t>
            </w:r>
          </w:p>
        </w:tc>
      </w:tr>
      <w:tr w:rsidR="00B96028" w14:paraId="70822C91"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660734AC" w14:textId="75A6C8FF" w:rsidR="00B96028" w:rsidRPr="00864404" w:rsidRDefault="00B96028" w:rsidP="003B13AF">
            <w:pPr>
              <w:pStyle w:val="Textinthetable"/>
              <w:rPr>
                <w:b/>
                <w:bCs w:val="0"/>
                <w:color w:val="auto"/>
              </w:rPr>
            </w:pPr>
            <w:r w:rsidRPr="00864404">
              <w:rPr>
                <w:bCs w:val="0"/>
                <w:color w:val="auto"/>
              </w:rPr>
              <w:t>MSCB</w:t>
            </w:r>
          </w:p>
        </w:tc>
        <w:tc>
          <w:tcPr>
            <w:tcW w:w="5522" w:type="dxa"/>
          </w:tcPr>
          <w:p w14:paraId="3D7C9C3A" w14:textId="45D8788F" w:rsidR="00B96028" w:rsidRPr="00864404" w:rsidRDefault="004C0865"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Pr>
                <w:color w:val="auto"/>
              </w:rPr>
              <w:t>m</w:t>
            </w:r>
            <w:r w:rsidR="00B96028" w:rsidRPr="00864404">
              <w:rPr>
                <w:color w:val="auto"/>
              </w:rPr>
              <w:t>aximum superannuation contribution base</w:t>
            </w:r>
          </w:p>
        </w:tc>
      </w:tr>
      <w:tr w:rsidR="003E18CD" w14:paraId="3444BD45"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E11119E" w14:textId="3DD27C65" w:rsidR="003E18CD" w:rsidRPr="00864404" w:rsidRDefault="003E18CD" w:rsidP="00B93B62">
            <w:pPr>
              <w:pStyle w:val="Textinthetable"/>
              <w:rPr>
                <w:b/>
                <w:bCs w:val="0"/>
                <w:color w:val="auto"/>
              </w:rPr>
            </w:pPr>
            <w:r w:rsidRPr="00864404">
              <w:rPr>
                <w:bCs w:val="0"/>
                <w:color w:val="auto"/>
              </w:rPr>
              <w:t>NMW</w:t>
            </w:r>
          </w:p>
        </w:tc>
        <w:tc>
          <w:tcPr>
            <w:tcW w:w="5522" w:type="dxa"/>
          </w:tcPr>
          <w:p w14:paraId="3FDD9FB5" w14:textId="55A416C9" w:rsidR="003E18CD" w:rsidRPr="00864404" w:rsidRDefault="003E18CD" w:rsidP="00B93B62">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National Minimum Wage</w:t>
            </w:r>
          </w:p>
        </w:tc>
      </w:tr>
      <w:tr w:rsidR="0020669E" w14:paraId="06114F22"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2FD786E0" w14:textId="017946E6" w:rsidR="0020669E" w:rsidRPr="00864404" w:rsidRDefault="0020669E" w:rsidP="003B13AF">
            <w:pPr>
              <w:pStyle w:val="Textinthetable"/>
              <w:rPr>
                <w:b/>
                <w:bCs w:val="0"/>
                <w:color w:val="auto"/>
              </w:rPr>
            </w:pPr>
            <w:r w:rsidRPr="00864404">
              <w:rPr>
                <w:bCs w:val="0"/>
                <w:color w:val="auto"/>
              </w:rPr>
              <w:t>N</w:t>
            </w:r>
            <w:r w:rsidR="00C00976">
              <w:rPr>
                <w:bCs w:val="0"/>
                <w:color w:val="auto"/>
              </w:rPr>
              <w:t>O</w:t>
            </w:r>
            <w:r w:rsidRPr="00864404">
              <w:rPr>
                <w:bCs w:val="0"/>
                <w:color w:val="auto"/>
              </w:rPr>
              <w:t>I</w:t>
            </w:r>
          </w:p>
        </w:tc>
        <w:tc>
          <w:tcPr>
            <w:tcW w:w="5522" w:type="dxa"/>
          </w:tcPr>
          <w:p w14:paraId="7A5E1324" w14:textId="5CA82334" w:rsidR="0020669E" w:rsidRPr="00864404" w:rsidRDefault="00EE287F"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Pr>
                <w:color w:val="auto"/>
              </w:rPr>
              <w:t>n</w:t>
            </w:r>
            <w:r w:rsidR="0020669E" w:rsidRPr="00864404">
              <w:rPr>
                <w:color w:val="auto"/>
              </w:rPr>
              <w:t>otice of intention</w:t>
            </w:r>
          </w:p>
        </w:tc>
      </w:tr>
      <w:tr w:rsidR="00B96028" w14:paraId="4153DCF0"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346391A" w14:textId="55E1FC01" w:rsidR="00B96028" w:rsidRPr="00864404" w:rsidRDefault="00B96028" w:rsidP="003B13AF">
            <w:pPr>
              <w:pStyle w:val="Textinthetable"/>
              <w:rPr>
                <w:b/>
                <w:bCs w:val="0"/>
                <w:color w:val="auto"/>
              </w:rPr>
            </w:pPr>
            <w:r w:rsidRPr="00864404">
              <w:rPr>
                <w:bCs w:val="0"/>
                <w:color w:val="auto"/>
              </w:rPr>
              <w:t>PAA</w:t>
            </w:r>
          </w:p>
        </w:tc>
        <w:tc>
          <w:tcPr>
            <w:tcW w:w="5522" w:type="dxa"/>
          </w:tcPr>
          <w:p w14:paraId="18098C30" w14:textId="1616068D" w:rsidR="00B96028" w:rsidRPr="008644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i/>
                <w:iCs/>
                <w:color w:val="auto"/>
              </w:rPr>
              <w:t>Public Administration Act 2004</w:t>
            </w:r>
            <w:r w:rsidRPr="00864404">
              <w:rPr>
                <w:color w:val="auto"/>
              </w:rPr>
              <w:t xml:space="preserve"> (Vic)</w:t>
            </w:r>
          </w:p>
        </w:tc>
      </w:tr>
      <w:tr w:rsidR="006B65A4" w14:paraId="1D6FE431"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0D5D9F9E" w14:textId="0A9FE5F0" w:rsidR="006B65A4" w:rsidRPr="00864404" w:rsidRDefault="006B65A4" w:rsidP="003B13AF">
            <w:pPr>
              <w:pStyle w:val="Textinthetable"/>
              <w:rPr>
                <w:b/>
                <w:bCs w:val="0"/>
                <w:color w:val="auto"/>
              </w:rPr>
            </w:pPr>
            <w:r w:rsidRPr="00864404">
              <w:rPr>
                <w:bCs w:val="0"/>
                <w:color w:val="auto"/>
              </w:rPr>
              <w:t>RBA</w:t>
            </w:r>
          </w:p>
        </w:tc>
        <w:tc>
          <w:tcPr>
            <w:tcW w:w="5522" w:type="dxa"/>
          </w:tcPr>
          <w:p w14:paraId="5BC13089" w14:textId="18C834E7" w:rsidR="006B65A4" w:rsidRPr="00864404" w:rsidRDefault="006B65A4"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Reserve Bank of Australia</w:t>
            </w:r>
          </w:p>
        </w:tc>
      </w:tr>
      <w:tr w:rsidR="00B96028" w14:paraId="2A8D839A"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EFD9F3A" w14:textId="6808B4EE" w:rsidR="00B96028" w:rsidRPr="00864404" w:rsidRDefault="00B96028" w:rsidP="003B13AF">
            <w:pPr>
              <w:pStyle w:val="Textinthetable"/>
              <w:rPr>
                <w:b/>
                <w:bCs w:val="0"/>
                <w:color w:val="auto"/>
              </w:rPr>
            </w:pPr>
            <w:r w:rsidRPr="00864404">
              <w:rPr>
                <w:bCs w:val="0"/>
                <w:color w:val="auto"/>
              </w:rPr>
              <w:t>SG</w:t>
            </w:r>
          </w:p>
        </w:tc>
        <w:tc>
          <w:tcPr>
            <w:tcW w:w="5522" w:type="dxa"/>
          </w:tcPr>
          <w:p w14:paraId="12D2582D" w14:textId="1807CE55" w:rsidR="00B96028" w:rsidRPr="008644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Superannuation Guarantee</w:t>
            </w:r>
          </w:p>
        </w:tc>
      </w:tr>
      <w:tr w:rsidR="00B96028" w14:paraId="07410F54"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2D39E31A" w14:textId="6DBDCB85" w:rsidR="00B96028" w:rsidRPr="00864404" w:rsidRDefault="00B96028" w:rsidP="003B13AF">
            <w:pPr>
              <w:pStyle w:val="Textinthetable"/>
              <w:rPr>
                <w:b/>
                <w:bCs w:val="0"/>
                <w:color w:val="auto"/>
              </w:rPr>
            </w:pPr>
            <w:r w:rsidRPr="00864404">
              <w:rPr>
                <w:bCs w:val="0"/>
                <w:color w:val="auto"/>
              </w:rPr>
              <w:t>Standard Contract</w:t>
            </w:r>
          </w:p>
        </w:tc>
        <w:tc>
          <w:tcPr>
            <w:tcW w:w="5522" w:type="dxa"/>
          </w:tcPr>
          <w:p w14:paraId="20CA2D85" w14:textId="153DAD32" w:rsidR="00B96028" w:rsidRPr="00864404" w:rsidRDefault="00B96028" w:rsidP="003B13AF">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Standard VPS Executive Contract</w:t>
            </w:r>
          </w:p>
        </w:tc>
      </w:tr>
      <w:tr w:rsidR="00E41AC9" w14:paraId="343B442A"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A54C83" w14:textId="110B4F7E" w:rsidR="00E41AC9" w:rsidRPr="00864404" w:rsidRDefault="00E41AC9" w:rsidP="00B93B62">
            <w:pPr>
              <w:pStyle w:val="Textinthetable"/>
              <w:rPr>
                <w:b/>
                <w:bCs w:val="0"/>
                <w:color w:val="auto"/>
              </w:rPr>
            </w:pPr>
            <w:r w:rsidRPr="00864404">
              <w:rPr>
                <w:bCs w:val="0"/>
                <w:color w:val="auto"/>
              </w:rPr>
              <w:t>Tribunal</w:t>
            </w:r>
          </w:p>
        </w:tc>
        <w:tc>
          <w:tcPr>
            <w:tcW w:w="5522" w:type="dxa"/>
          </w:tcPr>
          <w:p w14:paraId="12752C90" w14:textId="347F5934" w:rsidR="00E41AC9" w:rsidRPr="00864404" w:rsidRDefault="00E41AC9" w:rsidP="00B93B62">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Victorian Independent Remuneration Tribunal</w:t>
            </w:r>
          </w:p>
        </w:tc>
      </w:tr>
      <w:tr w:rsidR="00AB7273" w14:paraId="04DC5112"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202CE477" w14:textId="7F28CAEC" w:rsidR="00AB7273" w:rsidRPr="00AB7273" w:rsidRDefault="00AB7273" w:rsidP="00B93B62">
            <w:pPr>
              <w:pStyle w:val="Textinthetable"/>
              <w:rPr>
                <w:bCs w:val="0"/>
                <w:color w:val="auto"/>
              </w:rPr>
            </w:pPr>
            <w:r w:rsidRPr="00AB7273">
              <w:rPr>
                <w:bCs w:val="0"/>
                <w:color w:val="auto"/>
              </w:rPr>
              <w:t>TRP</w:t>
            </w:r>
          </w:p>
        </w:tc>
        <w:tc>
          <w:tcPr>
            <w:tcW w:w="5522" w:type="dxa"/>
          </w:tcPr>
          <w:p w14:paraId="75457667" w14:textId="271084E1" w:rsidR="00AB7273" w:rsidRPr="00AB7273" w:rsidRDefault="00AB7273" w:rsidP="00B93B62">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AB7273">
              <w:rPr>
                <w:color w:val="auto"/>
              </w:rPr>
              <w:t>total remuneration package</w:t>
            </w:r>
          </w:p>
        </w:tc>
      </w:tr>
      <w:tr w:rsidR="00B96028" w14:paraId="4C8C600D"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BE6CB0" w14:textId="07125DA4" w:rsidR="00B96028" w:rsidRPr="00864404" w:rsidRDefault="00B96028" w:rsidP="00B96028">
            <w:pPr>
              <w:pStyle w:val="Textinthetable"/>
              <w:rPr>
                <w:b/>
                <w:bCs w:val="0"/>
                <w:color w:val="auto"/>
              </w:rPr>
            </w:pPr>
            <w:r w:rsidRPr="00864404">
              <w:rPr>
                <w:bCs w:val="0"/>
                <w:color w:val="auto"/>
              </w:rPr>
              <w:t>VAGO</w:t>
            </w:r>
          </w:p>
        </w:tc>
        <w:tc>
          <w:tcPr>
            <w:tcW w:w="5522" w:type="dxa"/>
          </w:tcPr>
          <w:p w14:paraId="4E5C78A0" w14:textId="54BB8CAD" w:rsidR="00B96028" w:rsidRPr="00864404" w:rsidRDefault="00B96028" w:rsidP="00B96028">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Victorian Auditor-General’s Office</w:t>
            </w:r>
          </w:p>
        </w:tc>
      </w:tr>
      <w:tr w:rsidR="00B96028" w14:paraId="4B5DC0E3"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0EE166A8" w14:textId="391CAC02" w:rsidR="00B96028" w:rsidRPr="00864404" w:rsidRDefault="00B96028" w:rsidP="00B96028">
            <w:pPr>
              <w:pStyle w:val="Textinthetable"/>
              <w:rPr>
                <w:b/>
                <w:bCs w:val="0"/>
                <w:color w:val="auto"/>
              </w:rPr>
            </w:pPr>
            <w:r w:rsidRPr="00864404">
              <w:rPr>
                <w:bCs w:val="0"/>
                <w:color w:val="auto"/>
              </w:rPr>
              <w:t>VIRTIPS Act</w:t>
            </w:r>
          </w:p>
        </w:tc>
        <w:tc>
          <w:tcPr>
            <w:tcW w:w="5522" w:type="dxa"/>
          </w:tcPr>
          <w:p w14:paraId="782C0236" w14:textId="264EEAB0" w:rsidR="00B96028" w:rsidRPr="00864404" w:rsidRDefault="00B96028" w:rsidP="00B96028">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i/>
                <w:iCs/>
                <w:color w:val="auto"/>
              </w:rPr>
              <w:t>Victorian Independent Remuneration Tribunal and Improving Parliamentary Standards Act 2019</w:t>
            </w:r>
            <w:r w:rsidRPr="00864404">
              <w:rPr>
                <w:color w:val="auto"/>
              </w:rPr>
              <w:t xml:space="preserve"> (Vic)</w:t>
            </w:r>
          </w:p>
        </w:tc>
      </w:tr>
      <w:tr w:rsidR="000A77C3" w14:paraId="45DB9E13"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E6DCB3F" w14:textId="470DF7E6" w:rsidR="000A77C3" w:rsidRPr="00864404" w:rsidRDefault="000A77C3" w:rsidP="00B96028">
            <w:pPr>
              <w:pStyle w:val="Textinthetable"/>
              <w:rPr>
                <w:b/>
                <w:bCs w:val="0"/>
                <w:color w:val="auto"/>
              </w:rPr>
            </w:pPr>
            <w:r w:rsidRPr="00864404">
              <w:rPr>
                <w:bCs w:val="0"/>
                <w:color w:val="auto"/>
              </w:rPr>
              <w:t>VPS</w:t>
            </w:r>
          </w:p>
        </w:tc>
        <w:tc>
          <w:tcPr>
            <w:tcW w:w="5522" w:type="dxa"/>
          </w:tcPr>
          <w:p w14:paraId="151AF2A7" w14:textId="61216B83" w:rsidR="000A77C3" w:rsidRPr="00864404" w:rsidRDefault="000A77C3" w:rsidP="00B96028">
            <w:pPr>
              <w:pStyle w:val="Textinthetable"/>
              <w:cnfStyle w:val="000000100000" w:firstRow="0" w:lastRow="0" w:firstColumn="0" w:lastColumn="0" w:oddVBand="0" w:evenVBand="0" w:oddHBand="1" w:evenHBand="0" w:firstRowFirstColumn="0" w:firstRowLastColumn="0" w:lastRowFirstColumn="0" w:lastRowLastColumn="0"/>
              <w:rPr>
                <w:color w:val="auto"/>
              </w:rPr>
            </w:pPr>
            <w:r w:rsidRPr="00864404">
              <w:rPr>
                <w:color w:val="auto"/>
              </w:rPr>
              <w:t>Victorian Public Service</w:t>
            </w:r>
          </w:p>
        </w:tc>
      </w:tr>
      <w:tr w:rsidR="000A77C3" w14:paraId="746AEBF5"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454C536C" w14:textId="0065C6CF" w:rsidR="000A77C3" w:rsidRPr="00864404" w:rsidRDefault="000A77C3" w:rsidP="00B96028">
            <w:pPr>
              <w:pStyle w:val="Textinthetable"/>
              <w:rPr>
                <w:b/>
                <w:bCs w:val="0"/>
                <w:color w:val="auto"/>
              </w:rPr>
            </w:pPr>
            <w:r w:rsidRPr="00864404">
              <w:rPr>
                <w:bCs w:val="0"/>
                <w:color w:val="auto"/>
              </w:rPr>
              <w:t>VPSC</w:t>
            </w:r>
          </w:p>
        </w:tc>
        <w:tc>
          <w:tcPr>
            <w:tcW w:w="5522" w:type="dxa"/>
          </w:tcPr>
          <w:p w14:paraId="1C29388B" w14:textId="164D9DAF" w:rsidR="000A77C3" w:rsidRPr="00864404" w:rsidRDefault="000A77C3" w:rsidP="00B96028">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Victorian Pub</w:t>
            </w:r>
            <w:r w:rsidR="0020669E" w:rsidRPr="00864404">
              <w:rPr>
                <w:color w:val="auto"/>
              </w:rPr>
              <w:t>l</w:t>
            </w:r>
            <w:r w:rsidRPr="00864404">
              <w:rPr>
                <w:color w:val="auto"/>
              </w:rPr>
              <w:t>ic Sector Commission</w:t>
            </w:r>
          </w:p>
        </w:tc>
      </w:tr>
      <w:tr w:rsidR="009D0976" w14:paraId="65C4E214"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B1E5CF" w14:textId="496A3FB3" w:rsidR="009D0976" w:rsidRPr="00864404" w:rsidRDefault="009D0976" w:rsidP="00B93B62">
            <w:pPr>
              <w:pStyle w:val="Textinthetable"/>
              <w:rPr>
                <w:b/>
                <w:bCs w:val="0"/>
                <w:color w:val="auto"/>
              </w:rPr>
            </w:pPr>
            <w:r w:rsidRPr="00864404">
              <w:rPr>
                <w:bCs w:val="0"/>
                <w:color w:val="auto"/>
              </w:rPr>
              <w:t>VPS Comprehensive Determination</w:t>
            </w:r>
          </w:p>
        </w:tc>
        <w:tc>
          <w:tcPr>
            <w:tcW w:w="5522" w:type="dxa"/>
          </w:tcPr>
          <w:p w14:paraId="5FCA0F96" w14:textId="34572631" w:rsidR="009D0976" w:rsidRPr="00864404" w:rsidRDefault="00727AE7" w:rsidP="00B93B62">
            <w:pPr>
              <w:pStyle w:val="Textinthetable"/>
              <w:cnfStyle w:val="000000100000" w:firstRow="0" w:lastRow="0" w:firstColumn="0" w:lastColumn="0" w:oddVBand="0" w:evenVBand="0" w:oddHBand="1" w:evenHBand="0" w:firstRowFirstColumn="0" w:firstRowLastColumn="0" w:lastRowFirstColumn="0" w:lastRowLastColumn="0"/>
              <w:rPr>
                <w:i/>
                <w:color w:val="auto"/>
              </w:rPr>
            </w:pPr>
            <w:r w:rsidRPr="00864404">
              <w:rPr>
                <w:i/>
                <w:iCs/>
                <w:color w:val="auto"/>
              </w:rPr>
              <w:t>Remuneration bands</w:t>
            </w:r>
            <w:r w:rsidR="00E2628D" w:rsidRPr="00864404">
              <w:rPr>
                <w:i/>
                <w:iCs/>
                <w:color w:val="auto"/>
              </w:rPr>
              <w:t xml:space="preserve"> for executives employed in public service bodies (Victoria) Determination No. 01/2020</w:t>
            </w:r>
          </w:p>
        </w:tc>
      </w:tr>
      <w:tr w:rsidR="00CF5D51" w14:paraId="76AC40A1"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0388C529" w14:textId="5098E59D" w:rsidR="00CF5D51" w:rsidRPr="00864404" w:rsidRDefault="00CF5D51" w:rsidP="00B96028">
            <w:pPr>
              <w:pStyle w:val="Textinthetable"/>
              <w:rPr>
                <w:b/>
                <w:bCs w:val="0"/>
                <w:color w:val="auto"/>
              </w:rPr>
            </w:pPr>
            <w:r w:rsidRPr="00864404">
              <w:rPr>
                <w:bCs w:val="0"/>
                <w:color w:val="auto"/>
              </w:rPr>
              <w:t>VPS Enterprise Agreement</w:t>
            </w:r>
          </w:p>
        </w:tc>
        <w:tc>
          <w:tcPr>
            <w:tcW w:w="5522" w:type="dxa"/>
          </w:tcPr>
          <w:p w14:paraId="31006194" w14:textId="48AD0435" w:rsidR="00CF5D51" w:rsidRPr="00864404" w:rsidRDefault="00CF5D51" w:rsidP="00B96028">
            <w:pPr>
              <w:pStyle w:val="Textinthetable"/>
              <w:cnfStyle w:val="000000000000" w:firstRow="0" w:lastRow="0" w:firstColumn="0" w:lastColumn="0" w:oddVBand="0" w:evenVBand="0" w:oddHBand="0" w:evenHBand="0" w:firstRowFirstColumn="0" w:firstRowLastColumn="0" w:lastRowFirstColumn="0" w:lastRowLastColumn="0"/>
              <w:rPr>
                <w:i/>
                <w:iCs/>
                <w:color w:val="auto"/>
              </w:rPr>
            </w:pPr>
            <w:r w:rsidRPr="00864404">
              <w:rPr>
                <w:i/>
                <w:iCs/>
                <w:color w:val="auto"/>
              </w:rPr>
              <w:t>Victorian Public Service Enterprise Agreement 2020</w:t>
            </w:r>
          </w:p>
        </w:tc>
      </w:tr>
      <w:tr w:rsidR="003F7E9F" w14:paraId="66174026" w14:textId="77777777" w:rsidTr="00864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610B1AF" w14:textId="3C5D6BE8" w:rsidR="003F7E9F" w:rsidRPr="00864404" w:rsidRDefault="003F7E9F" w:rsidP="00B96028">
            <w:pPr>
              <w:pStyle w:val="Textinthetable"/>
              <w:rPr>
                <w:b/>
                <w:bCs w:val="0"/>
                <w:color w:val="auto"/>
              </w:rPr>
            </w:pPr>
            <w:r w:rsidRPr="00864404">
              <w:rPr>
                <w:bCs w:val="0"/>
                <w:color w:val="auto"/>
              </w:rPr>
              <w:t>Wages Policy</w:t>
            </w:r>
          </w:p>
        </w:tc>
        <w:tc>
          <w:tcPr>
            <w:tcW w:w="5522" w:type="dxa"/>
          </w:tcPr>
          <w:p w14:paraId="497D46F0" w14:textId="7AEFAE38" w:rsidR="003F7E9F" w:rsidRPr="00B7343B" w:rsidRDefault="003F7E9F" w:rsidP="00B96028">
            <w:pPr>
              <w:pStyle w:val="Textinthetable"/>
              <w:cnfStyle w:val="000000100000" w:firstRow="0" w:lastRow="0" w:firstColumn="0" w:lastColumn="0" w:oddVBand="0" w:evenVBand="0" w:oddHBand="1" w:evenHBand="0" w:firstRowFirstColumn="0" w:firstRowLastColumn="0" w:lastRowFirstColumn="0" w:lastRowLastColumn="0"/>
              <w:rPr>
                <w:i/>
                <w:iCs/>
                <w:color w:val="auto"/>
              </w:rPr>
            </w:pPr>
            <w:r w:rsidRPr="00B7343B">
              <w:rPr>
                <w:i/>
                <w:iCs/>
                <w:color w:val="auto"/>
              </w:rPr>
              <w:t>Victorian Government Wages Policy and Enterpris</w:t>
            </w:r>
            <w:r w:rsidR="00E234EC" w:rsidRPr="00B7343B">
              <w:rPr>
                <w:i/>
                <w:iCs/>
                <w:color w:val="auto"/>
              </w:rPr>
              <w:t>e</w:t>
            </w:r>
            <w:r w:rsidRPr="00B7343B">
              <w:rPr>
                <w:i/>
                <w:iCs/>
                <w:color w:val="auto"/>
              </w:rPr>
              <w:t xml:space="preserve"> Bargaining Framework</w:t>
            </w:r>
          </w:p>
        </w:tc>
      </w:tr>
      <w:tr w:rsidR="00B96028" w14:paraId="30E6FC69" w14:textId="77777777" w:rsidTr="00864404">
        <w:tc>
          <w:tcPr>
            <w:cnfStyle w:val="001000000000" w:firstRow="0" w:lastRow="0" w:firstColumn="1" w:lastColumn="0" w:oddVBand="0" w:evenVBand="0" w:oddHBand="0" w:evenHBand="0" w:firstRowFirstColumn="0" w:firstRowLastColumn="0" w:lastRowFirstColumn="0" w:lastRowLastColumn="0"/>
            <w:tcW w:w="2972" w:type="dxa"/>
          </w:tcPr>
          <w:p w14:paraId="06D70C66" w14:textId="2D62CA90" w:rsidR="00B96028" w:rsidRPr="00864404" w:rsidRDefault="00B96028" w:rsidP="00B96028">
            <w:pPr>
              <w:pStyle w:val="Textinthetable"/>
              <w:rPr>
                <w:b/>
                <w:bCs w:val="0"/>
                <w:color w:val="auto"/>
              </w:rPr>
            </w:pPr>
            <w:r w:rsidRPr="00864404">
              <w:rPr>
                <w:bCs w:val="0"/>
                <w:color w:val="auto"/>
              </w:rPr>
              <w:t>WPI</w:t>
            </w:r>
          </w:p>
        </w:tc>
        <w:tc>
          <w:tcPr>
            <w:tcW w:w="5522" w:type="dxa"/>
          </w:tcPr>
          <w:p w14:paraId="03034E7E" w14:textId="4BB11749" w:rsidR="00B96028" w:rsidRPr="00864404" w:rsidRDefault="00B96028" w:rsidP="00B96028">
            <w:pPr>
              <w:pStyle w:val="Textinthetable"/>
              <w:cnfStyle w:val="000000000000" w:firstRow="0" w:lastRow="0" w:firstColumn="0" w:lastColumn="0" w:oddVBand="0" w:evenVBand="0" w:oddHBand="0" w:evenHBand="0" w:firstRowFirstColumn="0" w:firstRowLastColumn="0" w:lastRowFirstColumn="0" w:lastRowLastColumn="0"/>
              <w:rPr>
                <w:color w:val="auto"/>
              </w:rPr>
            </w:pPr>
            <w:r w:rsidRPr="00864404">
              <w:rPr>
                <w:color w:val="auto"/>
              </w:rPr>
              <w:t>Wage Price Index</w:t>
            </w:r>
          </w:p>
        </w:tc>
      </w:tr>
    </w:tbl>
    <w:p w14:paraId="2FCE53DB" w14:textId="5671E527" w:rsidR="00EA6264" w:rsidRDefault="00EA6264" w:rsidP="00EA6264">
      <w:pPr>
        <w:pStyle w:val="05Paragraph"/>
        <w:sectPr w:rsidR="00EA6264" w:rsidSect="00D43074">
          <w:headerReference w:type="even" r:id="rId29"/>
          <w:headerReference w:type="default" r:id="rId30"/>
          <w:footerReference w:type="default" r:id="rId31"/>
          <w:headerReference w:type="first" r:id="rId32"/>
          <w:type w:val="continuous"/>
          <w:pgSz w:w="11906" w:h="16838"/>
          <w:pgMar w:top="1701" w:right="1701" w:bottom="1559" w:left="1701" w:header="708" w:footer="708" w:gutter="0"/>
          <w:cols w:space="708"/>
          <w:titlePg/>
          <w:docGrid w:linePitch="360"/>
        </w:sectPr>
      </w:pPr>
    </w:p>
    <w:p w14:paraId="5E668115" w14:textId="1340962F" w:rsidR="002D4A56" w:rsidRDefault="00BB0137" w:rsidP="00673EF5">
      <w:pPr>
        <w:pStyle w:val="01Chapterheading"/>
      </w:pPr>
      <w:bookmarkStart w:id="27" w:name="_Toc106614527"/>
      <w:r>
        <w:lastRenderedPageBreak/>
        <w:t>1</w:t>
      </w:r>
      <w:r>
        <w:tab/>
      </w:r>
      <w:r w:rsidR="002829D0">
        <w:t>Context</w:t>
      </w:r>
      <w:r w:rsidR="002D4A56">
        <w:br/>
      </w:r>
      <w:r w:rsidR="336BCEF6">
        <w:rPr>
          <w:noProof/>
        </w:rPr>
        <w:drawing>
          <wp:inline distT="0" distB="0" distL="0" distR="0" wp14:anchorId="785456D9" wp14:editId="6FA4574F">
            <wp:extent cx="2212975" cy="255905"/>
            <wp:effectExtent l="0" t="0" r="0" b="0"/>
            <wp:docPr id="176179338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bookmarkEnd w:id="27"/>
    </w:p>
    <w:p w14:paraId="7360431C" w14:textId="4A33E726" w:rsidR="0073670F" w:rsidRDefault="002829D0" w:rsidP="002829D0">
      <w:pPr>
        <w:pStyle w:val="05Paragraph"/>
      </w:pPr>
      <w:bookmarkStart w:id="28" w:name="_Toc344541"/>
      <w:bookmarkStart w:id="29" w:name="_Toc5783357"/>
      <w:r>
        <w:t xml:space="preserve">The </w:t>
      </w:r>
      <w:r w:rsidRPr="002829D0">
        <w:rPr>
          <w:i/>
          <w:iCs/>
        </w:rPr>
        <w:t>Victorian Independent Remuneration Tribunal and Improving Parliamentary Standards Act 2019</w:t>
      </w:r>
      <w:r>
        <w:t xml:space="preserve"> (Vic) (VIRTIPS Act) establishes the Victorian Independent Remuneration Tribunal (Tribunal).</w:t>
      </w:r>
    </w:p>
    <w:p w14:paraId="443766C3" w14:textId="287DA5F8" w:rsidR="002829D0" w:rsidRDefault="002829D0" w:rsidP="002829D0">
      <w:pPr>
        <w:pStyle w:val="05Paragraph"/>
      </w:pPr>
      <w:r>
        <w:t>The VIRTIPS Act requires the Tribunal to inquire into and make Determinations in relation to:</w:t>
      </w:r>
    </w:p>
    <w:p w14:paraId="7754D7EF" w14:textId="01905D28" w:rsidR="002829D0" w:rsidRDefault="002829D0" w:rsidP="002829D0">
      <w:pPr>
        <w:pStyle w:val="06VIRTBulletpoints"/>
      </w:pPr>
      <w:r>
        <w:t>salaries and allowances for Members of the Parliament of Victoria</w:t>
      </w:r>
    </w:p>
    <w:p w14:paraId="1A526CB3" w14:textId="5D71B2E2" w:rsidR="002829D0" w:rsidRDefault="002829D0" w:rsidP="002829D0">
      <w:pPr>
        <w:pStyle w:val="06VIRTBulletpoints"/>
      </w:pPr>
      <w:r>
        <w:t>remuneration bands for executives employed in public service bodies</w:t>
      </w:r>
    </w:p>
    <w:p w14:paraId="206A1A62" w14:textId="55AA0929" w:rsidR="002829D0" w:rsidRDefault="002829D0" w:rsidP="002829D0">
      <w:pPr>
        <w:pStyle w:val="06VIRTBulletpoints"/>
      </w:pPr>
      <w:r>
        <w:t>remuneration bands for executives employed in prescribed public entities</w:t>
      </w:r>
    </w:p>
    <w:p w14:paraId="6DE870EC" w14:textId="0940B790" w:rsidR="002829D0" w:rsidRDefault="002829D0" w:rsidP="002829D0">
      <w:pPr>
        <w:pStyle w:val="06VIRTBulletpoints"/>
      </w:pPr>
      <w:r>
        <w:t>allowances payable to Mayors, Deputy Mayors and Councillors</w:t>
      </w:r>
      <w:r w:rsidR="00DF6179">
        <w:t xml:space="preserve"> in local </w:t>
      </w:r>
      <w:r w:rsidR="005A5420">
        <w:t>g</w:t>
      </w:r>
      <w:r w:rsidR="00DF6179">
        <w:t>overnment</w:t>
      </w:r>
      <w:r>
        <w:t>.</w:t>
      </w:r>
    </w:p>
    <w:p w14:paraId="7B3C015E" w14:textId="65B2EA98" w:rsidR="002829D0" w:rsidRDefault="002829D0" w:rsidP="002829D0">
      <w:pPr>
        <w:pStyle w:val="05Paragraph"/>
      </w:pPr>
      <w:r w:rsidRPr="002829D0">
        <w:t xml:space="preserve">Section 21 of the VIRTIPS Act requires the Tribunal to </w:t>
      </w:r>
      <w:proofErr w:type="gramStart"/>
      <w:r w:rsidRPr="002829D0">
        <w:t>make a Determination</w:t>
      </w:r>
      <w:proofErr w:type="gramEnd"/>
      <w:r w:rsidRPr="002829D0">
        <w:t xml:space="preserve"> setting remuneration bands for executives employed in Victorian </w:t>
      </w:r>
      <w:r>
        <w:t>P</w:t>
      </w:r>
      <w:r w:rsidRPr="002829D0">
        <w:t xml:space="preserve">ublic </w:t>
      </w:r>
      <w:r>
        <w:t>S</w:t>
      </w:r>
      <w:r w:rsidRPr="002829D0">
        <w:t xml:space="preserve">ervice (VPS) bodies every four years. </w:t>
      </w:r>
      <w:r w:rsidR="00625F92">
        <w:t>VPS</w:t>
      </w:r>
      <w:r w:rsidRPr="002829D0">
        <w:t xml:space="preserve"> bodies are defined under section 4(1) of the </w:t>
      </w:r>
      <w:r w:rsidRPr="00625F92">
        <w:rPr>
          <w:i/>
          <w:iCs/>
        </w:rPr>
        <w:t>Public Administration Act 2004</w:t>
      </w:r>
      <w:r w:rsidRPr="002829D0">
        <w:t xml:space="preserve"> (Vic) (PAA) as:</w:t>
      </w:r>
    </w:p>
    <w:p w14:paraId="586E04C9" w14:textId="32C3EB75" w:rsidR="00625F92" w:rsidRDefault="00625F92" w:rsidP="00625F92">
      <w:pPr>
        <w:pStyle w:val="06VIRTBulletpoints"/>
      </w:pPr>
      <w:r>
        <w:t>Departments</w:t>
      </w:r>
    </w:p>
    <w:p w14:paraId="212CC1A5" w14:textId="39086ABD" w:rsidR="00625F92" w:rsidRDefault="00625F92" w:rsidP="00625F92">
      <w:pPr>
        <w:pStyle w:val="06VIRTBulletpoints"/>
      </w:pPr>
      <w:r>
        <w:t>Administrative Offices (AOs)</w:t>
      </w:r>
    </w:p>
    <w:p w14:paraId="12F3AC8E" w14:textId="0B56528B" w:rsidR="00625F92" w:rsidRDefault="00625F92" w:rsidP="00625F92">
      <w:pPr>
        <w:pStyle w:val="06VIRTBulletpoints"/>
      </w:pPr>
      <w:r>
        <w:t>the Victorian Public Sector Commission (VPSC).</w:t>
      </w:r>
    </w:p>
    <w:p w14:paraId="6EACCF20" w14:textId="0CA0F6D4" w:rsidR="007D60EC" w:rsidRPr="00BC4D7D" w:rsidDel="007660EA" w:rsidRDefault="007D60EC" w:rsidP="007D60EC">
      <w:pPr>
        <w:pStyle w:val="05Paragraph"/>
      </w:pPr>
      <w:r w:rsidRPr="00BC4D7D">
        <w:t>Determination</w:t>
      </w:r>
      <w:r w:rsidR="007A614A">
        <w:t>s made under</w:t>
      </w:r>
      <w:r w:rsidRPr="00BC4D7D">
        <w:t xml:space="preserve"> </w:t>
      </w:r>
      <w:r w:rsidR="007A614A">
        <w:t xml:space="preserve">section 21 of the VIRTIPS Act </w:t>
      </w:r>
      <w:r w:rsidRPr="00BC4D7D">
        <w:t xml:space="preserve">also apply to some executives in </w:t>
      </w:r>
      <w:r w:rsidR="007A614A">
        <w:t xml:space="preserve">Victorian </w:t>
      </w:r>
      <w:r w:rsidRPr="00BC4D7D">
        <w:t>public entities who are employed under Part 3 of the PAA.</w:t>
      </w:r>
      <w:r w:rsidRPr="00BC4D7D">
        <w:rPr>
          <w:vertAlign w:val="superscript"/>
        </w:rPr>
        <w:footnoteReference w:id="2"/>
      </w:r>
    </w:p>
    <w:p w14:paraId="09A95CEA" w14:textId="2C0D1281" w:rsidR="00625F92" w:rsidRDefault="00625F92" w:rsidP="00625F92">
      <w:pPr>
        <w:pStyle w:val="05Paragraph"/>
      </w:pPr>
      <w:r w:rsidRPr="00625F92" w:rsidDel="005A15EA">
        <w:t xml:space="preserve">On 14 May 2020, the Tribunal issued the </w:t>
      </w:r>
      <w:r w:rsidRPr="00625F92" w:rsidDel="005A15EA">
        <w:rPr>
          <w:i/>
          <w:iCs/>
        </w:rPr>
        <w:t>Remuneration bands for executives employed in public service bodies (Victoria) Determination No. 01/2020</w:t>
      </w:r>
      <w:r w:rsidRPr="00625F92" w:rsidDel="005A15EA">
        <w:t xml:space="preserve"> (VPS</w:t>
      </w:r>
      <w:r w:rsidR="00985F5D" w:rsidDel="005A15EA">
        <w:t> </w:t>
      </w:r>
      <w:r w:rsidRPr="00625F92" w:rsidDel="005A15EA">
        <w:t>Comprehensive Determination).</w:t>
      </w:r>
      <w:r w:rsidDel="005A15EA">
        <w:t xml:space="preserve"> </w:t>
      </w:r>
      <w:r w:rsidRPr="00625F92">
        <w:t xml:space="preserve">In setting </w:t>
      </w:r>
      <w:r w:rsidR="00F32D9A">
        <w:t xml:space="preserve">the </w:t>
      </w:r>
      <w:r w:rsidRPr="00625F92">
        <w:t xml:space="preserve">remuneration bands, the Tribunal comprehensively reviewed the roles of executives employed in public service bodies and the remuneration arrangements </w:t>
      </w:r>
      <w:r w:rsidR="0026527F">
        <w:t xml:space="preserve">in place </w:t>
      </w:r>
      <w:r w:rsidRPr="00625F92">
        <w:t>at th</w:t>
      </w:r>
      <w:r w:rsidR="006A0577">
        <w:t>at</w:t>
      </w:r>
      <w:r w:rsidRPr="00625F92">
        <w:t xml:space="preserve"> time.</w:t>
      </w:r>
      <w:r>
        <w:rPr>
          <w:rStyle w:val="FootnoteReference"/>
        </w:rPr>
        <w:footnoteReference w:id="3"/>
      </w:r>
    </w:p>
    <w:p w14:paraId="545B4D4D" w14:textId="5C4FFAEB" w:rsidR="00625F92" w:rsidRDefault="00625F92" w:rsidP="00625F92">
      <w:pPr>
        <w:pStyle w:val="05Paragraph"/>
      </w:pPr>
      <w:r w:rsidRPr="00625F92">
        <w:lastRenderedPageBreak/>
        <w:t xml:space="preserve">Section 22 of the VIRTIPS Act requires the Tribunal to </w:t>
      </w:r>
      <w:proofErr w:type="gramStart"/>
      <w:r w:rsidRPr="00625F92">
        <w:t>make a Determination</w:t>
      </w:r>
      <w:proofErr w:type="gramEnd"/>
      <w:r w:rsidRPr="00625F92">
        <w:t xml:space="preserve"> providing for an annual adjustment to the values set in the </w:t>
      </w:r>
      <w:r w:rsidR="00326E38">
        <w:t>D</w:t>
      </w:r>
      <w:r w:rsidRPr="00625F92">
        <w:t>etermination</w:t>
      </w:r>
      <w:r w:rsidR="00C475A8">
        <w:t xml:space="preserve"> </w:t>
      </w:r>
      <w:r w:rsidR="00274B60">
        <w:t xml:space="preserve">which is </w:t>
      </w:r>
      <w:r w:rsidR="00C475A8">
        <w:t xml:space="preserve">in effect </w:t>
      </w:r>
      <w:r w:rsidRPr="00625F92" w:rsidDel="00F32D9A">
        <w:t>under section 21 of the VIRTIPS Act</w:t>
      </w:r>
      <w:r w:rsidRPr="00625F92">
        <w:t>.</w:t>
      </w:r>
    </w:p>
    <w:p w14:paraId="0D802673" w14:textId="0359F26D" w:rsidR="00625F92" w:rsidRDefault="00625F92" w:rsidP="00625F92">
      <w:pPr>
        <w:pStyle w:val="05Paragraph"/>
      </w:pPr>
      <w:r>
        <w:t xml:space="preserve">On 25 June 2021, the Tribunal issued the </w:t>
      </w:r>
      <w:r w:rsidRPr="00625F92">
        <w:rPr>
          <w:i/>
          <w:iCs/>
        </w:rPr>
        <w:t>Remuneration bands for executives employed in public service bodies (Victoria) Annual Adjustment Determination</w:t>
      </w:r>
      <w:r w:rsidRPr="00625F92" w:rsidDel="00F32D9A">
        <w:rPr>
          <w:i/>
          <w:iCs/>
        </w:rPr>
        <w:t xml:space="preserve"> </w:t>
      </w:r>
      <w:r w:rsidRPr="00625F92">
        <w:rPr>
          <w:i/>
          <w:iCs/>
        </w:rPr>
        <w:t>2021</w:t>
      </w:r>
      <w:r>
        <w:t xml:space="preserve"> which adjus</w:t>
      </w:r>
      <w:r w:rsidR="00BC4D7D">
        <w:t>t</w:t>
      </w:r>
      <w:r w:rsidR="00EF344C">
        <w:t>ed</w:t>
      </w:r>
      <w:r>
        <w:t xml:space="preserve"> the values of the remuneration bands set in the VPS Comprehensive Determination</w:t>
      </w:r>
      <w:r w:rsidR="00274B60">
        <w:t>,</w:t>
      </w:r>
      <w:r w:rsidR="00EF344C">
        <w:t xml:space="preserve"> with effect from 1 July 2021</w:t>
      </w:r>
      <w:r>
        <w:t>.</w:t>
      </w:r>
    </w:p>
    <w:p w14:paraId="4268F876" w14:textId="663598D6" w:rsidR="00BC4D7D" w:rsidRDefault="00BC4D7D" w:rsidP="00625F92">
      <w:pPr>
        <w:pStyle w:val="05Paragraph"/>
      </w:pPr>
      <w:r>
        <w:t xml:space="preserve">This </w:t>
      </w:r>
      <w:r w:rsidR="00924327" w:rsidRPr="00BC4D7D">
        <w:rPr>
          <w:i/>
          <w:iCs/>
        </w:rPr>
        <w:t>Remuneration bands for executives employed in public service bodies (Victoria) Annual Adjustment Determination 2022</w:t>
      </w:r>
      <w:r w:rsidR="00924327">
        <w:rPr>
          <w:i/>
          <w:iCs/>
        </w:rPr>
        <w:t xml:space="preserve"> </w:t>
      </w:r>
      <w:r w:rsidR="00B002A7">
        <w:t xml:space="preserve">(2022 VPS Annual Adjustment Determination) </w:t>
      </w:r>
      <w:r>
        <w:t xml:space="preserve">provides for </w:t>
      </w:r>
      <w:r w:rsidR="00091B6F">
        <w:t>a further</w:t>
      </w:r>
      <w:r>
        <w:t xml:space="preserve"> adjustment to the values of the remuneration bands</w:t>
      </w:r>
      <w:r w:rsidR="00981F85">
        <w:t>,</w:t>
      </w:r>
      <w:r w:rsidR="00661B4D">
        <w:t xml:space="preserve"> </w:t>
      </w:r>
      <w:r w:rsidR="00A6746B">
        <w:t xml:space="preserve">which will take </w:t>
      </w:r>
      <w:r w:rsidR="00661B4D">
        <w:t>effect from 1 July 2022.</w:t>
      </w:r>
    </w:p>
    <w:p w14:paraId="1A9B7091" w14:textId="02EFD845" w:rsidR="002D4A56" w:rsidRPr="003961B8" w:rsidRDefault="00BB0137" w:rsidP="004D3662">
      <w:pPr>
        <w:pStyle w:val="02VIRTHeading2"/>
      </w:pPr>
      <w:bookmarkStart w:id="30" w:name="_Toc59090122"/>
      <w:bookmarkStart w:id="31" w:name="_Toc106614528"/>
      <w:bookmarkStart w:id="32" w:name="_Hlk100061804"/>
      <w:r>
        <w:t>1.1</w:t>
      </w:r>
      <w:r>
        <w:tab/>
      </w:r>
      <w:bookmarkStart w:id="33" w:name="_Toc19554264"/>
      <w:bookmarkStart w:id="34" w:name="_Toc20323433"/>
      <w:bookmarkStart w:id="35" w:name="_Toc33609444"/>
      <w:bookmarkStart w:id="36" w:name="_Toc35006359"/>
      <w:bookmarkStart w:id="37" w:name="_Toc45015313"/>
      <w:bookmarkEnd w:id="30"/>
      <w:bookmarkEnd w:id="33"/>
      <w:bookmarkEnd w:id="34"/>
      <w:bookmarkEnd w:id="35"/>
      <w:bookmarkEnd w:id="36"/>
      <w:bookmarkEnd w:id="37"/>
      <w:r w:rsidR="00BC4D7D">
        <w:t>Legislative requirements</w:t>
      </w:r>
      <w:bookmarkEnd w:id="31"/>
    </w:p>
    <w:p w14:paraId="5752F558" w14:textId="65045EA2" w:rsidR="00BC4D7D" w:rsidRPr="00BC4D7D" w:rsidRDefault="00BC4D7D" w:rsidP="00BC4D7D">
      <w:pPr>
        <w:pStyle w:val="05Paragraph"/>
      </w:pPr>
      <w:bookmarkStart w:id="38" w:name="_Toc19554265"/>
      <w:bookmarkStart w:id="39" w:name="_Toc20323438"/>
      <w:bookmarkStart w:id="40" w:name="_Toc33609445"/>
      <w:bookmarkStart w:id="41" w:name="_Toc35006363"/>
      <w:bookmarkStart w:id="42" w:name="_Toc45015314"/>
      <w:bookmarkStart w:id="43" w:name="_Toc59090123"/>
      <w:bookmarkEnd w:id="32"/>
      <w:r w:rsidRPr="00BC4D7D">
        <w:t xml:space="preserve">Before </w:t>
      </w:r>
      <w:proofErr w:type="gramStart"/>
      <w:r w:rsidRPr="00BC4D7D">
        <w:t>making a Determination</w:t>
      </w:r>
      <w:proofErr w:type="gramEnd"/>
      <w:r w:rsidRPr="00BC4D7D">
        <w:t>, the VIRTIPS Act requires the Tribunal to:</w:t>
      </w:r>
    </w:p>
    <w:p w14:paraId="249B1BE5" w14:textId="11C272E2" w:rsidR="00BC4D7D" w:rsidRPr="00BC4D7D" w:rsidRDefault="00BC4D7D" w:rsidP="00BC4D7D">
      <w:pPr>
        <w:pStyle w:val="06VIRTBulletpoints"/>
      </w:pPr>
      <w:r w:rsidRPr="00BC4D7D">
        <w:t xml:space="preserve">publish notice of its intention to </w:t>
      </w:r>
      <w:proofErr w:type="gramStart"/>
      <w:r w:rsidRPr="00BC4D7D">
        <w:t>make a Determination</w:t>
      </w:r>
      <w:proofErr w:type="gramEnd"/>
      <w:r w:rsidRPr="00BC4D7D">
        <w:t xml:space="preserve"> (s</w:t>
      </w:r>
      <w:r w:rsidR="00793005">
        <w:t xml:space="preserve">. </w:t>
      </w:r>
      <w:r w:rsidRPr="00BC4D7D">
        <w:t>24(1)(a))</w:t>
      </w:r>
    </w:p>
    <w:p w14:paraId="6D89DB62" w14:textId="1FC924A5" w:rsidR="00BC4D7D" w:rsidRPr="00BC4D7D" w:rsidRDefault="00BC4D7D" w:rsidP="00BC4D7D">
      <w:pPr>
        <w:pStyle w:val="06VIRTBulletpoints"/>
      </w:pPr>
      <w:r w:rsidRPr="00BC4D7D">
        <w:t>include details about the proposed Determination in the public notice (s</w:t>
      </w:r>
      <w:r w:rsidR="00793005">
        <w:t>. </w:t>
      </w:r>
      <w:r w:rsidRPr="00BC4D7D">
        <w:t>24(1)(b))</w:t>
      </w:r>
    </w:p>
    <w:p w14:paraId="5CB22B79" w14:textId="5B1EE118" w:rsidR="00BC4D7D" w:rsidRPr="00BC4D7D" w:rsidRDefault="00BC4D7D" w:rsidP="00BC4D7D">
      <w:pPr>
        <w:pStyle w:val="06VIRTBulletpoints"/>
      </w:pPr>
      <w:r w:rsidRPr="00BC4D7D">
        <w:t>give any affected person or class of persons a reasonable opportunity to make a submission in relation to the proposed Determination (s</w:t>
      </w:r>
      <w:r w:rsidR="00793005">
        <w:t xml:space="preserve">. </w:t>
      </w:r>
      <w:r w:rsidRPr="00BC4D7D">
        <w:t>24(1)(c)).</w:t>
      </w:r>
    </w:p>
    <w:p w14:paraId="3A3A97F3" w14:textId="77777777" w:rsidR="00BC4D7D" w:rsidRPr="00BC4D7D" w:rsidRDefault="00BC4D7D" w:rsidP="00BC4D7D">
      <w:pPr>
        <w:pStyle w:val="05Paragraph"/>
      </w:pPr>
      <w:r w:rsidRPr="00BC4D7D">
        <w:t xml:space="preserve">In </w:t>
      </w:r>
      <w:proofErr w:type="gramStart"/>
      <w:r w:rsidRPr="00BC4D7D">
        <w:t>making a Determination</w:t>
      </w:r>
      <w:proofErr w:type="gramEnd"/>
      <w:r w:rsidRPr="00BC4D7D">
        <w:t>, the Tribunal must also consider:</w:t>
      </w:r>
    </w:p>
    <w:p w14:paraId="74E41AB1" w14:textId="1BC7570F" w:rsidR="00BC4D7D" w:rsidRPr="00BC4D7D" w:rsidRDefault="00BC4D7D" w:rsidP="00BC4D7D">
      <w:pPr>
        <w:pStyle w:val="06VIRTBulletpoints"/>
      </w:pPr>
      <w:r w:rsidRPr="00BC4D7D">
        <w:t>any statement or policy issued by the Government of Victoria which is in force with respect to its wages policy (or equivalent) and the remuneration and allowances of any specified occupational group (s</w:t>
      </w:r>
      <w:r w:rsidR="00793005">
        <w:t xml:space="preserve">. </w:t>
      </w:r>
      <w:r w:rsidRPr="00BC4D7D">
        <w:t>24(2)(a))</w:t>
      </w:r>
    </w:p>
    <w:p w14:paraId="6DE0FB33" w14:textId="0F985D1D" w:rsidR="00BC4D7D" w:rsidRPr="00BC4D7D" w:rsidRDefault="00BC4D7D" w:rsidP="00BC4D7D">
      <w:pPr>
        <w:pStyle w:val="06VIRTBulletpoints"/>
      </w:pPr>
      <w:r w:rsidRPr="00BC4D7D">
        <w:t>the financial position and fiscal strategy of the State of Victoria (s</w:t>
      </w:r>
      <w:r w:rsidR="00793005">
        <w:t xml:space="preserve">. </w:t>
      </w:r>
      <w:r w:rsidRPr="00BC4D7D">
        <w:t xml:space="preserve">24(2)(b)) </w:t>
      </w:r>
    </w:p>
    <w:p w14:paraId="6B11B9F4" w14:textId="14CF7718" w:rsidR="00BC4D7D" w:rsidRPr="00BC4D7D" w:rsidRDefault="00BC4D7D" w:rsidP="00BC4D7D">
      <w:pPr>
        <w:pStyle w:val="06VIRTBulletpoints"/>
      </w:pPr>
      <w:r w:rsidRPr="00BC4D7D">
        <w:t>current and projected economic conditions and trends (s</w:t>
      </w:r>
      <w:r w:rsidR="00793005">
        <w:t xml:space="preserve">. </w:t>
      </w:r>
      <w:r w:rsidRPr="00BC4D7D">
        <w:t>24(2)(c))</w:t>
      </w:r>
    </w:p>
    <w:p w14:paraId="2217AB2C" w14:textId="258BFD8C" w:rsidR="00BC4D7D" w:rsidRDefault="00BC4D7D" w:rsidP="00BC4D7D">
      <w:pPr>
        <w:pStyle w:val="06VIRTBulletpoints"/>
      </w:pPr>
      <w:r w:rsidRPr="00BC4D7D">
        <w:t>submissions received in relation to the proposed Determination (s</w:t>
      </w:r>
      <w:r w:rsidR="00793005">
        <w:t xml:space="preserve">. </w:t>
      </w:r>
      <w:r w:rsidRPr="00BC4D7D">
        <w:t>24(2)(d)).</w:t>
      </w:r>
    </w:p>
    <w:p w14:paraId="068ABB14" w14:textId="069672E1" w:rsidR="00E423E1" w:rsidRPr="00BC4D7D" w:rsidRDefault="00E423E1" w:rsidP="00E423E1">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Pr="00A25D58">
        <w:rPr>
          <w:rStyle w:val="FootnoteReference"/>
        </w:rPr>
        <w:footnoteReference w:id="4"/>
      </w:r>
    </w:p>
    <w:p w14:paraId="2B16EE1C" w14:textId="77777777" w:rsidR="004F4A46" w:rsidRDefault="004F4A46" w:rsidP="004F4A46">
      <w:pPr>
        <w:pStyle w:val="02VIRTHeading2"/>
      </w:pPr>
      <w:bookmarkStart w:id="44" w:name="_Toc106614529"/>
      <w:bookmarkEnd w:id="4"/>
      <w:bookmarkEnd w:id="28"/>
      <w:bookmarkEnd w:id="29"/>
      <w:bookmarkEnd w:id="38"/>
      <w:bookmarkEnd w:id="39"/>
      <w:bookmarkEnd w:id="40"/>
      <w:bookmarkEnd w:id="41"/>
      <w:bookmarkEnd w:id="42"/>
      <w:bookmarkEnd w:id="43"/>
      <w:r w:rsidRPr="004F4A46">
        <w:lastRenderedPageBreak/>
        <w:t>1.</w:t>
      </w:r>
      <w:r>
        <w:t>2</w:t>
      </w:r>
      <w:r w:rsidRPr="004F4A46">
        <w:tab/>
      </w:r>
      <w:r>
        <w:t>Consultation</w:t>
      </w:r>
      <w:bookmarkEnd w:id="44"/>
    </w:p>
    <w:p w14:paraId="23B6A7B8" w14:textId="1480E2F8" w:rsidR="004F4A46" w:rsidRPr="004F4A46" w:rsidRDefault="004F4A46" w:rsidP="004772C3">
      <w:pPr>
        <w:pStyle w:val="05Paragraph"/>
        <w:keepNext/>
      </w:pPr>
      <w:r w:rsidRPr="004F4A46">
        <w:t xml:space="preserve">In </w:t>
      </w:r>
      <w:r w:rsidR="00104EE0" w:rsidRPr="004F4A46">
        <w:t>April 202</w:t>
      </w:r>
      <w:r w:rsidR="00104EE0">
        <w:t xml:space="preserve">2, in </w:t>
      </w:r>
      <w:r w:rsidRPr="004F4A46">
        <w:t>accordance with section 24(1) of the VIRTIPS Act, the Tribunal:</w:t>
      </w:r>
    </w:p>
    <w:p w14:paraId="314CFD89" w14:textId="2DB94841" w:rsidR="004F4A46" w:rsidRPr="004F4A46" w:rsidRDefault="004F4A46" w:rsidP="004F4A46">
      <w:pPr>
        <w:pStyle w:val="06VIRTBulletpoints"/>
      </w:pPr>
      <w:r w:rsidRPr="004F4A46">
        <w:t xml:space="preserve">published notice of </w:t>
      </w:r>
      <w:r w:rsidR="005D3B24">
        <w:t xml:space="preserve">its </w:t>
      </w:r>
      <w:r w:rsidRPr="004F4A46">
        <w:t xml:space="preserve">intention to </w:t>
      </w:r>
      <w:proofErr w:type="gramStart"/>
      <w:r w:rsidRPr="004F4A46">
        <w:t>make a Determination</w:t>
      </w:r>
      <w:proofErr w:type="gramEnd"/>
      <w:r w:rsidRPr="004F4A46" w:rsidDel="00A42BDD">
        <w:t xml:space="preserve"> on its website</w:t>
      </w:r>
      <w:r w:rsidRPr="004F4A46">
        <w:t>, including details about the proposed Determination</w:t>
      </w:r>
    </w:p>
    <w:p w14:paraId="71A73361" w14:textId="3633743E" w:rsidR="004F4A46" w:rsidRPr="004F4A46" w:rsidRDefault="004F4A46" w:rsidP="004F4A46">
      <w:pPr>
        <w:pStyle w:val="06VIRTBulletpoints"/>
      </w:pPr>
      <w:r w:rsidRPr="004F4A46">
        <w:t xml:space="preserve">gave any affected person or class of affected persons a reasonable opportunity to make a submission </w:t>
      </w:r>
      <w:r w:rsidRPr="004F4A46" w:rsidDel="00974D5C">
        <w:t>regarding</w:t>
      </w:r>
      <w:r w:rsidRPr="004F4A46">
        <w:t xml:space="preserve"> the proposed Determination.</w:t>
      </w:r>
    </w:p>
    <w:p w14:paraId="366AFC70" w14:textId="44FC5567" w:rsidR="004F4A46" w:rsidRPr="004F4A46" w:rsidRDefault="004F4A46" w:rsidP="004F4A46">
      <w:pPr>
        <w:pStyle w:val="05Paragraph"/>
      </w:pPr>
      <w:r w:rsidRPr="004F4A46">
        <w:t xml:space="preserve">The </w:t>
      </w:r>
      <w:r w:rsidR="005D3B24" w:rsidDel="00974D5C">
        <w:t>notice of intention (</w:t>
      </w:r>
      <w:r w:rsidR="005D3B24">
        <w:t>N</w:t>
      </w:r>
      <w:r w:rsidR="00A72DC5">
        <w:t>O</w:t>
      </w:r>
      <w:r w:rsidR="005D3B24">
        <w:t>I</w:t>
      </w:r>
      <w:r w:rsidR="005D3B24" w:rsidDel="00974D5C">
        <w:t>)</w:t>
      </w:r>
      <w:r w:rsidRPr="004F4A46">
        <w:t xml:space="preserve"> included a summary of the matters the Tribunal was required to consider in the making of the Determination.</w:t>
      </w:r>
    </w:p>
    <w:p w14:paraId="2FC54F24" w14:textId="53CA1E53" w:rsidR="00E47D06" w:rsidRDefault="004F4A46" w:rsidP="004F4A46">
      <w:pPr>
        <w:pStyle w:val="05Paragraph"/>
      </w:pPr>
      <w:r w:rsidRPr="004F4A46">
        <w:t>The Tribunal also wrote to public service bodies to inform them that the N</w:t>
      </w:r>
      <w:r w:rsidR="00E75E83">
        <w:t>O</w:t>
      </w:r>
      <w:r w:rsidRPr="004F4A46">
        <w:t>I had been published, and requested they also inform their executives about the N</w:t>
      </w:r>
      <w:r w:rsidR="00E75E83">
        <w:t>O</w:t>
      </w:r>
      <w:r w:rsidRPr="004F4A46">
        <w:t>I and the opportunity to make submissions.</w:t>
      </w:r>
    </w:p>
    <w:p w14:paraId="20D93F8C" w14:textId="011E14EB" w:rsidR="006B7517" w:rsidRPr="005E093C" w:rsidRDefault="005E093C" w:rsidP="004F4A46">
      <w:pPr>
        <w:pStyle w:val="05Paragraph"/>
        <w:sectPr w:rsidR="006B7517" w:rsidRPr="005E093C" w:rsidSect="0036425F">
          <w:pgSz w:w="11906" w:h="16838"/>
          <w:pgMar w:top="1701" w:right="1701" w:bottom="1559" w:left="1701" w:header="708" w:footer="708" w:gutter="0"/>
          <w:cols w:space="708"/>
          <w:titlePg/>
          <w:docGrid w:linePitch="360"/>
        </w:sectPr>
      </w:pPr>
      <w:r w:rsidRPr="005E093C">
        <w:t>The Tribunal received one written</w:t>
      </w:r>
      <w:r>
        <w:t xml:space="preserve"> submission in relation to the Determination</w:t>
      </w:r>
      <w:r w:rsidR="00274B60">
        <w:t xml:space="preserve"> which </w:t>
      </w:r>
      <w:r w:rsidR="005F1894">
        <w:t>concerned</w:t>
      </w:r>
      <w:r w:rsidR="008A14D5">
        <w:t xml:space="preserve"> the differen</w:t>
      </w:r>
      <w:r w:rsidR="00A243B7">
        <w:t>ces in the</w:t>
      </w:r>
      <w:r w:rsidR="00490319">
        <w:t xml:space="preserve"> mechanisms</w:t>
      </w:r>
      <w:r w:rsidR="008A14D5">
        <w:t xml:space="preserve"> </w:t>
      </w:r>
      <w:r w:rsidR="00490319">
        <w:t>for</w:t>
      </w:r>
      <w:r w:rsidR="008A14D5">
        <w:t xml:space="preserve"> </w:t>
      </w:r>
      <w:r w:rsidR="003B54F8">
        <w:t>pay progression</w:t>
      </w:r>
      <w:r w:rsidR="00C07C8B">
        <w:t xml:space="preserve"> </w:t>
      </w:r>
      <w:r w:rsidR="00490319">
        <w:t>available to</w:t>
      </w:r>
      <w:r w:rsidR="00C07C8B">
        <w:t xml:space="preserve"> executive and non</w:t>
      </w:r>
      <w:r w:rsidR="00490319">
        <w:t>-</w:t>
      </w:r>
      <w:r w:rsidR="00C07C8B">
        <w:t xml:space="preserve">executive </w:t>
      </w:r>
      <w:r w:rsidR="006A1914">
        <w:t xml:space="preserve">VPS </w:t>
      </w:r>
      <w:r w:rsidR="00C07C8B">
        <w:t>employees</w:t>
      </w:r>
      <w:r w:rsidR="00A17769">
        <w:t xml:space="preserve">. </w:t>
      </w:r>
      <w:r w:rsidR="00274B60">
        <w:t>The Tribunal has considered this submission and has concluded it raises a matter which is outside the scope of the Tribunal’s jurisdiction.</w:t>
      </w:r>
      <w:r w:rsidR="00A17769">
        <w:t xml:space="preserve"> </w:t>
      </w:r>
    </w:p>
    <w:p w14:paraId="18DFD908" w14:textId="57D35B39" w:rsidR="006B7517" w:rsidRDefault="006B7517" w:rsidP="006B7517">
      <w:pPr>
        <w:pStyle w:val="01Chapterheading"/>
      </w:pPr>
      <w:bookmarkStart w:id="45" w:name="_Toc106614530"/>
      <w:bookmarkStart w:id="46" w:name="_Hlk100068491"/>
      <w:r>
        <w:lastRenderedPageBreak/>
        <w:t>2</w:t>
      </w:r>
      <w:r>
        <w:tab/>
        <w:t>Victorian Government remuneration policies</w:t>
      </w:r>
      <w:r>
        <w:br/>
      </w:r>
      <w:r>
        <w:rPr>
          <w:noProof/>
        </w:rPr>
        <w:drawing>
          <wp:inline distT="0" distB="0" distL="0" distR="0" wp14:anchorId="5E95C8A5" wp14:editId="333F3962">
            <wp:extent cx="2212975" cy="255905"/>
            <wp:effectExtent l="0" t="0" r="0" b="0"/>
            <wp:docPr id="1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45"/>
    </w:p>
    <w:bookmarkEnd w:id="46"/>
    <w:p w14:paraId="6A6E31C4" w14:textId="3E4C5977" w:rsidR="006B7517" w:rsidRDefault="006B7517" w:rsidP="006B7517">
      <w:pPr>
        <w:pStyle w:val="05Paragraph"/>
      </w:pPr>
      <w:r w:rsidRPr="006B7517">
        <w:t xml:space="preserve">In making this Determination, the Tribunal is required to consider any statement or policy issued by the Government of Victoria </w:t>
      </w:r>
      <w:r w:rsidRPr="006B7517" w:rsidDel="00020D3A">
        <w:t xml:space="preserve">which is </w:t>
      </w:r>
      <w:r w:rsidRPr="006B7517">
        <w:t xml:space="preserve">in force with respect to its wages policy (or equivalent) and </w:t>
      </w:r>
      <w:r w:rsidR="00274B60" w:rsidRPr="00BC4D7D">
        <w:t>the remuneration and allowances of any specified occupational group</w:t>
      </w:r>
      <w:r w:rsidRPr="006B7517">
        <w:t>.</w:t>
      </w:r>
    </w:p>
    <w:p w14:paraId="79C80C63" w14:textId="6425F6F1" w:rsidR="006B7517" w:rsidRDefault="006B7517" w:rsidP="006B7517">
      <w:pPr>
        <w:pStyle w:val="02VIRTHeading2"/>
      </w:pPr>
      <w:bookmarkStart w:id="47" w:name="_Toc106614531"/>
      <w:r>
        <w:t>2.1</w:t>
      </w:r>
      <w:r>
        <w:tab/>
        <w:t>Wages Policy</w:t>
      </w:r>
      <w:bookmarkEnd w:id="47"/>
    </w:p>
    <w:p w14:paraId="0D06ED6F" w14:textId="5BB379E2" w:rsidR="006B7517" w:rsidRDefault="006B7517" w:rsidP="006B7517">
      <w:pPr>
        <w:pStyle w:val="05Paragraph"/>
      </w:pPr>
      <w:r w:rsidRPr="006B7517">
        <w:t xml:space="preserve">Box 2.1 reproduces the </w:t>
      </w:r>
      <w:r w:rsidR="00CB65B5" w:rsidRPr="00CB65B5">
        <w:rPr>
          <w:i/>
          <w:iCs/>
        </w:rPr>
        <w:t xml:space="preserve">Victorian Government </w:t>
      </w:r>
      <w:r w:rsidRPr="00CB65B5">
        <w:rPr>
          <w:i/>
          <w:iCs/>
        </w:rPr>
        <w:t>Wages Policy</w:t>
      </w:r>
      <w:r w:rsidR="00CB65B5" w:rsidRPr="00CB65B5">
        <w:rPr>
          <w:i/>
          <w:iCs/>
        </w:rPr>
        <w:t xml:space="preserve"> and Enterprise Bargaining Framework</w:t>
      </w:r>
      <w:r w:rsidR="00CB65B5">
        <w:t xml:space="preserve"> (Wages Policy)</w:t>
      </w:r>
      <w:r w:rsidRPr="006B7517">
        <w:t>, which applies to the Victorian public sector and is in force at the time of making this Determination.</w:t>
      </w:r>
    </w:p>
    <w:p w14:paraId="530A2C1E" w14:textId="77777777" w:rsidR="006B7517" w:rsidRPr="006B7517" w:rsidRDefault="006B7517" w:rsidP="006B7517">
      <w:pPr>
        <w:pStyle w:val="08Figuretableboxheading"/>
        <w:rPr>
          <w:lang w:val="en-US"/>
        </w:rPr>
      </w:pPr>
      <w:r w:rsidRPr="006B7517">
        <w:rPr>
          <w:lang w:val="en-US"/>
        </w:rPr>
        <w:t>Box 2.1: Victorian Government Wages Policy</w:t>
      </w:r>
    </w:p>
    <w:p w14:paraId="484B64D9" w14:textId="4BC61987" w:rsidR="006B7517" w:rsidRPr="006B7517" w:rsidRDefault="006B7517" w:rsidP="006B7517">
      <w:pPr>
        <w:pStyle w:val="05Paragraph"/>
      </w:pPr>
      <w:r w:rsidRPr="006B7517">
        <w:rPr>
          <w:noProof/>
        </w:rPr>
        <mc:AlternateContent>
          <mc:Choice Requires="wps">
            <w:drawing>
              <wp:inline distT="0" distB="0" distL="0" distR="0" wp14:anchorId="0F68AC88" wp14:editId="5B000929">
                <wp:extent cx="5429250" cy="3517900"/>
                <wp:effectExtent l="0" t="0" r="19050" b="25400"/>
                <wp:docPr id="280" name="Text Box 280"/>
                <wp:cNvGraphicFramePr/>
                <a:graphic xmlns:a="http://schemas.openxmlformats.org/drawingml/2006/main">
                  <a:graphicData uri="http://schemas.microsoft.com/office/word/2010/wordprocessingShape">
                    <wps:wsp>
                      <wps:cNvSpPr txBox="1"/>
                      <wps:spPr>
                        <a:xfrm>
                          <a:off x="0" y="0"/>
                          <a:ext cx="5429250" cy="3517900"/>
                        </a:xfrm>
                        <a:prstGeom prst="rect">
                          <a:avLst/>
                        </a:prstGeom>
                        <a:solidFill>
                          <a:schemeClr val="lt1"/>
                        </a:solidFill>
                        <a:ln w="19050">
                          <a:solidFill>
                            <a:schemeClr val="accent2"/>
                          </a:solidFill>
                        </a:ln>
                      </wps:spPr>
                      <wps:txbx>
                        <w:txbxContent>
                          <w:p w14:paraId="15C56056" w14:textId="77777777" w:rsidR="006B7517" w:rsidRPr="00D209D4" w:rsidRDefault="006B7517" w:rsidP="006B7517">
                            <w:pPr>
                              <w:pStyle w:val="12BoxText"/>
                            </w:pPr>
                            <w:r w:rsidRPr="00D209D4">
                              <w:t>The Victorian Government Wages Policy and Enterprise Bargaining Framework has three pillars:</w:t>
                            </w:r>
                          </w:p>
                          <w:p w14:paraId="500D9224" w14:textId="76F522ED" w:rsidR="006B7517" w:rsidRPr="00D209D4" w:rsidRDefault="006B7517" w:rsidP="006B7517">
                            <w:pPr>
                              <w:pStyle w:val="Bulletsinatable"/>
                            </w:pPr>
                            <w:r w:rsidRPr="00D209D4">
                              <w:t xml:space="preserve">Pillar 1: Wages — increases in wages and conditions will be capped at a rate of growth of </w:t>
                            </w:r>
                            <w:r w:rsidR="00FC555F">
                              <w:t>1.5</w:t>
                            </w:r>
                            <w:r w:rsidRPr="00D209D4">
                              <w:t xml:space="preserve"> per cent </w:t>
                            </w:r>
                            <w:r>
                              <w:t xml:space="preserve">per annum </w:t>
                            </w:r>
                            <w:r w:rsidRPr="00D209D4">
                              <w:t>over the life of the agreement. In practice this means employee wages and conditions will be allowed to grow at this rate.</w:t>
                            </w:r>
                          </w:p>
                          <w:p w14:paraId="33AC532F" w14:textId="77777777" w:rsidR="006B7517" w:rsidRPr="00D209D4" w:rsidRDefault="006B7517" w:rsidP="006B7517">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74FFFF53" w14:textId="22D20FB5" w:rsidR="006B7517" w:rsidRPr="00D209D4" w:rsidRDefault="006B7517" w:rsidP="006B7517">
                            <w:pPr>
                              <w:pStyle w:val="Bulletsinatable"/>
                            </w:pPr>
                            <w:r w:rsidRPr="00D209D4">
                              <w:t xml:space="preserve">Pillar 3: Additional strategic changes — additional changes to allowances and other conditions (not general wages) will </w:t>
                            </w:r>
                            <w:r w:rsidR="00FC555F">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1BF2F769" w14:textId="515DDFD8" w:rsidR="006B7517" w:rsidRPr="00FE65FD" w:rsidRDefault="006B7517" w:rsidP="006B7517">
                            <w:pPr>
                              <w:pStyle w:val="12BoxText"/>
                            </w:pPr>
                            <w:r w:rsidRPr="00FE65FD">
                              <w:t xml:space="preserve">A ‘Secondary Pathway’ is also available for public sector agencies whose current enterprise agreement reaches its nominal expiry date </w:t>
                            </w:r>
                            <w:r w:rsidR="00FC555F">
                              <w:t>between 1 January 2022 and 31 December 2022</w:t>
                            </w:r>
                            <w:r w:rsidRPr="00FE65FD">
                              <w:t xml:space="preserve"> which permits one annual wage and allowance increase capped at 2 per cent (instead of at </w:t>
                            </w:r>
                            <w:r w:rsidR="00FC555F">
                              <w:t>1.5</w:t>
                            </w:r>
                            <w:r w:rsidRPr="00FE65FD">
                              <w:t xml:space="preserve">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68AC88" id="_x0000_t202" coordsize="21600,21600" o:spt="202" path="m,l,21600r21600,l21600,xe">
                <v:stroke joinstyle="miter"/>
                <v:path gradientshapeok="t" o:connecttype="rect"/>
              </v:shapetype>
              <v:shape id="Text Box 280" o:spid="_x0000_s1026" type="#_x0000_t202" style="width:427.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" fillcolor="white [3201]" strokecolor="#148a5d [3205]" strokeweight="1.5pt">
                <v:textbox>
                  <w:txbxContent>
                    <w:p w14:paraId="15C56056" w14:textId="77777777" w:rsidR="006B7517" w:rsidRPr="00D209D4" w:rsidRDefault="006B7517" w:rsidP="006B7517">
                      <w:pPr>
                        <w:pStyle w:val="12BoxText"/>
                      </w:pPr>
                      <w:r w:rsidRPr="00D209D4">
                        <w:t>The Victorian Government Wages Policy and Enterprise Bargaining Framework has three pillars:</w:t>
                      </w:r>
                    </w:p>
                    <w:p w14:paraId="500D9224" w14:textId="76F522ED" w:rsidR="006B7517" w:rsidRPr="00D209D4" w:rsidRDefault="006B7517" w:rsidP="006B7517">
                      <w:pPr>
                        <w:pStyle w:val="Bulletsinatable"/>
                      </w:pPr>
                      <w:r w:rsidRPr="00D209D4">
                        <w:t xml:space="preserve">Pillar 1: Wages — increases in wages and conditions will be capped at a rate of growth of </w:t>
                      </w:r>
                      <w:r w:rsidR="00FC555F">
                        <w:t>1.5</w:t>
                      </w:r>
                      <w:r w:rsidRPr="00D209D4">
                        <w:t xml:space="preserve"> per cent </w:t>
                      </w:r>
                      <w:r>
                        <w:t xml:space="preserve">per annum </w:t>
                      </w:r>
                      <w:r w:rsidRPr="00D209D4">
                        <w:t>over the life of the agreement. In practice this means employee wages and conditions will be allowed to grow at this rate.</w:t>
                      </w:r>
                    </w:p>
                    <w:p w14:paraId="33AC532F" w14:textId="77777777" w:rsidR="006B7517" w:rsidRPr="00D209D4" w:rsidRDefault="006B7517" w:rsidP="006B7517">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74FFFF53" w14:textId="22D20FB5" w:rsidR="006B7517" w:rsidRPr="00D209D4" w:rsidRDefault="006B7517" w:rsidP="006B7517">
                      <w:pPr>
                        <w:pStyle w:val="Bulletsinatable"/>
                      </w:pPr>
                      <w:r w:rsidRPr="00D209D4">
                        <w:t xml:space="preserve">Pillar 3: Additional strategic changes — additional changes to allowances and other conditions (not general wages) will </w:t>
                      </w:r>
                      <w:r w:rsidR="00FC555F">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1BF2F769" w14:textId="515DDFD8" w:rsidR="006B7517" w:rsidRPr="00FE65FD" w:rsidRDefault="006B7517" w:rsidP="006B7517">
                      <w:pPr>
                        <w:pStyle w:val="12BoxText"/>
                      </w:pPr>
                      <w:r w:rsidRPr="00FE65FD">
                        <w:t xml:space="preserve">A ‘Secondary Pathway’ is also available for public sector agencies whose current enterprise agreement reaches its nominal expiry date </w:t>
                      </w:r>
                      <w:r w:rsidR="00FC555F">
                        <w:t>between 1 January 2022 and 31 December 2022</w:t>
                      </w:r>
                      <w:r w:rsidRPr="00FE65FD">
                        <w:t xml:space="preserve"> which permits one annual wage and allowance increase capped at 2 per cent (instead of at </w:t>
                      </w:r>
                      <w:r w:rsidR="00FC555F">
                        <w:t>1.5</w:t>
                      </w:r>
                      <w:r w:rsidRPr="00FE65FD">
                        <w:t xml:space="preserve"> per cent).</w:t>
                      </w:r>
                    </w:p>
                  </w:txbxContent>
                </v:textbox>
                <w10:anchorlock/>
              </v:shape>
            </w:pict>
          </mc:Fallback>
        </mc:AlternateContent>
      </w:r>
      <w:r w:rsidRPr="006B7517">
        <w:rPr>
          <w:rStyle w:val="09SourcesandnotesfortablesfiguresboxesChar"/>
        </w:rPr>
        <w:t>Source: Industrial Relations Victoria</w:t>
      </w:r>
      <w:r w:rsidR="00984EE8">
        <w:rPr>
          <w:rStyle w:val="09SourcesandnotesfortablesfiguresboxesChar"/>
        </w:rPr>
        <w:t xml:space="preserve"> (2021).</w:t>
      </w:r>
    </w:p>
    <w:p w14:paraId="1A8DDA10" w14:textId="67B159F2" w:rsidR="00643B48" w:rsidRPr="00643B48" w:rsidRDefault="00750CDF" w:rsidP="00643B48">
      <w:pPr>
        <w:pStyle w:val="05Paragraph"/>
      </w:pPr>
      <w:r>
        <w:lastRenderedPageBreak/>
        <w:t>In October 2020, under</w:t>
      </w:r>
      <w:r w:rsidRPr="00643B48">
        <w:t xml:space="preserve"> the </w:t>
      </w:r>
      <w:r>
        <w:t xml:space="preserve">previous </w:t>
      </w:r>
      <w:r w:rsidRPr="00643B48">
        <w:t>Wages Policy</w:t>
      </w:r>
      <w:r>
        <w:t>,</w:t>
      </w:r>
      <w:r>
        <w:rPr>
          <w:rStyle w:val="FootnoteReference"/>
        </w:rPr>
        <w:footnoteReference w:id="5"/>
      </w:r>
      <w:r w:rsidRPr="00643B48">
        <w:t xml:space="preserve"> the </w:t>
      </w:r>
      <w:r w:rsidRPr="00643B48">
        <w:rPr>
          <w:i/>
          <w:iCs/>
        </w:rPr>
        <w:t xml:space="preserve">Victorian Public Service Enterprise Agreement 2020 </w:t>
      </w:r>
      <w:r w:rsidRPr="00643B48">
        <w:t>(</w:t>
      </w:r>
      <w:r>
        <w:t>VPS </w:t>
      </w:r>
      <w:r w:rsidRPr="00643B48">
        <w:t>Enterprise Agreement) began operation</w:t>
      </w:r>
      <w:r w:rsidR="00643B48" w:rsidRPr="00643B48">
        <w:t>.</w:t>
      </w:r>
      <w:r w:rsidR="00643B48" w:rsidRPr="00643B48">
        <w:rPr>
          <w:vertAlign w:val="superscript"/>
        </w:rPr>
        <w:footnoteReference w:id="6"/>
      </w:r>
      <w:r w:rsidR="00643B48" w:rsidRPr="00643B48">
        <w:t xml:space="preserve"> The </w:t>
      </w:r>
      <w:r w:rsidR="00473A08">
        <w:t xml:space="preserve">VPS </w:t>
      </w:r>
      <w:r w:rsidR="00643B48" w:rsidRPr="00643B48">
        <w:t xml:space="preserve">Enterprise Agreement provides </w:t>
      </w:r>
      <w:r w:rsidR="00C91C04">
        <w:t xml:space="preserve">for </w:t>
      </w:r>
      <w:r w:rsidR="00643B48" w:rsidRPr="00643B48">
        <w:t xml:space="preserve">annual increases to the salary bands for non-executive VPS employees averaging 2 per cent per </w:t>
      </w:r>
      <w:r w:rsidR="00643B48">
        <w:t>annum</w:t>
      </w:r>
      <w:r w:rsidR="00643B48" w:rsidRPr="00643B48">
        <w:t xml:space="preserve"> over the life of the agreement. </w:t>
      </w:r>
    </w:p>
    <w:p w14:paraId="4EF350AF" w14:textId="5FB9071B" w:rsidR="00643B48" w:rsidRPr="00643B48" w:rsidRDefault="00643B48" w:rsidP="00643B48">
      <w:pPr>
        <w:pStyle w:val="05Paragraph"/>
      </w:pPr>
      <w:r w:rsidRPr="00643B48">
        <w:t xml:space="preserve">Since </w:t>
      </w:r>
      <w:r w:rsidR="003F7E9F">
        <w:t>1 July</w:t>
      </w:r>
      <w:r w:rsidRPr="00643B48">
        <w:t xml:space="preserve"> </w:t>
      </w:r>
      <w:r w:rsidR="00EF344C">
        <w:t>2021</w:t>
      </w:r>
      <w:r w:rsidRPr="00643B48">
        <w:t>,</w:t>
      </w:r>
      <w:r w:rsidR="003F7E9F">
        <w:t xml:space="preserve"> when </w:t>
      </w:r>
      <w:r w:rsidR="000E3DCA">
        <w:t xml:space="preserve">the Tribunal’s </w:t>
      </w:r>
      <w:r w:rsidR="003F7E9F">
        <w:t>last annual adjustment took effect</w:t>
      </w:r>
      <w:r w:rsidRPr="00643B48">
        <w:t>, VPS non</w:t>
      </w:r>
      <w:r w:rsidR="00896176">
        <w:noBreakHyphen/>
      </w:r>
      <w:r w:rsidRPr="00643B48">
        <w:t xml:space="preserve">executive salary bands have increased by </w:t>
      </w:r>
      <w:r w:rsidR="00896176">
        <w:t>2.77</w:t>
      </w:r>
      <w:r w:rsidRPr="00643B48">
        <w:t xml:space="preserve"> per cent on a cumulative basis, consisting of:</w:t>
      </w:r>
    </w:p>
    <w:p w14:paraId="742B9D37" w14:textId="3168E6C4" w:rsidR="00896176" w:rsidRDefault="00896176" w:rsidP="00643B48">
      <w:pPr>
        <w:pStyle w:val="06VIRTBulletpoints"/>
      </w:pPr>
      <w:r>
        <w:t>a 1.5 per cent increase, applied from 1 September 2021</w:t>
      </w:r>
    </w:p>
    <w:p w14:paraId="1374141B" w14:textId="42A2DF32" w:rsidR="00643B48" w:rsidRDefault="00896176" w:rsidP="00643B48">
      <w:pPr>
        <w:pStyle w:val="06VIRTBulletpoints"/>
      </w:pPr>
      <w:r>
        <w:t>a 1.25 per cent increase, applied from 1 June 2022</w:t>
      </w:r>
      <w:r w:rsidR="00643B48" w:rsidRPr="00643B48">
        <w:t>.</w:t>
      </w:r>
    </w:p>
    <w:p w14:paraId="2A4085D2" w14:textId="19D48ABC" w:rsidR="00274B60" w:rsidRPr="00643B48" w:rsidRDefault="00274B60" w:rsidP="001E527D">
      <w:pPr>
        <w:pStyle w:val="05Paragraph"/>
      </w:pPr>
      <w:r w:rsidRPr="00643B48">
        <w:t xml:space="preserve">In addition, </w:t>
      </w:r>
      <w:r>
        <w:t>the VPS Enterprise Agreement</w:t>
      </w:r>
      <w:r w:rsidRPr="00643B48">
        <w:t xml:space="preserve"> provides non</w:t>
      </w:r>
      <w:r>
        <w:noBreakHyphen/>
      </w:r>
      <w:r w:rsidRPr="00643B48">
        <w:t>executive employees with a mobility payment</w:t>
      </w:r>
      <w:r>
        <w:t>,</w:t>
      </w:r>
      <w:r w:rsidRPr="00643B48">
        <w:rPr>
          <w:vertAlign w:val="superscript"/>
        </w:rPr>
        <w:footnoteReference w:id="7"/>
      </w:r>
      <w:r w:rsidRPr="00643B48">
        <w:t xml:space="preserve"> paid as a lump sum on 1 July each year</w:t>
      </w:r>
      <w:r>
        <w:t>, including 1 July 2022</w:t>
      </w:r>
      <w:r w:rsidRPr="00643B48">
        <w:t>. The mobility payment is approximately</w:t>
      </w:r>
      <w:r>
        <w:t xml:space="preserve"> equal to</w:t>
      </w:r>
      <w:r w:rsidRPr="00643B48">
        <w:t xml:space="preserve"> 1.25 per cent of the top of the relevant salary band.</w:t>
      </w:r>
    </w:p>
    <w:p w14:paraId="1F7F62CE" w14:textId="15362896" w:rsidR="006B7517" w:rsidRDefault="0082103B" w:rsidP="0082103B">
      <w:pPr>
        <w:pStyle w:val="02VIRTHeading2"/>
      </w:pPr>
      <w:bookmarkStart w:id="48" w:name="_Toc106614532"/>
      <w:r>
        <w:t>2.2</w:t>
      </w:r>
      <w:r>
        <w:tab/>
        <w:t>Executive employment and remuneration policies</w:t>
      </w:r>
      <w:bookmarkEnd w:id="48"/>
    </w:p>
    <w:p w14:paraId="6E421835" w14:textId="718AEC08" w:rsidR="0082103B" w:rsidRPr="0082103B" w:rsidRDefault="004D70A8" w:rsidP="0082103B">
      <w:pPr>
        <w:pStyle w:val="05Paragraph"/>
      </w:pPr>
      <w:r>
        <w:t xml:space="preserve">The </w:t>
      </w:r>
      <w:r w:rsidR="0082103B" w:rsidRPr="0082103B">
        <w:t>Standard VPS Executive Contract (Standard Contract)</w:t>
      </w:r>
      <w:r>
        <w:t xml:space="preserve"> and </w:t>
      </w:r>
      <w:r w:rsidRPr="0082103B">
        <w:t>VPS Executive Employment Handbook (Handbook)</w:t>
      </w:r>
      <w:r>
        <w:t xml:space="preserve"> set out the e</w:t>
      </w:r>
      <w:r w:rsidRPr="0082103B">
        <w:t>mployment and remuneration policies that apply to VPS executives</w:t>
      </w:r>
      <w:r w:rsidR="0082103B" w:rsidRPr="0082103B">
        <w:t>.</w:t>
      </w:r>
    </w:p>
    <w:p w14:paraId="78A79C45" w14:textId="25200A22" w:rsidR="0082103B" w:rsidRPr="0082103B" w:rsidRDefault="0082103B" w:rsidP="0082103B">
      <w:pPr>
        <w:pStyle w:val="05Paragraph"/>
      </w:pPr>
      <w:r w:rsidRPr="0082103B">
        <w:t>The Standard Contract is mandated for the employment of all VPS executives</w:t>
      </w:r>
      <w:r w:rsidR="004D70A8">
        <w:t xml:space="preserve">, and sets out </w:t>
      </w:r>
      <w:r w:rsidR="004D70A8" w:rsidRPr="0082103B">
        <w:t>employment details including the remuneration package, performance standards and other employment conditions</w:t>
      </w:r>
      <w:r w:rsidRPr="0082103B">
        <w:t>.</w:t>
      </w:r>
      <w:r w:rsidRPr="0082103B">
        <w:rPr>
          <w:vertAlign w:val="superscript"/>
        </w:rPr>
        <w:footnoteReference w:id="8"/>
      </w:r>
      <w:r w:rsidRPr="0082103B">
        <w:t xml:space="preserve"> All VPS executive contracts have common conditions </w:t>
      </w:r>
      <w:r>
        <w:t>dealing</w:t>
      </w:r>
      <w:r w:rsidRPr="0082103B">
        <w:t xml:space="preserve"> with:</w:t>
      </w:r>
    </w:p>
    <w:p w14:paraId="5122ECF0" w14:textId="77777777" w:rsidR="0082103B" w:rsidRPr="0082103B" w:rsidRDefault="0082103B" w:rsidP="0082103B">
      <w:pPr>
        <w:pStyle w:val="06VIRTBulletpoints"/>
      </w:pPr>
      <w:r w:rsidRPr="0082103B">
        <w:t>contract term and renewal</w:t>
      </w:r>
    </w:p>
    <w:p w14:paraId="43E8A65A" w14:textId="77777777" w:rsidR="0082103B" w:rsidRPr="0082103B" w:rsidRDefault="0082103B" w:rsidP="0082103B">
      <w:pPr>
        <w:pStyle w:val="06VIRTBulletpoints"/>
      </w:pPr>
      <w:r w:rsidRPr="0082103B">
        <w:t>performance management</w:t>
      </w:r>
    </w:p>
    <w:p w14:paraId="4F42AB81" w14:textId="77777777" w:rsidR="0082103B" w:rsidRPr="0082103B" w:rsidRDefault="0082103B" w:rsidP="0082103B">
      <w:pPr>
        <w:pStyle w:val="06VIRTBulletpoints"/>
      </w:pPr>
      <w:r w:rsidRPr="0082103B">
        <w:t>reimbursement for expenses</w:t>
      </w:r>
    </w:p>
    <w:p w14:paraId="4BBA416A" w14:textId="77777777" w:rsidR="0082103B" w:rsidRPr="0082103B" w:rsidRDefault="0082103B" w:rsidP="0082103B">
      <w:pPr>
        <w:pStyle w:val="06VIRTBulletpoints"/>
      </w:pPr>
      <w:r w:rsidRPr="0082103B">
        <w:t>leave entitlements</w:t>
      </w:r>
    </w:p>
    <w:p w14:paraId="436C5946" w14:textId="77777777" w:rsidR="0082103B" w:rsidRPr="0082103B" w:rsidRDefault="0082103B" w:rsidP="0082103B">
      <w:pPr>
        <w:pStyle w:val="06VIRTBulletpoints"/>
      </w:pPr>
      <w:r w:rsidRPr="0082103B">
        <w:t>termination.</w:t>
      </w:r>
    </w:p>
    <w:p w14:paraId="2EA99D22" w14:textId="5E767D52" w:rsidR="0082103B" w:rsidRPr="0082103B" w:rsidRDefault="0082103B" w:rsidP="0082103B">
      <w:pPr>
        <w:pStyle w:val="05Paragraph"/>
      </w:pPr>
      <w:r w:rsidRPr="0082103B">
        <w:lastRenderedPageBreak/>
        <w:t xml:space="preserve">The Handbook and Standard Contract set out the components of an executive’s </w:t>
      </w:r>
      <w:r w:rsidR="00AB7273">
        <w:t>t</w:t>
      </w:r>
      <w:r w:rsidRPr="0082103B">
        <w:t xml:space="preserve">otal </w:t>
      </w:r>
      <w:r w:rsidR="00AB7273">
        <w:t>r</w:t>
      </w:r>
      <w:r w:rsidRPr="0082103B">
        <w:t xml:space="preserve">emuneration </w:t>
      </w:r>
      <w:r w:rsidR="00AB7273">
        <w:t>p</w:t>
      </w:r>
      <w:r w:rsidRPr="0082103B">
        <w:t>ackage (TRP), defined as the sum of:</w:t>
      </w:r>
      <w:r w:rsidRPr="0082103B">
        <w:rPr>
          <w:vertAlign w:val="superscript"/>
        </w:rPr>
        <w:footnoteReference w:id="9"/>
      </w:r>
    </w:p>
    <w:p w14:paraId="3BFDFEDD" w14:textId="77777777" w:rsidR="0082103B" w:rsidRPr="0082103B" w:rsidRDefault="0082103B" w:rsidP="0082103B">
      <w:pPr>
        <w:pStyle w:val="06VIRTBulletpoints"/>
      </w:pPr>
      <w:r w:rsidRPr="0082103B">
        <w:t>base salary</w:t>
      </w:r>
    </w:p>
    <w:p w14:paraId="1A273223" w14:textId="77777777" w:rsidR="0082103B" w:rsidRPr="0082103B" w:rsidRDefault="0082103B" w:rsidP="0082103B">
      <w:pPr>
        <w:pStyle w:val="06VIRTBulletpoints"/>
      </w:pPr>
      <w:r w:rsidRPr="0082103B">
        <w:t>superannuation contributions</w:t>
      </w:r>
    </w:p>
    <w:p w14:paraId="6CBB37FD" w14:textId="77777777" w:rsidR="0082103B" w:rsidRPr="0082103B" w:rsidRDefault="0082103B" w:rsidP="0082103B">
      <w:pPr>
        <w:pStyle w:val="06VIRTBulletpoints"/>
      </w:pPr>
      <w:r w:rsidRPr="0082103B">
        <w:t>employment benefits (</w:t>
      </w:r>
      <w:proofErr w:type="gramStart"/>
      <w:r w:rsidRPr="0082103B">
        <w:t>i.e.</w:t>
      </w:r>
      <w:proofErr w:type="gramEnd"/>
      <w:r w:rsidRPr="0082103B">
        <w:t xml:space="preserve"> non-salary) specified in the executive’s contract of employment</w:t>
      </w:r>
    </w:p>
    <w:p w14:paraId="655FC57E" w14:textId="649FD43A" w:rsidR="0082103B" w:rsidRPr="0082103B" w:rsidRDefault="0082103B" w:rsidP="0082103B">
      <w:pPr>
        <w:pStyle w:val="06VIRTBulletpoints"/>
      </w:pPr>
      <w:r w:rsidRPr="0082103B">
        <w:t>the annual cost to the employer of providing the non-monetary benefits, including any fringe benefits tax payable.</w:t>
      </w:r>
    </w:p>
    <w:p w14:paraId="262851DC" w14:textId="5931801C" w:rsidR="0082103B" w:rsidRPr="0082103B" w:rsidRDefault="0082103B" w:rsidP="0082103B">
      <w:pPr>
        <w:pStyle w:val="05Paragraph"/>
      </w:pPr>
      <w:r w:rsidRPr="0082103B">
        <w:t xml:space="preserve">The Handbook provides that executives </w:t>
      </w:r>
      <w:r w:rsidR="005E6641">
        <w:t>may</w:t>
      </w:r>
      <w:r w:rsidRPr="0082103B">
        <w:t xml:space="preserve"> include non-salary beneﬁts as part of their TRP, including:</w:t>
      </w:r>
      <w:r w:rsidR="004D70A8" w:rsidRPr="0082103B">
        <w:rPr>
          <w:vertAlign w:val="superscript"/>
        </w:rPr>
        <w:footnoteReference w:id="10"/>
      </w:r>
    </w:p>
    <w:p w14:paraId="73D92BA7" w14:textId="77777777" w:rsidR="0082103B" w:rsidRPr="0082103B" w:rsidRDefault="0082103B" w:rsidP="0082103B">
      <w:pPr>
        <w:pStyle w:val="06VIRTBulletpoints"/>
      </w:pPr>
      <w:r w:rsidRPr="0082103B">
        <w:t>a motor vehicle obtained through the Executive Vehicle Scheme</w:t>
      </w:r>
      <w:r w:rsidRPr="0082103B">
        <w:rPr>
          <w:vertAlign w:val="superscript"/>
        </w:rPr>
        <w:footnoteReference w:id="11"/>
      </w:r>
    </w:p>
    <w:p w14:paraId="6D6C917D" w14:textId="77777777" w:rsidR="0082103B" w:rsidRPr="0082103B" w:rsidRDefault="0082103B" w:rsidP="0082103B">
      <w:pPr>
        <w:pStyle w:val="06VIRTBulletpoints"/>
      </w:pPr>
      <w:r w:rsidRPr="0082103B">
        <w:t>a motor vehicle obtained through a novated leasing arrangement</w:t>
      </w:r>
    </w:p>
    <w:p w14:paraId="791650EF" w14:textId="77777777" w:rsidR="0082103B" w:rsidRPr="0082103B" w:rsidRDefault="0082103B" w:rsidP="0082103B">
      <w:pPr>
        <w:pStyle w:val="06VIRTBulletpoints"/>
      </w:pPr>
      <w:r w:rsidRPr="0082103B">
        <w:t>the VPS health insurance scheme</w:t>
      </w:r>
    </w:p>
    <w:p w14:paraId="682BC9A6" w14:textId="5B0C9021" w:rsidR="0082103B" w:rsidRPr="0082103B" w:rsidRDefault="0082103B" w:rsidP="0082103B">
      <w:pPr>
        <w:pStyle w:val="06VIRTBulletpoints"/>
      </w:pPr>
      <w:r w:rsidRPr="0082103B">
        <w:t>salary sacrificed superannuation contributions.</w:t>
      </w:r>
    </w:p>
    <w:p w14:paraId="72E3C3A3" w14:textId="0D11B932" w:rsidR="0082103B" w:rsidRPr="0082103B" w:rsidRDefault="0082103B" w:rsidP="0082103B">
      <w:pPr>
        <w:pStyle w:val="05Paragraph"/>
      </w:pPr>
      <w:r w:rsidRPr="0082103B">
        <w:t xml:space="preserve">The Standard Contract provides for an annual review of </w:t>
      </w:r>
      <w:r w:rsidR="00250BAF">
        <w:t>each</w:t>
      </w:r>
      <w:r w:rsidRPr="0082103B">
        <w:t xml:space="preserve"> executive’s remuneration</w:t>
      </w:r>
      <w:r w:rsidR="00750CDF">
        <w:t>,</w:t>
      </w:r>
      <w:r w:rsidR="00290CD6">
        <w:t xml:space="preserve"> which </w:t>
      </w:r>
      <w:r w:rsidRPr="0082103B">
        <w:t>c</w:t>
      </w:r>
      <w:r w:rsidR="004D70A8">
        <w:t>an</w:t>
      </w:r>
      <w:r w:rsidRPr="0082103B">
        <w:t xml:space="preserve"> be adjusted annually by the</w:t>
      </w:r>
      <w:r w:rsidR="000E71E3">
        <w:t xml:space="preserve"> executive’s</w:t>
      </w:r>
      <w:r w:rsidRPr="0082103B">
        <w:t xml:space="preserve"> employer up to a maximum rate </w:t>
      </w:r>
      <w:r w:rsidR="000E71E3">
        <w:t xml:space="preserve">— </w:t>
      </w:r>
      <w:r w:rsidR="000E71E3" w:rsidRPr="0082103B">
        <w:t>known as the ‘guideline rate’</w:t>
      </w:r>
      <w:r w:rsidR="000E71E3">
        <w:t xml:space="preserve"> — as </w:t>
      </w:r>
      <w:r w:rsidRPr="0082103B">
        <w:t>set by the Premier.</w:t>
      </w:r>
      <w:r w:rsidRPr="0082103B">
        <w:rPr>
          <w:vertAlign w:val="superscript"/>
        </w:rPr>
        <w:footnoteReference w:id="12"/>
      </w:r>
      <w:r w:rsidRPr="0082103B">
        <w:t xml:space="preserve"> </w:t>
      </w:r>
      <w:r>
        <w:t>The</w:t>
      </w:r>
      <w:r w:rsidRPr="0082103B">
        <w:t xml:space="preserve"> guideline rate</w:t>
      </w:r>
      <w:r>
        <w:t xml:space="preserve"> </w:t>
      </w:r>
      <w:r w:rsidR="004D70A8">
        <w:t xml:space="preserve">is set at </w:t>
      </w:r>
      <w:r>
        <w:t xml:space="preserve">1.5 per cent for </w:t>
      </w:r>
      <w:r w:rsidR="004D70A8">
        <w:t xml:space="preserve">both </w:t>
      </w:r>
      <w:r>
        <w:t>2021-22 and 2022-23.</w:t>
      </w:r>
    </w:p>
    <w:p w14:paraId="59BFB07F" w14:textId="7BFA6849" w:rsidR="0082103B" w:rsidRDefault="00077086" w:rsidP="00077086">
      <w:pPr>
        <w:pStyle w:val="03VIRTHeading3"/>
      </w:pPr>
      <w:r>
        <w:t>Policy related to changes in superannuation entitlements</w:t>
      </w:r>
    </w:p>
    <w:p w14:paraId="32C40BCB" w14:textId="7281BFDB" w:rsidR="00077086" w:rsidRPr="00077086" w:rsidRDefault="00077086" w:rsidP="00077086">
      <w:pPr>
        <w:pStyle w:val="05Paragraph"/>
      </w:pPr>
      <w:r w:rsidRPr="00077086">
        <w:t>Under Commonwealth law, the</w:t>
      </w:r>
      <w:r w:rsidR="00264242">
        <w:t xml:space="preserve"> S</w:t>
      </w:r>
      <w:r w:rsidRPr="00077086">
        <w:t xml:space="preserve">uperannuation </w:t>
      </w:r>
      <w:r w:rsidR="00264242">
        <w:t>G</w:t>
      </w:r>
      <w:r w:rsidRPr="00077086">
        <w:t>uarantee (SG) and maximum superannuation contribution base (MSCB) apply to executives who are members of an accumulation scheme.</w:t>
      </w:r>
      <w:r w:rsidRPr="00077086">
        <w:rPr>
          <w:vertAlign w:val="superscript"/>
        </w:rPr>
        <w:footnoteReference w:id="13"/>
      </w:r>
      <w:r w:rsidRPr="00077086">
        <w:t xml:space="preserve"> </w:t>
      </w:r>
    </w:p>
    <w:p w14:paraId="600344B6" w14:textId="368147D9" w:rsidR="00D82B3E" w:rsidRDefault="00D82B3E" w:rsidP="00D82B3E">
      <w:pPr>
        <w:pStyle w:val="05Paragraph"/>
      </w:pPr>
      <w:r w:rsidRPr="00077086">
        <w:t xml:space="preserve">The SG is the minimum </w:t>
      </w:r>
      <w:r>
        <w:t>amount</w:t>
      </w:r>
      <w:r w:rsidRPr="00077086">
        <w:t xml:space="preserve"> of employer superannuation contributions </w:t>
      </w:r>
      <w:r>
        <w:t>to which an</w:t>
      </w:r>
      <w:r w:rsidRPr="00077086">
        <w:t xml:space="preserve"> employee is entitled, </w:t>
      </w:r>
      <w:r>
        <w:t xml:space="preserve">expressed </w:t>
      </w:r>
      <w:r w:rsidRPr="00077086">
        <w:t xml:space="preserve">as a percentage of </w:t>
      </w:r>
      <w:r>
        <w:t>the employee’s</w:t>
      </w:r>
      <w:r w:rsidRPr="00077086">
        <w:t xml:space="preserve"> ‘ordinary time earnings’.</w:t>
      </w:r>
      <w:r w:rsidRPr="00077086">
        <w:rPr>
          <w:vertAlign w:val="superscript"/>
        </w:rPr>
        <w:footnoteReference w:id="14"/>
      </w:r>
      <w:r w:rsidRPr="00077086">
        <w:t xml:space="preserve"> The MSCB acts as a cap on the ‘ordinary time </w:t>
      </w:r>
      <w:proofErr w:type="gramStart"/>
      <w:r w:rsidRPr="00077086">
        <w:t>earnings‘ that</w:t>
      </w:r>
      <w:proofErr w:type="gramEnd"/>
      <w:r w:rsidRPr="00077086">
        <w:t xml:space="preserve"> are used to calculate an employee’s superannuation entitlements — earnings over the MSCB are not counted for the purpose of calculating entitlements.</w:t>
      </w:r>
      <w:r w:rsidRPr="00077086">
        <w:rPr>
          <w:vertAlign w:val="superscript"/>
        </w:rPr>
        <w:footnoteReference w:id="15"/>
      </w:r>
    </w:p>
    <w:p w14:paraId="78B04CBE" w14:textId="09DAFE68" w:rsidR="00D82B3E" w:rsidRDefault="00D82B3E" w:rsidP="00AA4E61">
      <w:pPr>
        <w:pStyle w:val="05Paragraph"/>
      </w:pPr>
      <w:r w:rsidRPr="00270718">
        <w:lastRenderedPageBreak/>
        <w:t xml:space="preserve">The </w:t>
      </w:r>
      <w:r>
        <w:t>superannuation entitlements of</w:t>
      </w:r>
      <w:r w:rsidRPr="00270718">
        <w:t xml:space="preserve"> executives in an accumulation scheme may increase each year </w:t>
      </w:r>
      <w:proofErr w:type="gramStart"/>
      <w:r w:rsidRPr="00270718">
        <w:t>as a result of</w:t>
      </w:r>
      <w:proofErr w:type="gramEnd"/>
      <w:r w:rsidRPr="00270718">
        <w:t xml:space="preserve"> the indexation of the MSCB and/or changes to the SG</w:t>
      </w:r>
      <w:r>
        <w:t xml:space="preserve"> rate</w:t>
      </w:r>
      <w:r w:rsidR="00270718" w:rsidRPr="00270718">
        <w:t>.</w:t>
      </w:r>
    </w:p>
    <w:p w14:paraId="44945559" w14:textId="6D6FE4FA" w:rsidR="00AA4E61" w:rsidRDefault="00AA4E61" w:rsidP="00AA4E61">
      <w:pPr>
        <w:pStyle w:val="05Paragraph"/>
      </w:pPr>
      <w:r>
        <w:t>On 1 July 2022, the following changes will occur:</w:t>
      </w:r>
    </w:p>
    <w:p w14:paraId="099B0DCE" w14:textId="7E1C8947" w:rsidR="00AA4E61" w:rsidRDefault="00AA4E61" w:rsidP="00456D57">
      <w:pPr>
        <w:pStyle w:val="06VIRTBulletpoints"/>
      </w:pPr>
      <w:r>
        <w:t xml:space="preserve">the SG will increase from 10 per cent to 10.5 per cent </w:t>
      </w:r>
    </w:p>
    <w:p w14:paraId="6E33C479" w14:textId="43BE2B6A" w:rsidR="00AA4E61" w:rsidRDefault="00AA4E61" w:rsidP="00456D57">
      <w:pPr>
        <w:pStyle w:val="06VIRTBulletpoints"/>
      </w:pPr>
      <w:r>
        <w:t>the MSCB will increase in line with changes in Australian average weekly ordinary time earnings</w:t>
      </w:r>
      <w:r w:rsidR="00DE6E52">
        <w:t xml:space="preserve"> (AWOTE)</w:t>
      </w:r>
      <w:r>
        <w:t xml:space="preserve">, from $58,920 per quarter ($235,680 per annum) to $60,220 per quarter ($240,880 per annum). </w:t>
      </w:r>
    </w:p>
    <w:p w14:paraId="06AD7EE3" w14:textId="315E806C" w:rsidR="00270718" w:rsidRPr="00270718" w:rsidRDefault="00270718" w:rsidP="00AA4E61">
      <w:pPr>
        <w:pStyle w:val="05Paragraph"/>
      </w:pPr>
      <w:r w:rsidRPr="00270718">
        <w:t xml:space="preserve">The Handbook states that public service employers must bear the cost of such increases in superannuation liabilities. </w:t>
      </w:r>
      <w:r>
        <w:t>In particular, t</w:t>
      </w:r>
      <w:r w:rsidRPr="00270718">
        <w:t xml:space="preserve">he Handbook </w:t>
      </w:r>
      <w:r>
        <w:t xml:space="preserve">stipulates </w:t>
      </w:r>
      <w:proofErr w:type="gramStart"/>
      <w:r>
        <w:t>that</w:t>
      </w:r>
      <w:r w:rsidRPr="00270718">
        <w:t xml:space="preserve"> employers</w:t>
      </w:r>
      <w:proofErr w:type="gramEnd"/>
      <w:r w:rsidRPr="00270718">
        <w:t xml:space="preserve"> </w:t>
      </w:r>
      <w:r>
        <w:t xml:space="preserve">are </w:t>
      </w:r>
      <w:r w:rsidRPr="00270718">
        <w:t xml:space="preserve">not to offset the cost of changes to superannuation </w:t>
      </w:r>
      <w:r>
        <w:t xml:space="preserve">entitlements </w:t>
      </w:r>
      <w:r w:rsidRPr="00270718">
        <w:t>by passing on less of an annual remuneration adjustment (determined following the annual review of the executive’s remuneration required by the Standard Contract, explained above) to an individual executive than they would have</w:t>
      </w:r>
      <w:r w:rsidR="00274B60">
        <w:t xml:space="preserve"> otherwise</w:t>
      </w:r>
      <w:r w:rsidRPr="00270718">
        <w:t>.</w:t>
      </w:r>
      <w:r w:rsidRPr="00270718">
        <w:rPr>
          <w:vertAlign w:val="superscript"/>
        </w:rPr>
        <w:footnoteReference w:id="16"/>
      </w:r>
      <w:r w:rsidRPr="00270718">
        <w:t xml:space="preserve"> In the remainder of this Statement of Reasons, this requirement is referred to as the ‘Superannuation Policy’.</w:t>
      </w:r>
    </w:p>
    <w:p w14:paraId="61FDF9C0" w14:textId="2B8D634A" w:rsidR="00270718" w:rsidRDefault="00AB7273" w:rsidP="00270718">
      <w:pPr>
        <w:pStyle w:val="05Paragraph"/>
      </w:pPr>
      <w:r>
        <w:t>The</w:t>
      </w:r>
      <w:r w:rsidR="00270718" w:rsidRPr="00270718">
        <w:t xml:space="preserve"> Department of Premier and Cabinet</w:t>
      </w:r>
      <w:r>
        <w:t xml:space="preserve"> has</w:t>
      </w:r>
      <w:r w:rsidR="00270718" w:rsidRPr="00270718">
        <w:t xml:space="preserve"> issued guidance to Victorian public sector employers about how to comply with the Superannuation Policy when providing an annual adjustment to an executive’s TRP.</w:t>
      </w:r>
      <w:r w:rsidR="00270718" w:rsidRPr="00270718">
        <w:rPr>
          <w:vertAlign w:val="superscript"/>
        </w:rPr>
        <w:footnoteReference w:id="17"/>
      </w:r>
    </w:p>
    <w:p w14:paraId="48E96D4E" w14:textId="6A26E001" w:rsidR="00270718" w:rsidRPr="00270718" w:rsidRDefault="00270718" w:rsidP="00BE6394">
      <w:pPr>
        <w:pStyle w:val="05Paragraph"/>
      </w:pPr>
      <w:r w:rsidRPr="00270718">
        <w:t>The guidance explains that</w:t>
      </w:r>
      <w:r>
        <w:t>,</w:t>
      </w:r>
      <w:r w:rsidRPr="00270718">
        <w:t xml:space="preserve"> for executives whose remuneration is expressed as a TRP:</w:t>
      </w:r>
    </w:p>
    <w:p w14:paraId="3E1334EF" w14:textId="77777777" w:rsidR="00270718" w:rsidRPr="00270718" w:rsidRDefault="00270718" w:rsidP="00270718">
      <w:pPr>
        <w:pStyle w:val="06VIRTBulletpoints"/>
      </w:pPr>
      <w:r w:rsidRPr="00270718">
        <w:t xml:space="preserve">the employer’s chosen annual adjustment rate is to be applied to the salary component of the executive’s TRP </w:t>
      </w:r>
    </w:p>
    <w:p w14:paraId="01E28860" w14:textId="732FD9B0" w:rsidR="00270718" w:rsidRPr="00270718" w:rsidRDefault="00270718" w:rsidP="00270718">
      <w:pPr>
        <w:pStyle w:val="06VIRTBulletpoints"/>
      </w:pPr>
      <w:r w:rsidRPr="00270718">
        <w:t>the superannuation component of the executive’s TRP is to be separately adjusted to reflect their new superannuation entitlements.</w:t>
      </w:r>
    </w:p>
    <w:p w14:paraId="47D5AE45" w14:textId="61E1C43D" w:rsidR="00795A21" w:rsidRDefault="00795A21" w:rsidP="005D2F6F">
      <w:pPr>
        <w:pStyle w:val="06VIRTBulletpoints"/>
        <w:numPr>
          <w:ilvl w:val="0"/>
          <w:numId w:val="0"/>
        </w:numPr>
        <w:ind w:left="357"/>
        <w:sectPr w:rsidR="00795A21" w:rsidSect="006B7517">
          <w:pgSz w:w="11906" w:h="16838"/>
          <w:pgMar w:top="1701" w:right="1701" w:bottom="1559" w:left="1701" w:header="708" w:footer="708" w:gutter="0"/>
          <w:cols w:space="708"/>
          <w:titlePg/>
          <w:docGrid w:linePitch="360"/>
        </w:sectPr>
      </w:pPr>
    </w:p>
    <w:p w14:paraId="58229AE4" w14:textId="0388B909" w:rsidR="00270718" w:rsidRPr="00270718" w:rsidRDefault="00795A21" w:rsidP="00795A21">
      <w:pPr>
        <w:pStyle w:val="01Chapterheading"/>
      </w:pPr>
      <w:bookmarkStart w:id="49" w:name="_Toc106614533"/>
      <w:r>
        <w:lastRenderedPageBreak/>
        <w:t>3</w:t>
      </w:r>
      <w:r w:rsidRPr="00795A21">
        <w:tab/>
      </w:r>
      <w:r>
        <w:t>Economic factors</w:t>
      </w:r>
      <w:r>
        <w:br/>
      </w:r>
      <w:r>
        <w:rPr>
          <w:noProof/>
        </w:rPr>
        <w:drawing>
          <wp:inline distT="0" distB="0" distL="0" distR="0" wp14:anchorId="697D190B" wp14:editId="7F369C66">
            <wp:extent cx="2212975" cy="255905"/>
            <wp:effectExtent l="0" t="0" r="0" b="0"/>
            <wp:docPr id="1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49"/>
    </w:p>
    <w:p w14:paraId="159E75B3" w14:textId="77777777" w:rsidR="005C3F8A" w:rsidRPr="005C3F8A" w:rsidRDefault="005C3F8A" w:rsidP="005C3F8A">
      <w:pPr>
        <w:pStyle w:val="05Paragraph"/>
      </w:pPr>
      <w:r w:rsidRPr="005C3F8A">
        <w:t>In accordance with the VIRTIPS Act, the Tribunal is required to consider:</w:t>
      </w:r>
    </w:p>
    <w:p w14:paraId="7B161D14" w14:textId="77777777" w:rsidR="005C3F8A" w:rsidRPr="005C3F8A" w:rsidRDefault="005C3F8A" w:rsidP="005C3F8A">
      <w:pPr>
        <w:pStyle w:val="06VIRTBulletpoints"/>
      </w:pPr>
      <w:r w:rsidRPr="005C3F8A">
        <w:t>current and projected economic conditions and trends (s</w:t>
      </w:r>
      <w:r>
        <w:t xml:space="preserve">. </w:t>
      </w:r>
      <w:r w:rsidRPr="005C3F8A">
        <w:t>24(2)(c))</w:t>
      </w:r>
    </w:p>
    <w:p w14:paraId="1A668C4B" w14:textId="77777777" w:rsidR="005C3F8A" w:rsidRDefault="005C3F8A" w:rsidP="005C3F8A">
      <w:pPr>
        <w:pStyle w:val="06VIRTBulletpoints"/>
      </w:pPr>
      <w:r w:rsidRPr="005C3F8A">
        <w:t>the financial position and fiscal strategy of the State of Victoria (s</w:t>
      </w:r>
      <w:r>
        <w:t xml:space="preserve">. </w:t>
      </w:r>
      <w:r w:rsidRPr="005C3F8A">
        <w:t>24(2)(b))</w:t>
      </w:r>
      <w:bookmarkStart w:id="50" w:name="_Hlk18837424"/>
      <w:bookmarkEnd w:id="50"/>
      <w:r w:rsidRPr="005C3F8A">
        <w:t>.</w:t>
      </w:r>
    </w:p>
    <w:p w14:paraId="6B20CED1" w14:textId="77777777" w:rsidR="00966E96" w:rsidRDefault="00966E96" w:rsidP="00966E96">
      <w:pPr>
        <w:pStyle w:val="02VIRTHeading2"/>
      </w:pPr>
      <w:bookmarkStart w:id="51" w:name="_Toc106614534"/>
      <w:r>
        <w:t>3.1</w:t>
      </w:r>
      <w:r>
        <w:tab/>
        <w:t>Current and projected economic conditions and trends</w:t>
      </w:r>
      <w:bookmarkEnd w:id="51"/>
    </w:p>
    <w:p w14:paraId="64AB2341" w14:textId="2A5E4EB8" w:rsidR="00DA23DE" w:rsidRDefault="00DA23DE" w:rsidP="00DA23DE">
      <w:pPr>
        <w:pStyle w:val="05Paragraph"/>
      </w:pPr>
      <w:r w:rsidRPr="00DA23DE">
        <w:t xml:space="preserve">The Tribunal </w:t>
      </w:r>
      <w:r w:rsidR="00C00976">
        <w:t xml:space="preserve">has </w:t>
      </w:r>
      <w:r w:rsidRPr="00DA23DE">
        <w:t xml:space="preserve">examined international, </w:t>
      </w:r>
      <w:proofErr w:type="gramStart"/>
      <w:r w:rsidRPr="00DA23DE">
        <w:t>Australian</w:t>
      </w:r>
      <w:proofErr w:type="gramEnd"/>
      <w:r w:rsidRPr="00DA23DE">
        <w:t xml:space="preserve"> and Victorian economic and financial conditions and trends. </w:t>
      </w:r>
      <w:r w:rsidR="00563C6F">
        <w:t>C</w:t>
      </w:r>
      <w:r w:rsidR="00563C6F" w:rsidRPr="00DA23DE">
        <w:t xml:space="preserve">onsiderable uncertainty about future conditions </w:t>
      </w:r>
      <w:r w:rsidR="00563C6F">
        <w:t>associated with the ongoing</w:t>
      </w:r>
      <w:r w:rsidR="00563C6F" w:rsidRPr="00DA23DE">
        <w:t xml:space="preserve"> coronavirus (COVID-19) pandemic</w:t>
      </w:r>
      <w:r w:rsidR="00563C6F">
        <w:t xml:space="preserve"> remains, in addition to uncertainty arising from recent geopolitical developments overseas</w:t>
      </w:r>
      <w:r w:rsidR="00563C6F" w:rsidRPr="00DA23DE">
        <w:t xml:space="preserve">. The Tribunal </w:t>
      </w:r>
      <w:r w:rsidR="00C00976">
        <w:t xml:space="preserve">has </w:t>
      </w:r>
      <w:r w:rsidR="00563C6F" w:rsidRPr="00DA23DE">
        <w:t>relied upon</w:t>
      </w:r>
      <w:r w:rsidRPr="00DA23DE">
        <w:t xml:space="preserve"> data </w:t>
      </w:r>
      <w:r w:rsidR="00B83350">
        <w:t xml:space="preserve">and forecasts </w:t>
      </w:r>
      <w:r w:rsidRPr="00DA23DE">
        <w:t>available to it at the time of making this Determination.</w:t>
      </w:r>
    </w:p>
    <w:p w14:paraId="14747438" w14:textId="77777777" w:rsidR="00DA23DE" w:rsidRDefault="00DA23DE" w:rsidP="00DA23DE">
      <w:pPr>
        <w:pStyle w:val="03VIRTHeading3"/>
      </w:pPr>
      <w:r>
        <w:t>International economic conditions</w:t>
      </w:r>
    </w:p>
    <w:p w14:paraId="529B48A2" w14:textId="77777777" w:rsidR="00563C6F" w:rsidRDefault="00563C6F" w:rsidP="00563C6F">
      <w:pPr>
        <w:pStyle w:val="05Paragraph"/>
      </w:pPr>
      <w:r>
        <w:t xml:space="preserve">The Reserve Bank of Australia’s (RBA) latest </w:t>
      </w:r>
      <w:r w:rsidRPr="004330FB">
        <w:rPr>
          <w:i/>
          <w:iCs/>
        </w:rPr>
        <w:t>Statement on Monetary Policy</w:t>
      </w:r>
      <w:r>
        <w:t xml:space="preserve"> (May 2022) noted that upward pressure on inflation, evident in the global economy in the second half of 2021, has persisted into 2022. The RBA observed that, while inflationary pressures are ‘broad based’, the recent rise in inflation largely reflects price increases associated with the Russian invasion of Ukraine. Recent increases in inflation have led to a decline in real wages, and hence purchasing power, across many economies.</w:t>
      </w:r>
      <w:r>
        <w:rPr>
          <w:rStyle w:val="FootnoteReference"/>
        </w:rPr>
        <w:footnoteReference w:id="18"/>
      </w:r>
    </w:p>
    <w:p w14:paraId="2A3E42D9" w14:textId="47A68B1C" w:rsidR="00563C6F" w:rsidRPr="00DA23DE" w:rsidRDefault="00563C6F" w:rsidP="00563C6F">
      <w:pPr>
        <w:pStyle w:val="05Paragraph"/>
      </w:pPr>
      <w:r>
        <w:t xml:space="preserve">Gross Domestic Product (GDP) increased strongly in most economies over the year to March 2022, reflecting factors such as the easing of mobility restrictions </w:t>
      </w:r>
      <w:r w:rsidR="00FC7C55">
        <w:t xml:space="preserve">associated with COVID-19 </w:t>
      </w:r>
      <w:r>
        <w:t>and accommodative monetary and fiscal policy.</w:t>
      </w:r>
      <w:r>
        <w:rPr>
          <w:rStyle w:val="FootnoteReference"/>
        </w:rPr>
        <w:footnoteReference w:id="19"/>
      </w:r>
      <w:r>
        <w:t xml:space="preserve"> However, the RBA noted that GDP forecasts for most of Australia’s trading </w:t>
      </w:r>
      <w:r>
        <w:lastRenderedPageBreak/>
        <w:t>partners have been revised down and that the ‘balance of risks to the global economic outlook appear to be skewed to the downside’.</w:t>
      </w:r>
      <w:r>
        <w:rPr>
          <w:rStyle w:val="FootnoteReference"/>
        </w:rPr>
        <w:footnoteReference w:id="20"/>
      </w:r>
    </w:p>
    <w:p w14:paraId="31974A10" w14:textId="77777777" w:rsidR="00966E96" w:rsidRDefault="00DA23DE" w:rsidP="00DA23DE">
      <w:pPr>
        <w:pStyle w:val="03VIRTHeading3"/>
      </w:pPr>
      <w:r>
        <w:t>Australian economic conditions</w:t>
      </w:r>
    </w:p>
    <w:p w14:paraId="239CE854" w14:textId="77777777" w:rsidR="00492E2A" w:rsidRDefault="00563C6F" w:rsidP="00563C6F">
      <w:pPr>
        <w:pStyle w:val="05Paragraph"/>
      </w:pPr>
      <w:r>
        <w:t xml:space="preserve">The Australian economy proved resilient in the face of the outbreak </w:t>
      </w:r>
      <w:r w:rsidR="002F7A71">
        <w:t>of the Omicron variant of COVID-19</w:t>
      </w:r>
      <w:r>
        <w:t xml:space="preserve"> and east coast floods in early 2022, with data from the Australian Bureau of Statistics (ABS) indicating that Australia’s GDP rose by 0.8 per cent in the first three months of 2022. This follows the 3.6 per cent growth recorded in the last three months of 2021 as restrictions introduced in response to the outbreak </w:t>
      </w:r>
      <w:r w:rsidR="00726C61">
        <w:t xml:space="preserve">of the Delta variant of COVID-19 </w:t>
      </w:r>
      <w:r>
        <w:t xml:space="preserve">were eased. </w:t>
      </w:r>
    </w:p>
    <w:p w14:paraId="14010961" w14:textId="2A49A5B1" w:rsidR="00563C6F" w:rsidRDefault="00492E2A" w:rsidP="00563C6F">
      <w:pPr>
        <w:pStyle w:val="05Paragraph"/>
      </w:pPr>
      <w:r>
        <w:t xml:space="preserve">Overall, </w:t>
      </w:r>
      <w:r w:rsidR="00563C6F">
        <w:t>GDP increased by 3.3 per cent over the 12 months to March 2022.</w:t>
      </w:r>
      <w:r w:rsidR="00563C6F">
        <w:rPr>
          <w:rStyle w:val="FootnoteReference"/>
        </w:rPr>
        <w:footnoteReference w:id="21"/>
      </w:r>
      <w:r w:rsidR="00563C6F">
        <w:t xml:space="preserve"> The RBA expects GDP to continue to increase over the coming year</w:t>
      </w:r>
      <w:r w:rsidR="005D2F6F">
        <w:t>. U</w:t>
      </w:r>
      <w:r w:rsidR="00563C6F">
        <w:t>nder its ‘central scenario’, it forecasts growth of 4.25 per cent for 2022 and two per cent for 2023.</w:t>
      </w:r>
      <w:r w:rsidR="00563C6F">
        <w:rPr>
          <w:rStyle w:val="FootnoteReference"/>
        </w:rPr>
        <w:footnoteReference w:id="22"/>
      </w:r>
    </w:p>
    <w:p w14:paraId="06D17F3F" w14:textId="5AB6513B" w:rsidR="00563C6F" w:rsidRDefault="00563C6F" w:rsidP="00563C6F">
      <w:pPr>
        <w:pStyle w:val="05Paragraph"/>
      </w:pPr>
      <w:r>
        <w:t xml:space="preserve">The RBA noted that inflation has picked up significantly since the middle of 2021, albeit not to the extent seen in many other advanced economies. The Consumer Price Index (CPI) rose 5.1 per cent over the 12 months to March 2022, while trimmed mean inflation (a measure of underlying inflation) was 3.7 per cent </w:t>
      </w:r>
      <w:r w:rsidRPr="001A01B9">
        <w:t>—</w:t>
      </w:r>
      <w:r>
        <w:t xml:space="preserve"> its highest level since March 2009.</w:t>
      </w:r>
      <w:r>
        <w:rPr>
          <w:rStyle w:val="FootnoteReference"/>
        </w:rPr>
        <w:footnoteReference w:id="23"/>
      </w:r>
      <w:r>
        <w:t xml:space="preserve"> The RBA’s May Statement forecast CPI and trimmed mean inflation to peak in the second half of 2022 at around six per cent and 4.75 per cent, before returning to three per cent (the top of the RBA’s target range) by mid-2024.</w:t>
      </w:r>
      <w:r>
        <w:rPr>
          <w:rStyle w:val="FootnoteReference"/>
        </w:rPr>
        <w:footnoteReference w:id="24"/>
      </w:r>
      <w:r>
        <w:t xml:space="preserve"> </w:t>
      </w:r>
      <w:r w:rsidR="005D2F6F">
        <w:t>In a</w:t>
      </w:r>
      <w:r w:rsidR="00DD4E50">
        <w:t xml:space="preserve"> </w:t>
      </w:r>
      <w:r w:rsidR="005D2F6F">
        <w:t>June</w:t>
      </w:r>
      <w:r w:rsidR="00B76185">
        <w:t xml:space="preserve"> 2022</w:t>
      </w:r>
      <w:r w:rsidR="00DD4E50">
        <w:t xml:space="preserve"> interview</w:t>
      </w:r>
      <w:r w:rsidR="005D2F6F">
        <w:t>,</w:t>
      </w:r>
      <w:r>
        <w:t xml:space="preserve"> RBA Governor Philip Lowe </w:t>
      </w:r>
      <w:r w:rsidR="00B76185">
        <w:t xml:space="preserve">noted </w:t>
      </w:r>
      <w:r>
        <w:t>that</w:t>
      </w:r>
      <w:r w:rsidR="00B76185">
        <w:t>, by year end, he expects (headline) inflation to get to seven per cent</w:t>
      </w:r>
      <w:r>
        <w:t>.</w:t>
      </w:r>
      <w:r>
        <w:rPr>
          <w:rStyle w:val="FootnoteReference"/>
        </w:rPr>
        <w:footnoteReference w:id="25"/>
      </w:r>
    </w:p>
    <w:p w14:paraId="2E0B3F6C" w14:textId="7572397C" w:rsidR="00563C6F" w:rsidRDefault="00563C6F" w:rsidP="00B76185">
      <w:pPr>
        <w:pStyle w:val="05Paragraph"/>
        <w:keepNext/>
      </w:pPr>
      <w:r>
        <w:t>In response to inflationary pressures, the RBA raised its target for the cash rate by 0.25 percentage points in May 2022, followed by a further 0.5 percentage point increase in June</w:t>
      </w:r>
      <w:r w:rsidR="00FC7C55">
        <w:t xml:space="preserve"> 2022</w:t>
      </w:r>
      <w:r>
        <w:t xml:space="preserve">. These increases </w:t>
      </w:r>
      <w:r w:rsidRPr="001A01B9">
        <w:t>—</w:t>
      </w:r>
      <w:r>
        <w:t xml:space="preserve"> the first since November 2010 </w:t>
      </w:r>
      <w:r w:rsidRPr="001A01B9">
        <w:t>—</w:t>
      </w:r>
      <w:r>
        <w:t xml:space="preserve"> brought the cash rate target from an all-time low of 0.1 per cent to 0.85 per cent.</w:t>
      </w:r>
      <w:r w:rsidR="00B76185">
        <w:t xml:space="preserve"> </w:t>
      </w:r>
      <w:r>
        <w:t xml:space="preserve">In announcing the RBA’s decision to increase the cash rate target at its June </w:t>
      </w:r>
      <w:r w:rsidR="00FC7C55">
        <w:t xml:space="preserve">2020 </w:t>
      </w:r>
      <w:r>
        <w:lastRenderedPageBreak/>
        <w:t>meeting, Governor Lowe flagged further increases over the coming months, stating:</w:t>
      </w:r>
      <w:r>
        <w:rPr>
          <w:rStyle w:val="FootnoteReference"/>
        </w:rPr>
        <w:footnoteReference w:id="26"/>
      </w:r>
    </w:p>
    <w:p w14:paraId="008CDA2B" w14:textId="77777777" w:rsidR="00563C6F" w:rsidRDefault="00563C6F" w:rsidP="00563C6F">
      <w:pPr>
        <w:pStyle w:val="07VIRTBreakouttext"/>
      </w:pPr>
      <w:r w:rsidRPr="00671467">
        <w:t xml:space="preserve">The </w:t>
      </w:r>
      <w:r>
        <w:t xml:space="preserve">[RBA] </w:t>
      </w:r>
      <w:r w:rsidRPr="00671467">
        <w:t>Board expects to take further steps in the process of normalising monetary conditions in Australia over the months ahead. The size and timing of future interest rate increases will be guided by the incoming data and the Board's assessment of the outlook for inflation and the labour market. The Board is committed to doing what is necessary to ensure that inflation in Australia returns to target over time.</w:t>
      </w:r>
    </w:p>
    <w:p w14:paraId="369A657C" w14:textId="77777777" w:rsidR="00563C6F" w:rsidRDefault="00563C6F" w:rsidP="00563C6F">
      <w:pPr>
        <w:pStyle w:val="05Paragraph"/>
      </w:pPr>
      <w:r>
        <w:t>Regarding the labour market, the RBA’s May Statement noted that ‘conditions are the most robust in many years’.</w:t>
      </w:r>
      <w:r>
        <w:rPr>
          <w:rStyle w:val="FootnoteReference"/>
        </w:rPr>
        <w:footnoteReference w:id="27"/>
      </w:r>
      <w:r>
        <w:t xml:space="preserve"> The </w:t>
      </w:r>
      <w:proofErr w:type="gramStart"/>
      <w:r>
        <w:t>seasonally-adjusted</w:t>
      </w:r>
      <w:proofErr w:type="gramEnd"/>
      <w:r>
        <w:t xml:space="preserve"> national unemployment rate remained at 3.9 per cent in May 2022,</w:t>
      </w:r>
      <w:r>
        <w:rPr>
          <w:rStyle w:val="FootnoteReference"/>
        </w:rPr>
        <w:footnoteReference w:id="28"/>
      </w:r>
      <w:r>
        <w:t xml:space="preserve"> its lowest level in almost 50 years. Meanwhile, the seasonally</w:t>
      </w:r>
      <w:r>
        <w:noBreakHyphen/>
        <w:t>adjusted participation rate remains at historically high levels, increasing to 66.7 per cent in May 2022.</w:t>
      </w:r>
      <w:r>
        <w:rPr>
          <w:rStyle w:val="FootnoteReference"/>
        </w:rPr>
        <w:footnoteReference w:id="29"/>
      </w:r>
      <w:r>
        <w:t xml:space="preserve"> The RBA expects a further tightening in the labour market in the coming months, with the national unemployment rate forecast to decline to around 3.5 per cent in early 2023.</w:t>
      </w:r>
      <w:r>
        <w:rPr>
          <w:rStyle w:val="FootnoteReference"/>
        </w:rPr>
        <w:footnoteReference w:id="30"/>
      </w:r>
    </w:p>
    <w:p w14:paraId="5C3412EC" w14:textId="3A143A84" w:rsidR="00563C6F" w:rsidRDefault="00563C6F" w:rsidP="00563C6F">
      <w:pPr>
        <w:pStyle w:val="05Paragraph"/>
      </w:pPr>
      <w:r>
        <w:t xml:space="preserve">As labour market conditions continue to tighten, the RBA expects wages growth to pick up. According to ABS data, the Wage Price Index (WPI) rose by 2.4 per cent over the 12 months to March 2022 </w:t>
      </w:r>
      <w:r w:rsidRPr="001A01B9">
        <w:t>—</w:t>
      </w:r>
      <w:r>
        <w:t xml:space="preserve"> the largest annual increase since December 2018.</w:t>
      </w:r>
      <w:r>
        <w:rPr>
          <w:rStyle w:val="FootnoteReference"/>
        </w:rPr>
        <w:footnoteReference w:id="31"/>
      </w:r>
      <w:r>
        <w:t xml:space="preserve"> The RBA forecast</w:t>
      </w:r>
      <w:r w:rsidR="00FC7C55">
        <w:t>s</w:t>
      </w:r>
      <w:r>
        <w:t xml:space="preserve"> growth in the WPI to increase to around 3 per cent by the end of 2022, and 3.75 per cent in mid-2024 (which would represent the highest growth since 2012).</w:t>
      </w:r>
      <w:r>
        <w:rPr>
          <w:rStyle w:val="FootnoteReference"/>
        </w:rPr>
        <w:footnoteReference w:id="32"/>
      </w:r>
    </w:p>
    <w:p w14:paraId="54C6DAF9" w14:textId="63AFD6BB" w:rsidR="00563C6F" w:rsidRDefault="00492E2A" w:rsidP="00563C6F">
      <w:pPr>
        <w:pStyle w:val="05Paragraph"/>
      </w:pPr>
      <w:r>
        <w:t>T</w:t>
      </w:r>
      <w:r w:rsidR="00563C6F" w:rsidRPr="008A27DA">
        <w:t xml:space="preserve">he Fair Work Commission </w:t>
      </w:r>
      <w:r w:rsidR="00563C6F">
        <w:t xml:space="preserve">(FWC) </w:t>
      </w:r>
      <w:r w:rsidR="00563C6F" w:rsidRPr="008A27DA">
        <w:t xml:space="preserve">issued its </w:t>
      </w:r>
      <w:r w:rsidR="00563C6F" w:rsidRPr="008A27DA">
        <w:rPr>
          <w:i/>
          <w:iCs/>
        </w:rPr>
        <w:t>Annual Wage Review 202</w:t>
      </w:r>
      <w:r w:rsidR="00563C6F">
        <w:rPr>
          <w:i/>
          <w:iCs/>
        </w:rPr>
        <w:t>1</w:t>
      </w:r>
      <w:r w:rsidR="00563C6F">
        <w:rPr>
          <w:i/>
          <w:iCs/>
        </w:rPr>
        <w:noBreakHyphen/>
      </w:r>
      <w:r w:rsidR="00563C6F" w:rsidRPr="008A27DA">
        <w:rPr>
          <w:i/>
          <w:iCs/>
        </w:rPr>
        <w:t>2</w:t>
      </w:r>
      <w:r w:rsidR="00563C6F">
        <w:rPr>
          <w:i/>
          <w:iCs/>
        </w:rPr>
        <w:t>2</w:t>
      </w:r>
      <w:r w:rsidR="00563C6F" w:rsidRPr="008A27DA">
        <w:rPr>
          <w:i/>
          <w:iCs/>
        </w:rPr>
        <w:t xml:space="preserve"> </w:t>
      </w:r>
      <w:r w:rsidR="00563C6F" w:rsidRPr="00ED0499">
        <w:rPr>
          <w:i/>
          <w:iCs/>
        </w:rPr>
        <w:t>Decision</w:t>
      </w:r>
      <w:r w:rsidR="00563C6F" w:rsidRPr="008A27DA">
        <w:t xml:space="preserve"> </w:t>
      </w:r>
      <w:r w:rsidR="00563C6F">
        <w:t>o</w:t>
      </w:r>
      <w:r w:rsidR="00563C6F" w:rsidRPr="008A27DA">
        <w:t xml:space="preserve">n </w:t>
      </w:r>
      <w:r w:rsidR="00563C6F">
        <w:t>15</w:t>
      </w:r>
      <w:r w:rsidR="00563C6F" w:rsidRPr="008A27DA">
        <w:t xml:space="preserve"> June 202</w:t>
      </w:r>
      <w:r w:rsidR="00563C6F">
        <w:t>2.</w:t>
      </w:r>
      <w:r w:rsidR="00563C6F" w:rsidRPr="008A27DA">
        <w:t xml:space="preserve"> Th</w:t>
      </w:r>
      <w:r w:rsidR="00563C6F">
        <w:t>is</w:t>
      </w:r>
      <w:r w:rsidR="00563C6F" w:rsidRPr="008A27DA">
        <w:t xml:space="preserve"> Decision increase</w:t>
      </w:r>
      <w:r w:rsidR="00563C6F">
        <w:t>d</w:t>
      </w:r>
      <w:r w:rsidR="00563C6F" w:rsidRPr="008A27DA">
        <w:t xml:space="preserve"> the </w:t>
      </w:r>
      <w:r w:rsidR="00E35DB4">
        <w:t>National Minimum Wage (</w:t>
      </w:r>
      <w:r w:rsidR="00563C6F">
        <w:t>NMW</w:t>
      </w:r>
      <w:r w:rsidR="00E35DB4">
        <w:t>)</w:t>
      </w:r>
      <w:r w:rsidR="00563C6F" w:rsidRPr="008A27DA">
        <w:t xml:space="preserve"> by</w:t>
      </w:r>
      <w:r w:rsidR="00563C6F">
        <w:t xml:space="preserve"> $40 per week (5.2 </w:t>
      </w:r>
      <w:r w:rsidR="00563C6F" w:rsidRPr="008A27DA">
        <w:t>per</w:t>
      </w:r>
      <w:r w:rsidR="00563C6F">
        <w:t xml:space="preserve"> </w:t>
      </w:r>
      <w:r w:rsidR="00563C6F" w:rsidRPr="008A27DA">
        <w:t>cent</w:t>
      </w:r>
      <w:r w:rsidR="00563C6F">
        <w:t xml:space="preserve">), with </w:t>
      </w:r>
      <w:r w:rsidR="00563C6F" w:rsidRPr="008A27DA">
        <w:t>effect from 1 July</w:t>
      </w:r>
      <w:r w:rsidR="00563C6F">
        <w:t> </w:t>
      </w:r>
      <w:r w:rsidR="00563C6F" w:rsidRPr="008A27DA">
        <w:t>202</w:t>
      </w:r>
      <w:r w:rsidR="00563C6F">
        <w:t>2.</w:t>
      </w:r>
      <w:r w:rsidR="00563C6F" w:rsidRPr="008A27DA">
        <w:rPr>
          <w:vertAlign w:val="superscript"/>
        </w:rPr>
        <w:footnoteReference w:id="33"/>
      </w:r>
      <w:r w:rsidR="00563C6F" w:rsidRPr="00EE3156">
        <w:t xml:space="preserve"> </w:t>
      </w:r>
      <w:r w:rsidR="00563C6F">
        <w:t>It also increased modern award minimum wages by 4.6 per cent, subject to a minimum increase of $40 per week.</w:t>
      </w:r>
      <w:r w:rsidR="00563C6F">
        <w:rPr>
          <w:rStyle w:val="FootnoteReference"/>
        </w:rPr>
        <w:footnoteReference w:id="34"/>
      </w:r>
      <w:r w:rsidR="00563C6F">
        <w:t xml:space="preserve">  The increases to modern award minimum wages are effective from 1 July 2022, with the exception of certain awards in the aviation, hospitality and tourism sectors, whose increases take effect on 1 October 2022.</w:t>
      </w:r>
      <w:r w:rsidR="00563C6F">
        <w:rPr>
          <w:rStyle w:val="FootnoteReference"/>
        </w:rPr>
        <w:footnoteReference w:id="35"/>
      </w:r>
      <w:r w:rsidR="00563C6F">
        <w:t xml:space="preserve"> The FWC </w:t>
      </w:r>
      <w:r w:rsidR="00563C6F">
        <w:lastRenderedPageBreak/>
        <w:t>stated that its Decision would provide relief to low paid workers in the context of rising inflation without having a ‘significant adverse effect on the performance and competitiveness’ of the Australian economy.</w:t>
      </w:r>
      <w:r w:rsidR="00563C6F">
        <w:rPr>
          <w:rStyle w:val="FootnoteReference"/>
        </w:rPr>
        <w:footnoteReference w:id="36"/>
      </w:r>
    </w:p>
    <w:p w14:paraId="6BCB6A3B" w14:textId="77777777" w:rsidR="00DA23DE" w:rsidRDefault="00DA23DE" w:rsidP="00DA23DE">
      <w:pPr>
        <w:pStyle w:val="03VIRTHeading3"/>
      </w:pPr>
      <w:r>
        <w:t>Victorian economic conditions</w:t>
      </w:r>
    </w:p>
    <w:p w14:paraId="75B74939" w14:textId="26C4455E" w:rsidR="00563C6F" w:rsidRDefault="00563C6F" w:rsidP="00563C6F">
      <w:pPr>
        <w:pStyle w:val="05Paragraph"/>
      </w:pPr>
      <w:r>
        <w:t xml:space="preserve">ABS data indicate that Victoria’s State Final Demand rose by 2.4 per cent in the first three months of 2022 </w:t>
      </w:r>
      <w:r w:rsidRPr="001A01B9">
        <w:t>—</w:t>
      </w:r>
      <w:r>
        <w:t xml:space="preserve"> the highest growth of all the states and territories </w:t>
      </w:r>
      <w:r w:rsidRPr="001A01B9">
        <w:t>—</w:t>
      </w:r>
      <w:r>
        <w:t xml:space="preserve"> after having risen to be above pre-pandemic levels by the end of 2021.</w:t>
      </w:r>
      <w:r>
        <w:rPr>
          <w:rStyle w:val="FootnoteReference"/>
        </w:rPr>
        <w:footnoteReference w:id="37"/>
      </w:r>
      <w:r>
        <w:t xml:space="preserve"> ABS data also show that the seasonally-adjusted unemployment rate reached an all-time low of 3.7 per cent in Victoria in May 2022.</w:t>
      </w:r>
      <w:r>
        <w:rPr>
          <w:rStyle w:val="FootnoteReference"/>
        </w:rPr>
        <w:footnoteReference w:id="38"/>
      </w:r>
      <w:r>
        <w:t xml:space="preserve"> The seasonally-adjusted participation rate reached an all-time high of 67.4 per cent in April 2022, before edging slightly lower to 66.9 per cent in May</w:t>
      </w:r>
      <w:r w:rsidR="00F663A6">
        <w:t xml:space="preserve"> 2022</w:t>
      </w:r>
      <w:r>
        <w:t>.</w:t>
      </w:r>
      <w:r>
        <w:rPr>
          <w:rStyle w:val="FootnoteReference"/>
        </w:rPr>
        <w:footnoteReference w:id="39"/>
      </w:r>
    </w:p>
    <w:p w14:paraId="13811036" w14:textId="2DFB0CE5" w:rsidR="00563C6F" w:rsidRDefault="00563C6F" w:rsidP="00563C6F">
      <w:pPr>
        <w:pStyle w:val="05Paragraph"/>
      </w:pPr>
      <w:r>
        <w:t xml:space="preserve">Regarding movements in prices, the </w:t>
      </w:r>
      <w:proofErr w:type="gramStart"/>
      <w:r>
        <w:t>All Groups</w:t>
      </w:r>
      <w:proofErr w:type="gramEnd"/>
      <w:r>
        <w:t xml:space="preserve"> CPI for Melbourne increased by 4.5 per cent over the 12 months to March 2022 </w:t>
      </w:r>
      <w:r w:rsidRPr="001A01B9">
        <w:t>—</w:t>
      </w:r>
      <w:r>
        <w:t xml:space="preserve"> the highest annual growth since September 2008. </w:t>
      </w:r>
      <w:r w:rsidR="007E6046">
        <w:t xml:space="preserve">The </w:t>
      </w:r>
      <w:proofErr w:type="gramStart"/>
      <w:r w:rsidR="007E6046">
        <w:t>All Groups</w:t>
      </w:r>
      <w:proofErr w:type="gramEnd"/>
      <w:r w:rsidR="007E6046">
        <w:t xml:space="preserve"> CPI for Melbourne excluding ‘volatile items’ (food and automotive fuel) increased by 3.6 per cent</w:t>
      </w:r>
      <w:r>
        <w:t>. Nine of the 11 component groups experienced increases, led by ‘Transport’ (13.3 per cent), ‘Education’ (5.5 per cent) and ‘Furnishings, household equipment and services’ (4.9 per cent).</w:t>
      </w:r>
      <w:r w:rsidR="007E6046">
        <w:rPr>
          <w:rStyle w:val="FootnoteReference"/>
        </w:rPr>
        <w:footnoteReference w:id="40"/>
      </w:r>
    </w:p>
    <w:p w14:paraId="5957AEDF" w14:textId="1CC8B666" w:rsidR="00563C6F" w:rsidRDefault="00563C6F" w:rsidP="00563C6F">
      <w:pPr>
        <w:pStyle w:val="05Paragraph"/>
      </w:pPr>
      <w:r>
        <w:t>Regarding movements in wages, the Victorian WPI increased by 2.3 per cent over the 12 months to March 2022,</w:t>
      </w:r>
      <w:r>
        <w:rPr>
          <w:rStyle w:val="FootnoteReference"/>
        </w:rPr>
        <w:footnoteReference w:id="41"/>
      </w:r>
      <w:r>
        <w:t xml:space="preserve"> while a</w:t>
      </w:r>
      <w:r w:rsidRPr="00DE7304">
        <w:t xml:space="preserve">nother commonly used measure of wage movements </w:t>
      </w:r>
      <w:r>
        <w:t>—</w:t>
      </w:r>
      <w:r w:rsidRPr="00DE7304">
        <w:t xml:space="preserve">AWOTE of </w:t>
      </w:r>
      <w:r>
        <w:t xml:space="preserve">full-time </w:t>
      </w:r>
      <w:r w:rsidRPr="00DE7304">
        <w:t>adults</w:t>
      </w:r>
      <w:r>
        <w:t xml:space="preserve"> in Victoria — </w:t>
      </w:r>
      <w:r w:rsidRPr="00DE7304">
        <w:t xml:space="preserve">grew </w:t>
      </w:r>
      <w:r>
        <w:t>2</w:t>
      </w:r>
      <w:r w:rsidRPr="00DE7304">
        <w:t xml:space="preserve">.4 per cent </w:t>
      </w:r>
      <w:r>
        <w:t>over the 12 months to November 2021</w:t>
      </w:r>
      <w:r w:rsidRPr="00DE7304">
        <w:t>.</w:t>
      </w:r>
      <w:r w:rsidRPr="00DE7304">
        <w:rPr>
          <w:vertAlign w:val="superscript"/>
        </w:rPr>
        <w:footnoteReference w:id="42"/>
      </w:r>
      <w:r w:rsidRPr="00DE7304">
        <w:t xml:space="preserve"> </w:t>
      </w:r>
      <w:r>
        <w:t xml:space="preserve">An additional measure of changes in wages, the average annualised wage </w:t>
      </w:r>
      <w:proofErr w:type="gramStart"/>
      <w:r>
        <w:t>increase  for</w:t>
      </w:r>
      <w:proofErr w:type="gramEnd"/>
      <w:r>
        <w:t xml:space="preserve"> federal enterprise agreements which commenced in Victoria during the December quarter 2021, was 2.7 per cent.</w:t>
      </w:r>
      <w:r>
        <w:rPr>
          <w:rStyle w:val="FootnoteReference"/>
        </w:rPr>
        <w:footnoteReference w:id="43"/>
      </w:r>
    </w:p>
    <w:p w14:paraId="13DC9740" w14:textId="76522A1A" w:rsidR="00563C6F" w:rsidRDefault="00563C6F" w:rsidP="00563C6F">
      <w:pPr>
        <w:pStyle w:val="05Paragraph"/>
        <w:keepNext/>
      </w:pPr>
      <w:r w:rsidRPr="0063794B">
        <w:t xml:space="preserve">The </w:t>
      </w:r>
      <w:r w:rsidRPr="008D1A16">
        <w:rPr>
          <w:i/>
          <w:iCs/>
        </w:rPr>
        <w:t>Victorian Budget 2022/23</w:t>
      </w:r>
      <w:r w:rsidRPr="0063794B">
        <w:t xml:space="preserve"> (Budget), released in May 2022, noted that the Victorian economy has been </w:t>
      </w:r>
      <w:r>
        <w:t>‘</w:t>
      </w:r>
      <w:r w:rsidRPr="0063794B">
        <w:t xml:space="preserve">resilient in the face of COVID-19 outbreaks in 2021 </w:t>
      </w:r>
      <w:r w:rsidRPr="0063794B">
        <w:lastRenderedPageBreak/>
        <w:t>and early 2022</w:t>
      </w:r>
      <w:r>
        <w:t>’</w:t>
      </w:r>
      <w:r w:rsidRPr="0063794B">
        <w:t xml:space="preserve">, and </w:t>
      </w:r>
      <w:r>
        <w:t xml:space="preserve">that the economy </w:t>
      </w:r>
      <w:r w:rsidRPr="0063794B">
        <w:t xml:space="preserve">is in a </w:t>
      </w:r>
      <w:r>
        <w:t>‘</w:t>
      </w:r>
      <w:r w:rsidRPr="0063794B">
        <w:t>strong position heading into 2022</w:t>
      </w:r>
      <w:r>
        <w:noBreakHyphen/>
      </w:r>
      <w:r w:rsidRPr="0063794B">
        <w:t>23</w:t>
      </w:r>
      <w:r>
        <w:t>’.</w:t>
      </w:r>
      <w:r w:rsidR="009178A4">
        <w:rPr>
          <w:rStyle w:val="FootnoteReference"/>
        </w:rPr>
        <w:footnoteReference w:id="44"/>
      </w:r>
    </w:p>
    <w:p w14:paraId="10A33DDB" w14:textId="77777777" w:rsidR="00563C6F" w:rsidRDefault="00563C6F" w:rsidP="00563C6F">
      <w:pPr>
        <w:pStyle w:val="05Paragraph"/>
        <w:keepNext/>
      </w:pPr>
      <w:r>
        <w:t xml:space="preserve">The </w:t>
      </w:r>
      <w:r w:rsidRPr="00566E17">
        <w:t>Budget</w:t>
      </w:r>
      <w:r>
        <w:rPr>
          <w:i/>
          <w:iCs/>
        </w:rPr>
        <w:t xml:space="preserve"> </w:t>
      </w:r>
      <w:r>
        <w:t>reported the following outlook for Victoria:</w:t>
      </w:r>
      <w:r>
        <w:rPr>
          <w:rStyle w:val="FootnoteReference"/>
        </w:rPr>
        <w:footnoteReference w:id="45"/>
      </w:r>
    </w:p>
    <w:p w14:paraId="6188B899" w14:textId="77777777" w:rsidR="00563C6F" w:rsidRPr="006C1A86" w:rsidRDefault="00563C6F" w:rsidP="00563C6F">
      <w:pPr>
        <w:pStyle w:val="07VIRTBreakouttext"/>
      </w:pPr>
      <w:r w:rsidRPr="006C1A86">
        <w:t>The [Victorian] economy is moving beyond recovery to a consolidation phase. High vaccination rates, a gradual increase in migration and substantial</w:t>
      </w:r>
      <w:r>
        <w:t xml:space="preserve"> </w:t>
      </w:r>
      <w:r w:rsidRPr="006C1A86">
        <w:t>household savings should all support further strong economic growth over the coming year.</w:t>
      </w:r>
    </w:p>
    <w:p w14:paraId="551EAEB5" w14:textId="6CF98145" w:rsidR="00563C6F" w:rsidRPr="001D1693" w:rsidRDefault="00563C6F" w:rsidP="00563C6F">
      <w:pPr>
        <w:pStyle w:val="05Paragraph"/>
        <w:rPr>
          <w:noProof/>
          <w:vertAlign w:val="superscript"/>
        </w:rPr>
      </w:pPr>
      <w:r>
        <w:rPr>
          <w:noProof/>
        </w:rPr>
        <w:t xml:space="preserve">The </w:t>
      </w:r>
      <w:r w:rsidRPr="001D1693">
        <w:rPr>
          <w:noProof/>
        </w:rPr>
        <w:t>forecasts for the Victorian economy</w:t>
      </w:r>
      <w:r w:rsidRPr="0063794B">
        <w:rPr>
          <w:noProof/>
        </w:rPr>
        <w:t xml:space="preserve"> </w:t>
      </w:r>
      <w:r>
        <w:rPr>
          <w:noProof/>
        </w:rPr>
        <w:t xml:space="preserve">contained in the Budget are re-produced in </w:t>
      </w:r>
      <w:r w:rsidR="004B5EE5">
        <w:rPr>
          <w:noProof/>
        </w:rPr>
        <w:t>T</w:t>
      </w:r>
      <w:r w:rsidRPr="001D1693">
        <w:rPr>
          <w:noProof/>
        </w:rPr>
        <w:t xml:space="preserve">able </w:t>
      </w:r>
      <w:r>
        <w:rPr>
          <w:noProof/>
        </w:rPr>
        <w:t>3</w:t>
      </w:r>
      <w:r w:rsidRPr="001D1693">
        <w:rPr>
          <w:noProof/>
        </w:rPr>
        <w:t>.</w:t>
      </w:r>
      <w:r>
        <w:rPr>
          <w:noProof/>
        </w:rPr>
        <w:t>1</w:t>
      </w:r>
      <w:r w:rsidRPr="001D1693">
        <w:rPr>
          <w:noProof/>
        </w:rPr>
        <w:t>. In summary:</w:t>
      </w:r>
      <w:r w:rsidRPr="001D1693">
        <w:rPr>
          <w:noProof/>
          <w:vertAlign w:val="superscript"/>
        </w:rPr>
        <w:footnoteReference w:id="46"/>
      </w:r>
    </w:p>
    <w:p w14:paraId="15212987" w14:textId="77777777" w:rsidR="00563C6F" w:rsidRPr="001D1693" w:rsidRDefault="00563C6F" w:rsidP="00563C6F">
      <w:pPr>
        <w:pStyle w:val="06VIRTBulletpoints"/>
        <w:rPr>
          <w:noProof/>
        </w:rPr>
      </w:pPr>
      <w:r w:rsidRPr="001D1693">
        <w:rPr>
          <w:noProof/>
        </w:rPr>
        <w:t xml:space="preserve">real Gross State Product (GSP) is forecast to grow by </w:t>
      </w:r>
      <w:r>
        <w:rPr>
          <w:noProof/>
        </w:rPr>
        <w:t>5</w:t>
      </w:r>
      <w:r w:rsidRPr="001D1693">
        <w:rPr>
          <w:noProof/>
        </w:rPr>
        <w:t>.5 per cent in</w:t>
      </w:r>
      <w:r w:rsidRPr="001D1693">
        <w:rPr>
          <w:noProof/>
          <w:lang w:eastAsia="en-AU"/>
        </w:rPr>
        <w:t> </w:t>
      </w:r>
      <w:r w:rsidRPr="001D1693">
        <w:rPr>
          <w:noProof/>
        </w:rPr>
        <w:t>2021</w:t>
      </w:r>
      <w:r w:rsidRPr="001D1693">
        <w:rPr>
          <w:noProof/>
        </w:rPr>
        <w:noBreakHyphen/>
        <w:t xml:space="preserve">22, and by </w:t>
      </w:r>
      <w:r>
        <w:rPr>
          <w:noProof/>
        </w:rPr>
        <w:t>3</w:t>
      </w:r>
      <w:r w:rsidRPr="001D1693">
        <w:rPr>
          <w:noProof/>
        </w:rPr>
        <w:t>.</w:t>
      </w:r>
      <w:r>
        <w:rPr>
          <w:noProof/>
        </w:rPr>
        <w:t>2</w:t>
      </w:r>
      <w:r w:rsidRPr="001D1693">
        <w:rPr>
          <w:noProof/>
        </w:rPr>
        <w:t>5 per cent in 2022-23</w:t>
      </w:r>
    </w:p>
    <w:p w14:paraId="3442D65E" w14:textId="63AB5765" w:rsidR="00563C6F" w:rsidRPr="001D1693" w:rsidRDefault="00563C6F" w:rsidP="00563C6F">
      <w:pPr>
        <w:pStyle w:val="06VIRTBulletpoints"/>
        <w:rPr>
          <w:noProof/>
        </w:rPr>
      </w:pPr>
      <w:r w:rsidRPr="001D1693">
        <w:rPr>
          <w:noProof/>
        </w:rPr>
        <w:t xml:space="preserve">the </w:t>
      </w:r>
      <w:r>
        <w:rPr>
          <w:noProof/>
        </w:rPr>
        <w:t xml:space="preserve">Victorian </w:t>
      </w:r>
      <w:r w:rsidRPr="001D1693">
        <w:rPr>
          <w:noProof/>
        </w:rPr>
        <w:t>unemployment rate is expected to average 4.</w:t>
      </w:r>
      <w:r>
        <w:rPr>
          <w:noProof/>
        </w:rPr>
        <w:t>2</w:t>
      </w:r>
      <w:r w:rsidRPr="001D1693">
        <w:rPr>
          <w:noProof/>
        </w:rPr>
        <w:t>5 per cent in</w:t>
      </w:r>
      <w:r>
        <w:rPr>
          <w:noProof/>
          <w:lang w:eastAsia="en-AU"/>
        </w:rPr>
        <w:t xml:space="preserve"> </w:t>
      </w:r>
      <w:r w:rsidRPr="001D1693">
        <w:rPr>
          <w:noProof/>
        </w:rPr>
        <w:t>2021</w:t>
      </w:r>
      <w:r w:rsidRPr="001D1693">
        <w:rPr>
          <w:noProof/>
        </w:rPr>
        <w:noBreakHyphen/>
        <w:t>22</w:t>
      </w:r>
      <w:r>
        <w:rPr>
          <w:noProof/>
          <w:lang w:eastAsia="en-AU"/>
        </w:rPr>
        <w:t xml:space="preserve"> </w:t>
      </w:r>
      <w:r w:rsidRPr="001D1693">
        <w:rPr>
          <w:noProof/>
        </w:rPr>
        <w:t>and</w:t>
      </w:r>
      <w:r w:rsidRPr="001D1693">
        <w:rPr>
          <w:noProof/>
          <w:lang w:eastAsia="en-AU"/>
        </w:rPr>
        <w:t> </w:t>
      </w:r>
      <w:r>
        <w:rPr>
          <w:noProof/>
          <w:lang w:eastAsia="en-AU"/>
        </w:rPr>
        <w:t xml:space="preserve">4 per cent </w:t>
      </w:r>
      <w:r w:rsidR="005761B7">
        <w:rPr>
          <w:noProof/>
          <w:lang w:eastAsia="en-AU"/>
        </w:rPr>
        <w:t>in</w:t>
      </w:r>
      <w:r>
        <w:rPr>
          <w:noProof/>
          <w:lang w:eastAsia="en-AU"/>
        </w:rPr>
        <w:t xml:space="preserve"> </w:t>
      </w:r>
      <w:r w:rsidRPr="001D1693">
        <w:rPr>
          <w:noProof/>
        </w:rPr>
        <w:t>2022-23</w:t>
      </w:r>
    </w:p>
    <w:p w14:paraId="0326A214" w14:textId="77777777" w:rsidR="00563C6F" w:rsidRDefault="00563C6F" w:rsidP="00563C6F">
      <w:pPr>
        <w:pStyle w:val="06VIRTBulletpoints"/>
        <w:rPr>
          <w:noProof/>
        </w:rPr>
      </w:pPr>
      <w:r>
        <w:rPr>
          <w:noProof/>
        </w:rPr>
        <w:t>annual growth in the Melbourne CPI is expected to average 3 per cent in 2021</w:t>
      </w:r>
      <w:r>
        <w:rPr>
          <w:noProof/>
        </w:rPr>
        <w:noBreakHyphen/>
        <w:t>22 and 2.5 per cent in 2022-23</w:t>
      </w:r>
    </w:p>
    <w:p w14:paraId="7C248924" w14:textId="77777777" w:rsidR="00563C6F" w:rsidRPr="001D1693" w:rsidRDefault="00563C6F" w:rsidP="00563C6F">
      <w:pPr>
        <w:pStyle w:val="06VIRTBulletpoints"/>
        <w:rPr>
          <w:noProof/>
        </w:rPr>
      </w:pPr>
      <w:r>
        <w:rPr>
          <w:noProof/>
          <w:lang w:eastAsia="en-AU"/>
        </w:rPr>
        <w:t xml:space="preserve">annual growth in the </w:t>
      </w:r>
      <w:r w:rsidRPr="001D1693">
        <w:rPr>
          <w:noProof/>
          <w:lang w:eastAsia="en-AU"/>
        </w:rPr>
        <w:t xml:space="preserve">Victorian WPI is expected to </w:t>
      </w:r>
      <w:r>
        <w:rPr>
          <w:noProof/>
          <w:lang w:eastAsia="en-AU"/>
        </w:rPr>
        <w:t>average 2.5 per cent in 2021</w:t>
      </w:r>
      <w:r>
        <w:rPr>
          <w:noProof/>
          <w:lang w:eastAsia="en-AU"/>
        </w:rPr>
        <w:noBreakHyphen/>
        <w:t>22 and 2.75 per cent in 2022-23.</w:t>
      </w:r>
    </w:p>
    <w:p w14:paraId="20AE2CE8" w14:textId="77777777" w:rsidR="00563C6F" w:rsidRPr="001D1693" w:rsidRDefault="00563C6F" w:rsidP="00563C6F">
      <w:pPr>
        <w:keepNext/>
        <w:spacing w:before="180" w:after="60"/>
        <w:rPr>
          <w:rFonts w:ascii="Calibri Light" w:hAnsi="Calibri Light" w:cs="Arial"/>
          <w:b/>
          <w:noProof/>
          <w:color w:val="26664E" w:themeColor="accent1"/>
          <w:sz w:val="24"/>
          <w:szCs w:val="20"/>
        </w:rPr>
      </w:pPr>
      <w:bookmarkStart w:id="52" w:name="_Toc97282812"/>
      <w:r w:rsidRPr="001D1693">
        <w:rPr>
          <w:rFonts w:ascii="Calibri Light" w:hAnsi="Calibri Light" w:cs="Arial"/>
          <w:b/>
          <w:noProof/>
          <w:color w:val="26664E" w:themeColor="accent1"/>
          <w:sz w:val="24"/>
          <w:szCs w:val="20"/>
        </w:rPr>
        <w:t xml:space="preserve">Table </w:t>
      </w:r>
      <w:r>
        <w:rPr>
          <w:rFonts w:ascii="Calibri Light" w:hAnsi="Calibri Light" w:cs="Arial"/>
          <w:b/>
          <w:noProof/>
          <w:color w:val="26664E" w:themeColor="accent1"/>
          <w:sz w:val="24"/>
          <w:szCs w:val="20"/>
        </w:rPr>
        <w:t>3</w:t>
      </w:r>
      <w:r w:rsidRPr="001D1693">
        <w:rPr>
          <w:rFonts w:ascii="Calibri Light" w:hAnsi="Calibri Light" w:cs="Arial"/>
          <w:b/>
          <w:noProof/>
          <w:color w:val="26664E" w:themeColor="accent1"/>
          <w:sz w:val="24"/>
          <w:szCs w:val="20"/>
        </w:rPr>
        <w:t>.</w:t>
      </w:r>
      <w:r>
        <w:rPr>
          <w:rFonts w:ascii="Calibri Light" w:hAnsi="Calibri Light" w:cs="Arial"/>
          <w:b/>
          <w:noProof/>
          <w:color w:val="26664E" w:themeColor="accent1"/>
          <w:sz w:val="24"/>
          <w:szCs w:val="20"/>
        </w:rPr>
        <w:t>1</w:t>
      </w:r>
      <w:r w:rsidRPr="001D1693">
        <w:rPr>
          <w:rFonts w:ascii="Calibri Light" w:hAnsi="Calibri Light" w:cs="Arial"/>
          <w:b/>
          <w:noProof/>
          <w:color w:val="26664E" w:themeColor="accent1"/>
          <w:sz w:val="24"/>
          <w:szCs w:val="20"/>
        </w:rPr>
        <w:t xml:space="preserve">: </w:t>
      </w:r>
      <w:r>
        <w:rPr>
          <w:rFonts w:ascii="Calibri Light" w:hAnsi="Calibri Light" w:cs="Arial"/>
          <w:b/>
          <w:noProof/>
          <w:color w:val="26664E" w:themeColor="accent1"/>
          <w:sz w:val="24"/>
          <w:szCs w:val="20"/>
        </w:rPr>
        <w:t>Budget f</w:t>
      </w:r>
      <w:r w:rsidRPr="001D1693">
        <w:rPr>
          <w:rFonts w:ascii="Calibri Light" w:hAnsi="Calibri Light" w:cs="Arial"/>
          <w:b/>
          <w:noProof/>
          <w:color w:val="26664E" w:themeColor="accent1"/>
          <w:sz w:val="24"/>
          <w:szCs w:val="20"/>
        </w:rPr>
        <w:t>orecasts for the Victorian economy</w:t>
      </w:r>
      <w:bookmarkEnd w:id="52"/>
    </w:p>
    <w:tbl>
      <w:tblPr>
        <w:tblStyle w:val="ListTable3-Accent214"/>
        <w:tblW w:w="0" w:type="auto"/>
        <w:tblLook w:val="04A0" w:firstRow="1" w:lastRow="0" w:firstColumn="1" w:lastColumn="0" w:noHBand="0" w:noVBand="1"/>
      </w:tblPr>
      <w:tblGrid>
        <w:gridCol w:w="2214"/>
        <w:gridCol w:w="1258"/>
        <w:gridCol w:w="1258"/>
        <w:gridCol w:w="1258"/>
        <w:gridCol w:w="1258"/>
        <w:gridCol w:w="1258"/>
      </w:tblGrid>
      <w:tr w:rsidR="00251826" w:rsidRPr="001D1693" w14:paraId="4B649110" w14:textId="77777777" w:rsidTr="002518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14:paraId="54FD9061" w14:textId="77777777" w:rsidR="00563C6F" w:rsidRPr="001D1693" w:rsidRDefault="00563C6F" w:rsidP="00124AE0">
            <w:pPr>
              <w:spacing w:after="0"/>
              <w:rPr>
                <w:rFonts w:ascii="Calibri Light" w:hAnsi="Calibri Light"/>
                <w:noProof/>
                <w:color w:val="FFFFFF" w:themeColor="background1"/>
                <w:sz w:val="22"/>
              </w:rPr>
            </w:pPr>
            <w:r w:rsidRPr="001D1693">
              <w:rPr>
                <w:rFonts w:ascii="Calibri Light" w:hAnsi="Calibri Light"/>
                <w:noProof/>
                <w:color w:val="FFFFFF" w:themeColor="background1"/>
                <w:sz w:val="22"/>
              </w:rPr>
              <w:t>Indicator</w:t>
            </w:r>
          </w:p>
        </w:tc>
        <w:tc>
          <w:tcPr>
            <w:tcW w:w="1275" w:type="dxa"/>
          </w:tcPr>
          <w:p w14:paraId="1E98B9C0" w14:textId="77777777" w:rsidR="00563C6F" w:rsidRPr="001D1693" w:rsidRDefault="00563C6F" w:rsidP="00124AE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sidRPr="001D1693">
              <w:rPr>
                <w:rFonts w:ascii="Calibri Light" w:hAnsi="Calibri Light"/>
                <w:noProof/>
                <w:color w:val="FFFFFF" w:themeColor="background1"/>
                <w:sz w:val="22"/>
              </w:rPr>
              <w:t>2021-22</w:t>
            </w:r>
          </w:p>
        </w:tc>
        <w:tc>
          <w:tcPr>
            <w:tcW w:w="1275" w:type="dxa"/>
          </w:tcPr>
          <w:p w14:paraId="641AAC6D" w14:textId="77777777" w:rsidR="00563C6F" w:rsidRPr="001D1693" w:rsidRDefault="00563C6F" w:rsidP="00124AE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sidRPr="001D1693">
              <w:rPr>
                <w:rFonts w:ascii="Calibri Light" w:hAnsi="Calibri Light"/>
                <w:noProof/>
                <w:color w:val="FFFFFF" w:themeColor="background1"/>
                <w:sz w:val="22"/>
              </w:rPr>
              <w:t>2022-23</w:t>
            </w:r>
          </w:p>
        </w:tc>
        <w:tc>
          <w:tcPr>
            <w:tcW w:w="1276" w:type="dxa"/>
          </w:tcPr>
          <w:p w14:paraId="6E55BBD8" w14:textId="77777777" w:rsidR="00563C6F" w:rsidRPr="001D1693" w:rsidRDefault="00563C6F" w:rsidP="00124AE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sidRPr="001D1693">
              <w:rPr>
                <w:rFonts w:ascii="Calibri Light" w:hAnsi="Calibri Light"/>
                <w:noProof/>
                <w:color w:val="FFFFFF" w:themeColor="background1"/>
                <w:sz w:val="22"/>
              </w:rPr>
              <w:t>2023-24</w:t>
            </w:r>
          </w:p>
        </w:tc>
        <w:tc>
          <w:tcPr>
            <w:tcW w:w="1275" w:type="dxa"/>
          </w:tcPr>
          <w:p w14:paraId="6A143D09" w14:textId="77777777" w:rsidR="00563C6F" w:rsidRPr="001D1693" w:rsidRDefault="00563C6F" w:rsidP="00124AE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sidRPr="001D1693">
              <w:rPr>
                <w:rFonts w:ascii="Calibri Light" w:hAnsi="Calibri Light"/>
                <w:noProof/>
                <w:color w:val="FFFFFF" w:themeColor="background1"/>
                <w:sz w:val="22"/>
              </w:rPr>
              <w:t>2024-25</w:t>
            </w:r>
          </w:p>
        </w:tc>
        <w:tc>
          <w:tcPr>
            <w:tcW w:w="1276" w:type="dxa"/>
          </w:tcPr>
          <w:p w14:paraId="25766DF2" w14:textId="77777777" w:rsidR="00563C6F" w:rsidRPr="001D1693" w:rsidRDefault="00563C6F" w:rsidP="00124AE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Pr>
                <w:rFonts w:ascii="Calibri Light" w:hAnsi="Calibri Light"/>
                <w:noProof/>
                <w:color w:val="FFFFFF" w:themeColor="background1"/>
                <w:sz w:val="22"/>
              </w:rPr>
              <w:t>2025-26</w:t>
            </w:r>
          </w:p>
        </w:tc>
      </w:tr>
      <w:tr w:rsidR="00563C6F" w:rsidRPr="001D1693" w14:paraId="78908499" w14:textId="77777777" w:rsidTr="0025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C1DFCD5" w14:textId="77777777" w:rsidR="00563C6F" w:rsidRPr="00251826" w:rsidRDefault="00563C6F" w:rsidP="00124AE0">
            <w:pPr>
              <w:spacing w:after="0"/>
              <w:rPr>
                <w:rFonts w:ascii="Calibri Light" w:hAnsi="Calibri Light"/>
                <w:b w:val="0"/>
                <w:noProof/>
                <w:color w:val="auto"/>
                <w:sz w:val="22"/>
                <w:vertAlign w:val="superscript"/>
              </w:rPr>
            </w:pPr>
            <w:r w:rsidRPr="00251826">
              <w:rPr>
                <w:rFonts w:ascii="Calibri Light" w:hAnsi="Calibri Light"/>
                <w:b w:val="0"/>
                <w:noProof/>
                <w:color w:val="auto"/>
                <w:sz w:val="22"/>
              </w:rPr>
              <w:t>Real GSP</w:t>
            </w:r>
            <w:r w:rsidRPr="00251826">
              <w:rPr>
                <w:rFonts w:ascii="Calibri Light" w:hAnsi="Calibri Light"/>
                <w:b w:val="0"/>
                <w:noProof/>
                <w:color w:val="auto"/>
                <w:sz w:val="22"/>
                <w:vertAlign w:val="superscript"/>
              </w:rPr>
              <w:t>(a)</w:t>
            </w:r>
          </w:p>
        </w:tc>
        <w:tc>
          <w:tcPr>
            <w:tcW w:w="1275" w:type="dxa"/>
          </w:tcPr>
          <w:p w14:paraId="55797868"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5.50</w:t>
            </w:r>
          </w:p>
        </w:tc>
        <w:tc>
          <w:tcPr>
            <w:tcW w:w="1275" w:type="dxa"/>
          </w:tcPr>
          <w:p w14:paraId="300CFF88"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3.25</w:t>
            </w:r>
          </w:p>
        </w:tc>
        <w:tc>
          <w:tcPr>
            <w:tcW w:w="1276" w:type="dxa"/>
          </w:tcPr>
          <w:p w14:paraId="7DB3BE66"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w:t>
            </w:r>
            <w:r>
              <w:rPr>
                <w:rFonts w:ascii="Calibri Light" w:hAnsi="Calibri Light"/>
                <w:noProof/>
                <w:color w:val="auto"/>
                <w:sz w:val="22"/>
              </w:rPr>
              <w:t>25</w:t>
            </w:r>
          </w:p>
        </w:tc>
        <w:tc>
          <w:tcPr>
            <w:tcW w:w="1275" w:type="dxa"/>
          </w:tcPr>
          <w:p w14:paraId="739C3F85"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2.75</w:t>
            </w:r>
          </w:p>
        </w:tc>
        <w:tc>
          <w:tcPr>
            <w:tcW w:w="1276" w:type="dxa"/>
          </w:tcPr>
          <w:p w14:paraId="4C3DC3E2"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2.75</w:t>
            </w:r>
          </w:p>
        </w:tc>
      </w:tr>
      <w:tr w:rsidR="00563C6F" w:rsidRPr="001D1693" w14:paraId="633B78AD" w14:textId="77777777" w:rsidTr="00251826">
        <w:tc>
          <w:tcPr>
            <w:cnfStyle w:val="001000000000" w:firstRow="0" w:lastRow="0" w:firstColumn="1" w:lastColumn="0" w:oddVBand="0" w:evenVBand="0" w:oddHBand="0" w:evenHBand="0" w:firstRowFirstColumn="0" w:firstRowLastColumn="0" w:lastRowFirstColumn="0" w:lastRowLastColumn="0"/>
            <w:tcW w:w="2235" w:type="dxa"/>
          </w:tcPr>
          <w:p w14:paraId="5B3BD711" w14:textId="77777777" w:rsidR="00563C6F" w:rsidRPr="00251826" w:rsidRDefault="00563C6F" w:rsidP="00124AE0">
            <w:pPr>
              <w:spacing w:after="0"/>
              <w:rPr>
                <w:rFonts w:ascii="Calibri Light" w:hAnsi="Calibri Light"/>
                <w:b w:val="0"/>
                <w:noProof/>
                <w:color w:val="auto"/>
                <w:sz w:val="22"/>
              </w:rPr>
            </w:pPr>
            <w:r w:rsidRPr="00251826">
              <w:rPr>
                <w:rFonts w:ascii="Calibri Light" w:hAnsi="Calibri Light"/>
                <w:b w:val="0"/>
                <w:noProof/>
                <w:color w:val="auto"/>
                <w:sz w:val="22"/>
              </w:rPr>
              <w:t>Unemployment rate</w:t>
            </w:r>
            <w:r w:rsidRPr="00251826">
              <w:rPr>
                <w:rFonts w:ascii="Calibri Light" w:hAnsi="Calibri Light"/>
                <w:b w:val="0"/>
                <w:noProof/>
                <w:color w:val="auto"/>
                <w:sz w:val="22"/>
                <w:vertAlign w:val="superscript"/>
              </w:rPr>
              <w:t>(b)</w:t>
            </w:r>
          </w:p>
        </w:tc>
        <w:tc>
          <w:tcPr>
            <w:tcW w:w="1275" w:type="dxa"/>
          </w:tcPr>
          <w:p w14:paraId="21B6A030" w14:textId="77777777" w:rsidR="00563C6F"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4.</w:t>
            </w:r>
            <w:r>
              <w:rPr>
                <w:rFonts w:ascii="Calibri Light" w:hAnsi="Calibri Light"/>
                <w:noProof/>
                <w:color w:val="auto"/>
                <w:sz w:val="22"/>
              </w:rPr>
              <w:t>25</w:t>
            </w:r>
          </w:p>
        </w:tc>
        <w:tc>
          <w:tcPr>
            <w:tcW w:w="1275" w:type="dxa"/>
          </w:tcPr>
          <w:p w14:paraId="762C1253" w14:textId="77777777" w:rsidR="00563C6F"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4.</w:t>
            </w:r>
            <w:r>
              <w:rPr>
                <w:rFonts w:ascii="Calibri Light" w:hAnsi="Calibri Light"/>
                <w:noProof/>
                <w:color w:val="auto"/>
                <w:sz w:val="22"/>
              </w:rPr>
              <w:t>00</w:t>
            </w:r>
          </w:p>
        </w:tc>
        <w:tc>
          <w:tcPr>
            <w:tcW w:w="1276" w:type="dxa"/>
          </w:tcPr>
          <w:p w14:paraId="13C7DF89"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4.25</w:t>
            </w:r>
          </w:p>
        </w:tc>
        <w:tc>
          <w:tcPr>
            <w:tcW w:w="1275" w:type="dxa"/>
          </w:tcPr>
          <w:p w14:paraId="75D7351A"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4.50</w:t>
            </w:r>
          </w:p>
        </w:tc>
        <w:tc>
          <w:tcPr>
            <w:tcW w:w="1276" w:type="dxa"/>
          </w:tcPr>
          <w:p w14:paraId="5C1D1856" w14:textId="77777777" w:rsidR="00563C6F"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4.75</w:t>
            </w:r>
          </w:p>
        </w:tc>
      </w:tr>
      <w:tr w:rsidR="00563C6F" w:rsidRPr="001D1693" w14:paraId="580666AD" w14:textId="77777777" w:rsidTr="00251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B917217" w14:textId="77777777" w:rsidR="00563C6F" w:rsidRPr="00251826" w:rsidRDefault="00563C6F" w:rsidP="00124AE0">
            <w:pPr>
              <w:spacing w:after="0"/>
              <w:rPr>
                <w:rFonts w:ascii="Calibri Light" w:hAnsi="Calibri Light"/>
                <w:b w:val="0"/>
                <w:noProof/>
                <w:color w:val="auto"/>
                <w:sz w:val="22"/>
                <w:vertAlign w:val="superscript"/>
              </w:rPr>
            </w:pPr>
            <w:r w:rsidRPr="00251826">
              <w:rPr>
                <w:rFonts w:ascii="Calibri Light" w:hAnsi="Calibri Light"/>
                <w:b w:val="0"/>
                <w:noProof/>
                <w:color w:val="auto"/>
                <w:sz w:val="22"/>
              </w:rPr>
              <w:t>Melbourne CPI</w:t>
            </w:r>
            <w:r w:rsidRPr="00251826">
              <w:rPr>
                <w:rFonts w:ascii="Calibri Light" w:hAnsi="Calibri Light"/>
                <w:b w:val="0"/>
                <w:noProof/>
                <w:color w:val="auto"/>
                <w:sz w:val="22"/>
                <w:vertAlign w:val="superscript"/>
              </w:rPr>
              <w:t>(a)</w:t>
            </w:r>
          </w:p>
        </w:tc>
        <w:tc>
          <w:tcPr>
            <w:tcW w:w="1275" w:type="dxa"/>
          </w:tcPr>
          <w:p w14:paraId="15D2D61E"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w:t>
            </w:r>
            <w:r w:rsidRPr="001D1693">
              <w:rPr>
                <w:rFonts w:ascii="Calibri Light" w:hAnsi="Calibri Light"/>
                <w:noProof/>
                <w:color w:val="auto"/>
                <w:sz w:val="22"/>
              </w:rPr>
              <w:t>.00</w:t>
            </w:r>
          </w:p>
        </w:tc>
        <w:tc>
          <w:tcPr>
            <w:tcW w:w="1275" w:type="dxa"/>
          </w:tcPr>
          <w:p w14:paraId="546CF6D1"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w:t>
            </w:r>
            <w:r w:rsidRPr="001D1693">
              <w:rPr>
                <w:rFonts w:ascii="Calibri Light" w:hAnsi="Calibri Light"/>
                <w:noProof/>
                <w:color w:val="auto"/>
                <w:sz w:val="22"/>
              </w:rPr>
              <w:t>.5</w:t>
            </w:r>
            <w:r>
              <w:rPr>
                <w:rFonts w:ascii="Calibri Light" w:hAnsi="Calibri Light"/>
                <w:noProof/>
                <w:color w:val="auto"/>
                <w:sz w:val="22"/>
              </w:rPr>
              <w:t>0</w:t>
            </w:r>
          </w:p>
        </w:tc>
        <w:tc>
          <w:tcPr>
            <w:tcW w:w="1276" w:type="dxa"/>
          </w:tcPr>
          <w:p w14:paraId="7345996C"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2.25</w:t>
            </w:r>
          </w:p>
        </w:tc>
        <w:tc>
          <w:tcPr>
            <w:tcW w:w="1275" w:type="dxa"/>
          </w:tcPr>
          <w:p w14:paraId="501BBAD8"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2.50</w:t>
            </w:r>
          </w:p>
        </w:tc>
        <w:tc>
          <w:tcPr>
            <w:tcW w:w="1276" w:type="dxa"/>
          </w:tcPr>
          <w:p w14:paraId="52DBDEFD" w14:textId="77777777" w:rsidR="00563C6F" w:rsidRPr="001D1693" w:rsidRDefault="00563C6F" w:rsidP="00124AE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2.50</w:t>
            </w:r>
          </w:p>
        </w:tc>
      </w:tr>
      <w:tr w:rsidR="00563C6F" w:rsidRPr="001D1693" w14:paraId="2796684F" w14:textId="77777777" w:rsidTr="00251826">
        <w:tc>
          <w:tcPr>
            <w:cnfStyle w:val="001000000000" w:firstRow="0" w:lastRow="0" w:firstColumn="1" w:lastColumn="0" w:oddVBand="0" w:evenVBand="0" w:oddHBand="0" w:evenHBand="0" w:firstRowFirstColumn="0" w:firstRowLastColumn="0" w:lastRowFirstColumn="0" w:lastRowLastColumn="0"/>
            <w:tcW w:w="2235" w:type="dxa"/>
          </w:tcPr>
          <w:p w14:paraId="089DE1BA" w14:textId="77777777" w:rsidR="00563C6F" w:rsidRPr="00251826" w:rsidRDefault="00563C6F" w:rsidP="00124AE0">
            <w:pPr>
              <w:spacing w:after="0"/>
              <w:rPr>
                <w:rFonts w:ascii="Calibri Light" w:hAnsi="Calibri Light"/>
                <w:b w:val="0"/>
                <w:noProof/>
                <w:color w:val="auto"/>
                <w:sz w:val="22"/>
                <w:vertAlign w:val="superscript"/>
              </w:rPr>
            </w:pPr>
            <w:r w:rsidRPr="00251826">
              <w:rPr>
                <w:rFonts w:ascii="Calibri Light" w:hAnsi="Calibri Light"/>
                <w:b w:val="0"/>
                <w:noProof/>
                <w:color w:val="auto"/>
                <w:sz w:val="22"/>
              </w:rPr>
              <w:t>Victorian WPI</w:t>
            </w:r>
            <w:r w:rsidRPr="00251826">
              <w:rPr>
                <w:rFonts w:ascii="Calibri Light" w:hAnsi="Calibri Light"/>
                <w:b w:val="0"/>
                <w:noProof/>
                <w:color w:val="auto"/>
                <w:sz w:val="22"/>
                <w:vertAlign w:val="superscript"/>
              </w:rPr>
              <w:t>(a)</w:t>
            </w:r>
          </w:p>
        </w:tc>
        <w:tc>
          <w:tcPr>
            <w:tcW w:w="1275" w:type="dxa"/>
          </w:tcPr>
          <w:p w14:paraId="2BE95F1C"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w:t>
            </w:r>
            <w:r>
              <w:rPr>
                <w:rFonts w:ascii="Calibri Light" w:hAnsi="Calibri Light"/>
                <w:noProof/>
                <w:color w:val="auto"/>
                <w:sz w:val="22"/>
              </w:rPr>
              <w:t>50</w:t>
            </w:r>
          </w:p>
        </w:tc>
        <w:tc>
          <w:tcPr>
            <w:tcW w:w="1275" w:type="dxa"/>
          </w:tcPr>
          <w:p w14:paraId="32F2740A"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2.</w:t>
            </w:r>
            <w:r>
              <w:rPr>
                <w:rFonts w:ascii="Calibri Light" w:hAnsi="Calibri Light"/>
                <w:noProof/>
                <w:color w:val="auto"/>
                <w:sz w:val="22"/>
              </w:rPr>
              <w:t>75</w:t>
            </w:r>
          </w:p>
        </w:tc>
        <w:tc>
          <w:tcPr>
            <w:tcW w:w="1276" w:type="dxa"/>
          </w:tcPr>
          <w:p w14:paraId="1A5A6652"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3.00</w:t>
            </w:r>
          </w:p>
        </w:tc>
        <w:tc>
          <w:tcPr>
            <w:tcW w:w="1275" w:type="dxa"/>
          </w:tcPr>
          <w:p w14:paraId="19142498"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hAnsi="Calibri Light"/>
                <w:noProof/>
                <w:color w:val="auto"/>
                <w:sz w:val="22"/>
              </w:rPr>
              <w:t>3.00</w:t>
            </w:r>
          </w:p>
        </w:tc>
        <w:tc>
          <w:tcPr>
            <w:tcW w:w="1276" w:type="dxa"/>
          </w:tcPr>
          <w:p w14:paraId="34CC95AA" w14:textId="77777777" w:rsidR="00563C6F" w:rsidRPr="001D1693" w:rsidRDefault="00563C6F" w:rsidP="00124AE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3.00</w:t>
            </w:r>
          </w:p>
        </w:tc>
      </w:tr>
    </w:tbl>
    <w:p w14:paraId="502C7876" w14:textId="77777777" w:rsidR="00563C6F" w:rsidRPr="001D1693" w:rsidRDefault="00563C6F" w:rsidP="00563C6F">
      <w:pPr>
        <w:pStyle w:val="09Sourcesandnotesfortablesfiguresboxes"/>
      </w:pPr>
      <w:r w:rsidRPr="001D1693">
        <w:t>Notes: (a) Values represent percentage change over the financial year. (b) Values represent average rate across the financial year.</w:t>
      </w:r>
    </w:p>
    <w:p w14:paraId="551637EF" w14:textId="77777777" w:rsidR="00563C6F" w:rsidRDefault="00563C6F" w:rsidP="00563C6F">
      <w:pPr>
        <w:pStyle w:val="09Sourcesandnotesfortablesfiguresboxes"/>
        <w:rPr>
          <w:noProof/>
          <w:lang w:eastAsia="en-AU"/>
        </w:rPr>
      </w:pPr>
      <w:r w:rsidRPr="001D1693">
        <w:t xml:space="preserve">Source: </w:t>
      </w:r>
      <w:r w:rsidRPr="001D1693">
        <w:rPr>
          <w:noProof/>
          <w:lang w:eastAsia="en-AU"/>
        </w:rPr>
        <w:t>DTF (202</w:t>
      </w:r>
      <w:r>
        <w:rPr>
          <w:noProof/>
          <w:lang w:eastAsia="en-AU"/>
        </w:rPr>
        <w:t>2a</w:t>
      </w:r>
      <w:r w:rsidRPr="001D1693">
        <w:rPr>
          <w:noProof/>
          <w:lang w:eastAsia="en-AU"/>
        </w:rPr>
        <w:t>)</w:t>
      </w:r>
      <w:r>
        <w:rPr>
          <w:noProof/>
          <w:lang w:eastAsia="en-AU"/>
        </w:rPr>
        <w:t>, p. 24.</w:t>
      </w:r>
    </w:p>
    <w:p w14:paraId="506CA956" w14:textId="2C661328" w:rsidR="00563C6F" w:rsidRDefault="00563C6F" w:rsidP="00563C6F">
      <w:pPr>
        <w:pStyle w:val="05Paragraph"/>
        <w:keepNext/>
      </w:pPr>
      <w:r>
        <w:t xml:space="preserve">The Budget notes that the forecasts summarised </w:t>
      </w:r>
      <w:r w:rsidR="00C24AF8">
        <w:t xml:space="preserve">in </w:t>
      </w:r>
      <w:r w:rsidR="00FF52B7">
        <w:t>T</w:t>
      </w:r>
      <w:r w:rsidR="00C24AF8">
        <w:t xml:space="preserve">able 3.1 </w:t>
      </w:r>
      <w:r>
        <w:t>are ‘subject to greater uncertainty than usual’, and are predicated on the following assumptions relating to COVID-19:</w:t>
      </w:r>
    </w:p>
    <w:p w14:paraId="73A91617" w14:textId="4913F8A3" w:rsidR="00563C6F" w:rsidRDefault="00563C6F" w:rsidP="00563C6F">
      <w:pPr>
        <w:pStyle w:val="06VIRTBulletpoints"/>
      </w:pPr>
      <w:r>
        <w:t>high vaccination rates, and increased adaptation by consumers and businesses</w:t>
      </w:r>
      <w:r w:rsidR="00D71213">
        <w:t>,</w:t>
      </w:r>
      <w:r>
        <w:t xml:space="preserve"> limit the economic impacts of future outbreaks of COVID-19</w:t>
      </w:r>
    </w:p>
    <w:p w14:paraId="38C165FE" w14:textId="77777777" w:rsidR="00563C6F" w:rsidRPr="001D1693" w:rsidRDefault="00563C6F" w:rsidP="00563C6F">
      <w:pPr>
        <w:pStyle w:val="06VIRTBulletpoints"/>
      </w:pPr>
      <w:r>
        <w:lastRenderedPageBreak/>
        <w:t>m</w:t>
      </w:r>
      <w:r w:rsidRPr="00307027">
        <w:t xml:space="preserve">igration </w:t>
      </w:r>
      <w:r>
        <w:t xml:space="preserve">will </w:t>
      </w:r>
      <w:r w:rsidRPr="00307027">
        <w:t xml:space="preserve">remain low until mid-2022 </w:t>
      </w:r>
      <w:r>
        <w:t>and then</w:t>
      </w:r>
      <w:r w:rsidRPr="00307027">
        <w:t xml:space="preserve"> gradually pick up </w:t>
      </w:r>
      <w:r>
        <w:t xml:space="preserve">as </w:t>
      </w:r>
      <w:r w:rsidRPr="00307027">
        <w:t xml:space="preserve">international students return slowly and </w:t>
      </w:r>
      <w:r>
        <w:t xml:space="preserve">as </w:t>
      </w:r>
      <w:r w:rsidRPr="00307027">
        <w:t>tourist numbers pick up throughout</w:t>
      </w:r>
      <w:r>
        <w:t> </w:t>
      </w:r>
      <w:r w:rsidRPr="00307027">
        <w:t>2022.</w:t>
      </w:r>
    </w:p>
    <w:p w14:paraId="6E72A201" w14:textId="77777777" w:rsidR="00563C6F" w:rsidRDefault="00563C6F" w:rsidP="00563C6F">
      <w:pPr>
        <w:pStyle w:val="02VIRTHeading2"/>
      </w:pPr>
      <w:bookmarkStart w:id="53" w:name="_Toc106614535"/>
      <w:r>
        <w:t>3.2</w:t>
      </w:r>
      <w:r>
        <w:tab/>
        <w:t>Financial position and fiscal strategy of the State of Victoria</w:t>
      </w:r>
      <w:bookmarkEnd w:id="53"/>
    </w:p>
    <w:p w14:paraId="3EBDED4F" w14:textId="38C2EAF7" w:rsidR="00563C6F" w:rsidRDefault="00563C6F" w:rsidP="00563C6F">
      <w:pPr>
        <w:pStyle w:val="05Paragraph"/>
      </w:pPr>
      <w:r w:rsidRPr="0088525E">
        <w:t xml:space="preserve">The Tribunal’s analysis of financial factors </w:t>
      </w:r>
      <w:r w:rsidR="00FC7C55">
        <w:t xml:space="preserve">has </w:t>
      </w:r>
      <w:r w:rsidRPr="0088525E">
        <w:t>draw</w:t>
      </w:r>
      <w:r w:rsidR="00FC7C55">
        <w:t>n</w:t>
      </w:r>
      <w:r w:rsidRPr="0088525E">
        <w:t xml:space="preserve"> on the latest </w:t>
      </w:r>
      <w:r w:rsidR="0072607E">
        <w:t xml:space="preserve">report from the </w:t>
      </w:r>
      <w:r w:rsidRPr="0088525E">
        <w:t>Victorian Auditor</w:t>
      </w:r>
      <w:r w:rsidRPr="0088525E">
        <w:noBreakHyphen/>
        <w:t>General</w:t>
      </w:r>
      <w:r>
        <w:t>’s</w:t>
      </w:r>
      <w:r w:rsidRPr="0088525E">
        <w:t xml:space="preserve"> Office </w:t>
      </w:r>
      <w:r w:rsidR="00FF52B7">
        <w:t xml:space="preserve">(VAGO) </w:t>
      </w:r>
      <w:r w:rsidRPr="0088525E">
        <w:t>on Victoria’s finances and the Budget</w:t>
      </w:r>
      <w:r>
        <w:t>.</w:t>
      </w:r>
    </w:p>
    <w:p w14:paraId="1745CDBD" w14:textId="77777777" w:rsidR="00563C6F" w:rsidRDefault="00563C6F" w:rsidP="00563C6F">
      <w:pPr>
        <w:pStyle w:val="03VIRTHeading3"/>
      </w:pPr>
      <w:r>
        <w:t>Victorian Budget</w:t>
      </w:r>
    </w:p>
    <w:p w14:paraId="6BF27D8F" w14:textId="77777777" w:rsidR="00563C6F" w:rsidRDefault="00563C6F" w:rsidP="00563C6F">
      <w:pPr>
        <w:pStyle w:val="05Paragraph"/>
        <w:rPr>
          <w:noProof/>
          <w:lang w:eastAsia="en-AU"/>
        </w:rPr>
      </w:pPr>
      <w:r>
        <w:rPr>
          <w:noProof/>
          <w:lang w:eastAsia="en-AU"/>
        </w:rPr>
        <w:t>According to the Budget, the general government sector recorded an operating deficit of $9.4 billion for the nine months to 31 March 2022. Total expenses were around 15 per cent higher than the corresponding period in the previous financial year, reflecting the impact of support measures implemented in response to the COVID</w:t>
      </w:r>
      <w:r>
        <w:rPr>
          <w:noProof/>
          <w:lang w:eastAsia="en-AU"/>
        </w:rPr>
        <w:noBreakHyphen/>
        <w:t>19 pandemic.</w:t>
      </w:r>
      <w:r>
        <w:rPr>
          <w:rStyle w:val="FootnoteReference"/>
          <w:noProof/>
          <w:lang w:eastAsia="en-AU"/>
        </w:rPr>
        <w:footnoteReference w:id="47"/>
      </w:r>
      <w:r>
        <w:rPr>
          <w:noProof/>
          <w:lang w:eastAsia="en-AU"/>
        </w:rPr>
        <w:t xml:space="preserve"> Net debt also increased to $94.6 billion as at 31 March 2022.</w:t>
      </w:r>
      <w:r>
        <w:rPr>
          <w:rStyle w:val="FootnoteReference"/>
          <w:noProof/>
          <w:lang w:eastAsia="en-AU"/>
        </w:rPr>
        <w:footnoteReference w:id="48"/>
      </w:r>
    </w:p>
    <w:p w14:paraId="50C7D61A" w14:textId="77777777" w:rsidR="00563C6F" w:rsidRDefault="00563C6F" w:rsidP="00563C6F">
      <w:pPr>
        <w:pStyle w:val="05Paragraph"/>
        <w:rPr>
          <w:noProof/>
          <w:lang w:eastAsia="en-AU"/>
        </w:rPr>
      </w:pPr>
      <w:r>
        <w:rPr>
          <w:noProof/>
          <w:lang w:eastAsia="en-AU"/>
        </w:rPr>
        <w:t xml:space="preserve">The Budget reiterated the Victorian Government’s commitment to the four-step fiscal strategy outlined in the previous year’s </w:t>
      </w:r>
      <w:r w:rsidRPr="00B57E2E">
        <w:rPr>
          <w:i/>
          <w:iCs/>
          <w:noProof/>
          <w:lang w:eastAsia="en-AU"/>
        </w:rPr>
        <w:t>Victorian Budget 2021/2</w:t>
      </w:r>
      <w:r>
        <w:rPr>
          <w:i/>
          <w:iCs/>
          <w:noProof/>
          <w:lang w:eastAsia="en-AU"/>
        </w:rPr>
        <w:t>2</w:t>
      </w:r>
      <w:r>
        <w:rPr>
          <w:noProof/>
          <w:lang w:eastAsia="en-AU"/>
        </w:rPr>
        <w:t>:</w:t>
      </w:r>
      <w:r>
        <w:rPr>
          <w:rStyle w:val="FootnoteReference"/>
          <w:noProof/>
          <w:lang w:eastAsia="en-AU"/>
        </w:rPr>
        <w:footnoteReference w:id="49"/>
      </w:r>
    </w:p>
    <w:p w14:paraId="1D6D86BA" w14:textId="77777777" w:rsidR="00563C6F" w:rsidRPr="00184EA0" w:rsidRDefault="00563C6F" w:rsidP="00563C6F">
      <w:pPr>
        <w:pStyle w:val="06VIRTBulletpoints"/>
        <w:jc w:val="left"/>
      </w:pPr>
      <w:r>
        <w:t>S</w:t>
      </w:r>
      <w:r w:rsidRPr="00184EA0">
        <w:t xml:space="preserve">tep 1 — </w:t>
      </w:r>
      <w:r>
        <w:t>c</w:t>
      </w:r>
      <w:r w:rsidRPr="00184EA0">
        <w:t xml:space="preserve">reating jobs, reducing </w:t>
      </w:r>
      <w:proofErr w:type="gramStart"/>
      <w:r w:rsidRPr="00184EA0">
        <w:t>unemployment</w:t>
      </w:r>
      <w:proofErr w:type="gramEnd"/>
      <w:r w:rsidRPr="00184EA0">
        <w:t xml:space="preserve"> and restoring economic growth</w:t>
      </w:r>
    </w:p>
    <w:p w14:paraId="0DD65AE6" w14:textId="77777777" w:rsidR="00563C6F" w:rsidRPr="00184EA0" w:rsidRDefault="00563C6F" w:rsidP="00563C6F">
      <w:pPr>
        <w:pStyle w:val="06VIRTBulletpoints"/>
      </w:pPr>
      <w:r w:rsidRPr="00184EA0">
        <w:t xml:space="preserve">Step 2 — </w:t>
      </w:r>
      <w:r>
        <w:t>r</w:t>
      </w:r>
      <w:r w:rsidRPr="00184EA0">
        <w:t>eturning to an operating cash surplus</w:t>
      </w:r>
    </w:p>
    <w:p w14:paraId="7369EE69" w14:textId="77777777" w:rsidR="00563C6F" w:rsidRPr="00184EA0" w:rsidRDefault="00563C6F" w:rsidP="00563C6F">
      <w:pPr>
        <w:pStyle w:val="06VIRTBulletpoints"/>
      </w:pPr>
      <w:r w:rsidRPr="00184EA0">
        <w:t xml:space="preserve">Step 3 — </w:t>
      </w:r>
      <w:r>
        <w:t>r</w:t>
      </w:r>
      <w:r w:rsidRPr="00184EA0">
        <w:t>eturning to operating surpluses</w:t>
      </w:r>
    </w:p>
    <w:p w14:paraId="41EC2F93" w14:textId="77777777" w:rsidR="00563C6F" w:rsidRPr="007411CE" w:rsidRDefault="00563C6F" w:rsidP="00563C6F">
      <w:pPr>
        <w:pStyle w:val="06VIRTBulletpoints"/>
      </w:pPr>
      <w:r w:rsidRPr="007411CE">
        <w:t xml:space="preserve">Step 4 — </w:t>
      </w:r>
      <w:r>
        <w:t>s</w:t>
      </w:r>
      <w:r w:rsidRPr="007411CE">
        <w:t>tabilising debt levels.</w:t>
      </w:r>
    </w:p>
    <w:p w14:paraId="1CE9F6F1" w14:textId="28A0D7F9" w:rsidR="00563C6F" w:rsidRDefault="00563C6F" w:rsidP="00563C6F">
      <w:pPr>
        <w:pStyle w:val="05Paragraph"/>
        <w:rPr>
          <w:noProof/>
          <w:lang w:eastAsia="en-AU"/>
        </w:rPr>
      </w:pPr>
      <w:r>
        <w:rPr>
          <w:noProof/>
          <w:lang w:eastAsia="en-AU"/>
        </w:rPr>
        <w:t>An</w:t>
      </w:r>
      <w:r w:rsidRPr="00297A93">
        <w:rPr>
          <w:noProof/>
          <w:lang w:eastAsia="en-AU"/>
        </w:rPr>
        <w:t xml:space="preserve"> operating deficit (for the general government sector) of approximately $1</w:t>
      </w:r>
      <w:r>
        <w:rPr>
          <w:noProof/>
          <w:lang w:eastAsia="en-AU"/>
        </w:rPr>
        <w:t>7</w:t>
      </w:r>
      <w:r w:rsidRPr="00297A93">
        <w:rPr>
          <w:noProof/>
          <w:lang w:eastAsia="en-AU"/>
        </w:rPr>
        <w:t>.</w:t>
      </w:r>
      <w:r>
        <w:rPr>
          <w:noProof/>
          <w:lang w:eastAsia="en-AU"/>
        </w:rPr>
        <w:t>6 </w:t>
      </w:r>
      <w:r w:rsidRPr="00297A93">
        <w:rPr>
          <w:noProof/>
          <w:lang w:eastAsia="en-AU"/>
        </w:rPr>
        <w:t xml:space="preserve">billion </w:t>
      </w:r>
      <w:r>
        <w:rPr>
          <w:noProof/>
          <w:lang w:eastAsia="en-AU"/>
        </w:rPr>
        <w:t xml:space="preserve">is forecast </w:t>
      </w:r>
      <w:r w:rsidRPr="00297A93">
        <w:rPr>
          <w:noProof/>
          <w:lang w:eastAsia="en-AU"/>
        </w:rPr>
        <w:t>for 2021-22</w:t>
      </w:r>
      <w:r>
        <w:rPr>
          <w:noProof/>
          <w:lang w:eastAsia="en-AU"/>
        </w:rPr>
        <w:t>, with s</w:t>
      </w:r>
      <w:r w:rsidRPr="00297A93">
        <w:rPr>
          <w:noProof/>
          <w:lang w:eastAsia="en-AU"/>
        </w:rPr>
        <w:t xml:space="preserve">maller deficits </w:t>
      </w:r>
      <w:r>
        <w:rPr>
          <w:noProof/>
          <w:lang w:eastAsia="en-AU"/>
        </w:rPr>
        <w:t>forecast for</w:t>
      </w:r>
      <w:r w:rsidRPr="00297A93">
        <w:rPr>
          <w:noProof/>
          <w:lang w:eastAsia="en-AU"/>
        </w:rPr>
        <w:t xml:space="preserve"> the following years</w:t>
      </w:r>
      <w:r>
        <w:rPr>
          <w:noProof/>
          <w:lang w:eastAsia="en-AU"/>
        </w:rPr>
        <w:t xml:space="preserve"> before an expected return to an operating surplus in 2025-26. Meanwhile, a return to an operating cash flow surplus is forecast for 2022-23.</w:t>
      </w:r>
      <w:r w:rsidR="008D77A4" w:rsidRPr="00297A93">
        <w:rPr>
          <w:noProof/>
          <w:vertAlign w:val="superscript"/>
          <w:lang w:eastAsia="en-AU"/>
        </w:rPr>
        <w:footnoteReference w:id="50"/>
      </w:r>
    </w:p>
    <w:p w14:paraId="5B64B81C" w14:textId="6AADB7FD" w:rsidR="00563C6F" w:rsidRDefault="00563C6F" w:rsidP="00563C6F">
      <w:pPr>
        <w:pStyle w:val="05Paragraph"/>
        <w:rPr>
          <w:noProof/>
          <w:lang w:eastAsia="en-AU"/>
        </w:rPr>
      </w:pPr>
      <w:r>
        <w:rPr>
          <w:noProof/>
          <w:lang w:eastAsia="en-AU"/>
        </w:rPr>
        <w:t>The Budget forecast n</w:t>
      </w:r>
      <w:r w:rsidRPr="00297A93">
        <w:rPr>
          <w:noProof/>
          <w:lang w:eastAsia="en-AU"/>
        </w:rPr>
        <w:t xml:space="preserve">et debt </w:t>
      </w:r>
      <w:r>
        <w:rPr>
          <w:noProof/>
          <w:lang w:eastAsia="en-AU"/>
        </w:rPr>
        <w:t>would</w:t>
      </w:r>
      <w:r w:rsidRPr="00297A93">
        <w:rPr>
          <w:noProof/>
          <w:lang w:eastAsia="en-AU"/>
        </w:rPr>
        <w:t xml:space="preserve"> </w:t>
      </w:r>
      <w:r>
        <w:rPr>
          <w:noProof/>
          <w:lang w:eastAsia="en-AU"/>
        </w:rPr>
        <w:t>reach</w:t>
      </w:r>
      <w:r w:rsidRPr="00297A93">
        <w:rPr>
          <w:noProof/>
          <w:lang w:eastAsia="en-AU"/>
        </w:rPr>
        <w:t xml:space="preserve"> $10</w:t>
      </w:r>
      <w:r>
        <w:rPr>
          <w:noProof/>
          <w:lang w:eastAsia="en-AU"/>
        </w:rPr>
        <w:t>1</w:t>
      </w:r>
      <w:r w:rsidRPr="00297A93">
        <w:rPr>
          <w:noProof/>
          <w:lang w:eastAsia="en-AU"/>
        </w:rPr>
        <w:t>.</w:t>
      </w:r>
      <w:r>
        <w:rPr>
          <w:noProof/>
          <w:lang w:eastAsia="en-AU"/>
        </w:rPr>
        <w:t>9</w:t>
      </w:r>
      <w:r w:rsidRPr="00297A93">
        <w:rPr>
          <w:noProof/>
          <w:lang w:eastAsia="en-AU"/>
        </w:rPr>
        <w:t xml:space="preserve"> billion (</w:t>
      </w:r>
      <w:r>
        <w:rPr>
          <w:noProof/>
          <w:lang w:eastAsia="en-AU"/>
        </w:rPr>
        <w:t>19.8</w:t>
      </w:r>
      <w:r w:rsidRPr="00297A93">
        <w:rPr>
          <w:noProof/>
          <w:lang w:eastAsia="en-AU"/>
        </w:rPr>
        <w:t xml:space="preserve"> per cent of GSP) </w:t>
      </w:r>
      <w:r>
        <w:rPr>
          <w:noProof/>
          <w:lang w:eastAsia="en-AU"/>
        </w:rPr>
        <w:t>in June</w:t>
      </w:r>
      <w:r w:rsidRPr="00297A93">
        <w:rPr>
          <w:noProof/>
          <w:lang w:eastAsia="en-AU"/>
        </w:rPr>
        <w:t xml:space="preserve"> 2022</w:t>
      </w:r>
      <w:r>
        <w:rPr>
          <w:noProof/>
          <w:lang w:eastAsia="en-AU"/>
        </w:rPr>
        <w:t>,</w:t>
      </w:r>
      <w:r w:rsidRPr="00297A93">
        <w:rPr>
          <w:noProof/>
          <w:lang w:eastAsia="en-AU"/>
        </w:rPr>
        <w:t xml:space="preserve"> and increase to $1</w:t>
      </w:r>
      <w:r>
        <w:rPr>
          <w:noProof/>
          <w:lang w:eastAsia="en-AU"/>
        </w:rPr>
        <w:t>67</w:t>
      </w:r>
      <w:r w:rsidRPr="00297A93">
        <w:rPr>
          <w:noProof/>
          <w:lang w:eastAsia="en-AU"/>
        </w:rPr>
        <w:t>.</w:t>
      </w:r>
      <w:r>
        <w:rPr>
          <w:noProof/>
          <w:lang w:eastAsia="en-AU"/>
        </w:rPr>
        <w:t>5</w:t>
      </w:r>
      <w:r w:rsidRPr="00297A93">
        <w:rPr>
          <w:noProof/>
          <w:lang w:eastAsia="en-AU"/>
        </w:rPr>
        <w:t xml:space="preserve"> billion (2</w:t>
      </w:r>
      <w:r>
        <w:rPr>
          <w:noProof/>
          <w:lang w:eastAsia="en-AU"/>
        </w:rPr>
        <w:t>6</w:t>
      </w:r>
      <w:r w:rsidRPr="00297A93">
        <w:rPr>
          <w:noProof/>
          <w:lang w:eastAsia="en-AU"/>
        </w:rPr>
        <w:t>.</w:t>
      </w:r>
      <w:r>
        <w:rPr>
          <w:noProof/>
          <w:lang w:eastAsia="en-AU"/>
        </w:rPr>
        <w:t>5 </w:t>
      </w:r>
      <w:r w:rsidRPr="00297A93">
        <w:rPr>
          <w:noProof/>
          <w:lang w:eastAsia="en-AU"/>
        </w:rPr>
        <w:t>per</w:t>
      </w:r>
      <w:r>
        <w:rPr>
          <w:noProof/>
          <w:lang w:eastAsia="en-AU"/>
        </w:rPr>
        <w:t> </w:t>
      </w:r>
      <w:r w:rsidRPr="00297A93">
        <w:rPr>
          <w:noProof/>
          <w:lang w:eastAsia="en-AU"/>
        </w:rPr>
        <w:t xml:space="preserve">cent of GSP) </w:t>
      </w:r>
      <w:r>
        <w:rPr>
          <w:noProof/>
          <w:lang w:eastAsia="en-AU"/>
        </w:rPr>
        <w:t>by June </w:t>
      </w:r>
      <w:r w:rsidRPr="00297A93">
        <w:rPr>
          <w:noProof/>
          <w:lang w:eastAsia="en-AU"/>
        </w:rPr>
        <w:t>202</w:t>
      </w:r>
      <w:r>
        <w:rPr>
          <w:noProof/>
          <w:lang w:eastAsia="en-AU"/>
        </w:rPr>
        <w:t>6.</w:t>
      </w:r>
      <w:r w:rsidRPr="00297A93">
        <w:rPr>
          <w:noProof/>
          <w:vertAlign w:val="superscript"/>
          <w:lang w:eastAsia="en-AU"/>
        </w:rPr>
        <w:footnoteReference w:id="51"/>
      </w:r>
    </w:p>
    <w:p w14:paraId="06B4A9BA" w14:textId="4EAE808A" w:rsidR="0088525E" w:rsidRDefault="00FF52B7" w:rsidP="0088525E">
      <w:pPr>
        <w:pStyle w:val="03VIRTHeading3"/>
      </w:pPr>
      <w:r>
        <w:lastRenderedPageBreak/>
        <w:t>VAGO</w:t>
      </w:r>
      <w:r w:rsidR="0088525E">
        <w:t xml:space="preserve"> report</w:t>
      </w:r>
    </w:p>
    <w:p w14:paraId="5BE00023" w14:textId="0CBE9AB2" w:rsidR="00563C6F" w:rsidRDefault="00563C6F" w:rsidP="00563C6F">
      <w:pPr>
        <w:pStyle w:val="05Paragraph"/>
        <w:keepNext/>
        <w:rPr>
          <w:noProof/>
          <w:lang w:eastAsia="en-AU"/>
        </w:rPr>
      </w:pPr>
      <w:r w:rsidRPr="004208F5">
        <w:rPr>
          <w:noProof/>
          <w:lang w:eastAsia="en-AU"/>
        </w:rPr>
        <w:t xml:space="preserve">The latest </w:t>
      </w:r>
      <w:r>
        <w:rPr>
          <w:noProof/>
          <w:lang w:eastAsia="en-AU"/>
        </w:rPr>
        <w:t xml:space="preserve">VAGO </w:t>
      </w:r>
      <w:r w:rsidRPr="004208F5">
        <w:rPr>
          <w:i/>
          <w:noProof/>
          <w:lang w:eastAsia="en-AU"/>
        </w:rPr>
        <w:t>Report on the Annual Financial Report of the State of Victori</w:t>
      </w:r>
      <w:r w:rsidRPr="00F72BCC">
        <w:rPr>
          <w:i/>
          <w:lang w:eastAsia="en-AU"/>
        </w:rPr>
        <w:t>a</w:t>
      </w:r>
      <w:r w:rsidRPr="004208F5">
        <w:rPr>
          <w:noProof/>
          <w:lang w:eastAsia="en-AU"/>
        </w:rPr>
        <w:t>, released in November 202</w:t>
      </w:r>
      <w:r>
        <w:rPr>
          <w:noProof/>
          <w:lang w:eastAsia="en-AU"/>
        </w:rPr>
        <w:t>1, stated that:</w:t>
      </w:r>
      <w:r w:rsidRPr="00671467">
        <w:rPr>
          <w:rStyle w:val="FootnoteReference"/>
          <w:noProof/>
          <w:color w:val="auto"/>
          <w:lang w:eastAsia="en-AU"/>
        </w:rPr>
        <w:footnoteReference w:id="52"/>
      </w:r>
      <w:r w:rsidRPr="00671467">
        <w:rPr>
          <w:noProof/>
          <w:lang w:eastAsia="en-AU"/>
        </w:rPr>
        <w:t xml:space="preserve"> </w:t>
      </w:r>
    </w:p>
    <w:p w14:paraId="3B722811" w14:textId="77777777" w:rsidR="00563C6F" w:rsidRDefault="00563C6F" w:rsidP="00563C6F">
      <w:pPr>
        <w:pStyle w:val="07VIRTBreakouttext"/>
        <w:rPr>
          <w:noProof/>
          <w:lang w:eastAsia="en-AU"/>
        </w:rPr>
      </w:pPr>
      <w:r>
        <w:rPr>
          <w:noProof/>
          <w:lang w:eastAsia="en-AU"/>
        </w:rPr>
        <w:t>… t</w:t>
      </w:r>
      <w:r w:rsidRPr="000A6B24">
        <w:rPr>
          <w:noProof/>
          <w:lang w:eastAsia="en-AU"/>
        </w:rPr>
        <w:t>he COVID-19 pandemic continues to affect the financial performance and position of the state, with longer term consequences for its financial sustainability.</w:t>
      </w:r>
    </w:p>
    <w:p w14:paraId="2577D67D" w14:textId="12FF82EB" w:rsidR="00563C6F" w:rsidRDefault="00563C6F" w:rsidP="001E527D">
      <w:pPr>
        <w:pStyle w:val="05Paragraph"/>
        <w:keepNext/>
        <w:rPr>
          <w:noProof/>
          <w:lang w:eastAsia="en-AU"/>
        </w:rPr>
      </w:pPr>
      <w:r>
        <w:rPr>
          <w:noProof/>
          <w:lang w:eastAsia="en-AU"/>
        </w:rPr>
        <w:t>In its report, VAGO:</w:t>
      </w:r>
      <w:r w:rsidR="006449D2">
        <w:rPr>
          <w:rStyle w:val="FootnoteReference"/>
          <w:noProof/>
          <w:lang w:eastAsia="en-AU"/>
        </w:rPr>
        <w:footnoteReference w:id="53"/>
      </w:r>
    </w:p>
    <w:p w14:paraId="016C49BD" w14:textId="77777777" w:rsidR="00563C6F" w:rsidRDefault="00563C6F" w:rsidP="00563C6F">
      <w:pPr>
        <w:pStyle w:val="06VIRTBulletpoints"/>
        <w:rPr>
          <w:noProof/>
          <w:lang w:eastAsia="en-AU"/>
        </w:rPr>
      </w:pPr>
      <w:r>
        <w:rPr>
          <w:noProof/>
          <w:lang w:eastAsia="en-AU"/>
        </w:rPr>
        <w:t>observed that government revenue remained below, and expenditure well above, pre</w:t>
      </w:r>
      <w:r>
        <w:rPr>
          <w:noProof/>
          <w:lang w:eastAsia="en-AU"/>
        </w:rPr>
        <w:noBreakHyphen/>
        <w:t>pandemic expectations</w:t>
      </w:r>
    </w:p>
    <w:p w14:paraId="45797B93" w14:textId="74ABFB9D" w:rsidR="00073CDC" w:rsidRDefault="00563C6F" w:rsidP="00E32580">
      <w:pPr>
        <w:pStyle w:val="06VIRTBulletpoints"/>
        <w:rPr>
          <w:noProof/>
          <w:lang w:eastAsia="en-AU"/>
        </w:rPr>
        <w:sectPr w:rsidR="00073CDC" w:rsidSect="006B7517">
          <w:pgSz w:w="11906" w:h="16838"/>
          <w:pgMar w:top="1701" w:right="1701" w:bottom="1559" w:left="1701" w:header="708" w:footer="708" w:gutter="0"/>
          <w:cols w:space="708"/>
          <w:titlePg/>
          <w:docGrid w:linePitch="360"/>
        </w:sectPr>
      </w:pPr>
      <w:r>
        <w:rPr>
          <w:noProof/>
          <w:lang w:eastAsia="en-AU"/>
        </w:rPr>
        <w:t>highlighted emerging risks, including operating expenditure growth in the general government sector and the increasing cost of capital works.</w:t>
      </w:r>
    </w:p>
    <w:p w14:paraId="2151F6AE" w14:textId="219AAA06" w:rsidR="00E32580" w:rsidRPr="005C3F8A" w:rsidRDefault="00E32580" w:rsidP="00E32580">
      <w:pPr>
        <w:pStyle w:val="01Chapterheading"/>
      </w:pPr>
      <w:bookmarkStart w:id="54" w:name="_Toc106614536"/>
      <w:r>
        <w:lastRenderedPageBreak/>
        <w:t>4</w:t>
      </w:r>
      <w:r>
        <w:tab/>
        <w:t>Tribunal’s considerations</w:t>
      </w:r>
      <w:r>
        <w:br/>
      </w:r>
      <w:r>
        <w:rPr>
          <w:noProof/>
        </w:rPr>
        <w:drawing>
          <wp:inline distT="0" distB="0" distL="0" distR="0" wp14:anchorId="1B9F277C" wp14:editId="43BA8B5A">
            <wp:extent cx="2212975" cy="255905"/>
            <wp:effectExtent l="0" t="0" r="0" b="0"/>
            <wp:docPr id="1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3">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54"/>
    </w:p>
    <w:p w14:paraId="788C8D26" w14:textId="77777777" w:rsidR="001A01B9" w:rsidRPr="001A01B9" w:rsidRDefault="001A01B9" w:rsidP="001A01B9">
      <w:pPr>
        <w:pStyle w:val="05Paragraph"/>
      </w:pPr>
      <w:r w:rsidRPr="001A01B9">
        <w:t>The Tribunal now turns to determining an annual adjustment to the values of the remuneration bands for executives employed in public service bodies.</w:t>
      </w:r>
    </w:p>
    <w:p w14:paraId="430FD521" w14:textId="242C176D" w:rsidR="001A01B9" w:rsidRPr="001A01B9" w:rsidRDefault="001A01B9" w:rsidP="001A01B9">
      <w:pPr>
        <w:pStyle w:val="05Paragraph"/>
      </w:pPr>
      <w:r w:rsidRPr="001A01B9">
        <w:t>The values of the remuneration bands for executives employed in public service bodies are expressed as a TRP, inclusive of salary and superannuation. Consistent with Victorian Government executive remuneration policies</w:t>
      </w:r>
      <w:r w:rsidR="00CC0E3B">
        <w:t>,</w:t>
      </w:r>
      <w:r w:rsidR="00C36887">
        <w:t xml:space="preserve"> and </w:t>
      </w:r>
      <w:r w:rsidR="00CC0E3B">
        <w:t xml:space="preserve">with </w:t>
      </w:r>
      <w:r w:rsidR="00C36887">
        <w:t xml:space="preserve">the approach </w:t>
      </w:r>
      <w:r w:rsidR="007F40B2">
        <w:t>it took</w:t>
      </w:r>
      <w:r w:rsidR="00C36887">
        <w:t xml:space="preserve"> in </w:t>
      </w:r>
      <w:r w:rsidR="00EF344C">
        <w:t>2021</w:t>
      </w:r>
      <w:r w:rsidRPr="001A01B9">
        <w:t xml:space="preserve">, the Tribunal </w:t>
      </w:r>
      <w:r w:rsidR="00BD367C">
        <w:t>has de</w:t>
      </w:r>
      <w:r w:rsidR="00B8010C">
        <w:t>cided</w:t>
      </w:r>
      <w:r w:rsidR="00BD367C">
        <w:t xml:space="preserve"> to </w:t>
      </w:r>
      <w:r w:rsidRPr="001A01B9">
        <w:t>adjust the salary and superannuation components of the remuneration bands separately</w:t>
      </w:r>
      <w:r w:rsidRPr="001A01B9" w:rsidDel="00A05E97">
        <w:t xml:space="preserve"> by</w:t>
      </w:r>
      <w:r w:rsidR="009B7D81">
        <w:t xml:space="preserve"> adjusting</w:t>
      </w:r>
      <w:r w:rsidR="00340966">
        <w:t xml:space="preserve"> the notional</w:t>
      </w:r>
      <w:r w:rsidRPr="001A01B9">
        <w:t>:</w:t>
      </w:r>
    </w:p>
    <w:p w14:paraId="5170233C" w14:textId="307D1B6D" w:rsidR="001A01B9" w:rsidRPr="001A01B9" w:rsidRDefault="001A01B9" w:rsidP="001A01B9">
      <w:pPr>
        <w:pStyle w:val="06VIRTBulletpoints"/>
      </w:pPr>
      <w:r w:rsidRPr="001A01B9">
        <w:t xml:space="preserve">salary component of the remuneration band values by a ‘standard rate’  </w:t>
      </w:r>
    </w:p>
    <w:p w14:paraId="37AD9288" w14:textId="095DDB9C" w:rsidR="00C36887" w:rsidRDefault="001A01B9" w:rsidP="001A01B9">
      <w:pPr>
        <w:pStyle w:val="06VIRTBulletpoints"/>
      </w:pPr>
      <w:r w:rsidRPr="001A01B9">
        <w:t xml:space="preserve">superannuation component of each band value to incorporate changes to </w:t>
      </w:r>
      <w:r w:rsidR="007A2583">
        <w:t>minimum</w:t>
      </w:r>
      <w:r w:rsidRPr="001A01B9">
        <w:t xml:space="preserve"> superannuation entitlements from 1</w:t>
      </w:r>
      <w:r w:rsidRPr="001A01B9" w:rsidDel="00F46AAF">
        <w:t xml:space="preserve"> </w:t>
      </w:r>
      <w:r w:rsidRPr="001A01B9">
        <w:t>July</w:t>
      </w:r>
      <w:r w:rsidRPr="001A01B9" w:rsidDel="00F46AAF">
        <w:t xml:space="preserve"> </w:t>
      </w:r>
      <w:r w:rsidRPr="001A01B9">
        <w:t>202</w:t>
      </w:r>
      <w:r>
        <w:t>2</w:t>
      </w:r>
      <w:r w:rsidRPr="001A01B9">
        <w:t>.</w:t>
      </w:r>
    </w:p>
    <w:p w14:paraId="399BB4AB" w14:textId="1BE6CA06" w:rsidR="00C36887" w:rsidRDefault="00C36887" w:rsidP="00C36887">
      <w:pPr>
        <w:pStyle w:val="02VIRTHeading2"/>
      </w:pPr>
      <w:bookmarkStart w:id="55" w:name="_Toc106614537"/>
      <w:r>
        <w:t>4.1</w:t>
      </w:r>
      <w:r>
        <w:tab/>
      </w:r>
      <w:r w:rsidR="00271627">
        <w:t>Salary</w:t>
      </w:r>
      <w:r>
        <w:t xml:space="preserve"> component</w:t>
      </w:r>
      <w:bookmarkEnd w:id="55"/>
    </w:p>
    <w:p w14:paraId="7DA8BBED" w14:textId="25B2071C" w:rsidR="0005531A" w:rsidRDefault="0005531A" w:rsidP="0088525E">
      <w:pPr>
        <w:pStyle w:val="05Paragraph"/>
      </w:pPr>
      <w:r w:rsidRPr="0093450C">
        <w:t>In determinin</w:t>
      </w:r>
      <w:r>
        <w:t>g</w:t>
      </w:r>
      <w:r w:rsidRPr="0093450C">
        <w:t xml:space="preserve"> th</w:t>
      </w:r>
      <w:r>
        <w:t xml:space="preserve">e increase in the notional salary component, the Tribunal has considered the variety of information on economic conditions and trends available to it, as well as the financial position and the fiscal strategy for Victoria and </w:t>
      </w:r>
      <w:r w:rsidRPr="0005531A">
        <w:t xml:space="preserve">the </w:t>
      </w:r>
      <w:r w:rsidR="00770D10">
        <w:t xml:space="preserve">current Victorian Government </w:t>
      </w:r>
      <w:r w:rsidR="00770D10" w:rsidRPr="006B7517">
        <w:t>statement</w:t>
      </w:r>
      <w:r w:rsidR="00770D10">
        <w:t>s</w:t>
      </w:r>
      <w:r w:rsidR="00770D10" w:rsidRPr="006B7517">
        <w:t xml:space="preserve"> or polic</w:t>
      </w:r>
      <w:r w:rsidR="00770D10">
        <w:t>ies</w:t>
      </w:r>
      <w:r w:rsidR="00770D10" w:rsidRPr="006B7517">
        <w:t xml:space="preserve"> with respect to wages (or equivalent) and </w:t>
      </w:r>
      <w:r w:rsidR="00770D10" w:rsidRPr="00BC4D7D">
        <w:t>the remuneration and allowances of any specified occupational group</w:t>
      </w:r>
      <w:r w:rsidRPr="0005531A">
        <w:t>.</w:t>
      </w:r>
    </w:p>
    <w:p w14:paraId="503FD0CC" w14:textId="320A7858" w:rsidR="00A659F0" w:rsidRDefault="00F800EE" w:rsidP="00C36887">
      <w:pPr>
        <w:pStyle w:val="05Paragraph"/>
      </w:pPr>
      <w:proofErr w:type="gramStart"/>
      <w:r>
        <w:t xml:space="preserve">In </w:t>
      </w:r>
      <w:r w:rsidR="0005531A">
        <w:t xml:space="preserve">regard </w:t>
      </w:r>
      <w:r>
        <w:t>to</w:t>
      </w:r>
      <w:proofErr w:type="gramEnd"/>
      <w:r>
        <w:t xml:space="preserve"> </w:t>
      </w:r>
      <w:r w:rsidR="00DD3F6D">
        <w:t>current and projected inflationary pressures in the Australian and Victorian economies</w:t>
      </w:r>
      <w:r w:rsidR="0005531A">
        <w:t>, the data show that</w:t>
      </w:r>
      <w:r w:rsidR="00DD3F6D">
        <w:t xml:space="preserve"> </w:t>
      </w:r>
      <w:r w:rsidR="0005531A">
        <w:t>i</w:t>
      </w:r>
      <w:r w:rsidR="00D139E5" w:rsidRPr="00D139E5">
        <w:t xml:space="preserve">n the year to March 2022, </w:t>
      </w:r>
      <w:r w:rsidR="00274B60">
        <w:t xml:space="preserve">the </w:t>
      </w:r>
      <w:r w:rsidR="00D139E5" w:rsidRPr="00D139E5">
        <w:t>Melbourne CPI grew by 4.5</w:t>
      </w:r>
      <w:r w:rsidR="00E603D8">
        <w:t> </w:t>
      </w:r>
      <w:r w:rsidR="00D139E5" w:rsidRPr="00D139E5">
        <w:t xml:space="preserve">per cent </w:t>
      </w:r>
      <w:r w:rsidR="00FF52B7">
        <w:t xml:space="preserve">and </w:t>
      </w:r>
      <w:r w:rsidR="00D139E5" w:rsidRPr="00D139E5">
        <w:t>underlying inflation (as measured by the trimmed mean) for Australia was 3.7 per cent.</w:t>
      </w:r>
      <w:r w:rsidR="00DD3F6D">
        <w:t xml:space="preserve"> </w:t>
      </w:r>
      <w:bookmarkStart w:id="56" w:name="_Hlk106635530"/>
      <w:r w:rsidR="00D75B47">
        <w:t>T</w:t>
      </w:r>
      <w:r w:rsidR="00E603D8" w:rsidRPr="00E603D8">
        <w:t xml:space="preserve">he RBA Governor </w:t>
      </w:r>
      <w:r w:rsidR="00D75B47">
        <w:t xml:space="preserve">has also </w:t>
      </w:r>
      <w:r w:rsidR="00E603D8" w:rsidRPr="00E603D8">
        <w:t xml:space="preserve">noted </w:t>
      </w:r>
      <w:r w:rsidR="00E603D8" w:rsidRPr="00E603D8" w:rsidDel="00E603D8">
        <w:t xml:space="preserve">that </w:t>
      </w:r>
      <w:r w:rsidR="00E603D8" w:rsidRPr="00E603D8">
        <w:t xml:space="preserve">he expects </w:t>
      </w:r>
      <w:r w:rsidR="003738DE">
        <w:t>the</w:t>
      </w:r>
      <w:r w:rsidR="00E603D8" w:rsidRPr="00E603D8">
        <w:t xml:space="preserve"> national headline inflation </w:t>
      </w:r>
      <w:r w:rsidR="003738DE">
        <w:t>rate</w:t>
      </w:r>
      <w:r w:rsidR="00E603D8" w:rsidRPr="00E603D8">
        <w:t xml:space="preserve"> to reach seven per cent by the end of</w:t>
      </w:r>
      <w:r w:rsidR="00880372">
        <w:t> </w:t>
      </w:r>
      <w:r w:rsidR="00E603D8" w:rsidRPr="00E603D8">
        <w:t>2022</w:t>
      </w:r>
      <w:r w:rsidR="00E603D8">
        <w:t>.</w:t>
      </w:r>
      <w:r w:rsidR="00BC44D6">
        <w:rPr>
          <w:rStyle w:val="FootnoteReference"/>
        </w:rPr>
        <w:footnoteReference w:id="54"/>
      </w:r>
      <w:bookmarkEnd w:id="56"/>
    </w:p>
    <w:p w14:paraId="4B9D2238" w14:textId="17E075C8" w:rsidR="0005531A" w:rsidRDefault="009E6D33" w:rsidP="00C36887">
      <w:pPr>
        <w:pStyle w:val="05Paragraph"/>
      </w:pPr>
      <w:r>
        <w:lastRenderedPageBreak/>
        <w:t>T</w:t>
      </w:r>
      <w:r w:rsidR="0005531A">
        <w:t>he latest CPI data for the March quarter 2022 does not reflect reduced fuel prices due to excise reductions.</w:t>
      </w:r>
      <w:r w:rsidR="00D532DC">
        <w:t xml:space="preserve"> </w:t>
      </w:r>
      <w:r>
        <w:t>T</w:t>
      </w:r>
      <w:r w:rsidR="0005531A">
        <w:t>he Commonwealth Government has temporarily reduced the fuel excise for a six</w:t>
      </w:r>
      <w:r w:rsidR="0005531A">
        <w:noBreakHyphen/>
        <w:t>month period (30 March 2022 to 28 September 2022) and estimat</w:t>
      </w:r>
      <w:r>
        <w:t>ed</w:t>
      </w:r>
      <w:r w:rsidR="0005531A">
        <w:t xml:space="preserve"> this will save an Australian household with at least one vehicle around $300.</w:t>
      </w:r>
      <w:r w:rsidR="0005531A">
        <w:rPr>
          <w:rStyle w:val="FootnoteReference"/>
        </w:rPr>
        <w:footnoteReference w:id="55"/>
      </w:r>
      <w:r w:rsidR="0005531A">
        <w:t xml:space="preserve"> </w:t>
      </w:r>
    </w:p>
    <w:p w14:paraId="2F31172E" w14:textId="29ABA98B" w:rsidR="006872A8" w:rsidRDefault="007B1B9B" w:rsidP="00C36887">
      <w:pPr>
        <w:pStyle w:val="05Paragraph"/>
      </w:pPr>
      <w:r>
        <w:t>The Tribunal</w:t>
      </w:r>
      <w:r w:rsidR="00E41273">
        <w:t xml:space="preserve"> </w:t>
      </w:r>
      <w:r w:rsidR="00274B60">
        <w:t xml:space="preserve">has </w:t>
      </w:r>
      <w:r w:rsidR="00E41273">
        <w:t xml:space="preserve">also </w:t>
      </w:r>
      <w:r w:rsidR="000552B9">
        <w:t>had regard to</w:t>
      </w:r>
      <w:r w:rsidR="00E41273">
        <w:t xml:space="preserve"> </w:t>
      </w:r>
      <w:r w:rsidR="002D2548">
        <w:t>t</w:t>
      </w:r>
      <w:r w:rsidR="006872A8" w:rsidRPr="006872A8">
        <w:t>he FWC</w:t>
      </w:r>
      <w:r w:rsidR="00AF22CA">
        <w:t>’s</w:t>
      </w:r>
      <w:r w:rsidR="00E41273">
        <w:t xml:space="preserve"> </w:t>
      </w:r>
      <w:r w:rsidR="006872A8" w:rsidRPr="002D2548">
        <w:rPr>
          <w:i/>
        </w:rPr>
        <w:t>Annual Wage Review 2021-22 Decision</w:t>
      </w:r>
      <w:r w:rsidR="006872A8" w:rsidRPr="006872A8">
        <w:t>, which increased the NMW by 5.2 per cent and</w:t>
      </w:r>
      <w:proofErr w:type="gramStart"/>
      <w:r w:rsidR="000552B9">
        <w:t>, in particular, its</w:t>
      </w:r>
      <w:proofErr w:type="gramEnd"/>
      <w:r w:rsidR="000552B9">
        <w:t xml:space="preserve"> </w:t>
      </w:r>
      <w:r w:rsidR="00AF1AF1">
        <w:t xml:space="preserve">decision to </w:t>
      </w:r>
      <w:r w:rsidR="000552B9">
        <w:t>increase</w:t>
      </w:r>
      <w:r w:rsidR="006872A8" w:rsidRPr="006872A8">
        <w:t xml:space="preserve"> modern award minimum wages by 4.6 per cent (subject to a minimum increase of $40 per week) effective from 1 July 2022</w:t>
      </w:r>
      <w:r w:rsidR="00E41273">
        <w:t>.</w:t>
      </w:r>
    </w:p>
    <w:p w14:paraId="58755E37" w14:textId="127D7F2E" w:rsidR="00050CDB" w:rsidRDefault="00C62860" w:rsidP="003226E1">
      <w:pPr>
        <w:pStyle w:val="05Paragraph"/>
      </w:pPr>
      <w:r>
        <w:t>In addition, t</w:t>
      </w:r>
      <w:r w:rsidR="00E603D8">
        <w:t xml:space="preserve">he Tribunal </w:t>
      </w:r>
      <w:r w:rsidR="00274B60">
        <w:t xml:space="preserve">has </w:t>
      </w:r>
      <w:r w:rsidR="00E603D8">
        <w:t xml:space="preserve">considered </w:t>
      </w:r>
      <w:r w:rsidR="00E603D8" w:rsidRPr="00E603D8">
        <w:t>recent movements in the remuneration of non</w:t>
      </w:r>
      <w:r w:rsidR="007B1B9B">
        <w:noBreakHyphen/>
      </w:r>
      <w:r w:rsidR="00E603D8" w:rsidRPr="00E603D8">
        <w:t>executive VPS employees under the VPS Enterprise Agreement</w:t>
      </w:r>
      <w:r w:rsidR="00E603D8">
        <w:t>.</w:t>
      </w:r>
      <w:r w:rsidR="00E603D8" w:rsidRPr="00E603D8">
        <w:t xml:space="preserve"> </w:t>
      </w:r>
      <w:r w:rsidR="00E603D8">
        <w:t>S</w:t>
      </w:r>
      <w:r w:rsidR="00E603D8" w:rsidRPr="00E603D8">
        <w:t xml:space="preserve">ince </w:t>
      </w:r>
      <w:r w:rsidR="009251EC">
        <w:t>1 July </w:t>
      </w:r>
      <w:r w:rsidR="00E603D8" w:rsidRPr="00E603D8">
        <w:t>2021, the values of the salary bands for non</w:t>
      </w:r>
      <w:r w:rsidR="0032477B">
        <w:t>-</w:t>
      </w:r>
      <w:r w:rsidR="00E603D8" w:rsidRPr="00E603D8">
        <w:t>executives have increased by a cumulative 2.77 per cent</w:t>
      </w:r>
      <w:r w:rsidR="0032477B">
        <w:t>.</w:t>
      </w:r>
      <w:r w:rsidR="0009523B">
        <w:t xml:space="preserve"> </w:t>
      </w:r>
      <w:r w:rsidR="009B539F">
        <w:t>An annual</w:t>
      </w:r>
      <w:r w:rsidR="00274B60">
        <w:t xml:space="preserve"> </w:t>
      </w:r>
      <w:r w:rsidR="00213A00">
        <w:t xml:space="preserve">mobility payment </w:t>
      </w:r>
      <w:r w:rsidR="0005531A">
        <w:t>equal to approximately</w:t>
      </w:r>
      <w:r w:rsidR="00E358A3">
        <w:t> </w:t>
      </w:r>
      <w:r w:rsidR="0005531A">
        <w:t>1.25</w:t>
      </w:r>
      <w:r w:rsidR="00E358A3">
        <w:t> </w:t>
      </w:r>
      <w:r w:rsidR="0005531A">
        <w:t>per cent</w:t>
      </w:r>
      <w:r w:rsidR="0005531A" w:rsidRPr="00643B48">
        <w:t xml:space="preserve"> of the top of the relevant salary band</w:t>
      </w:r>
      <w:r w:rsidR="0005531A">
        <w:t xml:space="preserve"> </w:t>
      </w:r>
      <w:r w:rsidR="00FF6A11">
        <w:t xml:space="preserve">also applies </w:t>
      </w:r>
      <w:r w:rsidR="00EE5DD2">
        <w:t>to non</w:t>
      </w:r>
      <w:r w:rsidR="007E6046">
        <w:noBreakHyphen/>
      </w:r>
      <w:r w:rsidR="00EE5DD2">
        <w:t>ex</w:t>
      </w:r>
      <w:r w:rsidR="00FF52B7">
        <w:t>e</w:t>
      </w:r>
      <w:r w:rsidR="00EE5DD2">
        <w:t>cutive</w:t>
      </w:r>
      <w:r w:rsidR="0072388D">
        <w:t xml:space="preserve"> employee</w:t>
      </w:r>
      <w:r w:rsidR="00EE5DD2">
        <w:t>s</w:t>
      </w:r>
      <w:r w:rsidR="00883ACC">
        <w:t xml:space="preserve"> </w:t>
      </w:r>
      <w:r w:rsidR="00FF6A11">
        <w:t>under the VPS Enterprise Agreement.</w:t>
      </w:r>
    </w:p>
    <w:p w14:paraId="0ED23823" w14:textId="7F96B661" w:rsidR="0005531A" w:rsidRDefault="0005531A" w:rsidP="003226E1">
      <w:pPr>
        <w:pStyle w:val="05Paragraph"/>
      </w:pPr>
      <w:proofErr w:type="gramStart"/>
      <w:r w:rsidRPr="0088525E">
        <w:t>Taking into account</w:t>
      </w:r>
      <w:proofErr w:type="gramEnd"/>
      <w:r w:rsidRPr="0088525E">
        <w:t xml:space="preserve"> </w:t>
      </w:r>
      <w:r>
        <w:t xml:space="preserve">these various considerations, </w:t>
      </w:r>
      <w:r w:rsidRPr="0088525E">
        <w:t>the Tribunal has de</w:t>
      </w:r>
      <w:r>
        <w:t>termined</w:t>
      </w:r>
      <w:r w:rsidRPr="0088525E">
        <w:t xml:space="preserve"> to adjust the notional salary component of the remuneration bands</w:t>
      </w:r>
      <w:r>
        <w:t xml:space="preserve"> </w:t>
      </w:r>
      <w:r w:rsidRPr="0088525E">
        <w:t xml:space="preserve">by a ‘standard rate’ of </w:t>
      </w:r>
      <w:r>
        <w:t>3.6</w:t>
      </w:r>
      <w:r w:rsidRPr="0088525E">
        <w:t xml:space="preserve"> per cent for 202</w:t>
      </w:r>
      <w:r>
        <w:t>2</w:t>
      </w:r>
      <w:r w:rsidRPr="0088525E">
        <w:t>-2</w:t>
      </w:r>
      <w:r>
        <w:t>3</w:t>
      </w:r>
      <w:r w:rsidRPr="0088525E">
        <w:t>.</w:t>
      </w:r>
    </w:p>
    <w:p w14:paraId="1770497B" w14:textId="64CB235A" w:rsidR="003E74EE" w:rsidRDefault="003E74EE" w:rsidP="003E74EE">
      <w:pPr>
        <w:pStyle w:val="05Paragraph"/>
      </w:pPr>
      <w:r>
        <w:t xml:space="preserve">Table 4.1 shows the </w:t>
      </w:r>
      <w:r w:rsidR="003D4A89">
        <w:t>impact of applying the ‘standard rate’ adjustment of</w:t>
      </w:r>
      <w:r w:rsidR="00E358A3">
        <w:t> </w:t>
      </w:r>
      <w:r w:rsidR="003D4A89">
        <w:t>3.6 per</w:t>
      </w:r>
      <w:r w:rsidR="00E358A3">
        <w:t> </w:t>
      </w:r>
      <w:r w:rsidR="003D4A89">
        <w:t xml:space="preserve">cent on the </w:t>
      </w:r>
      <w:r>
        <w:t xml:space="preserve">notional salary component of the values of the </w:t>
      </w:r>
      <w:r w:rsidR="00AD78FF">
        <w:t xml:space="preserve">VPS executive </w:t>
      </w:r>
      <w:r>
        <w:t>remuneration bands.</w:t>
      </w:r>
    </w:p>
    <w:p w14:paraId="217A04BF" w14:textId="3A18FED1" w:rsidR="0008426A" w:rsidRDefault="00C020F7" w:rsidP="0008426A">
      <w:pPr>
        <w:pStyle w:val="08Figuretableboxheading"/>
      </w:pPr>
      <w:r>
        <w:lastRenderedPageBreak/>
        <w:t>Table</w:t>
      </w:r>
      <w:r w:rsidR="0008426A">
        <w:t xml:space="preserve"> </w:t>
      </w:r>
      <w:r w:rsidR="007609A9">
        <w:t>4</w:t>
      </w:r>
      <w:r w:rsidR="0008426A">
        <w:t>.1: Change to notional salary component of the remuneration bands due to the ‘standard rate’ adjustment</w:t>
      </w:r>
    </w:p>
    <w:tbl>
      <w:tblPr>
        <w:tblStyle w:val="ListTable3-Accent214"/>
        <w:tblW w:w="8505" w:type="dxa"/>
        <w:tblLook w:val="04A0" w:firstRow="1" w:lastRow="0" w:firstColumn="1" w:lastColumn="0" w:noHBand="0" w:noVBand="1"/>
      </w:tblPr>
      <w:tblGrid>
        <w:gridCol w:w="2268"/>
        <w:gridCol w:w="1772"/>
        <w:gridCol w:w="1772"/>
        <w:gridCol w:w="2693"/>
      </w:tblGrid>
      <w:tr w:rsidR="00CA7748" w:rsidRPr="0008426A" w14:paraId="3C5A6CE8" w14:textId="77777777" w:rsidTr="00223B24">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bottom w:val="single" w:sz="4" w:space="0" w:color="148A5D" w:themeColor="accent2"/>
            </w:tcBorders>
            <w:vAlign w:val="top"/>
          </w:tcPr>
          <w:p w14:paraId="3AA85D58" w14:textId="77777777" w:rsidR="00CA7748" w:rsidRPr="0008426A" w:rsidRDefault="00CA7748" w:rsidP="00A20657">
            <w:pPr>
              <w:keepNext/>
              <w:spacing w:after="0"/>
              <w:rPr>
                <w:rFonts w:ascii="Calibri Light" w:eastAsia="Rockwell" w:hAnsi="Calibri Light" w:cs="Arial"/>
                <w:color w:val="FFFFFF"/>
                <w:sz w:val="22"/>
              </w:rPr>
            </w:pPr>
            <w:r w:rsidRPr="0008426A">
              <w:rPr>
                <w:rFonts w:ascii="Calibri Light" w:eastAsia="Rockwell" w:hAnsi="Calibri Light" w:cs="Arial"/>
                <w:color w:val="FFFFFF"/>
                <w:sz w:val="22"/>
              </w:rPr>
              <w:t>Classification</w:t>
            </w:r>
          </w:p>
        </w:tc>
        <w:tc>
          <w:tcPr>
            <w:tcW w:w="3544" w:type="dxa"/>
            <w:gridSpan w:val="2"/>
            <w:tcBorders>
              <w:bottom w:val="single" w:sz="4" w:space="0" w:color="148A5D" w:themeColor="accent2"/>
            </w:tcBorders>
            <w:vAlign w:val="top"/>
          </w:tcPr>
          <w:p w14:paraId="0CC8D848" w14:textId="5335B645" w:rsidR="00CA7748" w:rsidRPr="0008426A" w:rsidRDefault="00CA7748" w:rsidP="00223B24">
            <w:pPr>
              <w:keepNext/>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08426A">
              <w:rPr>
                <w:rFonts w:ascii="Calibri Light" w:eastAsia="Rockwell" w:hAnsi="Calibri Light" w:cs="Arial"/>
                <w:color w:val="FFFFFF"/>
                <w:sz w:val="22"/>
              </w:rPr>
              <w:t>30 June 202</w:t>
            </w:r>
            <w:r>
              <w:rPr>
                <w:rFonts w:ascii="Calibri Light" w:eastAsia="Rockwell" w:hAnsi="Calibri Light" w:cs="Arial"/>
                <w:color w:val="FFFFFF"/>
                <w:sz w:val="22"/>
              </w:rPr>
              <w:t>2</w:t>
            </w:r>
            <w:r w:rsidRPr="0008426A">
              <w:rPr>
                <w:rFonts w:ascii="Calibri Light" w:eastAsia="Rockwell" w:hAnsi="Calibri Light" w:cs="Arial"/>
                <w:color w:val="FFFFFF"/>
                <w:sz w:val="22"/>
              </w:rPr>
              <w:t xml:space="preserve"> value</w:t>
            </w:r>
          </w:p>
        </w:tc>
        <w:tc>
          <w:tcPr>
            <w:tcW w:w="2693" w:type="dxa"/>
            <w:vMerge w:val="restart"/>
            <w:tcBorders>
              <w:bottom w:val="single" w:sz="4" w:space="0" w:color="148A5D" w:themeColor="accent2"/>
            </w:tcBorders>
            <w:vAlign w:val="top"/>
          </w:tcPr>
          <w:p w14:paraId="101E0632" w14:textId="22625ADA" w:rsidR="00CA7748" w:rsidRPr="002A6FA1" w:rsidRDefault="00CA7748" w:rsidP="00223B2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vertAlign w:val="superscript"/>
              </w:rPr>
            </w:pPr>
            <w:r w:rsidRPr="0008426A">
              <w:rPr>
                <w:rFonts w:ascii="Calibri Light" w:eastAsia="Rockwell" w:hAnsi="Calibri Light" w:cs="Arial"/>
                <w:color w:val="FFFFFF"/>
                <w:sz w:val="22"/>
              </w:rPr>
              <w:t>Change to notional salary component due to ‘standard rate’</w:t>
            </w:r>
            <w:r w:rsidR="002A6FA1">
              <w:rPr>
                <w:rFonts w:ascii="Calibri Light" w:eastAsia="Rockwell" w:hAnsi="Calibri Light" w:cs="Arial"/>
                <w:color w:val="FFFFFF"/>
                <w:sz w:val="22"/>
                <w:vertAlign w:val="superscript"/>
              </w:rPr>
              <w:t>(b)</w:t>
            </w:r>
          </w:p>
          <w:p w14:paraId="154D1CFD" w14:textId="77777777" w:rsidR="00223B24" w:rsidRDefault="00223B24" w:rsidP="00223B2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6AE05CF1" w14:textId="2E267B18" w:rsidR="00CA7748" w:rsidRPr="0008426A" w:rsidRDefault="00CA7748" w:rsidP="00223B2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08426A">
              <w:rPr>
                <w:rFonts w:ascii="Calibri Light" w:eastAsia="Rockwell" w:hAnsi="Calibri Light" w:cs="Arial"/>
                <w:color w:val="FFFFFF"/>
                <w:sz w:val="22"/>
              </w:rPr>
              <w:t>$</w:t>
            </w:r>
          </w:p>
        </w:tc>
      </w:tr>
      <w:tr w:rsidR="00CA7748" w:rsidRPr="0008426A" w14:paraId="64891C38" w14:textId="77777777" w:rsidTr="00223B24">
        <w:trPr>
          <w:cnfStyle w:val="100000000000" w:firstRow="1" w:lastRow="0" w:firstColumn="0" w:lastColumn="0" w:oddVBand="0" w:evenVBand="0" w:oddHBand="0" w:evenHBand="0" w:firstRowFirstColumn="0" w:firstRowLastColumn="0" w:lastRowFirstColumn="0" w:lastRowLastColumn="0"/>
          <w:trHeight w:val="635"/>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single" w:sz="4" w:space="0" w:color="148A5D" w:themeColor="accent2"/>
              <w:bottom w:val="single" w:sz="4" w:space="0" w:color="148A5D"/>
            </w:tcBorders>
          </w:tcPr>
          <w:p w14:paraId="7410D4B9" w14:textId="77777777" w:rsidR="00CA7748" w:rsidRPr="0008426A" w:rsidRDefault="00CA7748" w:rsidP="00A20657">
            <w:pPr>
              <w:keepNext/>
              <w:spacing w:after="0"/>
              <w:rPr>
                <w:rFonts w:ascii="Calibri Light" w:eastAsia="Rockwell" w:hAnsi="Calibri Light" w:cs="Arial"/>
                <w:color w:val="FFFFFF"/>
                <w:sz w:val="22"/>
              </w:rPr>
            </w:pPr>
          </w:p>
        </w:tc>
        <w:tc>
          <w:tcPr>
            <w:tcW w:w="1772" w:type="dxa"/>
            <w:tcBorders>
              <w:top w:val="single" w:sz="4" w:space="0" w:color="148A5D" w:themeColor="accent2"/>
              <w:bottom w:val="single" w:sz="4" w:space="0" w:color="148A5D"/>
            </w:tcBorders>
            <w:shd w:val="clear" w:color="auto" w:fill="808080"/>
          </w:tcPr>
          <w:p w14:paraId="5564FDD2" w14:textId="77777777" w:rsidR="00CA7748" w:rsidRDefault="00CA7748" w:rsidP="00A20657">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08426A">
              <w:rPr>
                <w:rFonts w:ascii="Calibri Light" w:eastAsia="Rockwell" w:hAnsi="Calibri Light" w:cs="Arial"/>
                <w:color w:val="FFFFFF"/>
                <w:sz w:val="22"/>
              </w:rPr>
              <w:t>TRP value</w:t>
            </w:r>
          </w:p>
          <w:p w14:paraId="770AA0DF" w14:textId="77777777" w:rsidR="000931A1" w:rsidRDefault="000931A1" w:rsidP="00A20657">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44BDB23F" w14:textId="215FE616" w:rsidR="000931A1" w:rsidRPr="0008426A" w:rsidRDefault="000931A1" w:rsidP="00A20657">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 p.a.</w:t>
            </w:r>
          </w:p>
        </w:tc>
        <w:tc>
          <w:tcPr>
            <w:tcW w:w="1772" w:type="dxa"/>
            <w:tcBorders>
              <w:top w:val="single" w:sz="4" w:space="0" w:color="148A5D" w:themeColor="accent2"/>
              <w:bottom w:val="single" w:sz="4" w:space="0" w:color="148A5D"/>
            </w:tcBorders>
            <w:shd w:val="clear" w:color="auto" w:fill="808080"/>
          </w:tcPr>
          <w:p w14:paraId="61C9F30A" w14:textId="77777777" w:rsidR="00CA7748" w:rsidRDefault="00CA7748" w:rsidP="00A20657">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vertAlign w:val="superscript"/>
              </w:rPr>
            </w:pPr>
            <w:r w:rsidRPr="0008426A">
              <w:rPr>
                <w:rFonts w:ascii="Calibri Light" w:eastAsia="Rockwell" w:hAnsi="Calibri Light" w:cs="Arial"/>
                <w:color w:val="FFFFFF"/>
                <w:sz w:val="22"/>
              </w:rPr>
              <w:t>Notional salary component</w:t>
            </w:r>
            <w:r w:rsidRPr="0008426A">
              <w:rPr>
                <w:rFonts w:ascii="Calibri Light" w:eastAsia="Rockwell" w:hAnsi="Calibri Light" w:cs="Arial"/>
                <w:color w:val="FFFFFF"/>
                <w:sz w:val="22"/>
                <w:vertAlign w:val="superscript"/>
              </w:rPr>
              <w:t>(a)</w:t>
            </w:r>
          </w:p>
          <w:p w14:paraId="3C6BEA3C" w14:textId="39698D56" w:rsidR="000931A1" w:rsidRPr="0008426A" w:rsidRDefault="000931A1" w:rsidP="00A20657">
            <w:pPr>
              <w:keepNext/>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 p.a.</w:t>
            </w:r>
          </w:p>
        </w:tc>
        <w:tc>
          <w:tcPr>
            <w:tcW w:w="2693" w:type="dxa"/>
            <w:vMerge/>
            <w:tcBorders>
              <w:top w:val="single" w:sz="4" w:space="0" w:color="148A5D" w:themeColor="accent2"/>
              <w:bottom w:val="single" w:sz="4" w:space="0" w:color="148A5D"/>
            </w:tcBorders>
          </w:tcPr>
          <w:p w14:paraId="1305E75A" w14:textId="77777777" w:rsidR="00CA7748" w:rsidRPr="0008426A" w:rsidRDefault="00CA7748" w:rsidP="00A20657">
            <w:pPr>
              <w:keepNext/>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CA7748" w:rsidRPr="0008426A" w14:paraId="3BB01CF3" w14:textId="77777777" w:rsidTr="00A2065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7B0C76D8" w14:textId="30365A88" w:rsidR="00CA7748" w:rsidRPr="0008426A" w:rsidRDefault="00CA7748" w:rsidP="00A20657">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SES-1/AO Head-1</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283828E4" w14:textId="77777777" w:rsidR="00CA7748" w:rsidRPr="0008426A" w:rsidRDefault="00CA7748" w:rsidP="00A20657">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0D858660"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5680D8A8" w14:textId="3EF92E45" w:rsidR="00CA7748" w:rsidRPr="0008426A" w:rsidRDefault="00792107"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199,014</w:t>
            </w:r>
          </w:p>
          <w:p w14:paraId="28047F52"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772" w:type="dxa"/>
            <w:vAlign w:val="bottom"/>
          </w:tcPr>
          <w:p w14:paraId="4F9541E8" w14:textId="0933B38B" w:rsidR="00CA7748" w:rsidRPr="0008426A" w:rsidRDefault="00792107"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180,922</w:t>
            </w:r>
          </w:p>
          <w:p w14:paraId="2C0E484F"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33,737</w:t>
            </w:r>
          </w:p>
        </w:tc>
        <w:tc>
          <w:tcPr>
            <w:tcW w:w="2693" w:type="dxa"/>
            <w:vAlign w:val="bottom"/>
          </w:tcPr>
          <w:p w14:paraId="3AF8CF2C"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7630A7F8" w14:textId="11EAB379" w:rsidR="00CA7748" w:rsidRPr="0008426A" w:rsidRDefault="008E7660"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6,513</w:t>
            </w:r>
          </w:p>
          <w:p w14:paraId="43A8BEE5"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8,415</w:t>
            </w:r>
          </w:p>
        </w:tc>
      </w:tr>
      <w:tr w:rsidR="00CA7748" w:rsidRPr="0008426A" w14:paraId="6AF17AFA" w14:textId="77777777" w:rsidTr="00A20657">
        <w:trPr>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6E53743C" w14:textId="76300AA1" w:rsidR="00CA7748" w:rsidRPr="0008426A" w:rsidRDefault="00CA7748" w:rsidP="00A20657">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SES-2/AO Head-2</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129F1976" w14:textId="77777777" w:rsidR="00CA7748" w:rsidRPr="0008426A" w:rsidRDefault="00CA7748" w:rsidP="00A20657">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7CA07A7D" w14:textId="77777777" w:rsidR="00CA7748" w:rsidRPr="0008426A"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3387F736" w14:textId="77777777" w:rsidR="00CA7748" w:rsidRPr="0008426A"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02239861" w14:textId="77777777" w:rsidR="00CA7748" w:rsidRPr="0008426A"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370,331</w:t>
            </w:r>
          </w:p>
        </w:tc>
        <w:tc>
          <w:tcPr>
            <w:tcW w:w="1772" w:type="dxa"/>
            <w:vAlign w:val="bottom"/>
          </w:tcPr>
          <w:p w14:paraId="2A9978D6" w14:textId="77777777" w:rsidR="00CA7748" w:rsidRPr="0008426A"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233,738</w:t>
            </w:r>
          </w:p>
          <w:p w14:paraId="5CBD7B0A" w14:textId="77777777" w:rsidR="00CA7748" w:rsidRPr="0008426A"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46,763</w:t>
            </w:r>
          </w:p>
        </w:tc>
        <w:tc>
          <w:tcPr>
            <w:tcW w:w="2693" w:type="dxa"/>
            <w:vAlign w:val="bottom"/>
          </w:tcPr>
          <w:p w14:paraId="6C26228B" w14:textId="77777777" w:rsidR="00CA7748" w:rsidRPr="00163D05"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8,415</w:t>
            </w:r>
          </w:p>
          <w:p w14:paraId="0E082EA0" w14:textId="77777777" w:rsidR="00CA7748" w:rsidRPr="00163D05"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tc>
      </w:tr>
      <w:tr w:rsidR="00CA7748" w:rsidRPr="0008426A" w14:paraId="0BEE9884" w14:textId="77777777" w:rsidTr="00A2065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4D07B444" w14:textId="2B7A4D47" w:rsidR="00CA7748" w:rsidRPr="0008426A" w:rsidRDefault="00CA7748" w:rsidP="00A20657">
            <w:pPr>
              <w:keepNext/>
              <w:spacing w:after="160" w:line="276" w:lineRule="auto"/>
              <w:contextualSpacing/>
              <w:rPr>
                <w:rFonts w:ascii="Calibri Light" w:eastAsia="Calibri" w:hAnsi="Calibri Light" w:cs="Calibri Light"/>
                <w:b w:val="0"/>
                <w:bCs w:val="0"/>
                <w:color w:val="auto"/>
                <w:sz w:val="22"/>
              </w:rPr>
            </w:pPr>
            <w:r>
              <w:rPr>
                <w:rFonts w:ascii="Calibri Light" w:eastAsia="Calibri" w:hAnsi="Calibri Light" w:cs="Calibri Light"/>
                <w:color w:val="auto"/>
                <w:sz w:val="22"/>
              </w:rPr>
              <w:t>SES-3/AO Head-3</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3B9B80D3" w14:textId="77777777" w:rsidR="00CA7748" w:rsidRPr="0008426A" w:rsidRDefault="00CA7748" w:rsidP="00A20657">
            <w:pPr>
              <w:keepNext/>
              <w:spacing w:after="0"/>
              <w:contextualSpacing/>
              <w:rPr>
                <w:rFonts w:ascii="Calibri Light" w:eastAsia="Rockwell" w:hAnsi="Calibri Light" w:cs="Arial"/>
                <w:color w:val="auto"/>
                <w:sz w:val="22"/>
                <w:lang w:val="en-US"/>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57A9FC9C"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2F4CE455"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33E06DCB"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772" w:type="dxa"/>
            <w:vAlign w:val="bottom"/>
          </w:tcPr>
          <w:p w14:paraId="43E0C137"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46,764</w:t>
            </w:r>
          </w:p>
          <w:p w14:paraId="206124DD" w14:textId="77777777" w:rsidR="00CA7748" w:rsidRPr="0008426A"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4</w:t>
            </w:r>
            <w:r>
              <w:rPr>
                <w:rFonts w:ascii="Calibri Light" w:eastAsia="Rockwell" w:hAnsi="Calibri Light" w:cs="Calibri Light"/>
                <w:bCs/>
                <w:color w:val="auto"/>
                <w:sz w:val="22"/>
                <w:lang w:val="en-US"/>
              </w:rPr>
              <w:t>69,661</w:t>
            </w:r>
          </w:p>
        </w:tc>
        <w:tc>
          <w:tcPr>
            <w:tcW w:w="2693" w:type="dxa"/>
            <w:vAlign w:val="bottom"/>
          </w:tcPr>
          <w:p w14:paraId="49CFE982" w14:textId="77777777" w:rsidR="00CA7748" w:rsidRPr="00163D05"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12,484</w:t>
            </w:r>
          </w:p>
          <w:p w14:paraId="483DF50C" w14:textId="77777777" w:rsidR="00CA7748" w:rsidRPr="00163D05"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163D05">
              <w:rPr>
                <w:rFonts w:ascii="Calibri Light" w:eastAsia="Rockwell" w:hAnsi="Calibri Light" w:cs="Calibri Light"/>
                <w:bCs/>
                <w:color w:val="auto"/>
                <w:sz w:val="22"/>
                <w:lang w:val="en-US"/>
              </w:rPr>
              <w:t>16,908</w:t>
            </w:r>
          </w:p>
        </w:tc>
      </w:tr>
      <w:tr w:rsidR="00CA7748" w:rsidRPr="0008426A" w14:paraId="653C7E2A" w14:textId="77777777" w:rsidTr="00A20657">
        <w:trPr>
          <w:trHeight w:val="417"/>
        </w:trPr>
        <w:tc>
          <w:tcPr>
            <w:cnfStyle w:val="001000000000" w:firstRow="0" w:lastRow="0" w:firstColumn="1" w:lastColumn="0" w:oddVBand="0" w:evenVBand="0" w:oddHBand="0" w:evenHBand="0" w:firstRowFirstColumn="0" w:firstRowLastColumn="0" w:lastRowFirstColumn="0" w:lastRowLastColumn="0"/>
            <w:tcW w:w="2268" w:type="dxa"/>
            <w:vAlign w:val="bottom"/>
          </w:tcPr>
          <w:p w14:paraId="1254C3A6" w14:textId="77777777" w:rsidR="00CA7748" w:rsidRPr="0008426A" w:rsidRDefault="00CA7748" w:rsidP="00CA7748">
            <w:pPr>
              <w:keepNext/>
              <w:spacing w:after="160" w:line="276" w:lineRule="auto"/>
              <w:contextualSpacing/>
              <w:rPr>
                <w:rFonts w:ascii="Calibri Light" w:eastAsia="Calibri" w:hAnsi="Calibri Light" w:cs="Calibri Light"/>
                <w:b w:val="0"/>
                <w:bCs w:val="0"/>
                <w:color w:val="auto"/>
                <w:sz w:val="22"/>
              </w:rPr>
            </w:pPr>
            <w:r w:rsidRPr="0008426A">
              <w:rPr>
                <w:rFonts w:ascii="Calibri Light" w:eastAsia="Calibri" w:hAnsi="Calibri Light" w:cs="Calibri Light"/>
                <w:color w:val="auto"/>
                <w:sz w:val="22"/>
              </w:rPr>
              <w:t>Secretaries/VPSC Commissioner</w:t>
            </w:r>
            <w:r w:rsidRPr="0008426A">
              <w:rPr>
                <w:rFonts w:ascii="Calibri Light" w:eastAsia="Calibri" w:hAnsi="Calibri Light" w:cs="Calibri Light"/>
                <w:color w:val="auto"/>
                <w:sz w:val="22"/>
              </w:rPr>
              <w:br/>
            </w:r>
            <w:r w:rsidRPr="0008426A">
              <w:rPr>
                <w:rFonts w:ascii="Calibri Light" w:eastAsia="Calibri" w:hAnsi="Calibri Light" w:cs="Calibri Light"/>
                <w:b w:val="0"/>
                <w:bCs w:val="0"/>
                <w:color w:val="auto"/>
                <w:sz w:val="22"/>
              </w:rPr>
              <w:t>base of band</w:t>
            </w:r>
          </w:p>
          <w:p w14:paraId="13E70835" w14:textId="58E25F64" w:rsidR="00CA7748" w:rsidRDefault="00CA7748" w:rsidP="00CA7748">
            <w:pPr>
              <w:keepNext/>
              <w:spacing w:after="160" w:line="276" w:lineRule="auto"/>
              <w:contextualSpacing/>
              <w:rPr>
                <w:rFonts w:ascii="Calibri Light" w:eastAsia="Calibri" w:hAnsi="Calibri Light" w:cs="Calibri Light"/>
                <w:color w:val="auto"/>
                <w:sz w:val="22"/>
              </w:rPr>
            </w:pPr>
            <w:r w:rsidRPr="0008426A">
              <w:rPr>
                <w:rFonts w:ascii="Calibri Light" w:eastAsia="Rockwell" w:hAnsi="Calibri Light" w:cs="Calibri Light"/>
                <w:b w:val="0"/>
                <w:bCs w:val="0"/>
                <w:color w:val="auto"/>
                <w:sz w:val="22"/>
                <w:lang w:val="en-US"/>
              </w:rPr>
              <w:t>top of band</w:t>
            </w:r>
          </w:p>
        </w:tc>
        <w:tc>
          <w:tcPr>
            <w:tcW w:w="1772" w:type="dxa"/>
            <w:vAlign w:val="bottom"/>
          </w:tcPr>
          <w:p w14:paraId="7F725FFB" w14:textId="77777777"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61D92C86" w14:textId="77777777"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638DF2C2" w14:textId="77777777"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534,331</w:t>
            </w:r>
          </w:p>
          <w:p w14:paraId="213284F0" w14:textId="57A6F3C3"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720,676</w:t>
            </w:r>
          </w:p>
        </w:tc>
        <w:tc>
          <w:tcPr>
            <w:tcW w:w="1772" w:type="dxa"/>
            <w:vAlign w:val="bottom"/>
          </w:tcPr>
          <w:p w14:paraId="3AE26046" w14:textId="77777777"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510,763</w:t>
            </w:r>
          </w:p>
          <w:p w14:paraId="2A22C10F" w14:textId="19942E81" w:rsidR="00CA7748" w:rsidRPr="0008426A"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6</w:t>
            </w:r>
            <w:r>
              <w:rPr>
                <w:rFonts w:ascii="Calibri Light" w:eastAsia="Rockwell" w:hAnsi="Calibri Light" w:cs="Calibri Light"/>
                <w:bCs/>
                <w:color w:val="auto"/>
                <w:sz w:val="22"/>
                <w:lang w:val="en-US"/>
              </w:rPr>
              <w:t>97,108</w:t>
            </w:r>
          </w:p>
        </w:tc>
        <w:tc>
          <w:tcPr>
            <w:tcW w:w="2693" w:type="dxa"/>
            <w:vAlign w:val="bottom"/>
          </w:tcPr>
          <w:p w14:paraId="64C8D2DE" w14:textId="77777777" w:rsidR="00CA7748" w:rsidRPr="00D771B5"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D771B5">
              <w:rPr>
                <w:rFonts w:ascii="Calibri Light" w:eastAsia="Rockwell" w:hAnsi="Calibri Light" w:cs="Calibri Light"/>
                <w:bCs/>
                <w:color w:val="auto"/>
                <w:sz w:val="22"/>
                <w:lang w:val="en-US"/>
              </w:rPr>
              <w:t>18,387</w:t>
            </w:r>
          </w:p>
          <w:p w14:paraId="12551612" w14:textId="074E7DD9" w:rsidR="00CA7748" w:rsidRPr="00163D05" w:rsidRDefault="00CA7748" w:rsidP="00CA7748">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D771B5">
              <w:rPr>
                <w:rFonts w:ascii="Calibri Light" w:eastAsia="Rockwell" w:hAnsi="Calibri Light" w:cs="Calibri Light"/>
                <w:bCs/>
                <w:color w:val="auto"/>
                <w:sz w:val="22"/>
                <w:lang w:val="en-US"/>
              </w:rPr>
              <w:t>25,096</w:t>
            </w:r>
          </w:p>
        </w:tc>
      </w:tr>
    </w:tbl>
    <w:p w14:paraId="27B3FF74" w14:textId="26F0A056" w:rsidR="0008426A" w:rsidRPr="0008426A" w:rsidRDefault="0008426A" w:rsidP="0008426A">
      <w:pPr>
        <w:pStyle w:val="09Sourcesandnotesfortablesfiguresboxes"/>
      </w:pPr>
      <w:r w:rsidRPr="0008426A">
        <w:t>Note</w:t>
      </w:r>
      <w:r w:rsidR="00FB2B51">
        <w:t>s</w:t>
      </w:r>
      <w:r w:rsidRPr="0008426A">
        <w:t xml:space="preserve">: (a) Calculated by reducing the TRP value by the amount of the superannuation entitlement as </w:t>
      </w:r>
      <w:proofErr w:type="gramStart"/>
      <w:r w:rsidRPr="0008426A">
        <w:t>at</w:t>
      </w:r>
      <w:proofErr w:type="gramEnd"/>
      <w:r w:rsidRPr="0008426A">
        <w:t xml:space="preserve"> 30 June 202</w:t>
      </w:r>
      <w:r>
        <w:t>2</w:t>
      </w:r>
      <w:r w:rsidRPr="0008426A">
        <w:t xml:space="preserve">. The superannuation entitlement is based on Commonwealth superannuation law </w:t>
      </w:r>
      <w:r w:rsidR="00D451AB">
        <w:t xml:space="preserve">as </w:t>
      </w:r>
      <w:proofErr w:type="gramStart"/>
      <w:r w:rsidRPr="0008426A">
        <w:t>at</w:t>
      </w:r>
      <w:proofErr w:type="gramEnd"/>
      <w:r w:rsidRPr="0008426A">
        <w:t xml:space="preserve"> 30 June 202</w:t>
      </w:r>
      <w:r>
        <w:t>2</w:t>
      </w:r>
      <w:r w:rsidRPr="0008426A">
        <w:t xml:space="preserve"> — SG</w:t>
      </w:r>
      <w:r w:rsidR="00917D5C">
        <w:t> </w:t>
      </w:r>
      <w:r w:rsidRPr="0008426A">
        <w:t xml:space="preserve">rate of </w:t>
      </w:r>
      <w:r>
        <w:t>10</w:t>
      </w:r>
      <w:r w:rsidRPr="0008426A">
        <w:t xml:space="preserve">% and MSCB of </w:t>
      </w:r>
      <w:r w:rsidR="00D32B5F">
        <w:t>$235,680</w:t>
      </w:r>
      <w:r>
        <w:t xml:space="preserve"> per annum</w:t>
      </w:r>
      <w:r w:rsidRPr="0008426A">
        <w:t>.</w:t>
      </w:r>
      <w:r w:rsidR="005C4883">
        <w:t xml:space="preserve"> (b) Calculated by multiplying the notional salary component by the ‘standard rate’ of 3.6 per cent.</w:t>
      </w:r>
    </w:p>
    <w:p w14:paraId="2B25BB02" w14:textId="1398413C" w:rsidR="00C36887" w:rsidRDefault="00C36887" w:rsidP="00C36887">
      <w:pPr>
        <w:pStyle w:val="02VIRTHeading2"/>
      </w:pPr>
      <w:bookmarkStart w:id="57" w:name="_Toc106614538"/>
      <w:r>
        <w:t>4.2</w:t>
      </w:r>
      <w:r>
        <w:tab/>
      </w:r>
      <w:r w:rsidR="00271627">
        <w:t>S</w:t>
      </w:r>
      <w:r>
        <w:t>uperannuation component</w:t>
      </w:r>
      <w:bookmarkEnd w:id="57"/>
    </w:p>
    <w:p w14:paraId="607324B6" w14:textId="7E388C6E" w:rsidR="005C425D" w:rsidRPr="005C425D" w:rsidRDefault="005C425D" w:rsidP="005C425D">
      <w:pPr>
        <w:pStyle w:val="05Paragraph"/>
      </w:pPr>
      <w:r w:rsidRPr="005C425D">
        <w:t>On 1 July 202</w:t>
      </w:r>
      <w:r w:rsidR="00CC4975">
        <w:t>2</w:t>
      </w:r>
      <w:r w:rsidRPr="005C425D">
        <w:t xml:space="preserve">, the superannuation entitlements of </w:t>
      </w:r>
      <w:r w:rsidR="003C3BB2">
        <w:t xml:space="preserve">eligible </w:t>
      </w:r>
      <w:r w:rsidR="00917D5C">
        <w:t xml:space="preserve">employees, including VPS </w:t>
      </w:r>
      <w:r w:rsidRPr="005C425D">
        <w:t>executives</w:t>
      </w:r>
      <w:r w:rsidR="00383DB2">
        <w:t xml:space="preserve"> in </w:t>
      </w:r>
      <w:r w:rsidR="00385038">
        <w:t xml:space="preserve">an </w:t>
      </w:r>
      <w:r w:rsidR="00383DB2">
        <w:t>accumulation scheme</w:t>
      </w:r>
      <w:r w:rsidR="00917D5C">
        <w:t>,</w:t>
      </w:r>
      <w:r w:rsidRPr="005C425D">
        <w:t xml:space="preserve"> will increase under Commonwealth law. The Superannuation Policy requires employers to bear the cost of th</w:t>
      </w:r>
      <w:r w:rsidR="004322DA">
        <w:t>e</w:t>
      </w:r>
      <w:r w:rsidRPr="005C425D">
        <w:t xml:space="preserve">se increases. </w:t>
      </w:r>
      <w:r w:rsidR="007D4BF5" w:rsidRPr="005C425D">
        <w:t>Th</w:t>
      </w:r>
      <w:r w:rsidR="007D4BF5">
        <w:t>is</w:t>
      </w:r>
      <w:r w:rsidRPr="005C425D">
        <w:t xml:space="preserve"> means that VPS employers must — in addition to any annual adjustment made to an executive’s TRP — increase </w:t>
      </w:r>
      <w:r w:rsidR="007E6046">
        <w:t>that</w:t>
      </w:r>
      <w:r w:rsidRPr="005C425D">
        <w:t xml:space="preserve"> executive’s</w:t>
      </w:r>
      <w:r w:rsidR="0002501A">
        <w:t> </w:t>
      </w:r>
      <w:r w:rsidRPr="005C425D">
        <w:t xml:space="preserve">TRP to </w:t>
      </w:r>
      <w:r w:rsidR="007D4BF5">
        <w:t>reflect</w:t>
      </w:r>
      <w:r w:rsidRPr="005C425D">
        <w:t xml:space="preserve"> </w:t>
      </w:r>
      <w:r w:rsidR="007D4BF5">
        <w:t xml:space="preserve">the </w:t>
      </w:r>
      <w:r w:rsidR="00253318">
        <w:t>increase</w:t>
      </w:r>
      <w:r w:rsidR="007D4BF5">
        <w:t xml:space="preserve"> in</w:t>
      </w:r>
      <w:r w:rsidR="00253318">
        <w:t xml:space="preserve"> </w:t>
      </w:r>
      <w:r w:rsidRPr="005C425D">
        <w:t>superannuation entitlements.</w:t>
      </w:r>
      <w:r w:rsidR="00DE5E5B">
        <w:rPr>
          <w:rStyle w:val="FootnoteReference"/>
        </w:rPr>
        <w:footnoteReference w:id="56"/>
      </w:r>
    </w:p>
    <w:p w14:paraId="3C543648" w14:textId="02AE8660" w:rsidR="005C425D" w:rsidRPr="005C425D" w:rsidRDefault="005C425D" w:rsidP="005C425D">
      <w:pPr>
        <w:pStyle w:val="05Paragraph"/>
      </w:pPr>
      <w:proofErr w:type="gramStart"/>
      <w:r w:rsidRPr="005C425D">
        <w:t>Taking into account</w:t>
      </w:r>
      <w:proofErr w:type="gramEnd"/>
      <w:r w:rsidRPr="005C425D">
        <w:t xml:space="preserve"> the factors it is required to consider</w:t>
      </w:r>
      <w:r w:rsidR="00537B0C">
        <w:t xml:space="preserve"> under the VIRTIPS Act</w:t>
      </w:r>
      <w:r w:rsidRPr="005C425D">
        <w:t xml:space="preserve">, </w:t>
      </w:r>
      <w:r w:rsidR="0030503A">
        <w:t xml:space="preserve">and consistent with the approach </w:t>
      </w:r>
      <w:r w:rsidR="00537B0C">
        <w:t>it took last year</w:t>
      </w:r>
      <w:r w:rsidR="0030503A">
        <w:t xml:space="preserve">, </w:t>
      </w:r>
      <w:r w:rsidRPr="005C425D">
        <w:t>the Tribunal has de</w:t>
      </w:r>
      <w:r w:rsidR="0005531A">
        <w:t>termined</w:t>
      </w:r>
      <w:r w:rsidRPr="005C425D">
        <w:t xml:space="preserve"> to </w:t>
      </w:r>
      <w:r w:rsidR="00FF52B7">
        <w:t>adjust</w:t>
      </w:r>
      <w:r w:rsidRPr="005C425D">
        <w:t xml:space="preserve"> the </w:t>
      </w:r>
      <w:r w:rsidR="0005531A">
        <w:t xml:space="preserve">notional </w:t>
      </w:r>
      <w:r w:rsidRPr="005C425D">
        <w:t>superannuation component of the remuneration bands in line with the Superannuation Policy (</w:t>
      </w:r>
      <w:r w:rsidR="00C020F7">
        <w:t>Table</w:t>
      </w:r>
      <w:r w:rsidRPr="005C425D">
        <w:t xml:space="preserve"> 4.2).</w:t>
      </w:r>
    </w:p>
    <w:p w14:paraId="6FA484FD" w14:textId="631AE235" w:rsidR="00EC4DFF" w:rsidRPr="0027632C" w:rsidRDefault="005C425D" w:rsidP="00900D99">
      <w:pPr>
        <w:pStyle w:val="05Paragraph"/>
        <w:sectPr w:rsidR="00EC4DFF" w:rsidRPr="0027632C" w:rsidSect="006B7517">
          <w:pgSz w:w="11906" w:h="16838"/>
          <w:pgMar w:top="1701" w:right="1701" w:bottom="1559" w:left="1701" w:header="708" w:footer="708" w:gutter="0"/>
          <w:cols w:space="708"/>
          <w:titlePg/>
          <w:docGrid w:linePitch="360"/>
        </w:sectPr>
      </w:pPr>
      <w:r w:rsidRPr="005C425D">
        <w:t xml:space="preserve">The increase to the </w:t>
      </w:r>
      <w:r w:rsidR="0005531A">
        <w:t xml:space="preserve">notional </w:t>
      </w:r>
      <w:r w:rsidRPr="005C425D">
        <w:t xml:space="preserve">superannuation component reflects changes to the </w:t>
      </w:r>
      <w:r w:rsidR="0005531A">
        <w:t xml:space="preserve">notional </w:t>
      </w:r>
      <w:r w:rsidRPr="005C425D">
        <w:t xml:space="preserve">salary component </w:t>
      </w:r>
      <w:r w:rsidR="00F72558">
        <w:t xml:space="preserve">as </w:t>
      </w:r>
      <w:r w:rsidRPr="005C425D">
        <w:t xml:space="preserve">determined by the Tribunal, </w:t>
      </w:r>
      <w:r w:rsidR="00C020F7">
        <w:t>as well as</w:t>
      </w:r>
      <w:r w:rsidRPr="005C425D">
        <w:t xml:space="preserve"> changes to </w:t>
      </w:r>
      <w:r w:rsidRPr="005C425D">
        <w:lastRenderedPageBreak/>
        <w:t xml:space="preserve">the </w:t>
      </w:r>
      <w:r w:rsidR="001E32D7">
        <w:t>SG</w:t>
      </w:r>
      <w:r w:rsidRPr="005C425D">
        <w:t xml:space="preserve"> and</w:t>
      </w:r>
      <w:r w:rsidR="001E32D7">
        <w:t xml:space="preserve"> </w:t>
      </w:r>
      <w:r w:rsidRPr="005C425D">
        <w:t>MSCB</w:t>
      </w:r>
      <w:r w:rsidRPr="005C425D" w:rsidDel="001E32D7">
        <w:t xml:space="preserve"> </w:t>
      </w:r>
      <w:r w:rsidRPr="005C425D">
        <w:t>that will take effect on 1 July 202</w:t>
      </w:r>
      <w:r w:rsidR="00CC4975">
        <w:t>2</w:t>
      </w:r>
      <w:r w:rsidR="00F72558">
        <w:t xml:space="preserve"> </w:t>
      </w:r>
      <w:r w:rsidR="00E6580B" w:rsidRPr="00E6580B">
        <w:t>—</w:t>
      </w:r>
      <w:r w:rsidR="005759F2">
        <w:t xml:space="preserve"> t</w:t>
      </w:r>
      <w:r w:rsidR="006E597F">
        <w:t>he</w:t>
      </w:r>
      <w:r w:rsidR="005759F2">
        <w:t xml:space="preserve"> SG will increase</w:t>
      </w:r>
      <w:r w:rsidR="006E597F">
        <w:t xml:space="preserve"> </w:t>
      </w:r>
      <w:r w:rsidR="005759F2">
        <w:t>from</w:t>
      </w:r>
      <w:r w:rsidR="00EC4DFF">
        <w:t> </w:t>
      </w:r>
      <w:r w:rsidR="005759F2">
        <w:t>10</w:t>
      </w:r>
      <w:r w:rsidR="00EC4DFF">
        <w:t> </w:t>
      </w:r>
      <w:r w:rsidR="005759F2">
        <w:t xml:space="preserve">to 10.5 per cent, and the </w:t>
      </w:r>
      <w:r w:rsidR="006E597F">
        <w:t xml:space="preserve">MSCB </w:t>
      </w:r>
      <w:r w:rsidR="00EC4DFF">
        <w:t xml:space="preserve">will increase </w:t>
      </w:r>
      <w:r w:rsidR="006E597F">
        <w:t>from $235,680 to $240,880.</w:t>
      </w:r>
      <w:r w:rsidR="00EC4DFF">
        <w:t xml:space="preserve"> </w:t>
      </w:r>
    </w:p>
    <w:p w14:paraId="3D5C119B" w14:textId="51EDD5D4" w:rsidR="003045CA" w:rsidRPr="003045CA" w:rsidRDefault="003045CA" w:rsidP="003045CA">
      <w:pPr>
        <w:pStyle w:val="08Figuretableboxheading"/>
      </w:pPr>
      <w:r w:rsidRPr="003045CA">
        <w:lastRenderedPageBreak/>
        <w:t xml:space="preserve">Table 4.2: </w:t>
      </w:r>
      <w:r>
        <w:t>C</w:t>
      </w:r>
      <w:r w:rsidRPr="003045CA">
        <w:t xml:space="preserve">hange to the </w:t>
      </w:r>
      <w:r w:rsidR="0005531A">
        <w:t xml:space="preserve">notional </w:t>
      </w:r>
      <w:r w:rsidRPr="003045CA">
        <w:t>superannuation component of the remuneration bands</w:t>
      </w:r>
    </w:p>
    <w:tbl>
      <w:tblPr>
        <w:tblStyle w:val="ListTable3-Accent215"/>
        <w:tblW w:w="11907" w:type="dxa"/>
        <w:tblLook w:val="04A0" w:firstRow="1" w:lastRow="0" w:firstColumn="1" w:lastColumn="0" w:noHBand="0" w:noVBand="1"/>
      </w:tblPr>
      <w:tblGrid>
        <w:gridCol w:w="1877"/>
        <w:gridCol w:w="1525"/>
        <w:gridCol w:w="1418"/>
        <w:gridCol w:w="1701"/>
        <w:gridCol w:w="1559"/>
        <w:gridCol w:w="1843"/>
        <w:gridCol w:w="1984"/>
      </w:tblGrid>
      <w:tr w:rsidR="003045CA" w:rsidRPr="003045CA" w14:paraId="618F8169" w14:textId="77777777" w:rsidTr="00A54D4C">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val="restart"/>
            <w:vAlign w:val="top"/>
          </w:tcPr>
          <w:p w14:paraId="101C44F9" w14:textId="77777777" w:rsidR="003045CA" w:rsidRPr="003045CA" w:rsidRDefault="003045CA" w:rsidP="00A54D4C">
            <w:pPr>
              <w:spacing w:after="0"/>
              <w:rPr>
                <w:rFonts w:ascii="Calibri Light" w:eastAsia="Rockwell" w:hAnsi="Calibri Light" w:cs="Arial"/>
                <w:color w:val="FFFFFF"/>
                <w:sz w:val="22"/>
              </w:rPr>
            </w:pPr>
            <w:r w:rsidRPr="003045CA">
              <w:rPr>
                <w:rFonts w:ascii="Calibri Light" w:eastAsia="Rockwell" w:hAnsi="Calibri Light" w:cs="Arial"/>
                <w:color w:val="FFFFFF"/>
                <w:sz w:val="22"/>
              </w:rPr>
              <w:t>Classification</w:t>
            </w:r>
          </w:p>
        </w:tc>
        <w:tc>
          <w:tcPr>
            <w:tcW w:w="4644" w:type="dxa"/>
            <w:gridSpan w:val="3"/>
            <w:tcBorders>
              <w:bottom w:val="nil"/>
            </w:tcBorders>
            <w:shd w:val="clear" w:color="auto" w:fill="808080"/>
          </w:tcPr>
          <w:p w14:paraId="278EB9E2" w14:textId="1B3CD1FE" w:rsidR="003045CA" w:rsidRPr="003045CA" w:rsidRDefault="003045CA" w:rsidP="003045CA">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Value as </w:t>
            </w:r>
            <w:proofErr w:type="gramStart"/>
            <w:r w:rsidRPr="003045CA">
              <w:rPr>
                <w:rFonts w:ascii="Calibri Light" w:eastAsia="Rockwell" w:hAnsi="Calibri Light" w:cs="Arial"/>
                <w:color w:val="FFFFFF"/>
                <w:sz w:val="22"/>
              </w:rPr>
              <w:t>at</w:t>
            </w:r>
            <w:proofErr w:type="gramEnd"/>
            <w:r w:rsidRPr="003045CA">
              <w:rPr>
                <w:rFonts w:ascii="Calibri Light" w:eastAsia="Rockwell" w:hAnsi="Calibri Light" w:cs="Arial"/>
                <w:color w:val="FFFFFF"/>
                <w:sz w:val="22"/>
              </w:rPr>
              <w:t xml:space="preserve"> 30 June 202</w:t>
            </w:r>
            <w:r>
              <w:rPr>
                <w:rFonts w:ascii="Calibri Light" w:eastAsia="Rockwell" w:hAnsi="Calibri Light" w:cs="Arial"/>
                <w:color w:val="FFFFFF"/>
                <w:sz w:val="22"/>
              </w:rPr>
              <w:t>2</w:t>
            </w:r>
          </w:p>
        </w:tc>
        <w:tc>
          <w:tcPr>
            <w:tcW w:w="3402" w:type="dxa"/>
            <w:gridSpan w:val="2"/>
            <w:shd w:val="clear" w:color="auto" w:fill="1C4C3A"/>
          </w:tcPr>
          <w:p w14:paraId="297DDA23" w14:textId="421193F3" w:rsidR="003045CA" w:rsidRPr="003045CA" w:rsidRDefault="003045CA" w:rsidP="003045CA">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Value as </w:t>
            </w:r>
            <w:proofErr w:type="gramStart"/>
            <w:r w:rsidRPr="003045CA">
              <w:rPr>
                <w:rFonts w:ascii="Calibri Light" w:eastAsia="Rockwell" w:hAnsi="Calibri Light" w:cs="Arial"/>
                <w:color w:val="FFFFFF"/>
                <w:sz w:val="22"/>
              </w:rPr>
              <w:t>at</w:t>
            </w:r>
            <w:proofErr w:type="gramEnd"/>
            <w:r w:rsidRPr="003045CA">
              <w:rPr>
                <w:rFonts w:ascii="Calibri Light" w:eastAsia="Rockwell" w:hAnsi="Calibri Light" w:cs="Arial"/>
                <w:color w:val="FFFFFF"/>
                <w:sz w:val="22"/>
              </w:rPr>
              <w:t xml:space="preserve"> 1 July 202</w:t>
            </w:r>
            <w:r>
              <w:rPr>
                <w:rFonts w:ascii="Calibri Light" w:eastAsia="Rockwell" w:hAnsi="Calibri Light" w:cs="Arial"/>
                <w:color w:val="FFFFFF"/>
                <w:sz w:val="22"/>
              </w:rPr>
              <w:t>2</w:t>
            </w:r>
          </w:p>
        </w:tc>
        <w:tc>
          <w:tcPr>
            <w:tcW w:w="1984" w:type="dxa"/>
            <w:vMerge w:val="restart"/>
          </w:tcPr>
          <w:p w14:paraId="5C262BAF"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Change to the superannuation component</w:t>
            </w:r>
            <w:r w:rsidRPr="003045CA">
              <w:rPr>
                <w:rFonts w:ascii="Calibri Light" w:eastAsia="Rockwell" w:hAnsi="Calibri Light" w:cs="Arial"/>
                <w:color w:val="FFFFFF"/>
                <w:sz w:val="22"/>
                <w:vertAlign w:val="superscript"/>
              </w:rPr>
              <w:t>(d)</w:t>
            </w:r>
            <w:r w:rsidRPr="003045CA">
              <w:rPr>
                <w:rFonts w:ascii="Calibri Light" w:eastAsia="Rockwell" w:hAnsi="Calibri Light" w:cs="Arial"/>
                <w:color w:val="FFFFFF"/>
                <w:sz w:val="22"/>
              </w:rPr>
              <w:t xml:space="preserve"> </w:t>
            </w:r>
          </w:p>
          <w:p w14:paraId="3F66B08A"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xml:space="preserve">$ </w:t>
            </w:r>
          </w:p>
        </w:tc>
      </w:tr>
      <w:tr w:rsidR="003045CA" w:rsidRPr="003045CA" w14:paraId="6CF7187B" w14:textId="77777777" w:rsidTr="003045CA">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tcPr>
          <w:p w14:paraId="59648CD5" w14:textId="77777777" w:rsidR="003045CA" w:rsidRPr="003045CA" w:rsidRDefault="003045CA" w:rsidP="003045CA">
            <w:pPr>
              <w:spacing w:after="0"/>
              <w:rPr>
                <w:rFonts w:ascii="Calibri Light" w:eastAsia="Rockwell" w:hAnsi="Calibri Light" w:cs="Arial"/>
                <w:color w:val="FFFFFF"/>
                <w:sz w:val="22"/>
              </w:rPr>
            </w:pPr>
          </w:p>
        </w:tc>
        <w:tc>
          <w:tcPr>
            <w:tcW w:w="1525" w:type="dxa"/>
            <w:tcBorders>
              <w:top w:val="nil"/>
            </w:tcBorders>
            <w:shd w:val="clear" w:color="auto" w:fill="A6A6A6"/>
            <w:vAlign w:val="bottom"/>
          </w:tcPr>
          <w:p w14:paraId="017BB29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TRP</w:t>
            </w:r>
          </w:p>
          <w:p w14:paraId="017F9504"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418" w:type="dxa"/>
            <w:tcBorders>
              <w:top w:val="nil"/>
            </w:tcBorders>
            <w:shd w:val="clear" w:color="auto" w:fill="A6A6A6"/>
          </w:tcPr>
          <w:p w14:paraId="1684707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Salary component</w:t>
            </w:r>
          </w:p>
          <w:p w14:paraId="71DBDC3B"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701" w:type="dxa"/>
            <w:tcBorders>
              <w:top w:val="nil"/>
            </w:tcBorders>
            <w:shd w:val="clear" w:color="auto" w:fill="A6A6A6"/>
          </w:tcPr>
          <w:p w14:paraId="1A9CC82C"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Superannuation component</w:t>
            </w:r>
            <w:r w:rsidRPr="003045CA">
              <w:rPr>
                <w:rFonts w:ascii="Calibri Light" w:eastAsia="Rockwell" w:hAnsi="Calibri Light" w:cs="Arial"/>
                <w:color w:val="FFFFFF"/>
                <w:sz w:val="22"/>
                <w:vertAlign w:val="superscript"/>
              </w:rPr>
              <w:t>(a)</w:t>
            </w:r>
          </w:p>
          <w:p w14:paraId="0BB7FE1A"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559" w:type="dxa"/>
            <w:shd w:val="clear" w:color="auto" w:fill="48965E"/>
          </w:tcPr>
          <w:p w14:paraId="2C9BF52D"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Salary component</w:t>
            </w:r>
            <w:r w:rsidRPr="003045CA">
              <w:rPr>
                <w:rFonts w:ascii="Calibri Light" w:eastAsia="Rockwell" w:hAnsi="Calibri Light" w:cs="Arial"/>
                <w:color w:val="FFFFFF"/>
                <w:sz w:val="22"/>
                <w:vertAlign w:val="superscript"/>
              </w:rPr>
              <w:t>(b)</w:t>
            </w:r>
          </w:p>
          <w:p w14:paraId="76198EFE"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843" w:type="dxa"/>
            <w:shd w:val="clear" w:color="auto" w:fill="48965E"/>
          </w:tcPr>
          <w:p w14:paraId="4D8FA9B2"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Superannuation component</w:t>
            </w:r>
            <w:r w:rsidRPr="003045CA">
              <w:rPr>
                <w:rFonts w:ascii="Calibri Light" w:eastAsia="Rockwell" w:hAnsi="Calibri Light" w:cs="Arial"/>
                <w:color w:val="FFFFFF"/>
                <w:sz w:val="22"/>
                <w:vertAlign w:val="superscript"/>
              </w:rPr>
              <w:t>(c)</w:t>
            </w:r>
          </w:p>
          <w:p w14:paraId="1B6E0295" w14:textId="77777777" w:rsidR="003045CA" w:rsidRPr="003045C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3045CA">
              <w:rPr>
                <w:rFonts w:ascii="Calibri Light" w:eastAsia="Rockwell" w:hAnsi="Calibri Light" w:cs="Arial"/>
                <w:color w:val="FFFFFF"/>
                <w:sz w:val="22"/>
              </w:rPr>
              <w:t>$ p.a.</w:t>
            </w:r>
          </w:p>
        </w:tc>
        <w:tc>
          <w:tcPr>
            <w:tcW w:w="1984" w:type="dxa"/>
            <w:vMerge/>
          </w:tcPr>
          <w:p w14:paraId="6665DDB3" w14:textId="77777777" w:rsidR="003045CA" w:rsidRPr="003045CA" w:rsidRDefault="003045CA" w:rsidP="003045CA">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3045CA" w:rsidRPr="003045CA" w14:paraId="4632A506" w14:textId="77777777" w:rsidTr="003045C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5E731B92" w14:textId="77777777" w:rsidR="003045CA" w:rsidRPr="003045CA" w:rsidRDefault="003045CA" w:rsidP="003045CA">
            <w:pPr>
              <w:spacing w:after="160" w:line="276" w:lineRule="auto"/>
              <w:contextualSpacing/>
              <w:rPr>
                <w:rFonts w:ascii="Calibri Light" w:eastAsia="Calibri" w:hAnsi="Calibri Light" w:cs="Calibri Light"/>
                <w:b w:val="0"/>
                <w:bCs w:val="0"/>
                <w:color w:val="auto"/>
                <w:sz w:val="22"/>
              </w:rPr>
            </w:pPr>
            <w:r w:rsidRPr="003045CA">
              <w:rPr>
                <w:rFonts w:ascii="Calibri Light" w:eastAsia="Calibri" w:hAnsi="Calibri Light" w:cs="Calibri Light"/>
                <w:color w:val="auto"/>
                <w:sz w:val="22"/>
              </w:rPr>
              <w:t>SES-1/AO Head-1</w:t>
            </w:r>
            <w:r w:rsidRPr="003045CA">
              <w:rPr>
                <w:rFonts w:ascii="Calibri Light" w:eastAsia="Calibri" w:hAnsi="Calibri Light" w:cs="Calibri Light"/>
                <w:color w:val="auto"/>
                <w:sz w:val="22"/>
              </w:rPr>
              <w:br/>
            </w:r>
            <w:r w:rsidRPr="003045CA">
              <w:rPr>
                <w:rFonts w:ascii="Calibri Light" w:eastAsia="Calibri" w:hAnsi="Calibri Light" w:cs="Calibri Light"/>
                <w:b w:val="0"/>
                <w:bCs w:val="0"/>
                <w:color w:val="auto"/>
                <w:sz w:val="22"/>
              </w:rPr>
              <w:t>base of band</w:t>
            </w:r>
          </w:p>
          <w:p w14:paraId="00F597AB"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68C8369D"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146EE445"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19</w:t>
            </w:r>
            <w:r>
              <w:rPr>
                <w:rFonts w:ascii="Calibri Light" w:eastAsia="Rockwell" w:hAnsi="Calibri Light" w:cs="Calibri Light"/>
                <w:bCs/>
                <w:color w:val="auto"/>
                <w:sz w:val="22"/>
                <w:lang w:val="en-US"/>
              </w:rPr>
              <w:t>9,014</w:t>
            </w:r>
          </w:p>
          <w:p w14:paraId="3DFD65C5" w14:textId="7D37EF9F"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418" w:type="dxa"/>
            <w:shd w:val="clear" w:color="auto" w:fill="F2F2F2"/>
            <w:vAlign w:val="bottom"/>
          </w:tcPr>
          <w:p w14:paraId="4D7B860D"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1</w:t>
            </w:r>
            <w:r>
              <w:rPr>
                <w:rFonts w:ascii="Calibri Light" w:eastAsia="Rockwell" w:hAnsi="Calibri Light" w:cs="Calibri Light"/>
                <w:bCs/>
                <w:color w:val="auto"/>
                <w:sz w:val="22"/>
                <w:lang w:val="en-US"/>
              </w:rPr>
              <w:t>80,922</w:t>
            </w:r>
          </w:p>
          <w:p w14:paraId="5B71365C" w14:textId="3D854D8F" w:rsidR="003045CA" w:rsidRPr="003045C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33,737</w:t>
            </w:r>
          </w:p>
        </w:tc>
        <w:tc>
          <w:tcPr>
            <w:tcW w:w="1701" w:type="dxa"/>
            <w:shd w:val="clear" w:color="auto" w:fill="F2F2F2"/>
            <w:vAlign w:val="bottom"/>
          </w:tcPr>
          <w:p w14:paraId="213F5AAA" w14:textId="2CAB63E2"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8,092</w:t>
            </w:r>
          </w:p>
          <w:p w14:paraId="1685ED2C" w14:textId="183141A5"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Pr>
                <w:rFonts w:ascii="Calibri Light" w:eastAsia="Rockwell" w:hAnsi="Calibri Light" w:cs="Arial"/>
                <w:bCs/>
                <w:color w:val="auto"/>
                <w:sz w:val="22"/>
                <w:lang w:val="en-US"/>
              </w:rPr>
              <w:t>3,</w:t>
            </w:r>
            <w:r w:rsidR="00EF7729">
              <w:rPr>
                <w:rFonts w:ascii="Calibri Light" w:eastAsia="Rockwell" w:hAnsi="Calibri Light" w:cs="Arial"/>
                <w:bCs/>
                <w:color w:val="auto"/>
                <w:sz w:val="22"/>
                <w:lang w:val="en-US"/>
              </w:rPr>
              <w:t>374</w:t>
            </w:r>
          </w:p>
        </w:tc>
        <w:tc>
          <w:tcPr>
            <w:tcW w:w="1559" w:type="dxa"/>
            <w:shd w:val="clear" w:color="auto" w:fill="D1F5EB"/>
            <w:vAlign w:val="bottom"/>
          </w:tcPr>
          <w:p w14:paraId="2AE87A6A" w14:textId="241A69C7" w:rsidR="003045CA" w:rsidRPr="001C1D47" w:rsidRDefault="001C1D47"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sidRPr="001C1D47">
              <w:rPr>
                <w:rFonts w:ascii="Calibri Light" w:eastAsia="Rockwell" w:hAnsi="Calibri Light" w:cs="Arial"/>
                <w:bCs/>
                <w:color w:val="auto"/>
                <w:sz w:val="22"/>
                <w:lang w:val="en-US"/>
              </w:rPr>
              <w:t>187,435</w:t>
            </w:r>
          </w:p>
          <w:p w14:paraId="33AD0EA6" w14:textId="5081D568" w:rsidR="003045CA" w:rsidRPr="001C1D47" w:rsidRDefault="001C1D47"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242,152</w:t>
            </w:r>
          </w:p>
        </w:tc>
        <w:tc>
          <w:tcPr>
            <w:tcW w:w="1843" w:type="dxa"/>
            <w:shd w:val="clear" w:color="auto" w:fill="D1F5EB"/>
            <w:vAlign w:val="bottom"/>
          </w:tcPr>
          <w:p w14:paraId="3FD2F974" w14:textId="023FB752" w:rsidR="00EF7729" w:rsidRPr="003B21B0" w:rsidRDefault="0067537C"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sidRPr="003B21B0">
              <w:rPr>
                <w:rFonts w:ascii="Calibri Light" w:eastAsia="Rockwell" w:hAnsi="Calibri Light" w:cs="Arial"/>
                <w:bCs/>
                <w:color w:val="auto"/>
                <w:sz w:val="22"/>
                <w:lang w:val="en-US"/>
              </w:rPr>
              <w:t>19,681</w:t>
            </w:r>
          </w:p>
          <w:p w14:paraId="56CD2D50" w14:textId="00C2D7F2" w:rsidR="003045CA" w:rsidRPr="003045CA" w:rsidRDefault="003B21B0"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B21B0">
              <w:rPr>
                <w:rFonts w:ascii="Calibri Light" w:eastAsia="Rockwell" w:hAnsi="Calibri Light" w:cs="Arial"/>
                <w:bCs/>
                <w:color w:val="auto"/>
                <w:sz w:val="22"/>
                <w:lang w:val="en-US"/>
              </w:rPr>
              <w:t>25,293</w:t>
            </w:r>
          </w:p>
        </w:tc>
        <w:tc>
          <w:tcPr>
            <w:tcW w:w="1984" w:type="dxa"/>
            <w:shd w:val="clear" w:color="auto" w:fill="auto"/>
            <w:vAlign w:val="bottom"/>
          </w:tcPr>
          <w:p w14:paraId="3BB78273" w14:textId="2A0B9DE3" w:rsidR="00EF7729" w:rsidRPr="00EC4DFF" w:rsidRDefault="00785FAE"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sidRPr="00EC4DFF">
              <w:rPr>
                <w:rFonts w:ascii="Calibri Light" w:eastAsia="Rockwell" w:hAnsi="Calibri Light" w:cs="Arial"/>
                <w:bCs/>
                <w:color w:val="auto"/>
                <w:sz w:val="22"/>
                <w:lang w:val="en-US"/>
              </w:rPr>
              <w:t>1,589</w:t>
            </w:r>
          </w:p>
          <w:p w14:paraId="5B8631D5" w14:textId="066BB8CD" w:rsidR="003045CA" w:rsidRPr="00EC4DFF" w:rsidRDefault="00785FAE"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EC4DFF">
              <w:rPr>
                <w:rFonts w:ascii="Calibri Light" w:eastAsia="Rockwell" w:hAnsi="Calibri Light" w:cs="Arial"/>
                <w:bCs/>
                <w:color w:val="auto"/>
                <w:sz w:val="22"/>
                <w:lang w:val="en-US"/>
              </w:rPr>
              <w:t>1,919</w:t>
            </w:r>
          </w:p>
        </w:tc>
      </w:tr>
      <w:tr w:rsidR="003045CA" w:rsidRPr="003045CA" w14:paraId="782A0CCB" w14:textId="77777777" w:rsidTr="003045CA">
        <w:trPr>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1FF1BF8F" w14:textId="77777777" w:rsidR="003045CA" w:rsidRPr="003045CA" w:rsidRDefault="003045CA" w:rsidP="003045CA">
            <w:pPr>
              <w:spacing w:after="160" w:line="276" w:lineRule="auto"/>
              <w:contextualSpacing/>
              <w:rPr>
                <w:rFonts w:ascii="Calibri Light" w:eastAsia="Calibri" w:hAnsi="Calibri Light" w:cs="Calibri Light"/>
                <w:b w:val="0"/>
                <w:bCs w:val="0"/>
                <w:color w:val="auto"/>
                <w:sz w:val="22"/>
              </w:rPr>
            </w:pPr>
            <w:r w:rsidRPr="003045CA">
              <w:rPr>
                <w:rFonts w:ascii="Calibri Light" w:eastAsia="Calibri" w:hAnsi="Calibri Light" w:cs="Calibri Light"/>
                <w:color w:val="auto"/>
                <w:sz w:val="22"/>
              </w:rPr>
              <w:t>SES-2/AO Head-2</w:t>
            </w:r>
            <w:r w:rsidRPr="003045CA">
              <w:rPr>
                <w:rFonts w:ascii="Calibri Light" w:eastAsia="Calibri" w:hAnsi="Calibri Light" w:cs="Calibri Light"/>
                <w:color w:val="auto"/>
                <w:sz w:val="22"/>
              </w:rPr>
              <w:br/>
            </w:r>
            <w:r w:rsidRPr="003045CA">
              <w:rPr>
                <w:rFonts w:ascii="Calibri Light" w:eastAsia="Calibri" w:hAnsi="Calibri Light" w:cs="Calibri Light"/>
                <w:b w:val="0"/>
                <w:bCs w:val="0"/>
                <w:color w:val="auto"/>
                <w:sz w:val="22"/>
              </w:rPr>
              <w:t>base of band</w:t>
            </w:r>
          </w:p>
          <w:p w14:paraId="184E8567"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17607997"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60A946C3" w14:textId="77777777" w:rsidR="003045CA" w:rsidRPr="0008426A" w:rsidRDefault="003045CA" w:rsidP="003045CA">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13E20C5E" w14:textId="590C85C6"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370,331</w:t>
            </w:r>
          </w:p>
        </w:tc>
        <w:tc>
          <w:tcPr>
            <w:tcW w:w="1418" w:type="dxa"/>
            <w:shd w:val="clear" w:color="auto" w:fill="F2F2F2"/>
            <w:vAlign w:val="bottom"/>
          </w:tcPr>
          <w:p w14:paraId="3EED50EC" w14:textId="6D85A2FB" w:rsidR="00EF7729" w:rsidRDefault="00EF7729"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2</w:t>
            </w:r>
            <w:r>
              <w:rPr>
                <w:rFonts w:ascii="Calibri Light" w:eastAsia="Rockwell" w:hAnsi="Calibri Light" w:cs="Calibri Light"/>
                <w:bCs/>
                <w:color w:val="auto"/>
                <w:sz w:val="22"/>
                <w:lang w:val="en-US"/>
              </w:rPr>
              <w:t>33,738</w:t>
            </w:r>
          </w:p>
          <w:p w14:paraId="6396DF91" w14:textId="39C7BEBE"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46,763</w:t>
            </w:r>
          </w:p>
        </w:tc>
        <w:tc>
          <w:tcPr>
            <w:tcW w:w="1701" w:type="dxa"/>
            <w:shd w:val="clear" w:color="auto" w:fill="F2F2F2"/>
            <w:vAlign w:val="bottom"/>
          </w:tcPr>
          <w:p w14:paraId="2E0BB2CA" w14:textId="27A005A8"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3,374</w:t>
            </w:r>
          </w:p>
          <w:p w14:paraId="11D6C58E" w14:textId="3F4286ED"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tc>
        <w:tc>
          <w:tcPr>
            <w:tcW w:w="1559" w:type="dxa"/>
            <w:shd w:val="clear" w:color="auto" w:fill="D1F5EB"/>
            <w:vAlign w:val="bottom"/>
          </w:tcPr>
          <w:p w14:paraId="03E2FBB3" w14:textId="3552F4B0" w:rsidR="00EF7729" w:rsidRPr="001C1D47" w:rsidRDefault="001C1D47"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242,153</w:t>
            </w:r>
          </w:p>
          <w:p w14:paraId="0D145AFD" w14:textId="0EA48625" w:rsidR="003045CA" w:rsidRPr="001C1D47" w:rsidRDefault="006E3640"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359,247</w:t>
            </w:r>
          </w:p>
        </w:tc>
        <w:tc>
          <w:tcPr>
            <w:tcW w:w="1843" w:type="dxa"/>
            <w:shd w:val="clear" w:color="auto" w:fill="D1F5EB"/>
            <w:vAlign w:val="bottom"/>
          </w:tcPr>
          <w:p w14:paraId="1B096CFC" w14:textId="3AD243B7" w:rsidR="00EF7729" w:rsidRPr="003B21B0" w:rsidRDefault="003B21B0"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color w:val="auto"/>
                <w:sz w:val="22"/>
                <w:lang w:val="en-US"/>
              </w:rPr>
            </w:pPr>
            <w:r w:rsidRPr="003B21B0">
              <w:rPr>
                <w:rFonts w:ascii="Calibri Light" w:eastAsia="Rockwell" w:hAnsi="Calibri Light" w:cs="Arial"/>
                <w:bCs/>
                <w:color w:val="auto"/>
                <w:sz w:val="22"/>
                <w:lang w:val="en-US"/>
              </w:rPr>
              <w:t>25,293</w:t>
            </w:r>
          </w:p>
          <w:p w14:paraId="727B4C26" w14:textId="485864E8" w:rsidR="003045CA" w:rsidRPr="003045CA" w:rsidRDefault="00EF7729"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w:t>
            </w:r>
            <w:r w:rsidRPr="003B21B0">
              <w:rPr>
                <w:rFonts w:ascii="Calibri Light" w:eastAsia="Rockwell" w:hAnsi="Calibri Light" w:cs="Arial"/>
                <w:bCs/>
                <w:color w:val="auto"/>
                <w:sz w:val="22"/>
                <w:lang w:val="en-US"/>
              </w:rPr>
              <w:t>29</w:t>
            </w:r>
            <w:r w:rsidR="0026541D" w:rsidRPr="003B21B0">
              <w:rPr>
                <w:rFonts w:ascii="Calibri Light" w:eastAsia="Rockwell" w:hAnsi="Calibri Light" w:cs="Arial"/>
                <w:bCs/>
                <w:color w:val="auto"/>
                <w:sz w:val="22"/>
                <w:lang w:val="en-US"/>
              </w:rPr>
              <w:t>3</w:t>
            </w:r>
          </w:p>
        </w:tc>
        <w:tc>
          <w:tcPr>
            <w:tcW w:w="1984" w:type="dxa"/>
            <w:shd w:val="clear" w:color="auto" w:fill="auto"/>
            <w:vAlign w:val="bottom"/>
          </w:tcPr>
          <w:p w14:paraId="7F254C5B" w14:textId="7A9411D7" w:rsidR="003045CA" w:rsidRPr="00EC4DFF" w:rsidRDefault="00785FAE"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C4DFF">
              <w:rPr>
                <w:rFonts w:ascii="Calibri Light" w:eastAsia="Rockwell" w:hAnsi="Calibri Light" w:cs="Arial"/>
                <w:bCs/>
                <w:color w:val="auto"/>
                <w:sz w:val="22"/>
                <w:lang w:val="en-US"/>
              </w:rPr>
              <w:t>1,919</w:t>
            </w:r>
          </w:p>
          <w:p w14:paraId="54EF3751" w14:textId="3802CCC3" w:rsidR="003045CA" w:rsidRPr="00EC4DFF"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EC4DFF">
              <w:rPr>
                <w:rFonts w:ascii="Calibri Light" w:eastAsia="Rockwell" w:hAnsi="Calibri Light" w:cs="Arial"/>
                <w:bCs/>
                <w:color w:val="auto"/>
                <w:sz w:val="22"/>
                <w:lang w:val="en-US"/>
              </w:rPr>
              <w:t>1,</w:t>
            </w:r>
            <w:r w:rsidR="00EF7729" w:rsidRPr="00EC4DFF">
              <w:rPr>
                <w:rFonts w:ascii="Calibri Light" w:eastAsia="Rockwell" w:hAnsi="Calibri Light" w:cs="Arial"/>
                <w:bCs/>
                <w:color w:val="auto"/>
                <w:sz w:val="22"/>
                <w:lang w:val="en-US"/>
              </w:rPr>
              <w:t>72</w:t>
            </w:r>
            <w:r w:rsidR="00217A96" w:rsidRPr="00EC4DFF">
              <w:rPr>
                <w:rFonts w:ascii="Calibri Light" w:eastAsia="Rockwell" w:hAnsi="Calibri Light" w:cs="Arial"/>
                <w:bCs/>
                <w:color w:val="auto"/>
                <w:sz w:val="22"/>
                <w:lang w:val="en-US"/>
              </w:rPr>
              <w:t>5</w:t>
            </w:r>
          </w:p>
        </w:tc>
      </w:tr>
      <w:tr w:rsidR="003045CA" w:rsidRPr="003045CA" w14:paraId="6DA5691F" w14:textId="77777777" w:rsidTr="003045C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0039B6F2" w14:textId="77777777" w:rsidR="003045CA" w:rsidRPr="003045CA" w:rsidRDefault="003045CA" w:rsidP="003045CA">
            <w:pPr>
              <w:spacing w:after="160" w:line="276" w:lineRule="auto"/>
              <w:contextualSpacing/>
              <w:rPr>
                <w:rFonts w:ascii="Calibri Light" w:eastAsia="Calibri" w:hAnsi="Calibri Light" w:cs="Calibri Light"/>
                <w:b w:val="0"/>
                <w:bCs w:val="0"/>
                <w:color w:val="auto"/>
                <w:sz w:val="22"/>
              </w:rPr>
            </w:pPr>
            <w:r w:rsidRPr="003045CA">
              <w:rPr>
                <w:rFonts w:ascii="Calibri Light" w:eastAsia="Calibri" w:hAnsi="Calibri Light" w:cs="Calibri Light"/>
                <w:color w:val="auto"/>
                <w:sz w:val="22"/>
              </w:rPr>
              <w:t>SES-3/AO Head-3</w:t>
            </w:r>
            <w:r w:rsidRPr="003045CA">
              <w:rPr>
                <w:rFonts w:ascii="Calibri Light" w:eastAsia="Calibri" w:hAnsi="Calibri Light" w:cs="Calibri Light"/>
                <w:color w:val="auto"/>
                <w:sz w:val="22"/>
              </w:rPr>
              <w:br/>
            </w:r>
            <w:r w:rsidRPr="003045CA">
              <w:rPr>
                <w:rFonts w:ascii="Calibri Light" w:eastAsia="Calibri" w:hAnsi="Calibri Light" w:cs="Calibri Light"/>
                <w:b w:val="0"/>
                <w:bCs w:val="0"/>
                <w:color w:val="auto"/>
                <w:sz w:val="22"/>
              </w:rPr>
              <w:t>base of band</w:t>
            </w:r>
          </w:p>
          <w:p w14:paraId="412C044E"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50AE0C7D"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275B1B61"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705C3F7D" w14:textId="6D3612FB"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418" w:type="dxa"/>
            <w:shd w:val="clear" w:color="auto" w:fill="F2F2F2"/>
            <w:vAlign w:val="bottom"/>
          </w:tcPr>
          <w:p w14:paraId="775ED524" w14:textId="77777777" w:rsidR="003045CA" w:rsidRPr="0008426A" w:rsidRDefault="003045CA" w:rsidP="003045CA">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3</w:t>
            </w:r>
            <w:r>
              <w:rPr>
                <w:rFonts w:ascii="Calibri Light" w:eastAsia="Rockwell" w:hAnsi="Calibri Light" w:cs="Calibri Light"/>
                <w:bCs/>
                <w:color w:val="auto"/>
                <w:sz w:val="22"/>
                <w:lang w:val="en-US"/>
              </w:rPr>
              <w:t>46,764</w:t>
            </w:r>
          </w:p>
          <w:p w14:paraId="7F01C2EB" w14:textId="0C23C4B6"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4</w:t>
            </w:r>
            <w:r>
              <w:rPr>
                <w:rFonts w:ascii="Calibri Light" w:eastAsia="Rockwell" w:hAnsi="Calibri Light" w:cs="Calibri Light"/>
                <w:bCs/>
                <w:color w:val="auto"/>
                <w:sz w:val="22"/>
                <w:lang w:val="en-US"/>
              </w:rPr>
              <w:t>69,661</w:t>
            </w:r>
          </w:p>
        </w:tc>
        <w:tc>
          <w:tcPr>
            <w:tcW w:w="1701" w:type="dxa"/>
            <w:shd w:val="clear" w:color="auto" w:fill="F2F2F2"/>
            <w:vAlign w:val="bottom"/>
          </w:tcPr>
          <w:p w14:paraId="019FA284" w14:textId="6C63603A"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p w14:paraId="642A6037" w14:textId="40255332"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tc>
        <w:tc>
          <w:tcPr>
            <w:tcW w:w="1559" w:type="dxa"/>
            <w:shd w:val="clear" w:color="auto" w:fill="D1F5EB"/>
            <w:vAlign w:val="bottom"/>
          </w:tcPr>
          <w:p w14:paraId="45531906" w14:textId="5F16A2BB" w:rsidR="00EF7729" w:rsidRPr="001C1D47" w:rsidRDefault="006E3640"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359,248</w:t>
            </w:r>
          </w:p>
          <w:p w14:paraId="26D171F6" w14:textId="079EA8BB" w:rsidR="003045CA" w:rsidRPr="001C1D47" w:rsidRDefault="006E3640" w:rsidP="00EF7729">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486,569</w:t>
            </w:r>
          </w:p>
        </w:tc>
        <w:tc>
          <w:tcPr>
            <w:tcW w:w="1843" w:type="dxa"/>
            <w:shd w:val="clear" w:color="auto" w:fill="D1F5EB"/>
            <w:vAlign w:val="bottom"/>
          </w:tcPr>
          <w:p w14:paraId="4C0DC029" w14:textId="361277B2" w:rsidR="003045CA" w:rsidRPr="003045C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25,29</w:t>
            </w:r>
            <w:r w:rsidR="0026541D">
              <w:rPr>
                <w:rFonts w:ascii="Calibri Light" w:eastAsia="Rockwell" w:hAnsi="Calibri Light" w:cs="Arial"/>
                <w:bCs/>
                <w:color w:val="auto"/>
                <w:sz w:val="22"/>
                <w:lang w:val="en-US"/>
              </w:rPr>
              <w:t>3</w:t>
            </w:r>
          </w:p>
          <w:p w14:paraId="4691BDE9" w14:textId="351F2186" w:rsidR="003045CA" w:rsidRPr="003045CA" w:rsidRDefault="00EF7729"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25,29</w:t>
            </w:r>
            <w:r w:rsidR="0026541D">
              <w:rPr>
                <w:rFonts w:ascii="Calibri Light" w:eastAsia="Rockwell" w:hAnsi="Calibri Light" w:cs="Arial"/>
                <w:bCs/>
                <w:color w:val="auto"/>
                <w:sz w:val="22"/>
                <w:lang w:val="en-US"/>
              </w:rPr>
              <w:t>3</w:t>
            </w:r>
          </w:p>
        </w:tc>
        <w:tc>
          <w:tcPr>
            <w:tcW w:w="1984" w:type="dxa"/>
            <w:shd w:val="clear" w:color="auto" w:fill="auto"/>
            <w:vAlign w:val="bottom"/>
          </w:tcPr>
          <w:p w14:paraId="602F6564" w14:textId="77777777"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p>
          <w:p w14:paraId="15518DB0" w14:textId="76AD3D98"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sidR="00EF7729">
              <w:rPr>
                <w:rFonts w:ascii="Calibri Light" w:eastAsia="Rockwell" w:hAnsi="Calibri Light" w:cs="Arial"/>
                <w:bCs/>
                <w:color w:val="auto"/>
                <w:sz w:val="22"/>
                <w:lang w:val="en-US"/>
              </w:rPr>
              <w:t>72</w:t>
            </w:r>
            <w:r w:rsidR="00217A96">
              <w:rPr>
                <w:rFonts w:ascii="Calibri Light" w:eastAsia="Rockwell" w:hAnsi="Calibri Light" w:cs="Arial"/>
                <w:bCs/>
                <w:color w:val="auto"/>
                <w:sz w:val="22"/>
                <w:lang w:val="en-US"/>
              </w:rPr>
              <w:t>5</w:t>
            </w:r>
          </w:p>
          <w:p w14:paraId="74B5630A" w14:textId="5F1B80BD" w:rsidR="003045CA" w:rsidRPr="003045CA" w:rsidRDefault="003045CA" w:rsidP="003045C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highlight w:val="yellow"/>
                <w:lang w:val="en-US"/>
              </w:rPr>
            </w:pPr>
            <w:r w:rsidRPr="003045CA">
              <w:rPr>
                <w:rFonts w:ascii="Calibri Light" w:eastAsia="Rockwell" w:hAnsi="Calibri Light" w:cs="Arial"/>
                <w:bCs/>
                <w:color w:val="auto"/>
                <w:sz w:val="22"/>
                <w:lang w:val="en-US"/>
              </w:rPr>
              <w:t>1,</w:t>
            </w:r>
            <w:r w:rsidR="00EF7729">
              <w:rPr>
                <w:rFonts w:ascii="Calibri Light" w:eastAsia="Rockwell" w:hAnsi="Calibri Light" w:cs="Arial"/>
                <w:bCs/>
                <w:color w:val="auto"/>
                <w:sz w:val="22"/>
                <w:lang w:val="en-US"/>
              </w:rPr>
              <w:t>72</w:t>
            </w:r>
            <w:r w:rsidR="00217A96">
              <w:rPr>
                <w:rFonts w:ascii="Calibri Light" w:eastAsia="Rockwell" w:hAnsi="Calibri Light" w:cs="Arial"/>
                <w:bCs/>
                <w:color w:val="auto"/>
                <w:sz w:val="22"/>
                <w:lang w:val="en-US"/>
              </w:rPr>
              <w:t>5</w:t>
            </w:r>
          </w:p>
        </w:tc>
      </w:tr>
      <w:tr w:rsidR="003045CA" w:rsidRPr="003045CA" w14:paraId="657C8CEA" w14:textId="77777777" w:rsidTr="003045CA">
        <w:trPr>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7DBEB914" w14:textId="77777777" w:rsidR="003045CA" w:rsidRPr="003045CA" w:rsidRDefault="003045CA" w:rsidP="003045CA">
            <w:pPr>
              <w:spacing w:after="160" w:line="276" w:lineRule="auto"/>
              <w:contextualSpacing/>
              <w:rPr>
                <w:rFonts w:ascii="Calibri Light" w:eastAsia="Calibri" w:hAnsi="Calibri Light" w:cs="Calibri Light"/>
                <w:b w:val="0"/>
                <w:bCs w:val="0"/>
                <w:color w:val="auto"/>
                <w:sz w:val="22"/>
              </w:rPr>
            </w:pPr>
            <w:r w:rsidRPr="003045CA">
              <w:rPr>
                <w:rFonts w:ascii="Calibri Light" w:eastAsia="Calibri" w:hAnsi="Calibri Light" w:cs="Calibri Light"/>
                <w:color w:val="auto"/>
                <w:sz w:val="22"/>
              </w:rPr>
              <w:t>Secretaries/VPSC Commissioner</w:t>
            </w:r>
            <w:r w:rsidRPr="003045CA">
              <w:rPr>
                <w:rFonts w:ascii="Calibri Light" w:eastAsia="Calibri" w:hAnsi="Calibri Light" w:cs="Calibri Light"/>
                <w:color w:val="auto"/>
                <w:sz w:val="22"/>
              </w:rPr>
              <w:br/>
            </w:r>
            <w:r w:rsidRPr="003045CA">
              <w:rPr>
                <w:rFonts w:ascii="Calibri Light" w:eastAsia="Calibri" w:hAnsi="Calibri Light" w:cs="Calibri Light"/>
                <w:b w:val="0"/>
                <w:bCs w:val="0"/>
                <w:color w:val="auto"/>
                <w:sz w:val="22"/>
              </w:rPr>
              <w:t>base of band</w:t>
            </w:r>
          </w:p>
          <w:p w14:paraId="18CF26FC" w14:textId="77777777" w:rsidR="003045CA" w:rsidRPr="003045CA" w:rsidRDefault="003045CA" w:rsidP="003045CA">
            <w:pPr>
              <w:spacing w:after="0"/>
              <w:contextualSpacing/>
              <w:rPr>
                <w:rFonts w:ascii="Calibri Light" w:eastAsia="Rockwell" w:hAnsi="Calibri Light" w:cs="Arial"/>
                <w:color w:val="auto"/>
                <w:sz w:val="22"/>
                <w:lang w:val="en-US"/>
              </w:rPr>
            </w:pPr>
            <w:r w:rsidRPr="003045CA">
              <w:rPr>
                <w:rFonts w:ascii="Calibri Light" w:eastAsia="Rockwell" w:hAnsi="Calibri Light" w:cs="Calibri Light"/>
                <w:b w:val="0"/>
                <w:bCs w:val="0"/>
                <w:color w:val="auto"/>
                <w:sz w:val="22"/>
                <w:lang w:val="en-US"/>
              </w:rPr>
              <w:t>top of band</w:t>
            </w:r>
          </w:p>
        </w:tc>
        <w:tc>
          <w:tcPr>
            <w:tcW w:w="1525" w:type="dxa"/>
            <w:shd w:val="clear" w:color="auto" w:fill="F2F2F2"/>
            <w:vAlign w:val="bottom"/>
          </w:tcPr>
          <w:p w14:paraId="5E17489E"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3E49C2A5"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086CDB8E" w14:textId="77777777" w:rsidR="003045CA" w:rsidRPr="0008426A" w:rsidRDefault="003045CA" w:rsidP="003045CA">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534,331</w:t>
            </w:r>
          </w:p>
          <w:p w14:paraId="24CF4E74" w14:textId="532F8378"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720,676</w:t>
            </w:r>
          </w:p>
        </w:tc>
        <w:tc>
          <w:tcPr>
            <w:tcW w:w="1418" w:type="dxa"/>
            <w:shd w:val="clear" w:color="auto" w:fill="F2F2F2"/>
            <w:vAlign w:val="bottom"/>
          </w:tcPr>
          <w:p w14:paraId="4001744F"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09E5975E" w14:textId="77777777" w:rsidR="003045CA" w:rsidRPr="0008426A" w:rsidRDefault="003045CA" w:rsidP="003045CA">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510,763</w:t>
            </w:r>
          </w:p>
          <w:p w14:paraId="7C2FAD3E" w14:textId="47ECA7D9"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6</w:t>
            </w:r>
            <w:r>
              <w:rPr>
                <w:rFonts w:ascii="Calibri Light" w:eastAsia="Rockwell" w:hAnsi="Calibri Light" w:cs="Calibri Light"/>
                <w:bCs/>
                <w:color w:val="auto"/>
                <w:sz w:val="22"/>
                <w:lang w:val="en-US"/>
              </w:rPr>
              <w:t>97,108</w:t>
            </w:r>
          </w:p>
        </w:tc>
        <w:tc>
          <w:tcPr>
            <w:tcW w:w="1701" w:type="dxa"/>
            <w:shd w:val="clear" w:color="auto" w:fill="F2F2F2"/>
            <w:vAlign w:val="bottom"/>
          </w:tcPr>
          <w:p w14:paraId="4C161D35" w14:textId="77777777"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p>
          <w:p w14:paraId="076B537F" w14:textId="50C267C4"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p w14:paraId="3B6EEF6D" w14:textId="05720CB5" w:rsidR="003045CA" w:rsidRPr="003045CA" w:rsidRDefault="003045CA" w:rsidP="003045C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2</w:t>
            </w:r>
            <w:r w:rsidR="00EF7729">
              <w:rPr>
                <w:rFonts w:ascii="Calibri Light" w:eastAsia="Rockwell" w:hAnsi="Calibri Light" w:cs="Arial"/>
                <w:bCs/>
                <w:color w:val="auto"/>
                <w:sz w:val="22"/>
                <w:lang w:val="en-US"/>
              </w:rPr>
              <w:t>3,568</w:t>
            </w:r>
          </w:p>
        </w:tc>
        <w:tc>
          <w:tcPr>
            <w:tcW w:w="1559" w:type="dxa"/>
            <w:shd w:val="clear" w:color="auto" w:fill="D1F5EB"/>
            <w:vAlign w:val="bottom"/>
          </w:tcPr>
          <w:p w14:paraId="3F0DBA21" w14:textId="24470E9C" w:rsidR="00EF7729" w:rsidRPr="001C1D47" w:rsidRDefault="00E968C3"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529,150</w:t>
            </w:r>
          </w:p>
          <w:p w14:paraId="2A5E1E73" w14:textId="3B0C4129" w:rsidR="003045CA" w:rsidRPr="001C1D47" w:rsidRDefault="00E968C3"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color w:val="auto"/>
                <w:sz w:val="22"/>
                <w:lang w:val="en-US"/>
              </w:rPr>
            </w:pPr>
            <w:r>
              <w:rPr>
                <w:rFonts w:ascii="Calibri Light" w:eastAsia="Rockwell" w:hAnsi="Calibri Light" w:cs="Arial"/>
                <w:bCs/>
                <w:color w:val="auto"/>
                <w:sz w:val="22"/>
                <w:lang w:val="en-US"/>
              </w:rPr>
              <w:t>722,204</w:t>
            </w:r>
          </w:p>
        </w:tc>
        <w:tc>
          <w:tcPr>
            <w:tcW w:w="1843" w:type="dxa"/>
            <w:shd w:val="clear" w:color="auto" w:fill="D1F5EB"/>
            <w:vAlign w:val="bottom"/>
          </w:tcPr>
          <w:p w14:paraId="4A6BBC90" w14:textId="26A9BC7A" w:rsidR="00EF7729" w:rsidRPr="003045CA" w:rsidRDefault="00EF7729"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25,29</w:t>
            </w:r>
            <w:r w:rsidR="0026541D">
              <w:rPr>
                <w:rFonts w:ascii="Calibri Light" w:eastAsia="Rockwell" w:hAnsi="Calibri Light" w:cs="Arial"/>
                <w:bCs/>
                <w:color w:val="auto"/>
                <w:sz w:val="22"/>
                <w:lang w:val="en-US"/>
              </w:rPr>
              <w:t>3</w:t>
            </w:r>
          </w:p>
          <w:p w14:paraId="0A9857FA" w14:textId="00824EF9" w:rsidR="003045CA" w:rsidRPr="003045CA" w:rsidRDefault="00EF7729"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25,29</w:t>
            </w:r>
            <w:r w:rsidR="0026541D">
              <w:rPr>
                <w:rFonts w:ascii="Calibri Light" w:eastAsia="Rockwell" w:hAnsi="Calibri Light" w:cs="Arial"/>
                <w:bCs/>
                <w:color w:val="auto"/>
                <w:sz w:val="22"/>
                <w:lang w:val="en-US"/>
              </w:rPr>
              <w:t>3</w:t>
            </w:r>
          </w:p>
        </w:tc>
        <w:tc>
          <w:tcPr>
            <w:tcW w:w="1984" w:type="dxa"/>
            <w:shd w:val="clear" w:color="auto" w:fill="auto"/>
            <w:vAlign w:val="bottom"/>
          </w:tcPr>
          <w:p w14:paraId="1EB843B1" w14:textId="12F056EE" w:rsidR="00EF7729" w:rsidRPr="003045CA" w:rsidRDefault="00EF7729"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w:t>
            </w:r>
            <w:r w:rsidR="00217A96">
              <w:rPr>
                <w:rFonts w:ascii="Calibri Light" w:eastAsia="Rockwell" w:hAnsi="Calibri Light" w:cs="Arial"/>
                <w:bCs/>
                <w:color w:val="auto"/>
                <w:sz w:val="22"/>
                <w:lang w:val="en-US"/>
              </w:rPr>
              <w:t>5</w:t>
            </w:r>
          </w:p>
          <w:p w14:paraId="2039D3BC" w14:textId="220CD480" w:rsidR="003045CA" w:rsidRPr="003045CA" w:rsidRDefault="00EF7729" w:rsidP="00EF7729">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highlight w:val="yellow"/>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w:t>
            </w:r>
            <w:r w:rsidR="00217A96">
              <w:rPr>
                <w:rFonts w:ascii="Calibri Light" w:eastAsia="Rockwell" w:hAnsi="Calibri Light" w:cs="Arial"/>
                <w:bCs/>
                <w:color w:val="auto"/>
                <w:sz w:val="22"/>
                <w:lang w:val="en-US"/>
              </w:rPr>
              <w:t>5</w:t>
            </w:r>
          </w:p>
        </w:tc>
      </w:tr>
    </w:tbl>
    <w:p w14:paraId="7C4F0E74" w14:textId="7102C533" w:rsidR="003045CA" w:rsidRDefault="003045CA" w:rsidP="003045CA">
      <w:pPr>
        <w:pStyle w:val="09Sourcesandnotesfortablesfiguresboxes"/>
        <w:sectPr w:rsidR="003045CA" w:rsidSect="003045CA">
          <w:pgSz w:w="16838" w:h="11906" w:orient="landscape"/>
          <w:pgMar w:top="1701" w:right="1701" w:bottom="1701" w:left="1559" w:header="708" w:footer="708" w:gutter="0"/>
          <w:cols w:space="708"/>
          <w:titlePg/>
          <w:docGrid w:linePitch="360"/>
        </w:sectPr>
      </w:pPr>
      <w:r w:rsidRPr="003045CA">
        <w:t xml:space="preserve">Notes: (a) </w:t>
      </w:r>
      <w:r w:rsidR="00BB3D3D">
        <w:t>S</w:t>
      </w:r>
      <w:r w:rsidRPr="003045CA">
        <w:t xml:space="preserve">uperannuation entitlement based on Commonwealth superannuation law as </w:t>
      </w:r>
      <w:proofErr w:type="gramStart"/>
      <w:r w:rsidRPr="003045CA">
        <w:t>at</w:t>
      </w:r>
      <w:proofErr w:type="gramEnd"/>
      <w:r w:rsidRPr="003045CA">
        <w:t xml:space="preserve"> 30 June 202</w:t>
      </w:r>
      <w:r>
        <w:t>2</w:t>
      </w:r>
      <w:r w:rsidRPr="003045CA">
        <w:t xml:space="preserve"> — SG</w:t>
      </w:r>
      <w:r w:rsidR="00F53654">
        <w:t> </w:t>
      </w:r>
      <w:r w:rsidRPr="003045CA">
        <w:t xml:space="preserve">rate of </w:t>
      </w:r>
      <w:r>
        <w:t>10</w:t>
      </w:r>
      <w:r w:rsidRPr="003045CA">
        <w:t>% and MSCB of $2</w:t>
      </w:r>
      <w:r>
        <w:t>35</w:t>
      </w:r>
      <w:r w:rsidRPr="003045CA">
        <w:t>,6</w:t>
      </w:r>
      <w:r>
        <w:t>8</w:t>
      </w:r>
      <w:r w:rsidRPr="003045CA">
        <w:t>0 p.a. (b) Equal to</w:t>
      </w:r>
      <w:r w:rsidRPr="003045CA" w:rsidDel="00EE7842">
        <w:t xml:space="preserve"> </w:t>
      </w:r>
      <w:r w:rsidRPr="003045CA">
        <w:t>30 June 202</w:t>
      </w:r>
      <w:r>
        <w:t>2</w:t>
      </w:r>
      <w:r w:rsidRPr="003045CA">
        <w:t xml:space="preserve"> value </w:t>
      </w:r>
      <w:r w:rsidR="00AD7B92">
        <w:t>plus</w:t>
      </w:r>
      <w:r w:rsidRPr="003045CA">
        <w:t xml:space="preserve"> the </w:t>
      </w:r>
      <w:r w:rsidR="007E0DEE">
        <w:t>3.6</w:t>
      </w:r>
      <w:r w:rsidRPr="003045CA">
        <w:t xml:space="preserve"> per cent ‘standard rate’. (c) </w:t>
      </w:r>
      <w:r w:rsidR="00BB1457">
        <w:t>S</w:t>
      </w:r>
      <w:r w:rsidRPr="003045CA">
        <w:t xml:space="preserve">uperannuation entitlement </w:t>
      </w:r>
      <w:r w:rsidR="00B25D75" w:rsidRPr="00EC4DFF">
        <w:t>(rounded up to the nearest dollar)</w:t>
      </w:r>
      <w:r w:rsidR="00B25D75">
        <w:t xml:space="preserve"> </w:t>
      </w:r>
      <w:r w:rsidRPr="003045CA">
        <w:t xml:space="preserve">based on Commonwealth superannuation law as </w:t>
      </w:r>
      <w:proofErr w:type="gramStart"/>
      <w:r w:rsidRPr="003045CA">
        <w:t>at</w:t>
      </w:r>
      <w:proofErr w:type="gramEnd"/>
      <w:r w:rsidRPr="003045CA">
        <w:t xml:space="preserve"> 1 July 202</w:t>
      </w:r>
      <w:r>
        <w:t>2</w:t>
      </w:r>
      <w:r w:rsidRPr="003045CA">
        <w:t xml:space="preserve"> — SG rate of 10</w:t>
      </w:r>
      <w:r>
        <w:t>.5</w:t>
      </w:r>
      <w:r w:rsidRPr="003045CA">
        <w:t>% and MSCB of $2</w:t>
      </w:r>
      <w:r>
        <w:t>40</w:t>
      </w:r>
      <w:r w:rsidRPr="003045CA">
        <w:t>,</w:t>
      </w:r>
      <w:r>
        <w:t>8</w:t>
      </w:r>
      <w:r w:rsidRPr="003045CA">
        <w:t xml:space="preserve">80 p.a. (d) </w:t>
      </w:r>
      <w:r w:rsidR="00883CDD">
        <w:t>C</w:t>
      </w:r>
      <w:r w:rsidRPr="003045CA">
        <w:t>alculated by subtracting the superannuation component as at 30 June 202</w:t>
      </w:r>
      <w:r>
        <w:t>2</w:t>
      </w:r>
      <w:r w:rsidRPr="003045CA">
        <w:t xml:space="preserve"> from the superannuation component as at 1</w:t>
      </w:r>
      <w:r w:rsidR="00883CDD">
        <w:t> </w:t>
      </w:r>
      <w:r w:rsidRPr="003045CA">
        <w:t>July 202</w:t>
      </w:r>
      <w:r>
        <w:t>2</w:t>
      </w:r>
      <w:r w:rsidRPr="003045CA">
        <w:t xml:space="preserve">. </w:t>
      </w:r>
    </w:p>
    <w:p w14:paraId="7636E0FE" w14:textId="76F140A1" w:rsidR="003045CA" w:rsidRDefault="00991DD7" w:rsidP="00991DD7">
      <w:pPr>
        <w:pStyle w:val="02VIRTHeading2"/>
      </w:pPr>
      <w:bookmarkStart w:id="58" w:name="_Toc106614539"/>
      <w:r>
        <w:lastRenderedPageBreak/>
        <w:t>4.3</w:t>
      </w:r>
      <w:r>
        <w:tab/>
        <w:t>Total adjustment to the bands</w:t>
      </w:r>
      <w:bookmarkEnd w:id="58"/>
    </w:p>
    <w:p w14:paraId="62457467" w14:textId="6E3BEA00" w:rsidR="00991DD7" w:rsidRPr="00991DD7" w:rsidRDefault="00420AA3" w:rsidP="00216041">
      <w:pPr>
        <w:pStyle w:val="05Paragraph"/>
      </w:pPr>
      <w:r w:rsidRPr="00420AA3">
        <w:t xml:space="preserve">The values of the remuneration bands that will apply from 1 July 2022 are shown in Table 4.3. </w:t>
      </w:r>
      <w:r w:rsidR="00991DD7" w:rsidRPr="00991DD7">
        <w:t xml:space="preserve">The Tribunal has determined that the annual adjustment </w:t>
      </w:r>
      <w:r w:rsidR="00E72D9C">
        <w:t>to</w:t>
      </w:r>
      <w:r w:rsidR="00991DD7" w:rsidRPr="00991DD7">
        <w:t xml:space="preserve"> each of the remuneration band values is equal to the sum of:</w:t>
      </w:r>
    </w:p>
    <w:p w14:paraId="1D8F8B15" w14:textId="35EA86D5" w:rsidR="00991DD7" w:rsidRPr="00991DD7" w:rsidRDefault="00991DD7" w:rsidP="00216041">
      <w:pPr>
        <w:pStyle w:val="06VIRTBulletpoints"/>
      </w:pPr>
      <w:r w:rsidRPr="00991DD7">
        <w:t xml:space="preserve">adjustments applied to the salary component of the remuneration bands — based on a ‘standard rate’ of </w:t>
      </w:r>
      <w:r w:rsidR="000F6525">
        <w:t>3.6</w:t>
      </w:r>
      <w:r w:rsidRPr="00991DD7">
        <w:t xml:space="preserve"> per cent</w:t>
      </w:r>
    </w:p>
    <w:p w14:paraId="26D75B2E" w14:textId="12542B3E" w:rsidR="00991DD7" w:rsidRPr="00991DD7" w:rsidRDefault="00991DD7" w:rsidP="00216041">
      <w:pPr>
        <w:pStyle w:val="06VIRTBulletpoints"/>
      </w:pPr>
      <w:r w:rsidRPr="00991DD7">
        <w:t xml:space="preserve">adjustments applied to the superannuation component of the remuneration bands </w:t>
      </w:r>
      <w:r w:rsidR="00976D22">
        <w:t xml:space="preserve">to reflect </w:t>
      </w:r>
      <w:r w:rsidRPr="00991DD7">
        <w:t>changes to executive superannuation entitlements that will occur on 1 July 202</w:t>
      </w:r>
      <w:r w:rsidR="00216041">
        <w:t>2</w:t>
      </w:r>
      <w:r w:rsidRPr="00991DD7">
        <w:t xml:space="preserve"> under Commonwealth law.</w:t>
      </w:r>
    </w:p>
    <w:p w14:paraId="3D609E97" w14:textId="67A8C10F" w:rsidR="00991DD7" w:rsidRPr="00991DD7" w:rsidRDefault="00991DD7" w:rsidP="00AB77D6">
      <w:pPr>
        <w:pStyle w:val="08Figuretableboxheading"/>
      </w:pPr>
      <w:r w:rsidRPr="00991DD7">
        <w:t xml:space="preserve">Table 4.3: </w:t>
      </w:r>
      <w:r w:rsidR="00216041">
        <w:t>A</w:t>
      </w:r>
      <w:r w:rsidRPr="00991DD7">
        <w:t>nnual adjustment to the remuneration band</w:t>
      </w:r>
      <w:r w:rsidR="00EA6138">
        <w:t xml:space="preserve"> </w:t>
      </w:r>
      <w:r w:rsidRPr="00991DD7">
        <w:t xml:space="preserve">values as </w:t>
      </w:r>
      <w:proofErr w:type="gramStart"/>
      <w:r w:rsidRPr="00991DD7">
        <w:t>at</w:t>
      </w:r>
      <w:proofErr w:type="gramEnd"/>
      <w:r w:rsidRPr="00991DD7">
        <w:t xml:space="preserve"> 1 July 202</w:t>
      </w:r>
      <w:r w:rsidR="00216041">
        <w:t>2</w:t>
      </w:r>
    </w:p>
    <w:tbl>
      <w:tblPr>
        <w:tblStyle w:val="ListTable3-Accent216"/>
        <w:tblW w:w="8504" w:type="dxa"/>
        <w:tblLayout w:type="fixed"/>
        <w:tblLook w:val="04A0" w:firstRow="1" w:lastRow="0" w:firstColumn="1" w:lastColumn="0" w:noHBand="0" w:noVBand="1"/>
      </w:tblPr>
      <w:tblGrid>
        <w:gridCol w:w="1843"/>
        <w:gridCol w:w="1418"/>
        <w:gridCol w:w="1275"/>
        <w:gridCol w:w="1701"/>
        <w:gridCol w:w="1276"/>
        <w:gridCol w:w="991"/>
      </w:tblGrid>
      <w:tr w:rsidR="00991DD7" w:rsidRPr="00991DD7" w14:paraId="0A317678" w14:textId="77777777" w:rsidTr="00A54D4C">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1843" w:type="dxa"/>
            <w:vMerge w:val="restart"/>
            <w:tcMar>
              <w:left w:w="57" w:type="dxa"/>
              <w:right w:w="57" w:type="dxa"/>
            </w:tcMar>
            <w:vAlign w:val="top"/>
          </w:tcPr>
          <w:p w14:paraId="3EB0E471" w14:textId="77777777" w:rsidR="00991DD7" w:rsidRPr="00991DD7" w:rsidRDefault="00991DD7" w:rsidP="00A54D4C">
            <w:pPr>
              <w:spacing w:after="0"/>
              <w:rPr>
                <w:rFonts w:ascii="Calibri Light" w:eastAsia="Rockwell" w:hAnsi="Calibri Light" w:cs="Arial"/>
                <w:color w:val="FFFFFF"/>
                <w:sz w:val="22"/>
              </w:rPr>
            </w:pPr>
            <w:r w:rsidRPr="00991DD7">
              <w:rPr>
                <w:rFonts w:ascii="Calibri Light" w:eastAsia="Rockwell" w:hAnsi="Calibri Light" w:cs="Arial"/>
                <w:color w:val="FFFFFF"/>
                <w:sz w:val="22"/>
              </w:rPr>
              <w:t>Classification</w:t>
            </w:r>
          </w:p>
        </w:tc>
        <w:tc>
          <w:tcPr>
            <w:tcW w:w="1418" w:type="dxa"/>
            <w:vMerge w:val="restart"/>
            <w:tcMar>
              <w:left w:w="108" w:type="dxa"/>
              <w:right w:w="108" w:type="dxa"/>
            </w:tcMar>
            <w:vAlign w:val="top"/>
          </w:tcPr>
          <w:p w14:paraId="233897DF" w14:textId="0DE6EB8E"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 xml:space="preserve">Value </w:t>
            </w:r>
            <w:proofErr w:type="gramStart"/>
            <w:r w:rsidRPr="00991DD7">
              <w:rPr>
                <w:rFonts w:ascii="Calibri Light" w:eastAsia="Rockwell" w:hAnsi="Calibri Light" w:cs="Arial"/>
                <w:color w:val="FFFFFF"/>
                <w:sz w:val="22"/>
              </w:rPr>
              <w:t>at</w:t>
            </w:r>
            <w:proofErr w:type="gramEnd"/>
            <w:r w:rsidRPr="00991DD7">
              <w:rPr>
                <w:rFonts w:ascii="Calibri Light" w:eastAsia="Rockwell" w:hAnsi="Calibri Light" w:cs="Arial"/>
                <w:color w:val="FFFFFF"/>
                <w:sz w:val="22"/>
              </w:rPr>
              <w:t xml:space="preserve"> 30 June 202</w:t>
            </w:r>
            <w:r w:rsidR="00216041">
              <w:rPr>
                <w:rFonts w:ascii="Calibri Light" w:eastAsia="Rockwell" w:hAnsi="Calibri Light" w:cs="Arial"/>
                <w:color w:val="FFFFFF"/>
                <w:sz w:val="22"/>
              </w:rPr>
              <w:t>2</w:t>
            </w:r>
          </w:p>
          <w:p w14:paraId="282B70C3" w14:textId="77777777" w:rsidR="00E72D9C"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3C3A2120" w14:textId="77777777" w:rsidR="00A54D4C" w:rsidRDefault="00A54D4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4D27112A" w14:textId="34264BE3"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 p.a.</w:t>
            </w:r>
          </w:p>
        </w:tc>
        <w:tc>
          <w:tcPr>
            <w:tcW w:w="2976" w:type="dxa"/>
            <w:gridSpan w:val="2"/>
            <w:tcBorders>
              <w:bottom w:val="nil"/>
            </w:tcBorders>
            <w:tcMar>
              <w:left w:w="57" w:type="dxa"/>
              <w:right w:w="57" w:type="dxa"/>
            </w:tcMar>
            <w:vAlign w:val="top"/>
          </w:tcPr>
          <w:p w14:paraId="6ECA5936" w14:textId="77777777" w:rsidR="00991DD7" w:rsidRPr="00991DD7" w:rsidRDefault="00991DD7" w:rsidP="00E72D9C">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Adjustments</w:t>
            </w:r>
          </w:p>
          <w:p w14:paraId="63CD6E77" w14:textId="179116D9" w:rsidR="00991DD7" w:rsidRPr="00991DD7" w:rsidRDefault="00991DD7" w:rsidP="00E72D9C">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c>
          <w:tcPr>
            <w:tcW w:w="1276" w:type="dxa"/>
            <w:vMerge w:val="restart"/>
            <w:tcMar>
              <w:left w:w="57" w:type="dxa"/>
              <w:right w:w="57" w:type="dxa"/>
            </w:tcMar>
            <w:vAlign w:val="top"/>
          </w:tcPr>
          <w:p w14:paraId="5B13C330" w14:textId="0A26DAD4"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Total adjustment</w:t>
            </w:r>
          </w:p>
          <w:p w14:paraId="0F02323B" w14:textId="77777777" w:rsidR="00E72D9C"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62513D8A" w14:textId="77777777" w:rsidR="00A54D4C" w:rsidRDefault="00A54D4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p>
          <w:p w14:paraId="20340139" w14:textId="3BB9AD08" w:rsidR="00991DD7" w:rsidRPr="00991DD7"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sidRPr="00991DD7">
              <w:rPr>
                <w:rFonts w:ascii="Calibri Light" w:eastAsia="Rockwell" w:hAnsi="Calibri Light" w:cs="Arial"/>
                <w:color w:val="FFFFFF"/>
                <w:sz w:val="22"/>
              </w:rPr>
              <w:t>$</w:t>
            </w:r>
          </w:p>
        </w:tc>
        <w:tc>
          <w:tcPr>
            <w:tcW w:w="991" w:type="dxa"/>
            <w:vMerge w:val="restart"/>
            <w:tcMar>
              <w:left w:w="108" w:type="dxa"/>
              <w:right w:w="108" w:type="dxa"/>
            </w:tcMar>
            <w:vAlign w:val="top"/>
          </w:tcPr>
          <w:p w14:paraId="205B8533" w14:textId="77777777" w:rsidR="00A54D4C" w:rsidRDefault="00991DD7"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 xml:space="preserve">Value </w:t>
            </w:r>
            <w:proofErr w:type="gramStart"/>
            <w:r w:rsidRPr="00991DD7">
              <w:rPr>
                <w:rFonts w:ascii="Calibri Light" w:eastAsia="Rockwell" w:hAnsi="Calibri Light" w:cs="Arial"/>
                <w:color w:val="FFFFFF"/>
                <w:sz w:val="22"/>
              </w:rPr>
              <w:t>at</w:t>
            </w:r>
            <w:proofErr w:type="gramEnd"/>
            <w:r w:rsidRPr="00991DD7">
              <w:rPr>
                <w:rFonts w:ascii="Calibri Light" w:eastAsia="Rockwell" w:hAnsi="Calibri Light" w:cs="Arial"/>
                <w:color w:val="FFFFFF"/>
                <w:sz w:val="22"/>
              </w:rPr>
              <w:t xml:space="preserve"> 1 July 202</w:t>
            </w:r>
            <w:r w:rsidR="00216041">
              <w:rPr>
                <w:rFonts w:ascii="Calibri Light" w:eastAsia="Rockwell" w:hAnsi="Calibri Light" w:cs="Arial"/>
                <w:color w:val="FFFFFF"/>
                <w:sz w:val="22"/>
              </w:rPr>
              <w:t>2</w:t>
            </w:r>
            <w:r w:rsidR="00E72D9C">
              <w:rPr>
                <w:rFonts w:ascii="Calibri Light" w:eastAsia="Rockwell" w:hAnsi="Calibri Light" w:cs="Arial"/>
                <w:color w:val="FFFFFF"/>
                <w:sz w:val="22"/>
              </w:rPr>
              <w:t xml:space="preserve"> </w:t>
            </w:r>
            <w:r w:rsidR="00E72D9C">
              <w:rPr>
                <w:rFonts w:ascii="Calibri Light" w:eastAsia="Rockwell" w:hAnsi="Calibri Light" w:cs="Arial"/>
                <w:color w:val="FFFFFF"/>
                <w:sz w:val="22"/>
              </w:rPr>
              <w:br/>
            </w:r>
          </w:p>
          <w:p w14:paraId="061FBA0F" w14:textId="61B2B877" w:rsidR="00991DD7" w:rsidRPr="00991DD7" w:rsidRDefault="00E72D9C" w:rsidP="00E72D9C">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 p.a.</w:t>
            </w:r>
          </w:p>
        </w:tc>
      </w:tr>
      <w:tr w:rsidR="00991DD7" w:rsidRPr="00991DD7" w14:paraId="4CB3D9B0" w14:textId="77777777" w:rsidTr="00AE47AA">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100" w:firstRow="0" w:lastRow="0" w:firstColumn="1" w:lastColumn="0" w:oddVBand="0" w:evenVBand="0" w:oddHBand="0" w:evenHBand="0" w:firstRowFirstColumn="1" w:firstRowLastColumn="0" w:lastRowFirstColumn="0" w:lastRowLastColumn="0"/>
            <w:tcW w:w="1843" w:type="dxa"/>
            <w:vMerge/>
          </w:tcPr>
          <w:p w14:paraId="269A82BB" w14:textId="77777777" w:rsidR="00991DD7" w:rsidRPr="00991DD7" w:rsidRDefault="00991DD7" w:rsidP="00991DD7">
            <w:pPr>
              <w:spacing w:after="0"/>
              <w:rPr>
                <w:rFonts w:ascii="Calibri Light" w:eastAsia="Rockwell" w:hAnsi="Calibri Light" w:cs="Arial"/>
                <w:color w:val="FFFFFF"/>
                <w:sz w:val="22"/>
              </w:rPr>
            </w:pPr>
          </w:p>
        </w:tc>
        <w:tc>
          <w:tcPr>
            <w:tcW w:w="1418" w:type="dxa"/>
            <w:vMerge/>
          </w:tcPr>
          <w:p w14:paraId="10960F10"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c>
          <w:tcPr>
            <w:tcW w:w="1275" w:type="dxa"/>
            <w:tcBorders>
              <w:top w:val="nil"/>
            </w:tcBorders>
            <w:shd w:val="clear" w:color="auto" w:fill="808080"/>
          </w:tcPr>
          <w:p w14:paraId="46F0331A" w14:textId="77777777" w:rsidR="00991DD7" w:rsidRDefault="00991DD7"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Salary component</w:t>
            </w:r>
          </w:p>
          <w:p w14:paraId="67CC8518" w14:textId="510F8C9C" w:rsidR="00A54D4C" w:rsidRPr="00991DD7" w:rsidRDefault="00A54D4C"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w:t>
            </w:r>
          </w:p>
        </w:tc>
        <w:tc>
          <w:tcPr>
            <w:tcW w:w="1701" w:type="dxa"/>
            <w:tcBorders>
              <w:top w:val="nil"/>
            </w:tcBorders>
            <w:shd w:val="clear" w:color="auto" w:fill="808080"/>
          </w:tcPr>
          <w:p w14:paraId="4EC0BD52" w14:textId="77777777" w:rsidR="00991DD7" w:rsidRDefault="00991DD7"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b w:val="0"/>
                <w:bCs w:val="0"/>
                <w:color w:val="FFFFFF"/>
                <w:sz w:val="22"/>
              </w:rPr>
            </w:pPr>
            <w:r w:rsidRPr="00991DD7">
              <w:rPr>
                <w:rFonts w:ascii="Calibri Light" w:eastAsia="Rockwell" w:hAnsi="Calibri Light" w:cs="Arial"/>
                <w:color w:val="FFFFFF"/>
                <w:sz w:val="22"/>
              </w:rPr>
              <w:t>Superannuation component</w:t>
            </w:r>
          </w:p>
          <w:p w14:paraId="2C1AD0F9" w14:textId="642DCA21" w:rsidR="00A54D4C" w:rsidRPr="00991DD7" w:rsidRDefault="00A54D4C" w:rsidP="00991DD7">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r>
              <w:rPr>
                <w:rFonts w:ascii="Calibri Light" w:eastAsia="Rockwell" w:hAnsi="Calibri Light" w:cs="Arial"/>
                <w:color w:val="FFFFFF"/>
                <w:sz w:val="22"/>
              </w:rPr>
              <w:t>$</w:t>
            </w:r>
          </w:p>
        </w:tc>
        <w:tc>
          <w:tcPr>
            <w:tcW w:w="1276" w:type="dxa"/>
            <w:vMerge/>
          </w:tcPr>
          <w:p w14:paraId="1BCF9F79"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c>
          <w:tcPr>
            <w:tcW w:w="991" w:type="dxa"/>
            <w:vMerge/>
          </w:tcPr>
          <w:p w14:paraId="0725B595" w14:textId="77777777" w:rsidR="00991DD7" w:rsidRPr="00991DD7" w:rsidRDefault="00991DD7" w:rsidP="00991DD7">
            <w:pPr>
              <w:spacing w:after="0"/>
              <w:cnfStyle w:val="100000000000" w:firstRow="1" w:lastRow="0" w:firstColumn="0" w:lastColumn="0" w:oddVBand="0" w:evenVBand="0" w:oddHBand="0" w:evenHBand="0" w:firstRowFirstColumn="0" w:firstRowLastColumn="0" w:lastRowFirstColumn="0" w:lastRowLastColumn="0"/>
              <w:rPr>
                <w:rFonts w:ascii="Calibri Light" w:eastAsia="Rockwell" w:hAnsi="Calibri Light" w:cs="Arial"/>
                <w:color w:val="FFFFFF"/>
                <w:sz w:val="22"/>
              </w:rPr>
            </w:pPr>
          </w:p>
        </w:tc>
      </w:tr>
      <w:tr w:rsidR="00216041" w:rsidRPr="00991DD7" w14:paraId="1AB76FE3" w14:textId="77777777" w:rsidTr="00124AE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2AB3167F" w14:textId="77777777" w:rsidR="00216041" w:rsidRPr="00991DD7" w:rsidRDefault="00216041" w:rsidP="00216041">
            <w:pPr>
              <w:spacing w:after="0" w:line="276" w:lineRule="auto"/>
              <w:contextualSpacing/>
              <w:rPr>
                <w:rFonts w:ascii="Calibri Light" w:eastAsia="Calibri" w:hAnsi="Calibri Light" w:cs="Calibri Light"/>
                <w:b w:val="0"/>
                <w:bCs w:val="0"/>
                <w:color w:val="auto"/>
                <w:sz w:val="22"/>
              </w:rPr>
            </w:pPr>
            <w:r w:rsidRPr="00991DD7">
              <w:rPr>
                <w:rFonts w:ascii="Calibri Light" w:eastAsia="Calibri" w:hAnsi="Calibri Light" w:cs="Calibri Light"/>
                <w:color w:val="auto"/>
                <w:sz w:val="22"/>
              </w:rPr>
              <w:t>SES-1/AO Head-1</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3372CCA5" w14:textId="77777777" w:rsidR="00216041" w:rsidRPr="00991DD7" w:rsidRDefault="00216041" w:rsidP="00216041">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1725660E" w14:textId="77777777" w:rsidR="00216041" w:rsidRPr="003045CA"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10C8D5EB" w14:textId="77777777" w:rsidR="00216041" w:rsidRPr="0008426A" w:rsidRDefault="00216041" w:rsidP="00216041">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08426A">
              <w:rPr>
                <w:rFonts w:ascii="Calibri Light" w:eastAsia="Rockwell" w:hAnsi="Calibri Light" w:cs="Calibri Light"/>
                <w:bCs/>
                <w:color w:val="auto"/>
                <w:sz w:val="22"/>
                <w:lang w:val="en-US"/>
              </w:rPr>
              <w:t>19</w:t>
            </w:r>
            <w:r>
              <w:rPr>
                <w:rFonts w:ascii="Calibri Light" w:eastAsia="Rockwell" w:hAnsi="Calibri Light" w:cs="Calibri Light"/>
                <w:bCs/>
                <w:color w:val="auto"/>
                <w:sz w:val="22"/>
                <w:lang w:val="en-US"/>
              </w:rPr>
              <w:t>9,014</w:t>
            </w:r>
          </w:p>
          <w:p w14:paraId="168C172C" w14:textId="03C36002" w:rsidR="00216041" w:rsidRPr="00991DD7"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Arial"/>
                <w:bCs/>
                <w:color w:val="auto"/>
                <w:sz w:val="22"/>
                <w:lang w:val="en-US"/>
              </w:rPr>
              <w:t>257,111</w:t>
            </w:r>
          </w:p>
        </w:tc>
        <w:tc>
          <w:tcPr>
            <w:tcW w:w="1275" w:type="dxa"/>
            <w:tcMar>
              <w:right w:w="0" w:type="dxa"/>
            </w:tcMar>
            <w:vAlign w:val="bottom"/>
          </w:tcPr>
          <w:p w14:paraId="2899D45A" w14:textId="77777777" w:rsidR="00CC46A6" w:rsidRPr="0008426A" w:rsidRDefault="00CC46A6" w:rsidP="00CC46A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3EDDEC56" w14:textId="77777777" w:rsidR="00CC46A6" w:rsidRDefault="00CC46A6" w:rsidP="00CC46A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6,513</w:t>
            </w:r>
          </w:p>
          <w:p w14:paraId="1A0D7997" w14:textId="0E755EC7" w:rsidR="00216041" w:rsidRPr="00CC46A6" w:rsidRDefault="00CC46A6" w:rsidP="00CC46A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Pr>
                <w:rFonts w:ascii="Calibri Light" w:eastAsia="Rockwell" w:hAnsi="Calibri Light" w:cs="Calibri Light"/>
                <w:bCs/>
                <w:color w:val="auto"/>
                <w:sz w:val="22"/>
                <w:lang w:val="en-US"/>
              </w:rPr>
              <w:t>8,415</w:t>
            </w:r>
          </w:p>
        </w:tc>
        <w:tc>
          <w:tcPr>
            <w:tcW w:w="1701" w:type="dxa"/>
            <w:vAlign w:val="bottom"/>
          </w:tcPr>
          <w:p w14:paraId="564C28E3" w14:textId="77777777" w:rsidR="00CC46A6" w:rsidRPr="009A4CF5" w:rsidRDefault="00CC46A6" w:rsidP="00CC46A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9A4CF5">
              <w:rPr>
                <w:rFonts w:ascii="Calibri Light" w:eastAsia="Rockwell" w:hAnsi="Calibri Light" w:cs="Arial"/>
                <w:bCs/>
                <w:color w:val="auto"/>
                <w:sz w:val="22"/>
                <w:lang w:val="en-US"/>
              </w:rPr>
              <w:t>1,589</w:t>
            </w:r>
          </w:p>
          <w:p w14:paraId="66AE6CC0" w14:textId="42C962EF" w:rsidR="00216041" w:rsidRPr="009A4CF5" w:rsidRDefault="00CC46A6"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9A4CF5">
              <w:rPr>
                <w:rFonts w:ascii="Calibri Light" w:eastAsia="Rockwell" w:hAnsi="Calibri Light" w:cs="Arial"/>
                <w:bCs/>
                <w:color w:val="auto"/>
                <w:sz w:val="22"/>
                <w:lang w:val="en-US"/>
              </w:rPr>
              <w:t>1,919</w:t>
            </w:r>
          </w:p>
        </w:tc>
        <w:tc>
          <w:tcPr>
            <w:tcW w:w="1276" w:type="dxa"/>
            <w:vAlign w:val="bottom"/>
          </w:tcPr>
          <w:p w14:paraId="4C8EF8D0" w14:textId="79B259FE" w:rsidR="00216041" w:rsidRPr="00C10D99" w:rsidRDefault="009520D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8,102</w:t>
            </w:r>
          </w:p>
          <w:p w14:paraId="23EC0F18" w14:textId="115BC030" w:rsidR="00216041" w:rsidRPr="00C10D99" w:rsidRDefault="00930D07"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10,334</w:t>
            </w:r>
          </w:p>
        </w:tc>
        <w:tc>
          <w:tcPr>
            <w:tcW w:w="991" w:type="dxa"/>
            <w:vAlign w:val="bottom"/>
          </w:tcPr>
          <w:p w14:paraId="34648055" w14:textId="1C33C976" w:rsidR="00216041" w:rsidRPr="007029E1" w:rsidRDefault="00C10D99"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207,116</w:t>
            </w:r>
          </w:p>
          <w:p w14:paraId="083CACA2" w14:textId="20267352" w:rsidR="00216041" w:rsidRPr="007029E1" w:rsidRDefault="00C10D99"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267,445</w:t>
            </w:r>
          </w:p>
        </w:tc>
      </w:tr>
      <w:tr w:rsidR="00216041" w:rsidRPr="00991DD7" w14:paraId="03605A50" w14:textId="77777777" w:rsidTr="00124AE0">
        <w:trPr>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0A4C1150" w14:textId="77777777" w:rsidR="00216041" w:rsidRPr="00991DD7" w:rsidRDefault="00216041" w:rsidP="00216041">
            <w:pPr>
              <w:spacing w:after="0" w:line="276" w:lineRule="auto"/>
              <w:contextualSpacing/>
              <w:rPr>
                <w:rFonts w:ascii="Calibri Light" w:eastAsia="Calibri" w:hAnsi="Calibri Light" w:cs="Calibri Light"/>
                <w:b w:val="0"/>
                <w:bCs w:val="0"/>
                <w:color w:val="auto"/>
                <w:sz w:val="22"/>
              </w:rPr>
            </w:pPr>
            <w:r w:rsidRPr="00991DD7">
              <w:rPr>
                <w:rFonts w:ascii="Calibri Light" w:eastAsia="Calibri" w:hAnsi="Calibri Light" w:cs="Calibri Light"/>
                <w:color w:val="auto"/>
                <w:sz w:val="22"/>
              </w:rPr>
              <w:t>SES-2/AO Head-2</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2340E63B" w14:textId="77777777" w:rsidR="00216041" w:rsidRPr="00991DD7" w:rsidRDefault="00216041" w:rsidP="00216041">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2D0E93D8" w14:textId="77777777" w:rsidR="00216041" w:rsidRPr="003045CA"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234A8589" w14:textId="77777777" w:rsidR="00216041" w:rsidRPr="0008426A" w:rsidRDefault="00216041" w:rsidP="00216041">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257,112</w:t>
            </w:r>
          </w:p>
          <w:p w14:paraId="42D7B6D1" w14:textId="7CF197DB" w:rsidR="00216041" w:rsidRPr="00991DD7"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370,331</w:t>
            </w:r>
          </w:p>
        </w:tc>
        <w:tc>
          <w:tcPr>
            <w:tcW w:w="1275" w:type="dxa"/>
            <w:tcMar>
              <w:right w:w="0" w:type="dxa"/>
            </w:tcMar>
            <w:vAlign w:val="bottom"/>
          </w:tcPr>
          <w:p w14:paraId="21A0F4C3" w14:textId="77777777" w:rsidR="00CC46A6" w:rsidRDefault="00CC46A6" w:rsidP="00CC46A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D771B5">
              <w:rPr>
                <w:rFonts w:ascii="Calibri Light" w:eastAsia="Rockwell" w:hAnsi="Calibri Light" w:cs="Calibri Light"/>
                <w:bCs/>
                <w:color w:val="auto"/>
                <w:sz w:val="22"/>
                <w:lang w:val="en-US"/>
              </w:rPr>
              <w:t>8,415</w:t>
            </w:r>
          </w:p>
          <w:p w14:paraId="0F3CB6EA" w14:textId="133DD9E4" w:rsidR="00216041" w:rsidRPr="00CC46A6" w:rsidRDefault="00CC46A6" w:rsidP="00CC46A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D771B5">
              <w:rPr>
                <w:rFonts w:ascii="Calibri Light" w:eastAsia="Rockwell" w:hAnsi="Calibri Light" w:cs="Calibri Light"/>
                <w:bCs/>
                <w:color w:val="auto"/>
                <w:sz w:val="22"/>
                <w:lang w:val="en-US"/>
              </w:rPr>
              <w:t>12,48</w:t>
            </w:r>
            <w:r w:rsidR="006948C9">
              <w:rPr>
                <w:rFonts w:ascii="Calibri Light" w:eastAsia="Rockwell" w:hAnsi="Calibri Light" w:cs="Calibri Light"/>
                <w:bCs/>
                <w:color w:val="auto"/>
                <w:sz w:val="22"/>
                <w:lang w:val="en-US"/>
              </w:rPr>
              <w:t>4</w:t>
            </w:r>
          </w:p>
        </w:tc>
        <w:tc>
          <w:tcPr>
            <w:tcW w:w="1701" w:type="dxa"/>
            <w:vAlign w:val="bottom"/>
          </w:tcPr>
          <w:p w14:paraId="71C15155" w14:textId="77777777" w:rsidR="00CC46A6" w:rsidRPr="009A4CF5" w:rsidRDefault="00216041" w:rsidP="00CC46A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9A4CF5">
              <w:rPr>
                <w:rFonts w:ascii="Calibri Light" w:eastAsia="Rockwell" w:hAnsi="Calibri Light" w:cs="Arial"/>
                <w:bCs/>
                <w:color w:val="auto"/>
                <w:sz w:val="22"/>
                <w:lang w:val="en-US"/>
              </w:rPr>
              <w:t>1,</w:t>
            </w:r>
            <w:r w:rsidR="00CC46A6" w:rsidRPr="009A4CF5">
              <w:rPr>
                <w:rFonts w:ascii="Calibri Light" w:eastAsia="Rockwell" w:hAnsi="Calibri Light" w:cs="Arial"/>
                <w:bCs/>
                <w:color w:val="auto"/>
                <w:sz w:val="22"/>
                <w:lang w:val="en-US"/>
              </w:rPr>
              <w:t>919</w:t>
            </w:r>
          </w:p>
          <w:p w14:paraId="24BA4ACF" w14:textId="205A0E6F" w:rsidR="00216041" w:rsidRPr="009A4CF5" w:rsidRDefault="00CC46A6"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9A4CF5">
              <w:rPr>
                <w:rFonts w:ascii="Calibri Light" w:eastAsia="Rockwell" w:hAnsi="Calibri Light" w:cs="Arial"/>
                <w:bCs/>
                <w:color w:val="auto"/>
                <w:sz w:val="22"/>
                <w:lang w:val="en-US"/>
              </w:rPr>
              <w:t>1,725</w:t>
            </w:r>
          </w:p>
        </w:tc>
        <w:tc>
          <w:tcPr>
            <w:tcW w:w="1276" w:type="dxa"/>
            <w:vAlign w:val="bottom"/>
          </w:tcPr>
          <w:p w14:paraId="783A7A9B" w14:textId="6E5076D4" w:rsidR="00216041" w:rsidRPr="00C10D99" w:rsidRDefault="00907C40"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10,334</w:t>
            </w:r>
          </w:p>
          <w:p w14:paraId="0E5B1836" w14:textId="60D1DCB1" w:rsidR="00216041" w:rsidRPr="00C10D99" w:rsidRDefault="00907C40"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14,209</w:t>
            </w:r>
          </w:p>
        </w:tc>
        <w:tc>
          <w:tcPr>
            <w:tcW w:w="991" w:type="dxa"/>
            <w:vAlign w:val="bottom"/>
          </w:tcPr>
          <w:p w14:paraId="579EDFCF" w14:textId="6841CBEB" w:rsidR="00216041" w:rsidRPr="007029E1" w:rsidRDefault="00C10D99"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267,446</w:t>
            </w:r>
          </w:p>
          <w:p w14:paraId="74CD4F19" w14:textId="2EDF51FC" w:rsidR="00216041" w:rsidRPr="007029E1" w:rsidRDefault="003603E7"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384,540</w:t>
            </w:r>
          </w:p>
        </w:tc>
      </w:tr>
      <w:tr w:rsidR="00216041" w:rsidRPr="00991DD7" w14:paraId="7EBC7C16" w14:textId="77777777" w:rsidTr="00124AE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227555A7" w14:textId="77777777" w:rsidR="00216041" w:rsidRPr="00991DD7" w:rsidRDefault="00216041" w:rsidP="00216041">
            <w:pPr>
              <w:spacing w:after="0" w:line="276" w:lineRule="auto"/>
              <w:contextualSpacing/>
              <w:rPr>
                <w:rFonts w:ascii="Calibri Light" w:eastAsia="Calibri" w:hAnsi="Calibri Light" w:cs="Calibri Light"/>
                <w:b w:val="0"/>
                <w:bCs w:val="0"/>
                <w:color w:val="auto"/>
                <w:sz w:val="22"/>
              </w:rPr>
            </w:pPr>
            <w:r w:rsidRPr="00991DD7">
              <w:rPr>
                <w:rFonts w:ascii="Calibri Light" w:eastAsia="Calibri" w:hAnsi="Calibri Light" w:cs="Calibri Light"/>
                <w:color w:val="auto"/>
                <w:sz w:val="22"/>
              </w:rPr>
              <w:t>SES-3/AO Head-3</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0A63B00D" w14:textId="77777777" w:rsidR="00216041" w:rsidRPr="00991DD7" w:rsidRDefault="00216041" w:rsidP="00216041">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66A94A77" w14:textId="77777777" w:rsidR="00216041" w:rsidRPr="003045CA"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p>
          <w:p w14:paraId="079AA022" w14:textId="77777777" w:rsidR="00216041" w:rsidRPr="0008426A" w:rsidRDefault="00216041" w:rsidP="00216041">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370,332</w:t>
            </w:r>
          </w:p>
          <w:p w14:paraId="0EFE93E6" w14:textId="51FDF737" w:rsidR="00216041" w:rsidRPr="00991DD7"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493,229</w:t>
            </w:r>
          </w:p>
        </w:tc>
        <w:tc>
          <w:tcPr>
            <w:tcW w:w="1275" w:type="dxa"/>
            <w:tcMar>
              <w:right w:w="0" w:type="dxa"/>
            </w:tcMar>
            <w:vAlign w:val="bottom"/>
          </w:tcPr>
          <w:p w14:paraId="45395EAC" w14:textId="77777777" w:rsidR="00CC46A6" w:rsidRDefault="00CC46A6" w:rsidP="00CC46A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bCs/>
                <w:color w:val="auto"/>
                <w:sz w:val="22"/>
                <w:lang w:val="en-US"/>
              </w:rPr>
            </w:pPr>
            <w:r w:rsidRPr="00D771B5">
              <w:rPr>
                <w:rFonts w:ascii="Calibri Light" w:eastAsia="Rockwell" w:hAnsi="Calibri Light" w:cs="Calibri Light"/>
                <w:bCs/>
                <w:color w:val="auto"/>
                <w:sz w:val="22"/>
                <w:lang w:val="en-US"/>
              </w:rPr>
              <w:t>12,484</w:t>
            </w:r>
          </w:p>
          <w:p w14:paraId="611AAD27" w14:textId="44F1C067" w:rsidR="00216041" w:rsidRPr="00CC46A6" w:rsidRDefault="00CC46A6" w:rsidP="00CC46A6">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D771B5">
              <w:rPr>
                <w:rFonts w:ascii="Calibri Light" w:eastAsia="Rockwell" w:hAnsi="Calibri Light" w:cs="Calibri Light"/>
                <w:bCs/>
                <w:color w:val="auto"/>
                <w:sz w:val="22"/>
                <w:lang w:val="en-US"/>
              </w:rPr>
              <w:t>16,908</w:t>
            </w:r>
          </w:p>
        </w:tc>
        <w:tc>
          <w:tcPr>
            <w:tcW w:w="1701" w:type="dxa"/>
            <w:vAlign w:val="bottom"/>
          </w:tcPr>
          <w:p w14:paraId="28E33673" w14:textId="77777777" w:rsidR="00216041" w:rsidRPr="003045CA"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p>
          <w:p w14:paraId="2FACAEF9" w14:textId="77777777" w:rsidR="00CC46A6" w:rsidRPr="003045CA" w:rsidRDefault="00CC46A6" w:rsidP="00CC46A6">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725</w:t>
            </w:r>
          </w:p>
          <w:p w14:paraId="79B20049" w14:textId="0EC14E18" w:rsidR="00216041" w:rsidRPr="00991DD7" w:rsidRDefault="00216041"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sidR="00CC46A6">
              <w:rPr>
                <w:rFonts w:ascii="Calibri Light" w:eastAsia="Rockwell" w:hAnsi="Calibri Light" w:cs="Arial"/>
                <w:bCs/>
                <w:color w:val="auto"/>
                <w:sz w:val="22"/>
                <w:lang w:val="en-US"/>
              </w:rPr>
              <w:t>725</w:t>
            </w:r>
          </w:p>
        </w:tc>
        <w:tc>
          <w:tcPr>
            <w:tcW w:w="1276" w:type="dxa"/>
            <w:vAlign w:val="bottom"/>
          </w:tcPr>
          <w:p w14:paraId="5114A08D" w14:textId="4460FE4A" w:rsidR="00216041" w:rsidRPr="00C10D99" w:rsidRDefault="00907C40"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14,209</w:t>
            </w:r>
          </w:p>
          <w:p w14:paraId="75B00CCC" w14:textId="4584B304" w:rsidR="00216041" w:rsidRPr="00C10D99" w:rsidRDefault="004C6BBE"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18,633</w:t>
            </w:r>
          </w:p>
        </w:tc>
        <w:tc>
          <w:tcPr>
            <w:tcW w:w="991" w:type="dxa"/>
            <w:vAlign w:val="bottom"/>
          </w:tcPr>
          <w:p w14:paraId="5C34C49F" w14:textId="671831C9" w:rsidR="00216041" w:rsidRPr="007029E1" w:rsidRDefault="003603E7"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384,541</w:t>
            </w:r>
          </w:p>
          <w:p w14:paraId="45A5A51F" w14:textId="20CCBEF0" w:rsidR="00216041" w:rsidRPr="007029E1" w:rsidRDefault="003603E7" w:rsidP="00216041">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511,862</w:t>
            </w:r>
          </w:p>
        </w:tc>
      </w:tr>
      <w:tr w:rsidR="00216041" w:rsidRPr="00991DD7" w14:paraId="0ED8F1C0" w14:textId="77777777" w:rsidTr="00124AE0">
        <w:trPr>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1FF1526D" w14:textId="77777777" w:rsidR="00216041" w:rsidRPr="00991DD7" w:rsidRDefault="00216041" w:rsidP="00216041">
            <w:pPr>
              <w:spacing w:after="0" w:line="276" w:lineRule="auto"/>
              <w:contextualSpacing/>
              <w:rPr>
                <w:rFonts w:ascii="Calibri Light" w:eastAsia="Calibri" w:hAnsi="Calibri Light" w:cs="Calibri Light"/>
                <w:b w:val="0"/>
                <w:bCs w:val="0"/>
                <w:color w:val="auto"/>
                <w:sz w:val="22"/>
              </w:rPr>
            </w:pPr>
            <w:r w:rsidRPr="00991DD7">
              <w:rPr>
                <w:rFonts w:ascii="Calibri Light" w:eastAsia="Calibri" w:hAnsi="Calibri Light" w:cs="Calibri Light"/>
                <w:color w:val="auto"/>
                <w:sz w:val="22"/>
              </w:rPr>
              <w:t>Secretaries/VPSC Commissioner</w:t>
            </w:r>
            <w:r w:rsidRPr="00991DD7">
              <w:rPr>
                <w:rFonts w:ascii="Calibri Light" w:eastAsia="Calibri" w:hAnsi="Calibri Light" w:cs="Calibri Light"/>
                <w:color w:val="auto"/>
                <w:sz w:val="22"/>
              </w:rPr>
              <w:br/>
            </w:r>
            <w:r w:rsidRPr="00991DD7">
              <w:rPr>
                <w:rFonts w:ascii="Calibri Light" w:eastAsia="Calibri" w:hAnsi="Calibri Light" w:cs="Calibri Light"/>
                <w:b w:val="0"/>
                <w:bCs w:val="0"/>
                <w:color w:val="auto"/>
                <w:sz w:val="22"/>
              </w:rPr>
              <w:t>base of band</w:t>
            </w:r>
          </w:p>
          <w:p w14:paraId="07F3F1F3" w14:textId="77777777" w:rsidR="00216041" w:rsidRPr="00991DD7" w:rsidRDefault="00216041" w:rsidP="00216041">
            <w:pPr>
              <w:spacing w:after="0"/>
              <w:contextualSpacing/>
              <w:rPr>
                <w:rFonts w:ascii="Calibri Light" w:eastAsia="Rockwell" w:hAnsi="Calibri Light" w:cs="Arial"/>
                <w:color w:val="auto"/>
                <w:sz w:val="22"/>
                <w:lang w:val="en-US"/>
              </w:rPr>
            </w:pPr>
            <w:r w:rsidRPr="00991DD7">
              <w:rPr>
                <w:rFonts w:ascii="Calibri Light" w:eastAsia="Rockwell" w:hAnsi="Calibri Light" w:cs="Calibri Light"/>
                <w:b w:val="0"/>
                <w:bCs w:val="0"/>
                <w:color w:val="auto"/>
                <w:sz w:val="22"/>
                <w:lang w:val="en-US"/>
              </w:rPr>
              <w:t>top of band</w:t>
            </w:r>
          </w:p>
        </w:tc>
        <w:tc>
          <w:tcPr>
            <w:tcW w:w="1418" w:type="dxa"/>
            <w:vAlign w:val="bottom"/>
          </w:tcPr>
          <w:p w14:paraId="3E4919B5" w14:textId="77777777" w:rsidR="00216041" w:rsidRPr="003045CA"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156C1590" w14:textId="77777777" w:rsidR="00216041" w:rsidRPr="003045CA"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p>
          <w:p w14:paraId="6E8402DC" w14:textId="77777777" w:rsidR="00216041" w:rsidRPr="0008426A" w:rsidRDefault="00216041" w:rsidP="00216041">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Pr>
                <w:rFonts w:ascii="Calibri Light" w:eastAsia="Rockwell" w:hAnsi="Calibri Light" w:cs="Calibri Light"/>
                <w:bCs/>
                <w:color w:val="auto"/>
                <w:sz w:val="22"/>
                <w:lang w:val="en-US"/>
              </w:rPr>
              <w:t>534,331</w:t>
            </w:r>
          </w:p>
          <w:p w14:paraId="170AE23D" w14:textId="596EB20C" w:rsidR="00216041" w:rsidRPr="00991DD7"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Pr>
                <w:rFonts w:ascii="Calibri Light" w:eastAsia="Rockwell" w:hAnsi="Calibri Light" w:cs="Calibri Light"/>
                <w:bCs/>
                <w:color w:val="auto"/>
                <w:sz w:val="22"/>
                <w:lang w:val="en-US"/>
              </w:rPr>
              <w:t>720,676</w:t>
            </w:r>
          </w:p>
        </w:tc>
        <w:tc>
          <w:tcPr>
            <w:tcW w:w="1275" w:type="dxa"/>
            <w:tcMar>
              <w:right w:w="0" w:type="dxa"/>
            </w:tcMar>
            <w:vAlign w:val="bottom"/>
          </w:tcPr>
          <w:p w14:paraId="7AB99BB7" w14:textId="77777777" w:rsidR="00CC46A6" w:rsidRDefault="00CC46A6" w:rsidP="00CC46A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bCs/>
                <w:color w:val="auto"/>
                <w:sz w:val="22"/>
                <w:lang w:val="en-US"/>
              </w:rPr>
            </w:pPr>
            <w:r w:rsidRPr="00D771B5">
              <w:rPr>
                <w:rFonts w:ascii="Calibri Light" w:eastAsia="Rockwell" w:hAnsi="Calibri Light" w:cs="Calibri Light"/>
                <w:bCs/>
                <w:color w:val="auto"/>
                <w:sz w:val="22"/>
                <w:lang w:val="en-US"/>
              </w:rPr>
              <w:t>18,387</w:t>
            </w:r>
          </w:p>
          <w:p w14:paraId="706654BC" w14:textId="3D97B0E5" w:rsidR="00216041" w:rsidRPr="00CC46A6" w:rsidRDefault="00CC46A6" w:rsidP="00CC46A6">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D771B5">
              <w:rPr>
                <w:rFonts w:ascii="Calibri Light" w:eastAsia="Rockwell" w:hAnsi="Calibri Light" w:cs="Calibri Light"/>
                <w:bCs/>
                <w:color w:val="auto"/>
                <w:sz w:val="22"/>
                <w:lang w:val="en-US"/>
              </w:rPr>
              <w:t>25,096</w:t>
            </w:r>
          </w:p>
        </w:tc>
        <w:tc>
          <w:tcPr>
            <w:tcW w:w="1701" w:type="dxa"/>
            <w:vAlign w:val="bottom"/>
          </w:tcPr>
          <w:p w14:paraId="579EC11D" w14:textId="77777777" w:rsidR="00CC46A6" w:rsidRPr="003045CA" w:rsidRDefault="00CC46A6" w:rsidP="00CC46A6">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Pr>
                <w:rFonts w:ascii="Calibri Light" w:eastAsia="Rockwell" w:hAnsi="Calibri Light" w:cs="Arial"/>
                <w:bCs/>
                <w:color w:val="auto"/>
                <w:sz w:val="22"/>
                <w:lang w:val="en-US"/>
              </w:rPr>
              <w:t>725</w:t>
            </w:r>
          </w:p>
          <w:p w14:paraId="0C976015" w14:textId="00635BD1" w:rsidR="00216041" w:rsidRPr="00991DD7" w:rsidRDefault="0021604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Arial"/>
                <w:bCs/>
                <w:color w:val="auto"/>
                <w:sz w:val="22"/>
                <w:lang w:val="en-US"/>
              </w:rPr>
            </w:pPr>
            <w:r w:rsidRPr="003045CA">
              <w:rPr>
                <w:rFonts w:ascii="Calibri Light" w:eastAsia="Rockwell" w:hAnsi="Calibri Light" w:cs="Arial"/>
                <w:bCs/>
                <w:color w:val="auto"/>
                <w:sz w:val="22"/>
                <w:lang w:val="en-US"/>
              </w:rPr>
              <w:t>1,</w:t>
            </w:r>
            <w:r w:rsidR="00CC46A6">
              <w:rPr>
                <w:rFonts w:ascii="Calibri Light" w:eastAsia="Rockwell" w:hAnsi="Calibri Light" w:cs="Arial"/>
                <w:bCs/>
                <w:color w:val="auto"/>
                <w:sz w:val="22"/>
                <w:lang w:val="en-US"/>
              </w:rPr>
              <w:t>725</w:t>
            </w:r>
          </w:p>
        </w:tc>
        <w:tc>
          <w:tcPr>
            <w:tcW w:w="1276" w:type="dxa"/>
            <w:vAlign w:val="bottom"/>
          </w:tcPr>
          <w:p w14:paraId="12507282" w14:textId="791B7938" w:rsidR="00216041" w:rsidRPr="00C10D99" w:rsidRDefault="004C6BBE"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20,112</w:t>
            </w:r>
          </w:p>
          <w:p w14:paraId="0FEB252A" w14:textId="51259E3B" w:rsidR="00216041" w:rsidRPr="00C10D99" w:rsidRDefault="00C10D99"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C10D99">
              <w:rPr>
                <w:rFonts w:ascii="Calibri Light" w:eastAsia="Rockwell" w:hAnsi="Calibri Light" w:cs="Calibri Light"/>
                <w:bCs/>
                <w:color w:val="auto"/>
                <w:sz w:val="22"/>
                <w:lang w:val="en-US"/>
              </w:rPr>
              <w:t>26,821</w:t>
            </w:r>
          </w:p>
        </w:tc>
        <w:tc>
          <w:tcPr>
            <w:tcW w:w="991" w:type="dxa"/>
            <w:vAlign w:val="bottom"/>
          </w:tcPr>
          <w:p w14:paraId="36591B20" w14:textId="4F6E5727" w:rsidR="00216041" w:rsidRPr="007029E1" w:rsidRDefault="007029E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554,443</w:t>
            </w:r>
          </w:p>
          <w:p w14:paraId="77443602" w14:textId="62EAFB03" w:rsidR="00216041" w:rsidRPr="007029E1" w:rsidRDefault="007029E1" w:rsidP="00216041">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Light" w:eastAsia="Rockwell" w:hAnsi="Calibri Light" w:cs="Calibri Light"/>
                <w:color w:val="auto"/>
                <w:sz w:val="22"/>
                <w:lang w:val="en-US"/>
              </w:rPr>
            </w:pPr>
            <w:r w:rsidRPr="007029E1">
              <w:rPr>
                <w:rFonts w:ascii="Calibri Light" w:eastAsia="Rockwell" w:hAnsi="Calibri Light" w:cs="Calibri Light"/>
                <w:bCs/>
                <w:color w:val="auto"/>
                <w:sz w:val="22"/>
                <w:lang w:val="en-US"/>
              </w:rPr>
              <w:t>747,497</w:t>
            </w:r>
          </w:p>
        </w:tc>
      </w:tr>
    </w:tbl>
    <w:p w14:paraId="04E93BC7" w14:textId="7E8B9A2E" w:rsidR="009B4296" w:rsidRDefault="009B4296" w:rsidP="009B4296">
      <w:pPr>
        <w:pStyle w:val="02VIRTHeading2"/>
      </w:pPr>
      <w:bookmarkStart w:id="59" w:name="_Toc106614540"/>
      <w:r>
        <w:t>4.4</w:t>
      </w:r>
      <w:r>
        <w:tab/>
        <w:t>Conclusion</w:t>
      </w:r>
      <w:bookmarkEnd w:id="59"/>
    </w:p>
    <w:p w14:paraId="61691FAF" w14:textId="0171BDF6" w:rsidR="009B4296" w:rsidRPr="009B4296" w:rsidRDefault="009B4296" w:rsidP="009B4296">
      <w:pPr>
        <w:pStyle w:val="05Paragraph"/>
      </w:pPr>
      <w:r w:rsidRPr="009B4296">
        <w:t xml:space="preserve">This Statement of Reasons explains the Tribunal’s considerations in making the </w:t>
      </w:r>
      <w:r w:rsidR="00AF70BB">
        <w:t>2022 VPS Annual Adjustment Determination</w:t>
      </w:r>
      <w:r w:rsidRPr="009B4296">
        <w:t>.</w:t>
      </w:r>
    </w:p>
    <w:p w14:paraId="18F15FEF" w14:textId="19A11D89" w:rsidR="009B4296" w:rsidRPr="009B4296" w:rsidRDefault="009B4296" w:rsidP="009B4296">
      <w:pPr>
        <w:pStyle w:val="05Paragraph"/>
      </w:pPr>
      <w:r w:rsidRPr="009B4296">
        <w:t>In April 202</w:t>
      </w:r>
      <w:r>
        <w:t>2</w:t>
      </w:r>
      <w:r w:rsidRPr="009B4296">
        <w:t xml:space="preserve">, the Tribunal published </w:t>
      </w:r>
      <w:r w:rsidR="0023126A" w:rsidRPr="009B4296">
        <w:t>on its website</w:t>
      </w:r>
      <w:r w:rsidR="0023126A">
        <w:t xml:space="preserve"> </w:t>
      </w:r>
      <w:r>
        <w:t xml:space="preserve">notice of its intention to </w:t>
      </w:r>
      <w:proofErr w:type="gramStart"/>
      <w:r>
        <w:t>make a</w:t>
      </w:r>
      <w:r w:rsidRPr="009B4296">
        <w:t xml:space="preserve"> Determination</w:t>
      </w:r>
      <w:proofErr w:type="gramEnd"/>
      <w:r w:rsidRPr="009B4296">
        <w:t xml:space="preserve">, including details about the proposed Determination and a summary of the matters it was required to consider. The Tribunal also gave any affected person or class of affected persons a reasonable opportunity to make a </w:t>
      </w:r>
      <w:r w:rsidRPr="009B4296">
        <w:lastRenderedPageBreak/>
        <w:t xml:space="preserve">submission regarding the proposed Determination. </w:t>
      </w:r>
      <w:r w:rsidR="002904EC">
        <w:t>The Tribunal received one written submission</w:t>
      </w:r>
      <w:r w:rsidR="003B0F18">
        <w:t>.</w:t>
      </w:r>
    </w:p>
    <w:p w14:paraId="7EFA01C0" w14:textId="77777777" w:rsidR="009B4296" w:rsidRPr="009B4296" w:rsidRDefault="009B4296" w:rsidP="009B4296">
      <w:pPr>
        <w:pStyle w:val="05Paragraph"/>
      </w:pPr>
      <w:r w:rsidRPr="009B4296">
        <w:t xml:space="preserve">In accordance with the VIRTIPS Act, the Tribunal has determined to make an annual adjustment to the values of the remuneration bands, </w:t>
      </w:r>
      <w:proofErr w:type="gramStart"/>
      <w:r w:rsidRPr="009B4296">
        <w:t>taking into account</w:t>
      </w:r>
      <w:proofErr w:type="gramEnd"/>
      <w:r w:rsidRPr="009B4296">
        <w:t xml:space="preserve"> a range of considerations including:</w:t>
      </w:r>
    </w:p>
    <w:p w14:paraId="58223037" w14:textId="2A7812FB" w:rsidR="009B4296" w:rsidRPr="009B4296" w:rsidRDefault="0005531A" w:rsidP="009B4296">
      <w:pPr>
        <w:pStyle w:val="06VIRTBulletpoints"/>
      </w:pPr>
      <w:r>
        <w:t xml:space="preserve">current Victorian Government </w:t>
      </w:r>
      <w:r w:rsidRPr="006B7517">
        <w:t>statement</w:t>
      </w:r>
      <w:r>
        <w:t>s</w:t>
      </w:r>
      <w:r w:rsidRPr="006B7517">
        <w:t xml:space="preserve"> or polic</w:t>
      </w:r>
      <w:r>
        <w:t>ies</w:t>
      </w:r>
      <w:r w:rsidRPr="006B7517">
        <w:t xml:space="preserve"> with respect to wages (or equivalent) and </w:t>
      </w:r>
      <w:r w:rsidRPr="00BC4D7D">
        <w:t>the remuneration and allowances of any specified occupational group</w:t>
      </w:r>
      <w:r w:rsidR="009B4296" w:rsidRPr="009B4296">
        <w:t xml:space="preserve"> (s</w:t>
      </w:r>
      <w:r w:rsidR="009B4296">
        <w:t xml:space="preserve">. </w:t>
      </w:r>
      <w:r w:rsidR="009B4296" w:rsidRPr="009B4296">
        <w:t>24(2)(a))</w:t>
      </w:r>
    </w:p>
    <w:p w14:paraId="532B5919" w14:textId="6B12281F" w:rsidR="009B4296" w:rsidRPr="009B4296" w:rsidRDefault="009B4296" w:rsidP="009B4296">
      <w:pPr>
        <w:pStyle w:val="06VIRTBulletpoints"/>
      </w:pPr>
      <w:r w:rsidRPr="009B4296">
        <w:t>the financial position and fiscal strategy of the State of Victoria (s</w:t>
      </w:r>
      <w:r>
        <w:t xml:space="preserve">. </w:t>
      </w:r>
      <w:r w:rsidRPr="009B4296">
        <w:t xml:space="preserve">24(2)(b)) </w:t>
      </w:r>
    </w:p>
    <w:p w14:paraId="4105FE41" w14:textId="5AB8DAA3" w:rsidR="009B4296" w:rsidRPr="009B4296" w:rsidRDefault="009B4296" w:rsidP="009B4296">
      <w:pPr>
        <w:pStyle w:val="06VIRTBulletpoints"/>
      </w:pPr>
      <w:r w:rsidRPr="009B4296">
        <w:t>current and projected economic conditions and trends (s</w:t>
      </w:r>
      <w:r>
        <w:t xml:space="preserve">. </w:t>
      </w:r>
      <w:r w:rsidRPr="009B4296">
        <w:t>24(2)(c)).</w:t>
      </w:r>
    </w:p>
    <w:p w14:paraId="1DF7EC37" w14:textId="5617B063" w:rsidR="009B4296" w:rsidRPr="009B4296" w:rsidRDefault="009B4296" w:rsidP="009B4296">
      <w:pPr>
        <w:pStyle w:val="05Paragraph"/>
      </w:pPr>
      <w:r w:rsidRPr="009B4296">
        <w:t>Th</w:t>
      </w:r>
      <w:r>
        <w:t>is</w:t>
      </w:r>
      <w:r w:rsidRPr="009B4296">
        <w:t xml:space="preserve"> Determination adjusts the values of the remuneration bands by:</w:t>
      </w:r>
    </w:p>
    <w:p w14:paraId="4B2DC356" w14:textId="31C9AF79" w:rsidR="009B4296" w:rsidRPr="009B4296" w:rsidRDefault="009B4296" w:rsidP="009B4296">
      <w:pPr>
        <w:pStyle w:val="06VIRTBulletpoints"/>
      </w:pPr>
      <w:r w:rsidRPr="009B4296">
        <w:t xml:space="preserve">a </w:t>
      </w:r>
      <w:r w:rsidR="009B795F">
        <w:t>‘</w:t>
      </w:r>
      <w:r w:rsidRPr="009B4296">
        <w:t>standard rate</w:t>
      </w:r>
      <w:r w:rsidR="009B795F">
        <w:t>’</w:t>
      </w:r>
      <w:r w:rsidRPr="009B4296">
        <w:t xml:space="preserve"> of </w:t>
      </w:r>
      <w:r w:rsidR="000F6525">
        <w:t>3.6</w:t>
      </w:r>
      <w:r w:rsidRPr="009B4296">
        <w:t xml:space="preserve"> per cent applied to the notional salary component of the remuneration bands</w:t>
      </w:r>
    </w:p>
    <w:p w14:paraId="115CE6D0" w14:textId="46B5706A" w:rsidR="009B4296" w:rsidRPr="009B4296" w:rsidRDefault="009B4296" w:rsidP="009B4296">
      <w:pPr>
        <w:pStyle w:val="06VIRTBulletpoints"/>
        <w:rPr>
          <w:b/>
        </w:rPr>
      </w:pPr>
      <w:r w:rsidRPr="009B4296">
        <w:t>a further amount, ranging from $</w:t>
      </w:r>
      <w:r w:rsidR="009B795F">
        <w:t>1,589</w:t>
      </w:r>
      <w:r w:rsidRPr="009B4296">
        <w:t xml:space="preserve"> to $</w:t>
      </w:r>
      <w:r w:rsidR="00EC4DFF">
        <w:t>1,919</w:t>
      </w:r>
      <w:r w:rsidRPr="009B4296">
        <w:t xml:space="preserve">, to </w:t>
      </w:r>
      <w:proofErr w:type="gramStart"/>
      <w:r w:rsidRPr="009B4296">
        <w:t>take into account</w:t>
      </w:r>
      <w:proofErr w:type="gramEnd"/>
      <w:r w:rsidRPr="009B4296" w:rsidDel="00470451">
        <w:t xml:space="preserve"> </w:t>
      </w:r>
      <w:r w:rsidRPr="009B4296">
        <w:t xml:space="preserve">changes </w:t>
      </w:r>
      <w:r w:rsidRPr="009B4296" w:rsidDel="00B50676">
        <w:t xml:space="preserve">to </w:t>
      </w:r>
      <w:r w:rsidRPr="009B4296">
        <w:t>executive superannuation entitlements that will occur on</w:t>
      </w:r>
      <w:r w:rsidR="00E358A3">
        <w:t> </w:t>
      </w:r>
      <w:r w:rsidRPr="009B4296">
        <w:t>1</w:t>
      </w:r>
      <w:r w:rsidR="00E358A3">
        <w:t> </w:t>
      </w:r>
      <w:r w:rsidRPr="009B4296">
        <w:t>July</w:t>
      </w:r>
      <w:r w:rsidR="00E358A3">
        <w:t> </w:t>
      </w:r>
      <w:r w:rsidRPr="009B4296">
        <w:t>202</w:t>
      </w:r>
      <w:r>
        <w:t>2</w:t>
      </w:r>
      <w:r w:rsidRPr="009B4296">
        <w:t>.</w:t>
      </w:r>
    </w:p>
    <w:p w14:paraId="338F1424" w14:textId="54F6C6DE" w:rsidR="00B17FC7" w:rsidRDefault="009B4296" w:rsidP="00C36887">
      <w:pPr>
        <w:pStyle w:val="05Paragraph"/>
      </w:pPr>
      <w:r w:rsidRPr="009B4296">
        <w:t>Th</w:t>
      </w:r>
      <w:r>
        <w:t>is</w:t>
      </w:r>
      <w:r w:rsidRPr="009B4296">
        <w:t xml:space="preserve"> Determination will take effect on 1 July 202</w:t>
      </w:r>
      <w:r>
        <w:t>2</w:t>
      </w:r>
      <w:r w:rsidRPr="009B4296">
        <w:t>.</w:t>
      </w:r>
      <w:r w:rsidR="00B17FC7">
        <w:br w:type="page"/>
      </w:r>
    </w:p>
    <w:p w14:paraId="44A542F0" w14:textId="1DF3F873" w:rsidR="00051414" w:rsidRPr="00907DBA" w:rsidRDefault="00051414" w:rsidP="00051414">
      <w:pPr>
        <w:pStyle w:val="Chapterheading"/>
      </w:pPr>
      <w:bookmarkStart w:id="60" w:name="_Toc106614541"/>
      <w:r>
        <w:lastRenderedPageBreak/>
        <w:t>References</w:t>
      </w:r>
      <w:r>
        <w:br/>
      </w:r>
      <w:r>
        <w:rPr>
          <w:noProof/>
        </w:rPr>
        <w:drawing>
          <wp:inline distT="0" distB="0" distL="0" distR="0" wp14:anchorId="55CAAFC3" wp14:editId="5BC5B423">
            <wp:extent cx="2222500" cy="253365"/>
            <wp:effectExtent l="0" t="0" r="6350" b="0"/>
            <wp:docPr id="1761793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0"/>
    </w:p>
    <w:p w14:paraId="1B860419" w14:textId="15BCECC9" w:rsidR="002F6CBA" w:rsidRDefault="002F6CBA" w:rsidP="003250D3">
      <w:pPr>
        <w:pStyle w:val="05Paragraph"/>
        <w:ind w:left="794" w:hanging="794"/>
        <w:jc w:val="left"/>
        <w:rPr>
          <w:color w:val="auto"/>
        </w:rPr>
      </w:pPr>
      <w:r>
        <w:rPr>
          <w:color w:val="auto"/>
        </w:rPr>
        <w:t>Attorney</w:t>
      </w:r>
      <w:r w:rsidR="005913F8">
        <w:rPr>
          <w:color w:val="auto"/>
        </w:rPr>
        <w:t>-</w:t>
      </w:r>
      <w:r>
        <w:rPr>
          <w:color w:val="auto"/>
        </w:rPr>
        <w:t>General’s Department (</w:t>
      </w:r>
      <w:proofErr w:type="spellStart"/>
      <w:r>
        <w:rPr>
          <w:color w:val="auto"/>
        </w:rPr>
        <w:t>Cth</w:t>
      </w:r>
      <w:proofErr w:type="spellEnd"/>
      <w:r>
        <w:rPr>
          <w:color w:val="auto"/>
        </w:rPr>
        <w:t xml:space="preserve">), </w:t>
      </w:r>
      <w:r w:rsidRPr="005913F8">
        <w:rPr>
          <w:i/>
          <w:iCs/>
          <w:color w:val="auto"/>
        </w:rPr>
        <w:t>Trends in Enterprise Bargaining Report – December quarter 2021</w:t>
      </w:r>
      <w:r w:rsidR="005913F8">
        <w:rPr>
          <w:color w:val="auto"/>
        </w:rPr>
        <w:t>, Canberra.</w:t>
      </w:r>
    </w:p>
    <w:p w14:paraId="24E55D54" w14:textId="28713EE1" w:rsidR="00F06E3C" w:rsidRDefault="00F06E3C" w:rsidP="003250D3">
      <w:pPr>
        <w:pStyle w:val="05Paragraph"/>
        <w:ind w:left="794" w:hanging="794"/>
        <w:jc w:val="left"/>
        <w:rPr>
          <w:color w:val="auto"/>
        </w:rPr>
      </w:pPr>
      <w:r w:rsidRPr="00BF6CCD">
        <w:rPr>
          <w:color w:val="auto"/>
        </w:rPr>
        <w:t>Australian Bureau of Statistics</w:t>
      </w:r>
      <w:r w:rsidR="00B81C52">
        <w:rPr>
          <w:color w:val="auto"/>
        </w:rPr>
        <w:t xml:space="preserve"> (ABS)</w:t>
      </w:r>
      <w:r w:rsidRPr="00BF6CCD">
        <w:rPr>
          <w:color w:val="auto"/>
        </w:rPr>
        <w:t xml:space="preserve"> (202</w:t>
      </w:r>
      <w:r w:rsidR="007D3D8F">
        <w:rPr>
          <w:color w:val="auto"/>
        </w:rPr>
        <w:t>1</w:t>
      </w:r>
      <w:r w:rsidRPr="00BF6CCD">
        <w:rPr>
          <w:color w:val="auto"/>
        </w:rPr>
        <w:t xml:space="preserve">), </w:t>
      </w:r>
      <w:r w:rsidR="00E84341" w:rsidRPr="006313F5">
        <w:rPr>
          <w:i/>
          <w:iCs/>
          <w:color w:val="auto"/>
        </w:rPr>
        <w:t>Average Weekly Earnings, Australia</w:t>
      </w:r>
      <w:r w:rsidRPr="00E84341">
        <w:rPr>
          <w:color w:val="auto"/>
        </w:rPr>
        <w:t>,</w:t>
      </w:r>
      <w:r>
        <w:rPr>
          <w:color w:val="auto"/>
        </w:rPr>
        <w:t xml:space="preserve"> </w:t>
      </w:r>
      <w:r w:rsidR="00E84341">
        <w:rPr>
          <w:color w:val="auto"/>
        </w:rPr>
        <w:t>November</w:t>
      </w:r>
      <w:r>
        <w:rPr>
          <w:color w:val="auto"/>
        </w:rPr>
        <w:t xml:space="preserve"> 202</w:t>
      </w:r>
      <w:r w:rsidR="00E84341">
        <w:rPr>
          <w:color w:val="auto"/>
        </w:rPr>
        <w:t>1</w:t>
      </w:r>
      <w:r>
        <w:rPr>
          <w:color w:val="auto"/>
        </w:rPr>
        <w:t>.</w:t>
      </w:r>
    </w:p>
    <w:p w14:paraId="3343D812" w14:textId="7563D78A" w:rsidR="00A716DB" w:rsidRPr="00442FF8" w:rsidRDefault="00E84341" w:rsidP="003250D3">
      <w:pPr>
        <w:pStyle w:val="05Paragraph"/>
        <w:ind w:left="794" w:hanging="794"/>
        <w:jc w:val="left"/>
        <w:rPr>
          <w:color w:val="auto"/>
        </w:rPr>
      </w:pPr>
      <w:r w:rsidRPr="00BF6CCD">
        <w:rPr>
          <w:color w:val="auto"/>
        </w:rPr>
        <w:t xml:space="preserve">——— </w:t>
      </w:r>
      <w:r w:rsidR="00A716DB" w:rsidRPr="00BF6CCD">
        <w:rPr>
          <w:color w:val="auto"/>
        </w:rPr>
        <w:t>(202</w:t>
      </w:r>
      <w:r w:rsidR="00442FF8">
        <w:rPr>
          <w:color w:val="auto"/>
        </w:rPr>
        <w:t>2</w:t>
      </w:r>
      <w:r w:rsidR="007D3D8F">
        <w:rPr>
          <w:color w:val="auto"/>
        </w:rPr>
        <w:t>a</w:t>
      </w:r>
      <w:r w:rsidR="00A716DB" w:rsidRPr="00BF6CCD">
        <w:rPr>
          <w:color w:val="auto"/>
        </w:rPr>
        <w:t xml:space="preserve">), </w:t>
      </w:r>
      <w:r w:rsidR="00FF1A40" w:rsidRPr="006313F5">
        <w:rPr>
          <w:i/>
          <w:iCs/>
          <w:color w:val="auto"/>
        </w:rPr>
        <w:t>Australian National Accounts: National Income, Expenditure and Product</w:t>
      </w:r>
      <w:r w:rsidR="00442FF8">
        <w:rPr>
          <w:color w:val="auto"/>
        </w:rPr>
        <w:t>, March 2022.</w:t>
      </w:r>
    </w:p>
    <w:p w14:paraId="4CC4F9D0" w14:textId="3D26BDFF" w:rsidR="00A716DB" w:rsidRDefault="00A716DB" w:rsidP="003250D3">
      <w:pPr>
        <w:pStyle w:val="05Paragraph"/>
        <w:ind w:left="794" w:hanging="794"/>
        <w:jc w:val="left"/>
        <w:rPr>
          <w:color w:val="auto"/>
        </w:rPr>
      </w:pPr>
      <w:r w:rsidRPr="00BF6CCD">
        <w:rPr>
          <w:color w:val="auto"/>
        </w:rPr>
        <w:t>——— (202</w:t>
      </w:r>
      <w:r w:rsidR="00F5479F">
        <w:rPr>
          <w:color w:val="auto"/>
        </w:rPr>
        <w:t>2</w:t>
      </w:r>
      <w:r w:rsidR="007D3D8F">
        <w:rPr>
          <w:color w:val="auto"/>
        </w:rPr>
        <w:t>b</w:t>
      </w:r>
      <w:r w:rsidRPr="00BF6CCD">
        <w:rPr>
          <w:color w:val="auto"/>
        </w:rPr>
        <w:t xml:space="preserve">), </w:t>
      </w:r>
      <w:r w:rsidR="00F5479F" w:rsidRPr="006313F5">
        <w:rPr>
          <w:i/>
          <w:iCs/>
          <w:color w:val="auto"/>
        </w:rPr>
        <w:t>Consumer Price Index, Australia</w:t>
      </w:r>
      <w:r w:rsidR="00F5479F">
        <w:rPr>
          <w:color w:val="auto"/>
        </w:rPr>
        <w:t>, March 2022</w:t>
      </w:r>
      <w:r w:rsidRPr="00BF6CCD">
        <w:rPr>
          <w:color w:val="auto"/>
        </w:rPr>
        <w:t>.</w:t>
      </w:r>
    </w:p>
    <w:p w14:paraId="12E2AB67" w14:textId="30C2F1B6" w:rsidR="005D20C2" w:rsidRDefault="005D20C2" w:rsidP="003250D3">
      <w:pPr>
        <w:pStyle w:val="05Paragraph"/>
        <w:ind w:left="794" w:hanging="794"/>
        <w:jc w:val="left"/>
        <w:rPr>
          <w:color w:val="auto"/>
        </w:rPr>
      </w:pPr>
      <w:r w:rsidRPr="00BF6CCD">
        <w:rPr>
          <w:color w:val="auto"/>
        </w:rPr>
        <w:t>——— (202</w:t>
      </w:r>
      <w:r>
        <w:rPr>
          <w:color w:val="auto"/>
        </w:rPr>
        <w:t>2</w:t>
      </w:r>
      <w:r w:rsidR="007D3D8F">
        <w:rPr>
          <w:color w:val="auto"/>
        </w:rPr>
        <w:t>c</w:t>
      </w:r>
      <w:r w:rsidRPr="00BF6CCD">
        <w:rPr>
          <w:color w:val="auto"/>
        </w:rPr>
        <w:t xml:space="preserve">), </w:t>
      </w:r>
      <w:r w:rsidRPr="006313F5">
        <w:rPr>
          <w:i/>
          <w:iCs/>
          <w:color w:val="auto"/>
        </w:rPr>
        <w:t>Labour Force, Australia</w:t>
      </w:r>
      <w:r>
        <w:rPr>
          <w:color w:val="auto"/>
        </w:rPr>
        <w:t>, May 2022</w:t>
      </w:r>
      <w:r w:rsidRPr="00BF6CCD">
        <w:rPr>
          <w:color w:val="auto"/>
        </w:rPr>
        <w:t>.</w:t>
      </w:r>
    </w:p>
    <w:p w14:paraId="6A3C5ECE" w14:textId="6D0296B9" w:rsidR="005D20C2" w:rsidRDefault="005D20C2" w:rsidP="003250D3">
      <w:pPr>
        <w:pStyle w:val="05Paragraph"/>
        <w:ind w:left="794" w:hanging="794"/>
        <w:jc w:val="left"/>
        <w:rPr>
          <w:color w:val="auto"/>
        </w:rPr>
      </w:pPr>
      <w:r w:rsidRPr="00BF6CCD">
        <w:rPr>
          <w:color w:val="auto"/>
        </w:rPr>
        <w:t>——— (202</w:t>
      </w:r>
      <w:r>
        <w:rPr>
          <w:color w:val="auto"/>
        </w:rPr>
        <w:t>2</w:t>
      </w:r>
      <w:r w:rsidR="007D3D8F">
        <w:rPr>
          <w:color w:val="auto"/>
        </w:rPr>
        <w:t>d</w:t>
      </w:r>
      <w:r w:rsidRPr="00BF6CCD">
        <w:rPr>
          <w:color w:val="auto"/>
        </w:rPr>
        <w:t xml:space="preserve">), </w:t>
      </w:r>
      <w:r w:rsidRPr="006313F5">
        <w:rPr>
          <w:i/>
          <w:iCs/>
          <w:color w:val="auto"/>
        </w:rPr>
        <w:t>Wage Price Index, Australia</w:t>
      </w:r>
      <w:r>
        <w:rPr>
          <w:color w:val="auto"/>
        </w:rPr>
        <w:t>, March 2022</w:t>
      </w:r>
      <w:r w:rsidRPr="00BF6CCD">
        <w:rPr>
          <w:color w:val="auto"/>
        </w:rPr>
        <w:t>.</w:t>
      </w:r>
    </w:p>
    <w:p w14:paraId="705B633A" w14:textId="62C2D5C2" w:rsidR="00C91A6A" w:rsidRPr="00C91A6A" w:rsidRDefault="00C91A6A" w:rsidP="003250D3">
      <w:pPr>
        <w:pStyle w:val="05Paragraph"/>
        <w:ind w:left="794" w:hanging="794"/>
        <w:jc w:val="left"/>
        <w:rPr>
          <w:color w:val="auto"/>
        </w:rPr>
      </w:pPr>
      <w:r w:rsidRPr="00C91A6A">
        <w:rPr>
          <w:color w:val="auto"/>
        </w:rPr>
        <w:t>Australian Taxation Office (202</w:t>
      </w:r>
      <w:r w:rsidR="0022446D">
        <w:rPr>
          <w:color w:val="auto"/>
        </w:rPr>
        <w:t>2</w:t>
      </w:r>
      <w:r w:rsidRPr="00C91A6A">
        <w:rPr>
          <w:color w:val="auto"/>
        </w:rPr>
        <w:t xml:space="preserve">a), </w:t>
      </w:r>
      <w:r w:rsidRPr="00C91A6A">
        <w:rPr>
          <w:i/>
          <w:iCs/>
          <w:color w:val="auto"/>
        </w:rPr>
        <w:t>Maximum super contribution base</w:t>
      </w:r>
      <w:r w:rsidRPr="00C91A6A">
        <w:rPr>
          <w:color w:val="auto"/>
        </w:rPr>
        <w:t xml:space="preserve">, </w:t>
      </w:r>
      <w:hyperlink r:id="rId34" w:history="1">
        <w:r w:rsidRPr="00C91A6A">
          <w:rPr>
            <w:rStyle w:val="Hyperlink"/>
          </w:rPr>
          <w:t>https://www.ato.gov.au/rates/key-superannuation-rates-and-thresholds/?anchor=Maximumsupercontributionbase</w:t>
        </w:r>
      </w:hyperlink>
      <w:r w:rsidRPr="00C91A6A">
        <w:rPr>
          <w:color w:val="auto"/>
        </w:rPr>
        <w:t xml:space="preserve">, last updated </w:t>
      </w:r>
      <w:r w:rsidR="00382B1D">
        <w:rPr>
          <w:color w:val="auto"/>
        </w:rPr>
        <w:t>11 April 2022</w:t>
      </w:r>
      <w:r w:rsidRPr="00C91A6A">
        <w:rPr>
          <w:color w:val="auto"/>
        </w:rPr>
        <w:t>.</w:t>
      </w:r>
    </w:p>
    <w:p w14:paraId="2505E9C8" w14:textId="3520A347" w:rsidR="00C91A6A" w:rsidRDefault="00C91A6A" w:rsidP="003250D3">
      <w:pPr>
        <w:pStyle w:val="05Paragraph"/>
        <w:ind w:left="794" w:hanging="794"/>
        <w:jc w:val="left"/>
        <w:rPr>
          <w:color w:val="auto"/>
        </w:rPr>
      </w:pPr>
      <w:r w:rsidRPr="00C91A6A">
        <w:rPr>
          <w:color w:val="auto"/>
        </w:rPr>
        <w:t>——— (202</w:t>
      </w:r>
      <w:r w:rsidR="0022446D">
        <w:rPr>
          <w:color w:val="auto"/>
        </w:rPr>
        <w:t>2</w:t>
      </w:r>
      <w:r w:rsidRPr="00C91A6A">
        <w:rPr>
          <w:color w:val="auto"/>
        </w:rPr>
        <w:t xml:space="preserve">b), </w:t>
      </w:r>
      <w:r w:rsidRPr="00C91A6A">
        <w:rPr>
          <w:i/>
          <w:iCs/>
          <w:color w:val="auto"/>
        </w:rPr>
        <w:t>Super for employers</w:t>
      </w:r>
      <w:r w:rsidRPr="00C91A6A">
        <w:rPr>
          <w:color w:val="auto"/>
        </w:rPr>
        <w:t xml:space="preserve">, </w:t>
      </w:r>
      <w:hyperlink r:id="rId35" w:history="1">
        <w:r w:rsidRPr="00C91A6A">
          <w:rPr>
            <w:rStyle w:val="Hyperlink"/>
          </w:rPr>
          <w:t>https://www.ato.gov.au/business/super-for-employers</w:t>
        </w:r>
      </w:hyperlink>
      <w:r w:rsidRPr="00C91A6A">
        <w:rPr>
          <w:color w:val="auto"/>
        </w:rPr>
        <w:t xml:space="preserve">, last updated </w:t>
      </w:r>
      <w:r w:rsidR="0022446D">
        <w:rPr>
          <w:color w:val="auto"/>
        </w:rPr>
        <w:t>10</w:t>
      </w:r>
      <w:r w:rsidRPr="00C91A6A">
        <w:rPr>
          <w:color w:val="auto"/>
        </w:rPr>
        <w:t xml:space="preserve"> </w:t>
      </w:r>
      <w:r w:rsidR="0022446D">
        <w:rPr>
          <w:color w:val="auto"/>
        </w:rPr>
        <w:t xml:space="preserve">February </w:t>
      </w:r>
      <w:r w:rsidRPr="00C91A6A">
        <w:rPr>
          <w:color w:val="auto"/>
        </w:rPr>
        <w:t>202</w:t>
      </w:r>
      <w:r w:rsidR="0022446D">
        <w:rPr>
          <w:color w:val="auto"/>
        </w:rPr>
        <w:t>2</w:t>
      </w:r>
      <w:r w:rsidRPr="00C91A6A">
        <w:rPr>
          <w:color w:val="auto"/>
        </w:rPr>
        <w:t>.</w:t>
      </w:r>
    </w:p>
    <w:p w14:paraId="5AB7DF06" w14:textId="63040632" w:rsidR="00EC4DFF" w:rsidRPr="00EC4DFF" w:rsidRDefault="00EC4DFF" w:rsidP="003250D3">
      <w:pPr>
        <w:pStyle w:val="05Paragraph"/>
        <w:ind w:left="794" w:hanging="794"/>
        <w:jc w:val="left"/>
        <w:rPr>
          <w:color w:val="auto"/>
        </w:rPr>
      </w:pPr>
      <w:r w:rsidRPr="00EC4DFF">
        <w:rPr>
          <w:color w:val="auto"/>
        </w:rPr>
        <w:t xml:space="preserve">Commonwealth Government of Australia (2022), </w:t>
      </w:r>
      <w:r w:rsidRPr="00EC4DFF">
        <w:rPr>
          <w:i/>
          <w:iCs/>
          <w:color w:val="auto"/>
        </w:rPr>
        <w:t>Budget 2022-23 — Fuel excise</w:t>
      </w:r>
      <w:r>
        <w:rPr>
          <w:color w:val="auto"/>
        </w:rPr>
        <w:t>, Canberra.</w:t>
      </w:r>
    </w:p>
    <w:p w14:paraId="367BA817" w14:textId="7F777D43" w:rsidR="002402F0" w:rsidRDefault="002402F0" w:rsidP="003250D3">
      <w:pPr>
        <w:pStyle w:val="05Paragraph"/>
        <w:ind w:left="794" w:hanging="794"/>
        <w:jc w:val="left"/>
        <w:rPr>
          <w:color w:val="auto"/>
        </w:rPr>
      </w:pPr>
      <w:r>
        <w:rPr>
          <w:color w:val="auto"/>
        </w:rPr>
        <w:t xml:space="preserve">Department of Treasury and Finance (DTF) (2022a), </w:t>
      </w:r>
      <w:r w:rsidR="008E7AA6" w:rsidRPr="008E7AA6">
        <w:rPr>
          <w:i/>
          <w:iCs/>
          <w:color w:val="auto"/>
        </w:rPr>
        <w:t>Victorian Budget 202</w:t>
      </w:r>
      <w:r w:rsidR="008E7AA6">
        <w:rPr>
          <w:i/>
          <w:iCs/>
          <w:color w:val="auto"/>
        </w:rPr>
        <w:t>2</w:t>
      </w:r>
      <w:r w:rsidR="008E7AA6" w:rsidRPr="008E7AA6">
        <w:rPr>
          <w:i/>
          <w:iCs/>
          <w:color w:val="auto"/>
        </w:rPr>
        <w:t>/2</w:t>
      </w:r>
      <w:r w:rsidR="008E7AA6">
        <w:rPr>
          <w:i/>
          <w:iCs/>
          <w:color w:val="auto"/>
        </w:rPr>
        <w:t>3</w:t>
      </w:r>
      <w:r w:rsidR="008E7AA6" w:rsidRPr="008E7AA6">
        <w:rPr>
          <w:i/>
          <w:iCs/>
          <w:color w:val="auto"/>
        </w:rPr>
        <w:t xml:space="preserve"> </w:t>
      </w:r>
      <w:r w:rsidR="001E0B59">
        <w:rPr>
          <w:i/>
          <w:iCs/>
          <w:color w:val="auto"/>
        </w:rPr>
        <w:t>–</w:t>
      </w:r>
      <w:r w:rsidR="008E7AA6" w:rsidRPr="008E7AA6">
        <w:rPr>
          <w:i/>
          <w:iCs/>
          <w:color w:val="auto"/>
        </w:rPr>
        <w:t xml:space="preserve"> Budget Paper No. 2: Strategy and Outlook</w:t>
      </w:r>
      <w:r w:rsidR="008E7AA6" w:rsidRPr="008E7AA6">
        <w:rPr>
          <w:color w:val="auto"/>
        </w:rPr>
        <w:t>, Melbourne.</w:t>
      </w:r>
    </w:p>
    <w:p w14:paraId="79133F1B" w14:textId="69C95343" w:rsidR="008E7AA6" w:rsidRDefault="008E7AA6" w:rsidP="003250D3">
      <w:pPr>
        <w:pStyle w:val="05Paragraph"/>
        <w:ind w:left="794" w:hanging="794"/>
        <w:jc w:val="left"/>
        <w:rPr>
          <w:color w:val="auto"/>
        </w:rPr>
      </w:pPr>
      <w:r w:rsidRPr="00BF6CCD">
        <w:rPr>
          <w:color w:val="auto"/>
        </w:rPr>
        <w:t>———</w:t>
      </w:r>
      <w:r>
        <w:rPr>
          <w:color w:val="auto"/>
        </w:rPr>
        <w:t xml:space="preserve"> (2022b), </w:t>
      </w:r>
      <w:r w:rsidR="001E0B59" w:rsidRPr="001E0B59">
        <w:rPr>
          <w:i/>
          <w:iCs/>
          <w:color w:val="auto"/>
        </w:rPr>
        <w:t xml:space="preserve">Victorian Budget 2021/22 </w:t>
      </w:r>
      <w:r w:rsidR="001E0B59">
        <w:rPr>
          <w:i/>
          <w:iCs/>
          <w:color w:val="auto"/>
        </w:rPr>
        <w:t>–</w:t>
      </w:r>
      <w:r w:rsidR="001E0B59" w:rsidRPr="001E0B59">
        <w:rPr>
          <w:i/>
          <w:iCs/>
          <w:color w:val="auto"/>
        </w:rPr>
        <w:t xml:space="preserve"> Budget Paper No. 5: Statement of Finances, </w:t>
      </w:r>
      <w:r w:rsidR="001E0B59" w:rsidRPr="001E0B59">
        <w:rPr>
          <w:color w:val="auto"/>
        </w:rPr>
        <w:t>Melbourne.</w:t>
      </w:r>
    </w:p>
    <w:p w14:paraId="04305FF2" w14:textId="021373C2" w:rsidR="005F53B4" w:rsidRDefault="005F53B4" w:rsidP="003250D3">
      <w:pPr>
        <w:pStyle w:val="05Paragraph"/>
        <w:ind w:left="794" w:hanging="794"/>
        <w:jc w:val="left"/>
        <w:rPr>
          <w:color w:val="auto"/>
        </w:rPr>
      </w:pPr>
      <w:r w:rsidRPr="005F53B4">
        <w:rPr>
          <w:color w:val="auto"/>
        </w:rPr>
        <w:t>Fair Work Commission</w:t>
      </w:r>
      <w:r>
        <w:rPr>
          <w:color w:val="auto"/>
        </w:rPr>
        <w:t xml:space="preserve"> (FWC)</w:t>
      </w:r>
      <w:r w:rsidRPr="005F53B4">
        <w:rPr>
          <w:color w:val="auto"/>
        </w:rPr>
        <w:t xml:space="preserve"> (202</w:t>
      </w:r>
      <w:r>
        <w:rPr>
          <w:color w:val="auto"/>
        </w:rPr>
        <w:t>2</w:t>
      </w:r>
      <w:r w:rsidRPr="005F53B4">
        <w:rPr>
          <w:color w:val="auto"/>
        </w:rPr>
        <w:t xml:space="preserve">), </w:t>
      </w:r>
      <w:r w:rsidRPr="005F53B4">
        <w:rPr>
          <w:i/>
          <w:iCs/>
          <w:color w:val="auto"/>
        </w:rPr>
        <w:t>Annual Wage Review Decision 202</w:t>
      </w:r>
      <w:r>
        <w:rPr>
          <w:i/>
          <w:iCs/>
          <w:color w:val="auto"/>
        </w:rPr>
        <w:t>1</w:t>
      </w:r>
      <w:r w:rsidRPr="005F53B4">
        <w:rPr>
          <w:i/>
          <w:iCs/>
          <w:color w:val="auto"/>
        </w:rPr>
        <w:t>-2</w:t>
      </w:r>
      <w:r>
        <w:rPr>
          <w:i/>
          <w:iCs/>
          <w:color w:val="auto"/>
        </w:rPr>
        <w:t>2</w:t>
      </w:r>
      <w:r w:rsidRPr="005F53B4">
        <w:rPr>
          <w:color w:val="auto"/>
        </w:rPr>
        <w:t>, Melbourne.</w:t>
      </w:r>
    </w:p>
    <w:p w14:paraId="4F782566" w14:textId="0A6C2B92" w:rsidR="00414F7C" w:rsidRDefault="00414F7C" w:rsidP="003250D3">
      <w:pPr>
        <w:pStyle w:val="05Paragraph"/>
        <w:ind w:left="794" w:hanging="794"/>
        <w:jc w:val="left"/>
        <w:rPr>
          <w:color w:val="auto"/>
        </w:rPr>
      </w:pPr>
      <w:r>
        <w:rPr>
          <w:color w:val="auto"/>
        </w:rPr>
        <w:lastRenderedPageBreak/>
        <w:t>Industrial Relations Victoria</w:t>
      </w:r>
      <w:r w:rsidR="007907CC">
        <w:rPr>
          <w:color w:val="auto"/>
        </w:rPr>
        <w:t xml:space="preserve"> (2021)</w:t>
      </w:r>
      <w:r>
        <w:rPr>
          <w:color w:val="auto"/>
        </w:rPr>
        <w:t xml:space="preserve">, </w:t>
      </w:r>
      <w:r w:rsidRPr="007907CC">
        <w:rPr>
          <w:i/>
          <w:iCs/>
          <w:color w:val="auto"/>
        </w:rPr>
        <w:t>Wages Policy and</w:t>
      </w:r>
      <w:r w:rsidR="00B527B7" w:rsidRPr="007907CC">
        <w:rPr>
          <w:i/>
          <w:iCs/>
          <w:color w:val="auto"/>
        </w:rPr>
        <w:t xml:space="preserve"> the Enterprise Bargaining Framework</w:t>
      </w:r>
      <w:r w:rsidR="007907CC">
        <w:rPr>
          <w:color w:val="auto"/>
        </w:rPr>
        <w:t>, Melbourne.</w:t>
      </w:r>
    </w:p>
    <w:p w14:paraId="580E626F" w14:textId="5F97E0EB" w:rsidR="00074FD0" w:rsidRPr="00843A9D" w:rsidRDefault="00BB694E" w:rsidP="003250D3">
      <w:pPr>
        <w:pStyle w:val="05Paragraph"/>
        <w:ind w:left="794" w:hanging="794"/>
        <w:jc w:val="left"/>
        <w:rPr>
          <w:b/>
          <w:bCs/>
          <w:i/>
          <w:iCs/>
          <w:color w:val="auto"/>
        </w:rPr>
      </w:pPr>
      <w:r>
        <w:rPr>
          <w:color w:val="auto"/>
        </w:rPr>
        <w:t>Reserve Bank of Australia (RBA)</w:t>
      </w:r>
      <w:r w:rsidR="00074FD0">
        <w:rPr>
          <w:color w:val="auto"/>
        </w:rPr>
        <w:t xml:space="preserve"> (2022</w:t>
      </w:r>
      <w:r>
        <w:rPr>
          <w:color w:val="auto"/>
        </w:rPr>
        <w:t>a</w:t>
      </w:r>
      <w:r w:rsidR="00074FD0">
        <w:rPr>
          <w:color w:val="auto"/>
        </w:rPr>
        <w:t xml:space="preserve">), </w:t>
      </w:r>
      <w:r w:rsidR="00843A9D" w:rsidRPr="00843A9D">
        <w:rPr>
          <w:i/>
          <w:iCs/>
          <w:color w:val="auto"/>
        </w:rPr>
        <w:t>Interview with Philip Lowe, Governor – ABC, 7.30</w:t>
      </w:r>
      <w:r w:rsidR="00843A9D">
        <w:rPr>
          <w:b/>
          <w:bCs/>
          <w:i/>
          <w:iCs/>
          <w:color w:val="auto"/>
        </w:rPr>
        <w:t xml:space="preserve"> </w:t>
      </w:r>
      <w:r w:rsidR="00640988">
        <w:rPr>
          <w:color w:val="auto"/>
        </w:rPr>
        <w:t>(transcript), 14 June 2022, Sydney.</w:t>
      </w:r>
    </w:p>
    <w:p w14:paraId="62E22B58" w14:textId="1AF54B17" w:rsidR="00D54734" w:rsidRDefault="00BB694E" w:rsidP="003250D3">
      <w:pPr>
        <w:pStyle w:val="05Paragraph"/>
        <w:ind w:left="794" w:hanging="794"/>
        <w:jc w:val="left"/>
        <w:rPr>
          <w:color w:val="auto"/>
        </w:rPr>
      </w:pPr>
      <w:r w:rsidRPr="00BF6CCD">
        <w:rPr>
          <w:color w:val="auto"/>
        </w:rPr>
        <w:t>———</w:t>
      </w:r>
      <w:r w:rsidR="00B81C52">
        <w:rPr>
          <w:color w:val="auto"/>
        </w:rPr>
        <w:t xml:space="preserve"> (2022</w:t>
      </w:r>
      <w:r>
        <w:rPr>
          <w:color w:val="auto"/>
        </w:rPr>
        <w:t>b</w:t>
      </w:r>
      <w:r w:rsidR="00B81C52">
        <w:rPr>
          <w:color w:val="auto"/>
        </w:rPr>
        <w:t xml:space="preserve">), </w:t>
      </w:r>
      <w:r w:rsidR="00D54734">
        <w:rPr>
          <w:color w:val="auto"/>
        </w:rPr>
        <w:t xml:space="preserve">Statement by </w:t>
      </w:r>
      <w:r w:rsidR="00E047D7">
        <w:rPr>
          <w:color w:val="auto"/>
        </w:rPr>
        <w:t>Philip Lowe, Governor: Monetary Policy Decision</w:t>
      </w:r>
      <w:r w:rsidR="00F52159">
        <w:rPr>
          <w:color w:val="auto"/>
        </w:rPr>
        <w:t xml:space="preserve"> </w:t>
      </w:r>
      <w:r w:rsidR="009943F3">
        <w:rPr>
          <w:color w:val="auto"/>
        </w:rPr>
        <w:t>(</w:t>
      </w:r>
      <w:r w:rsidR="00F52159">
        <w:rPr>
          <w:color w:val="auto"/>
        </w:rPr>
        <w:t>June 2022</w:t>
      </w:r>
      <w:r w:rsidR="009943F3">
        <w:rPr>
          <w:color w:val="auto"/>
        </w:rPr>
        <w:t>)</w:t>
      </w:r>
      <w:r w:rsidR="00F52159">
        <w:rPr>
          <w:color w:val="auto"/>
        </w:rPr>
        <w:t>, Sydney.</w:t>
      </w:r>
    </w:p>
    <w:p w14:paraId="653D11D8" w14:textId="53B98FA0" w:rsidR="00F16945" w:rsidRDefault="00D54734" w:rsidP="003250D3">
      <w:pPr>
        <w:pStyle w:val="05Paragraph"/>
        <w:ind w:left="794" w:hanging="794"/>
        <w:jc w:val="left"/>
        <w:rPr>
          <w:color w:val="auto"/>
        </w:rPr>
      </w:pPr>
      <w:r w:rsidRPr="00BF6CCD">
        <w:rPr>
          <w:color w:val="auto"/>
        </w:rPr>
        <w:t>——— (202</w:t>
      </w:r>
      <w:r>
        <w:rPr>
          <w:color w:val="auto"/>
        </w:rPr>
        <w:t>2</w:t>
      </w:r>
      <w:r w:rsidR="00BB694E">
        <w:rPr>
          <w:color w:val="auto"/>
        </w:rPr>
        <w:t>c</w:t>
      </w:r>
      <w:r w:rsidRPr="00BF6CCD">
        <w:rPr>
          <w:color w:val="auto"/>
        </w:rPr>
        <w:t>)</w:t>
      </w:r>
      <w:r w:rsidR="00766B90">
        <w:rPr>
          <w:color w:val="auto"/>
        </w:rPr>
        <w:t>,</w:t>
      </w:r>
      <w:r>
        <w:rPr>
          <w:color w:val="auto"/>
        </w:rPr>
        <w:t xml:space="preserve"> </w:t>
      </w:r>
      <w:r w:rsidR="00B81C52" w:rsidRPr="006E5574">
        <w:rPr>
          <w:i/>
          <w:iCs/>
          <w:color w:val="auto"/>
        </w:rPr>
        <w:t xml:space="preserve">Statement on Monetary Policy </w:t>
      </w:r>
      <w:r w:rsidR="001E0B59">
        <w:rPr>
          <w:i/>
          <w:iCs/>
          <w:color w:val="auto"/>
        </w:rPr>
        <w:t>–</w:t>
      </w:r>
      <w:r w:rsidR="00B81C52" w:rsidRPr="006E5574">
        <w:rPr>
          <w:i/>
          <w:iCs/>
          <w:color w:val="auto"/>
        </w:rPr>
        <w:t xml:space="preserve"> May 2022</w:t>
      </w:r>
      <w:r w:rsidR="006E5574">
        <w:rPr>
          <w:color w:val="auto"/>
        </w:rPr>
        <w:t>,</w:t>
      </w:r>
      <w:r w:rsidR="000C6DF4">
        <w:rPr>
          <w:color w:val="auto"/>
        </w:rPr>
        <w:t xml:space="preserve"> Sydney.</w:t>
      </w:r>
    </w:p>
    <w:p w14:paraId="20658A59" w14:textId="3CB216FE" w:rsidR="00752425" w:rsidRDefault="00752425" w:rsidP="003250D3">
      <w:pPr>
        <w:pStyle w:val="05Paragraph"/>
        <w:ind w:left="794" w:hanging="794"/>
        <w:jc w:val="left"/>
        <w:rPr>
          <w:color w:val="auto"/>
        </w:rPr>
      </w:pPr>
      <w:r>
        <w:rPr>
          <w:color w:val="auto"/>
        </w:rPr>
        <w:t xml:space="preserve">Victorian Auditor-General’s Office (VAGO) (2021), </w:t>
      </w:r>
      <w:r w:rsidR="008D474C" w:rsidRPr="00436E99">
        <w:rPr>
          <w:i/>
          <w:iCs/>
          <w:color w:val="auto"/>
        </w:rPr>
        <w:t xml:space="preserve">Auditor-General’s </w:t>
      </w:r>
      <w:r w:rsidRPr="00436E99">
        <w:rPr>
          <w:i/>
          <w:iCs/>
          <w:color w:val="auto"/>
        </w:rPr>
        <w:t>Report on the Annual Financial Report of the State of Victoria</w:t>
      </w:r>
      <w:r w:rsidR="008D474C" w:rsidRPr="00436E99">
        <w:rPr>
          <w:i/>
          <w:iCs/>
          <w:color w:val="auto"/>
        </w:rPr>
        <w:t>: 2020-21</w:t>
      </w:r>
      <w:r>
        <w:rPr>
          <w:color w:val="auto"/>
        </w:rPr>
        <w:t>, Melbourne.</w:t>
      </w:r>
    </w:p>
    <w:p w14:paraId="69348FF1" w14:textId="5E3CD36A" w:rsidR="003250D3" w:rsidRDefault="003250D3" w:rsidP="003250D3">
      <w:pPr>
        <w:pStyle w:val="05Paragraph"/>
        <w:ind w:left="794" w:hanging="794"/>
        <w:jc w:val="left"/>
        <w:rPr>
          <w:color w:val="auto"/>
        </w:rPr>
      </w:pPr>
      <w:r>
        <w:rPr>
          <w:color w:val="auto"/>
        </w:rPr>
        <w:t xml:space="preserve">Victorian Government (2022), </w:t>
      </w:r>
      <w:r w:rsidRPr="00255A3D">
        <w:rPr>
          <w:i/>
          <w:iCs/>
          <w:color w:val="auto"/>
        </w:rPr>
        <w:t>Public Entity Executive Remuneration Policy</w:t>
      </w:r>
      <w:r>
        <w:rPr>
          <w:color w:val="auto"/>
        </w:rPr>
        <w:t xml:space="preserve">, </w:t>
      </w:r>
      <w:hyperlink r:id="rId36" w:history="1">
        <w:r w:rsidRPr="003B6CC8">
          <w:rPr>
            <w:rStyle w:val="Hyperlink"/>
          </w:rPr>
          <w:t>https://www.vic.gov.au/public-entity-executive-remuneration-policy</w:t>
        </w:r>
      </w:hyperlink>
      <w:r>
        <w:rPr>
          <w:color w:val="auto"/>
        </w:rPr>
        <w:t>, last updated 16 March 2022.</w:t>
      </w:r>
    </w:p>
    <w:p w14:paraId="7F2AC771" w14:textId="6F995A92" w:rsidR="00EC270B" w:rsidRDefault="00EC270B" w:rsidP="003250D3">
      <w:pPr>
        <w:pStyle w:val="05Paragraph"/>
        <w:ind w:left="794" w:hanging="794"/>
        <w:jc w:val="left"/>
        <w:rPr>
          <w:color w:val="auto"/>
        </w:rPr>
      </w:pPr>
      <w:r>
        <w:rPr>
          <w:color w:val="auto"/>
        </w:rPr>
        <w:t>Victorian Independent Remuneration Tribunal (202</w:t>
      </w:r>
      <w:r w:rsidR="00156E9D">
        <w:rPr>
          <w:color w:val="auto"/>
        </w:rPr>
        <w:t>0</w:t>
      </w:r>
      <w:r w:rsidR="00C4651C">
        <w:rPr>
          <w:color w:val="auto"/>
        </w:rPr>
        <w:t xml:space="preserve">), </w:t>
      </w:r>
      <w:r w:rsidR="00C4651C" w:rsidRPr="00C4651C">
        <w:rPr>
          <w:i/>
          <w:iCs/>
          <w:color w:val="auto"/>
        </w:rPr>
        <w:t>Remuneration bands for executives employed in prescribed public entities (Victoria) Determination No. 01/2020</w:t>
      </w:r>
      <w:r w:rsidR="00C4651C">
        <w:rPr>
          <w:color w:val="auto"/>
        </w:rPr>
        <w:t>, Melbourne.</w:t>
      </w:r>
    </w:p>
    <w:p w14:paraId="194E1702" w14:textId="6DFC3283" w:rsidR="00051414" w:rsidRPr="00D43074" w:rsidRDefault="00C14CB3" w:rsidP="003250D3">
      <w:pPr>
        <w:pStyle w:val="05Paragraph"/>
        <w:ind w:left="794" w:hanging="794"/>
        <w:jc w:val="left"/>
        <w:rPr>
          <w:color w:val="auto"/>
        </w:rPr>
      </w:pPr>
      <w:r w:rsidRPr="00C14CB3">
        <w:rPr>
          <w:color w:val="auto"/>
        </w:rPr>
        <w:t>Victorian Public Sector Commission (VPSC) (20</w:t>
      </w:r>
      <w:r>
        <w:rPr>
          <w:color w:val="auto"/>
        </w:rPr>
        <w:t>19</w:t>
      </w:r>
      <w:r w:rsidRPr="00C14CB3">
        <w:rPr>
          <w:color w:val="auto"/>
        </w:rPr>
        <w:t xml:space="preserve">), </w:t>
      </w:r>
      <w:r w:rsidRPr="00C14CB3">
        <w:rPr>
          <w:i/>
          <w:iCs/>
          <w:color w:val="auto"/>
        </w:rPr>
        <w:t xml:space="preserve">Victorian Public </w:t>
      </w:r>
      <w:r w:rsidR="009D3CDD">
        <w:rPr>
          <w:i/>
          <w:iCs/>
          <w:color w:val="auto"/>
        </w:rPr>
        <w:t>Service</w:t>
      </w:r>
      <w:r w:rsidRPr="00C14CB3">
        <w:rPr>
          <w:i/>
          <w:iCs/>
          <w:color w:val="auto"/>
        </w:rPr>
        <w:t xml:space="preserve"> Executive Employment Handbook</w:t>
      </w:r>
      <w:r w:rsidRPr="00C14CB3">
        <w:rPr>
          <w:color w:val="auto"/>
        </w:rPr>
        <w:t>, Melbourne.</w:t>
      </w:r>
    </w:p>
    <w:sectPr w:rsidR="00051414" w:rsidRPr="00D43074"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A81A" w14:textId="77777777" w:rsidR="00054139" w:rsidRPr="00333B58" w:rsidRDefault="00054139" w:rsidP="00333B58">
      <w:r>
        <w:separator/>
      </w:r>
    </w:p>
  </w:endnote>
  <w:endnote w:type="continuationSeparator" w:id="0">
    <w:p w14:paraId="5BD202CA" w14:textId="77777777" w:rsidR="00054139" w:rsidRPr="00333B58" w:rsidRDefault="00054139" w:rsidP="00333B58">
      <w:r>
        <w:continuationSeparator/>
      </w:r>
    </w:p>
  </w:endnote>
  <w:endnote w:type="continuationNotice" w:id="1">
    <w:p w14:paraId="014CD62B" w14:textId="77777777" w:rsidR="00054139" w:rsidRDefault="0005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7254DA65" w:rsidR="00FF6EB1" w:rsidRDefault="00936595" w:rsidP="00FF6EB1">
    <w:pPr>
      <w:pStyle w:val="Footer"/>
      <w:jc w:val="center"/>
    </w:pPr>
    <w:sdt>
      <w:sdtPr>
        <w:id w:val="1900857742"/>
        <w:docPartObj>
          <w:docPartGallery w:val="Page Numbers (Bottom of Page)"/>
          <w:docPartUnique/>
        </w:docPartObj>
      </w:sdtPr>
      <w:sdtEndPr>
        <w:rPr>
          <w:noProof/>
        </w:rPr>
      </w:sdtEndPr>
      <w:sdtContent/>
    </w:sdt>
  </w:p>
  <w:p w14:paraId="4B94A478" w14:textId="2BE8D93E"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CC7" w14:textId="5938CDD4" w:rsidR="00EB51D2" w:rsidRDefault="00936595" w:rsidP="005E6446">
    <w:pPr>
      <w:pStyle w:val="Footer"/>
      <w:jc w:val="center"/>
    </w:pPr>
    <w:sdt>
      <w:sdtPr>
        <w:id w:val="-455402485"/>
        <w:docPartObj>
          <w:docPartGallery w:val="Page Numbers (Bottom of Page)"/>
          <w:docPartUnique/>
        </w:docPartObj>
      </w:sdtPr>
      <w:sdtEndPr>
        <w:rPr>
          <w:noProof/>
        </w:rPr>
      </w:sdtEndPr>
      <w:sdtContent>
        <w:r w:rsidR="00C95CDF">
          <w:fldChar w:fldCharType="begin"/>
        </w:r>
        <w:r w:rsidR="00C95CDF">
          <w:instrText xml:space="preserve"> PAGE   \* MERGEFORMAT </w:instrText>
        </w:r>
        <w:r w:rsidR="00C95CDF">
          <w:fldChar w:fldCharType="separate"/>
        </w:r>
        <w:r w:rsidR="00C95CDF">
          <w:t>8</w:t>
        </w:r>
        <w:r w:rsidR="00C95CDF">
          <w:rPr>
            <w:noProof/>
          </w:rPr>
          <w:fldChar w:fldCharType="end"/>
        </w:r>
      </w:sdtContent>
    </w:sdt>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6BFDBE48" w:rsidR="00C3360F" w:rsidRDefault="00936595"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0079BC48" w:rsidR="003515D8" w:rsidRDefault="00936595" w:rsidP="00735993">
    <w:pPr>
      <w:pStyle w:val="Footer"/>
      <w:jc w:val="center"/>
    </w:pPr>
    <w:sdt>
      <w:sdtPr>
        <w:id w:val="-1058090456"/>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92DB" w14:textId="77777777" w:rsidR="00054139" w:rsidRPr="00333B58" w:rsidRDefault="00054139" w:rsidP="0014700E">
      <w:pPr>
        <w:spacing w:after="0"/>
      </w:pPr>
      <w:r>
        <w:separator/>
      </w:r>
    </w:p>
  </w:footnote>
  <w:footnote w:type="continuationSeparator" w:id="0">
    <w:p w14:paraId="75FBD191" w14:textId="77777777" w:rsidR="00054139" w:rsidRPr="00FB39CD" w:rsidRDefault="00054139" w:rsidP="00FB39CD">
      <w:pPr>
        <w:spacing w:after="0"/>
        <w:rPr>
          <w:sz w:val="2"/>
          <w:szCs w:val="2"/>
        </w:rPr>
      </w:pPr>
      <w:r>
        <w:continuationSeparator/>
      </w:r>
    </w:p>
  </w:footnote>
  <w:footnote w:type="continuationNotice" w:id="1">
    <w:p w14:paraId="169AB4E0" w14:textId="77777777" w:rsidR="00054139" w:rsidRPr="00FB39CD" w:rsidRDefault="00054139">
      <w:pPr>
        <w:spacing w:after="0"/>
        <w:rPr>
          <w:sz w:val="2"/>
          <w:szCs w:val="4"/>
        </w:rPr>
      </w:pPr>
    </w:p>
  </w:footnote>
  <w:footnote w:id="2">
    <w:p w14:paraId="7692DF21" w14:textId="2740D42C" w:rsidR="007D60EC" w:rsidRDefault="007D60EC" w:rsidP="007D60EC">
      <w:pPr>
        <w:pStyle w:val="Footnotes"/>
        <w:ind w:left="113" w:hanging="113"/>
      </w:pPr>
      <w:r>
        <w:rPr>
          <w:rStyle w:val="FootnoteReference"/>
        </w:rPr>
        <w:footnoteRef/>
      </w:r>
      <w:r>
        <w:t xml:space="preserve"> Victorian Independent Remuneration Tribunal</w:t>
      </w:r>
      <w:r w:rsidR="00791BA0">
        <w:t xml:space="preserve"> (2020), p.</w:t>
      </w:r>
      <w:r>
        <w:t xml:space="preserve"> 5.</w:t>
      </w:r>
    </w:p>
  </w:footnote>
  <w:footnote w:id="3">
    <w:p w14:paraId="784830BF" w14:textId="4D45F1F5" w:rsidR="00625F92" w:rsidRDefault="00625F92">
      <w:pPr>
        <w:pStyle w:val="FootnoteText"/>
      </w:pPr>
      <w:r>
        <w:rPr>
          <w:rStyle w:val="FootnoteReference"/>
        </w:rPr>
        <w:footnoteRef/>
      </w:r>
      <w:r>
        <w:t xml:space="preserve"> VIRTIPS Act, s. 21.</w:t>
      </w:r>
    </w:p>
  </w:footnote>
  <w:footnote w:id="4">
    <w:p w14:paraId="31F29937" w14:textId="77777777" w:rsidR="00E423E1" w:rsidRDefault="00E423E1" w:rsidP="00E423E1">
      <w:pPr>
        <w:pStyle w:val="Footnotes"/>
      </w:pPr>
      <w:r>
        <w:rPr>
          <w:rStyle w:val="FootnoteReference"/>
        </w:rPr>
        <w:footnoteRef/>
      </w:r>
      <w:r>
        <w:t xml:space="preserve"> VIRTIPS Act, s. 5.</w:t>
      </w:r>
    </w:p>
  </w:footnote>
  <w:footnote w:id="5">
    <w:p w14:paraId="6623D6D3" w14:textId="77777777" w:rsidR="00750CDF" w:rsidRDefault="00750CDF" w:rsidP="00750CDF">
      <w:pPr>
        <w:pStyle w:val="FootnoteText"/>
      </w:pPr>
      <w:r>
        <w:rPr>
          <w:rStyle w:val="FootnoteReference"/>
        </w:rPr>
        <w:footnoteRef/>
      </w:r>
      <w:r>
        <w:t xml:space="preserve"> The previous Wages Policy operated until 31 December 2021.</w:t>
      </w:r>
    </w:p>
  </w:footnote>
  <w:footnote w:id="6">
    <w:p w14:paraId="673412A4" w14:textId="77777777" w:rsidR="00643B48" w:rsidRDefault="00643B48" w:rsidP="00643B48">
      <w:pPr>
        <w:pStyle w:val="Footnotes"/>
      </w:pPr>
      <w:r>
        <w:rPr>
          <w:rStyle w:val="FootnoteReference"/>
        </w:rPr>
        <w:footnoteRef/>
      </w:r>
      <w:r>
        <w:t xml:space="preserve"> </w:t>
      </w:r>
      <w:r w:rsidRPr="00643B48">
        <w:rPr>
          <w:i/>
          <w:iCs/>
        </w:rPr>
        <w:t>Victorian Public Service Enterprise Agreement 2020</w:t>
      </w:r>
      <w:r>
        <w:t xml:space="preserve"> [AG2020/2580].</w:t>
      </w:r>
    </w:p>
  </w:footnote>
  <w:footnote w:id="7">
    <w:p w14:paraId="7BC0E9AA" w14:textId="77777777" w:rsidR="00274B60" w:rsidRDefault="00274B60" w:rsidP="00274B60">
      <w:pPr>
        <w:pStyle w:val="Footnotes"/>
        <w:ind w:left="102" w:hanging="102"/>
      </w:pPr>
      <w:r>
        <w:rPr>
          <w:rStyle w:val="FootnoteReference"/>
        </w:rPr>
        <w:footnoteRef/>
      </w:r>
      <w:r>
        <w:t xml:space="preserve"> According to the VPS Enterprise Agreement, the purpose of the mobility payment is </w:t>
      </w:r>
      <w:r w:rsidRPr="006B50BC">
        <w:t xml:space="preserve">to reflect </w:t>
      </w:r>
      <w:r>
        <w:t xml:space="preserve">the </w:t>
      </w:r>
      <w:r w:rsidRPr="006B50BC">
        <w:t>government’s need for employees to be responsively deployed to support changing priorities</w:t>
      </w:r>
      <w:r>
        <w:t>.</w:t>
      </w:r>
    </w:p>
  </w:footnote>
  <w:footnote w:id="8">
    <w:p w14:paraId="26D5385B" w14:textId="1250C76A" w:rsidR="0082103B" w:rsidRDefault="0082103B" w:rsidP="0082103B">
      <w:pPr>
        <w:pStyle w:val="Footnotes"/>
        <w:ind w:left="113" w:hanging="113"/>
      </w:pPr>
      <w:r>
        <w:rPr>
          <w:rStyle w:val="FootnoteReference"/>
        </w:rPr>
        <w:footnoteRef/>
      </w:r>
      <w:r>
        <w:t xml:space="preserve"> VPSC</w:t>
      </w:r>
      <w:r w:rsidR="00BC1C86">
        <w:t xml:space="preserve"> (2019), p. </w:t>
      </w:r>
      <w:r>
        <w:t>17.</w:t>
      </w:r>
    </w:p>
  </w:footnote>
  <w:footnote w:id="9">
    <w:p w14:paraId="569F1758" w14:textId="70A2ADF1" w:rsidR="0082103B" w:rsidRPr="00B577F6" w:rsidRDefault="0082103B" w:rsidP="0082103B">
      <w:pPr>
        <w:pStyle w:val="Footnotes"/>
      </w:pPr>
      <w:r>
        <w:rPr>
          <w:rStyle w:val="FootnoteReference"/>
        </w:rPr>
        <w:footnoteRef/>
      </w:r>
      <w:r>
        <w:t xml:space="preserve"> </w:t>
      </w:r>
      <w:r w:rsidR="00BC1C86">
        <w:t>VPSC (2019)</w:t>
      </w:r>
      <w:r>
        <w:t>,</w:t>
      </w:r>
      <w:r w:rsidR="00BC1C86">
        <w:t xml:space="preserve"> p.</w:t>
      </w:r>
      <w:r>
        <w:t xml:space="preserve"> 21. </w:t>
      </w:r>
    </w:p>
  </w:footnote>
  <w:footnote w:id="10">
    <w:p w14:paraId="3DFEAE1F" w14:textId="64E7915C" w:rsidR="004D70A8" w:rsidRDefault="004D70A8" w:rsidP="004D70A8">
      <w:pPr>
        <w:pStyle w:val="Footnotes"/>
      </w:pPr>
      <w:r>
        <w:rPr>
          <w:rStyle w:val="FootnoteReference"/>
        </w:rPr>
        <w:footnoteRef/>
      </w:r>
      <w:r>
        <w:t xml:space="preserve"> VPSC</w:t>
      </w:r>
      <w:r w:rsidR="00BC1C86">
        <w:t xml:space="preserve"> (2019)</w:t>
      </w:r>
      <w:r>
        <w:t>,</w:t>
      </w:r>
      <w:r w:rsidR="00BC1C86">
        <w:t xml:space="preserve"> p.</w:t>
      </w:r>
      <w:r>
        <w:t xml:space="preserve"> 33. </w:t>
      </w:r>
    </w:p>
  </w:footnote>
  <w:footnote w:id="11">
    <w:p w14:paraId="0F5C6B3C" w14:textId="5D581B69" w:rsidR="0082103B" w:rsidRDefault="0082103B" w:rsidP="008A2A17">
      <w:pPr>
        <w:pStyle w:val="Footnotes"/>
        <w:ind w:left="159" w:hanging="159"/>
      </w:pPr>
      <w:r>
        <w:rPr>
          <w:rStyle w:val="FootnoteReference"/>
        </w:rPr>
        <w:footnoteRef/>
      </w:r>
      <w:r>
        <w:t xml:space="preserve"> Under the Executive Vehicle Scheme, executives can access a motor vehicle under a </w:t>
      </w:r>
      <w:r w:rsidRPr="00096272">
        <w:t>salary sacrifice</w:t>
      </w:r>
      <w:r w:rsidRPr="00A50072">
        <w:t xml:space="preserve"> </w:t>
      </w:r>
      <w:r>
        <w:t>arrangement where the executive contributes to the cost of the vehicle</w:t>
      </w:r>
      <w:r w:rsidR="00B55490">
        <w:t xml:space="preserve"> (VPSC (2019), p. </w:t>
      </w:r>
      <w:r w:rsidR="00FD450A">
        <w:t>37</w:t>
      </w:r>
      <w:r w:rsidR="00B55490">
        <w:t>).</w:t>
      </w:r>
    </w:p>
  </w:footnote>
  <w:footnote w:id="12">
    <w:p w14:paraId="4949650D" w14:textId="68097393" w:rsidR="0082103B" w:rsidRPr="00C82C89" w:rsidRDefault="0082103B" w:rsidP="00270718">
      <w:pPr>
        <w:pStyle w:val="Footnotes"/>
      </w:pPr>
      <w:r w:rsidRPr="00C82C89">
        <w:rPr>
          <w:rStyle w:val="FootnoteReference"/>
        </w:rPr>
        <w:footnoteRef/>
      </w:r>
      <w:r w:rsidRPr="00C82C89">
        <w:t xml:space="preserve"> </w:t>
      </w:r>
      <w:r w:rsidR="005A27A3">
        <w:t>VPSC (2019), pp. 24-25</w:t>
      </w:r>
      <w:r w:rsidRPr="00C82C89">
        <w:t xml:space="preserve">. </w:t>
      </w:r>
    </w:p>
  </w:footnote>
  <w:footnote w:id="13">
    <w:p w14:paraId="2FEEE527" w14:textId="3CE51858" w:rsidR="00077086" w:rsidRDefault="00077086" w:rsidP="00270718">
      <w:pPr>
        <w:pStyle w:val="Footnotes"/>
      </w:pPr>
      <w:r>
        <w:rPr>
          <w:rStyle w:val="FootnoteReference"/>
        </w:rPr>
        <w:footnoteRef/>
      </w:r>
      <w:r>
        <w:t xml:space="preserve"> VPSC</w:t>
      </w:r>
      <w:r w:rsidR="005A27A3">
        <w:t xml:space="preserve"> (2019), p. </w:t>
      </w:r>
      <w:r>
        <w:t>43.</w:t>
      </w:r>
    </w:p>
  </w:footnote>
  <w:footnote w:id="14">
    <w:p w14:paraId="761D446C" w14:textId="77777777" w:rsidR="00D82B3E" w:rsidRDefault="00D82B3E" w:rsidP="00D82B3E">
      <w:pPr>
        <w:pStyle w:val="Footnotes"/>
        <w:ind w:left="153" w:hanging="153"/>
      </w:pPr>
      <w:r>
        <w:rPr>
          <w:rStyle w:val="FootnoteReference"/>
        </w:rPr>
        <w:footnoteRef/>
      </w:r>
      <w:r>
        <w:t xml:space="preserve"> Australian Taxation Office (2022b).</w:t>
      </w:r>
    </w:p>
  </w:footnote>
  <w:footnote w:id="15">
    <w:p w14:paraId="5BD6D5CC" w14:textId="77777777" w:rsidR="00D82B3E" w:rsidRDefault="00D82B3E" w:rsidP="00D82B3E">
      <w:pPr>
        <w:pStyle w:val="Footnotes"/>
      </w:pPr>
      <w:r>
        <w:rPr>
          <w:rStyle w:val="FootnoteReference"/>
        </w:rPr>
        <w:footnoteRef/>
      </w:r>
      <w:r w:rsidRPr="00C34E1D">
        <w:rPr>
          <w:i/>
          <w:iCs/>
        </w:rPr>
        <w:t xml:space="preserve"> Superannuation Guarantee (Administration) Act 1992</w:t>
      </w:r>
      <w:r>
        <w:t xml:space="preserve"> (</w:t>
      </w:r>
      <w:proofErr w:type="spellStart"/>
      <w:r>
        <w:t>Cth</w:t>
      </w:r>
      <w:proofErr w:type="spellEnd"/>
      <w:r>
        <w:t>), s. 6(1).</w:t>
      </w:r>
    </w:p>
  </w:footnote>
  <w:footnote w:id="16">
    <w:p w14:paraId="429CFACA" w14:textId="4D782852" w:rsidR="00270718" w:rsidRDefault="00270718" w:rsidP="00270718">
      <w:pPr>
        <w:pStyle w:val="Footnotes"/>
      </w:pPr>
      <w:r>
        <w:rPr>
          <w:rStyle w:val="FootnoteReference"/>
        </w:rPr>
        <w:footnoteRef/>
      </w:r>
      <w:r>
        <w:t xml:space="preserve"> VPSC</w:t>
      </w:r>
      <w:r w:rsidR="005A27A3">
        <w:t xml:space="preserve"> (2019)</w:t>
      </w:r>
      <w:r>
        <w:t>,</w:t>
      </w:r>
      <w:r w:rsidR="005A27A3">
        <w:t xml:space="preserve"> p.</w:t>
      </w:r>
      <w:r>
        <w:t xml:space="preserve"> 43.</w:t>
      </w:r>
    </w:p>
  </w:footnote>
  <w:footnote w:id="17">
    <w:p w14:paraId="1B4DE8AF" w14:textId="4F777612" w:rsidR="00270718" w:rsidRDefault="00270718" w:rsidP="00270718">
      <w:pPr>
        <w:pStyle w:val="FootnoteText"/>
        <w:ind w:left="153" w:hanging="153"/>
      </w:pPr>
      <w:r w:rsidRPr="00951738">
        <w:rPr>
          <w:vertAlign w:val="superscript"/>
        </w:rPr>
        <w:footnoteRef/>
      </w:r>
      <w:r w:rsidR="00AB7273">
        <w:t xml:space="preserve"> Victorian Government (2022)</w:t>
      </w:r>
      <w:r w:rsidR="006A55EF">
        <w:t>.</w:t>
      </w:r>
    </w:p>
  </w:footnote>
  <w:footnote w:id="18">
    <w:p w14:paraId="3E435CF1" w14:textId="2B5E42BA" w:rsidR="00563C6F" w:rsidRDefault="00563C6F" w:rsidP="00563C6F">
      <w:pPr>
        <w:pStyle w:val="FootnoteText"/>
      </w:pPr>
      <w:r>
        <w:rPr>
          <w:rStyle w:val="FootnoteReference"/>
        </w:rPr>
        <w:footnoteRef/>
      </w:r>
      <w:r>
        <w:t xml:space="preserve"> RBA (2022</w:t>
      </w:r>
      <w:r w:rsidR="005775C1">
        <w:t>c</w:t>
      </w:r>
      <w:r>
        <w:t>), p. 5.</w:t>
      </w:r>
    </w:p>
  </w:footnote>
  <w:footnote w:id="19">
    <w:p w14:paraId="39515082" w14:textId="6481672E" w:rsidR="00563C6F" w:rsidRDefault="00563C6F" w:rsidP="00563C6F">
      <w:pPr>
        <w:pStyle w:val="FootnoteText"/>
      </w:pPr>
      <w:r>
        <w:rPr>
          <w:rStyle w:val="FootnoteReference"/>
        </w:rPr>
        <w:footnoteRef/>
      </w:r>
      <w:r>
        <w:t xml:space="preserve"> RBA (2022</w:t>
      </w:r>
      <w:r w:rsidR="005775C1">
        <w:t>c</w:t>
      </w:r>
      <w:r>
        <w:t>), p. 9.</w:t>
      </w:r>
    </w:p>
  </w:footnote>
  <w:footnote w:id="20">
    <w:p w14:paraId="7F8A6596" w14:textId="2C8B47DC" w:rsidR="00563C6F" w:rsidRDefault="00563C6F" w:rsidP="00563C6F">
      <w:pPr>
        <w:pStyle w:val="FootnoteText"/>
      </w:pPr>
      <w:r>
        <w:rPr>
          <w:rStyle w:val="FootnoteReference"/>
        </w:rPr>
        <w:footnoteRef/>
      </w:r>
      <w:r>
        <w:t xml:space="preserve"> RBA (2022</w:t>
      </w:r>
      <w:r w:rsidR="005775C1">
        <w:t>c</w:t>
      </w:r>
      <w:r>
        <w:t>), p. 11-12.</w:t>
      </w:r>
    </w:p>
  </w:footnote>
  <w:footnote w:id="21">
    <w:p w14:paraId="7B682DF0" w14:textId="77777777" w:rsidR="00563C6F" w:rsidRDefault="00563C6F" w:rsidP="00563C6F">
      <w:pPr>
        <w:pStyle w:val="FootnoteText"/>
      </w:pPr>
      <w:r>
        <w:rPr>
          <w:rStyle w:val="FootnoteReference"/>
        </w:rPr>
        <w:footnoteRef/>
      </w:r>
      <w:r>
        <w:t xml:space="preserve"> ABS (2022a).</w:t>
      </w:r>
    </w:p>
  </w:footnote>
  <w:footnote w:id="22">
    <w:p w14:paraId="66B75987" w14:textId="0BB20C80" w:rsidR="00563C6F" w:rsidRDefault="00563C6F" w:rsidP="00563C6F">
      <w:pPr>
        <w:pStyle w:val="FootnoteText"/>
      </w:pPr>
      <w:r>
        <w:rPr>
          <w:rStyle w:val="FootnoteReference"/>
        </w:rPr>
        <w:footnoteRef/>
      </w:r>
      <w:r>
        <w:t xml:space="preserve"> RBA (2022</w:t>
      </w:r>
      <w:r w:rsidR="005775C1">
        <w:t>c</w:t>
      </w:r>
      <w:r>
        <w:t>), p. 59.</w:t>
      </w:r>
    </w:p>
  </w:footnote>
  <w:footnote w:id="23">
    <w:p w14:paraId="22F28E4D" w14:textId="77777777" w:rsidR="00563C6F" w:rsidRDefault="00563C6F" w:rsidP="00563C6F">
      <w:pPr>
        <w:pStyle w:val="FootnoteText"/>
      </w:pPr>
      <w:r>
        <w:rPr>
          <w:rStyle w:val="FootnoteReference"/>
        </w:rPr>
        <w:footnoteRef/>
      </w:r>
      <w:r>
        <w:t xml:space="preserve"> ABS (2022b).</w:t>
      </w:r>
    </w:p>
  </w:footnote>
  <w:footnote w:id="24">
    <w:p w14:paraId="4E49D5EC" w14:textId="4426B829" w:rsidR="00563C6F" w:rsidRDefault="00563C6F" w:rsidP="00563C6F">
      <w:pPr>
        <w:pStyle w:val="FootnoteText"/>
      </w:pPr>
      <w:r>
        <w:rPr>
          <w:rStyle w:val="FootnoteReference"/>
        </w:rPr>
        <w:footnoteRef/>
      </w:r>
      <w:r>
        <w:t xml:space="preserve"> RBA (2022</w:t>
      </w:r>
      <w:r w:rsidR="005775C1">
        <w:t>c</w:t>
      </w:r>
      <w:r>
        <w:t xml:space="preserve">), </w:t>
      </w:r>
      <w:r w:rsidR="00230C09">
        <w:t xml:space="preserve">p. </w:t>
      </w:r>
      <w:r>
        <w:t>59.</w:t>
      </w:r>
    </w:p>
  </w:footnote>
  <w:footnote w:id="25">
    <w:p w14:paraId="01A09030" w14:textId="4D8EC1BA" w:rsidR="00563C6F" w:rsidRDefault="00563C6F" w:rsidP="00563C6F">
      <w:pPr>
        <w:pStyle w:val="FootnoteText"/>
      </w:pPr>
      <w:r>
        <w:rPr>
          <w:rStyle w:val="FootnoteReference"/>
        </w:rPr>
        <w:footnoteRef/>
      </w:r>
      <w:r>
        <w:t xml:space="preserve"> </w:t>
      </w:r>
      <w:r w:rsidR="005775C1">
        <w:t>RBA</w:t>
      </w:r>
      <w:r>
        <w:t xml:space="preserve"> (2022</w:t>
      </w:r>
      <w:r w:rsidR="005775C1">
        <w:t>a</w:t>
      </w:r>
      <w:r>
        <w:t>).</w:t>
      </w:r>
    </w:p>
  </w:footnote>
  <w:footnote w:id="26">
    <w:p w14:paraId="07C81F90" w14:textId="5E8C212B" w:rsidR="00563C6F" w:rsidRDefault="00563C6F" w:rsidP="00563C6F">
      <w:pPr>
        <w:pStyle w:val="FootnoteText"/>
      </w:pPr>
      <w:r>
        <w:rPr>
          <w:rStyle w:val="FootnoteReference"/>
        </w:rPr>
        <w:footnoteRef/>
      </w:r>
      <w:r>
        <w:t xml:space="preserve"> RBA (2022</w:t>
      </w:r>
      <w:r w:rsidR="009178A4">
        <w:t>b</w:t>
      </w:r>
      <w:r>
        <w:t>).</w:t>
      </w:r>
    </w:p>
  </w:footnote>
  <w:footnote w:id="27">
    <w:p w14:paraId="236F8B8A" w14:textId="210401BE" w:rsidR="00563C6F" w:rsidRDefault="00563C6F" w:rsidP="00563C6F">
      <w:pPr>
        <w:pStyle w:val="FootnoteText"/>
      </w:pPr>
      <w:r>
        <w:rPr>
          <w:rStyle w:val="FootnoteReference"/>
        </w:rPr>
        <w:footnoteRef/>
      </w:r>
      <w:r>
        <w:t xml:space="preserve"> RBA (2022</w:t>
      </w:r>
      <w:r w:rsidR="009178A4">
        <w:t>c</w:t>
      </w:r>
      <w:r>
        <w:t>), p. 23.</w:t>
      </w:r>
    </w:p>
  </w:footnote>
  <w:footnote w:id="28">
    <w:p w14:paraId="09490344" w14:textId="77777777" w:rsidR="00563C6F" w:rsidRDefault="00563C6F" w:rsidP="00563C6F">
      <w:pPr>
        <w:pStyle w:val="FootnoteText"/>
      </w:pPr>
      <w:r>
        <w:rPr>
          <w:rStyle w:val="FootnoteReference"/>
        </w:rPr>
        <w:footnoteRef/>
      </w:r>
      <w:r>
        <w:t xml:space="preserve"> </w:t>
      </w:r>
      <w:proofErr w:type="gramStart"/>
      <w:r>
        <w:t>ABS(</w:t>
      </w:r>
      <w:proofErr w:type="gramEnd"/>
      <w:r>
        <w:t>2022c).</w:t>
      </w:r>
    </w:p>
  </w:footnote>
  <w:footnote w:id="29">
    <w:p w14:paraId="510F0688" w14:textId="77777777" w:rsidR="00563C6F" w:rsidRDefault="00563C6F" w:rsidP="00563C6F">
      <w:pPr>
        <w:pStyle w:val="FootnoteText"/>
      </w:pPr>
      <w:r>
        <w:rPr>
          <w:rStyle w:val="FootnoteReference"/>
        </w:rPr>
        <w:footnoteRef/>
      </w:r>
      <w:r>
        <w:t xml:space="preserve"> ABS (2022c).</w:t>
      </w:r>
    </w:p>
  </w:footnote>
  <w:footnote w:id="30">
    <w:p w14:paraId="487A61CA" w14:textId="39DFD2BC" w:rsidR="00563C6F" w:rsidRDefault="00563C6F" w:rsidP="00563C6F">
      <w:pPr>
        <w:pStyle w:val="FootnoteText"/>
      </w:pPr>
      <w:r>
        <w:rPr>
          <w:rStyle w:val="FootnoteReference"/>
        </w:rPr>
        <w:footnoteRef/>
      </w:r>
      <w:r>
        <w:t xml:space="preserve"> RBA (2022</w:t>
      </w:r>
      <w:r w:rsidR="009178A4">
        <w:t>c</w:t>
      </w:r>
      <w:r>
        <w:t>), p. 59.</w:t>
      </w:r>
    </w:p>
  </w:footnote>
  <w:footnote w:id="31">
    <w:p w14:paraId="1A066464" w14:textId="77777777" w:rsidR="00563C6F" w:rsidRDefault="00563C6F" w:rsidP="00563C6F">
      <w:pPr>
        <w:pStyle w:val="FootnoteText"/>
      </w:pPr>
      <w:r>
        <w:rPr>
          <w:rStyle w:val="FootnoteReference"/>
        </w:rPr>
        <w:footnoteRef/>
      </w:r>
      <w:r>
        <w:t xml:space="preserve"> ABS (2022d).</w:t>
      </w:r>
    </w:p>
  </w:footnote>
  <w:footnote w:id="32">
    <w:p w14:paraId="02461A49" w14:textId="6D2D1A2D" w:rsidR="00563C6F" w:rsidRDefault="00563C6F" w:rsidP="00563C6F">
      <w:pPr>
        <w:pStyle w:val="FootnoteText"/>
      </w:pPr>
      <w:r>
        <w:rPr>
          <w:rStyle w:val="FootnoteReference"/>
        </w:rPr>
        <w:footnoteRef/>
      </w:r>
      <w:r>
        <w:t xml:space="preserve"> RBA (2022</w:t>
      </w:r>
      <w:r w:rsidR="009178A4">
        <w:t>c</w:t>
      </w:r>
      <w:r>
        <w:t>), p. 65.</w:t>
      </w:r>
    </w:p>
  </w:footnote>
  <w:footnote w:id="33">
    <w:p w14:paraId="566B20B5" w14:textId="77777777" w:rsidR="00563C6F" w:rsidRDefault="00563C6F" w:rsidP="00563C6F">
      <w:pPr>
        <w:pStyle w:val="Footnotes"/>
      </w:pPr>
      <w:r>
        <w:rPr>
          <w:rStyle w:val="FootnoteReference"/>
        </w:rPr>
        <w:footnoteRef/>
      </w:r>
      <w:r>
        <w:t xml:space="preserve"> FWC (2022), pp. 44, 60.</w:t>
      </w:r>
    </w:p>
  </w:footnote>
  <w:footnote w:id="34">
    <w:p w14:paraId="66D2B6D1" w14:textId="77777777" w:rsidR="00563C6F" w:rsidRDefault="00563C6F" w:rsidP="00563C6F">
      <w:pPr>
        <w:pStyle w:val="FootnoteText"/>
      </w:pPr>
      <w:r>
        <w:rPr>
          <w:rStyle w:val="FootnoteReference"/>
        </w:rPr>
        <w:footnoteRef/>
      </w:r>
      <w:r>
        <w:t xml:space="preserve"> FWC (2022), p. 46.</w:t>
      </w:r>
    </w:p>
  </w:footnote>
  <w:footnote w:id="35">
    <w:p w14:paraId="3CBC5275" w14:textId="77777777" w:rsidR="00563C6F" w:rsidRDefault="00563C6F" w:rsidP="00563C6F">
      <w:pPr>
        <w:pStyle w:val="FootnoteText"/>
      </w:pPr>
      <w:r>
        <w:rPr>
          <w:rStyle w:val="FootnoteReference"/>
        </w:rPr>
        <w:footnoteRef/>
      </w:r>
      <w:r>
        <w:t xml:space="preserve"> FWC (2022), pp. 61-62.</w:t>
      </w:r>
    </w:p>
  </w:footnote>
  <w:footnote w:id="36">
    <w:p w14:paraId="1FB426E0" w14:textId="77777777" w:rsidR="00563C6F" w:rsidRDefault="00563C6F" w:rsidP="00563C6F">
      <w:pPr>
        <w:pStyle w:val="FootnoteText"/>
      </w:pPr>
      <w:r>
        <w:rPr>
          <w:rStyle w:val="FootnoteReference"/>
        </w:rPr>
        <w:footnoteRef/>
      </w:r>
      <w:r>
        <w:t xml:space="preserve"> FWC (2022), pp. 45-47.</w:t>
      </w:r>
    </w:p>
  </w:footnote>
  <w:footnote w:id="37">
    <w:p w14:paraId="5D442714" w14:textId="77777777" w:rsidR="00563C6F" w:rsidRDefault="00563C6F" w:rsidP="00563C6F">
      <w:pPr>
        <w:pStyle w:val="FootnoteText"/>
      </w:pPr>
      <w:r>
        <w:rPr>
          <w:rStyle w:val="FootnoteReference"/>
        </w:rPr>
        <w:footnoteRef/>
      </w:r>
      <w:r>
        <w:t xml:space="preserve"> ABS (2022a).</w:t>
      </w:r>
    </w:p>
  </w:footnote>
  <w:footnote w:id="38">
    <w:p w14:paraId="1A9C23F4" w14:textId="77777777" w:rsidR="00563C6F" w:rsidRDefault="00563C6F" w:rsidP="00563C6F">
      <w:pPr>
        <w:pStyle w:val="FootnoteText"/>
      </w:pPr>
      <w:r>
        <w:rPr>
          <w:rStyle w:val="FootnoteReference"/>
        </w:rPr>
        <w:footnoteRef/>
      </w:r>
      <w:r>
        <w:t xml:space="preserve"> ABS (2022c).</w:t>
      </w:r>
    </w:p>
  </w:footnote>
  <w:footnote w:id="39">
    <w:p w14:paraId="731BFA84" w14:textId="77777777" w:rsidR="00563C6F" w:rsidRDefault="00563C6F" w:rsidP="00563C6F">
      <w:pPr>
        <w:pStyle w:val="FootnoteText"/>
      </w:pPr>
      <w:r>
        <w:rPr>
          <w:rStyle w:val="FootnoteReference"/>
        </w:rPr>
        <w:footnoteRef/>
      </w:r>
      <w:r>
        <w:t xml:space="preserve"> ABS (2022c).</w:t>
      </w:r>
    </w:p>
  </w:footnote>
  <w:footnote w:id="40">
    <w:p w14:paraId="132A725A" w14:textId="36888893" w:rsidR="007E6046" w:rsidRDefault="007E6046">
      <w:pPr>
        <w:pStyle w:val="FootnoteText"/>
      </w:pPr>
      <w:r>
        <w:rPr>
          <w:rStyle w:val="FootnoteReference"/>
        </w:rPr>
        <w:footnoteRef/>
      </w:r>
      <w:r>
        <w:t xml:space="preserve"> ABS (2022b).</w:t>
      </w:r>
    </w:p>
  </w:footnote>
  <w:footnote w:id="41">
    <w:p w14:paraId="5E608E74" w14:textId="77777777" w:rsidR="00563C6F" w:rsidRDefault="00563C6F" w:rsidP="00563C6F">
      <w:pPr>
        <w:pStyle w:val="FootnoteText"/>
      </w:pPr>
      <w:r>
        <w:rPr>
          <w:rStyle w:val="FootnoteReference"/>
        </w:rPr>
        <w:footnoteRef/>
      </w:r>
      <w:r>
        <w:t xml:space="preserve"> ABS (2022d).</w:t>
      </w:r>
    </w:p>
  </w:footnote>
  <w:footnote w:id="42">
    <w:p w14:paraId="3945D14E" w14:textId="77777777" w:rsidR="00563C6F" w:rsidRPr="00545FC7" w:rsidRDefault="00563C6F" w:rsidP="00563C6F">
      <w:pPr>
        <w:pStyle w:val="Footnotes"/>
      </w:pPr>
      <w:r w:rsidRPr="00457729">
        <w:rPr>
          <w:rStyle w:val="FootnoteReference"/>
        </w:rPr>
        <w:footnoteRef/>
      </w:r>
      <w:r w:rsidRPr="00457729">
        <w:t xml:space="preserve"> ABS</w:t>
      </w:r>
      <w:r>
        <w:t xml:space="preserve"> (2021).</w:t>
      </w:r>
    </w:p>
  </w:footnote>
  <w:footnote w:id="43">
    <w:p w14:paraId="467B7D05" w14:textId="77777777" w:rsidR="00563C6F" w:rsidRDefault="00563C6F" w:rsidP="00563C6F">
      <w:pPr>
        <w:pStyle w:val="FootnoteText"/>
      </w:pPr>
      <w:r>
        <w:rPr>
          <w:rStyle w:val="FootnoteReference"/>
        </w:rPr>
        <w:footnoteRef/>
      </w:r>
      <w:r>
        <w:t xml:space="preserve"> Attorney General’s Department (</w:t>
      </w:r>
      <w:proofErr w:type="spellStart"/>
      <w:r>
        <w:t>Cth</w:t>
      </w:r>
      <w:proofErr w:type="spellEnd"/>
      <w:r>
        <w:t>) (2022).</w:t>
      </w:r>
    </w:p>
  </w:footnote>
  <w:footnote w:id="44">
    <w:p w14:paraId="49262E17" w14:textId="7CA211CF" w:rsidR="009178A4" w:rsidRDefault="009178A4">
      <w:pPr>
        <w:pStyle w:val="FootnoteText"/>
      </w:pPr>
      <w:r>
        <w:rPr>
          <w:rStyle w:val="FootnoteReference"/>
        </w:rPr>
        <w:footnoteRef/>
      </w:r>
      <w:r>
        <w:t xml:space="preserve"> DTF (2022a), p. 17.</w:t>
      </w:r>
    </w:p>
  </w:footnote>
  <w:footnote w:id="45">
    <w:p w14:paraId="0A7800F0" w14:textId="77777777" w:rsidR="00563C6F" w:rsidRDefault="00563C6F" w:rsidP="00563C6F">
      <w:pPr>
        <w:pStyle w:val="FootnoteText"/>
      </w:pPr>
      <w:r>
        <w:rPr>
          <w:rStyle w:val="FootnoteReference"/>
        </w:rPr>
        <w:footnoteRef/>
      </w:r>
      <w:r>
        <w:t xml:space="preserve"> DTF (2022a), p. 17.</w:t>
      </w:r>
    </w:p>
  </w:footnote>
  <w:footnote w:id="46">
    <w:p w14:paraId="38C89BAE" w14:textId="77777777" w:rsidR="00563C6F" w:rsidRDefault="00563C6F" w:rsidP="00563C6F">
      <w:pPr>
        <w:pStyle w:val="Footnotes"/>
      </w:pPr>
      <w:r w:rsidRPr="0001372A">
        <w:rPr>
          <w:rStyle w:val="FootnoteReference"/>
        </w:rPr>
        <w:footnoteRef/>
      </w:r>
      <w:r w:rsidRPr="0001372A">
        <w:t xml:space="preserve"> </w:t>
      </w:r>
      <w:r w:rsidRPr="0001372A">
        <w:rPr>
          <w:noProof/>
          <w:lang w:eastAsia="en-AU"/>
        </w:rPr>
        <w:t>DTF (202</w:t>
      </w:r>
      <w:r>
        <w:rPr>
          <w:noProof/>
          <w:lang w:eastAsia="en-AU"/>
        </w:rPr>
        <w:t>2a</w:t>
      </w:r>
      <w:r w:rsidRPr="0001372A">
        <w:rPr>
          <w:noProof/>
          <w:lang w:eastAsia="en-AU"/>
        </w:rPr>
        <w:t xml:space="preserve">), p. </w:t>
      </w:r>
      <w:r>
        <w:rPr>
          <w:noProof/>
          <w:lang w:eastAsia="en-AU"/>
        </w:rPr>
        <w:t>24</w:t>
      </w:r>
      <w:r w:rsidRPr="0001372A">
        <w:rPr>
          <w:noProof/>
          <w:lang w:eastAsia="en-AU"/>
        </w:rPr>
        <w:t>.</w:t>
      </w:r>
    </w:p>
  </w:footnote>
  <w:footnote w:id="47">
    <w:p w14:paraId="0309274D" w14:textId="77777777" w:rsidR="00563C6F" w:rsidRDefault="00563C6F" w:rsidP="00563C6F">
      <w:pPr>
        <w:pStyle w:val="FootnoteText"/>
      </w:pPr>
      <w:r>
        <w:rPr>
          <w:rStyle w:val="FootnoteReference"/>
        </w:rPr>
        <w:footnoteRef/>
      </w:r>
      <w:r>
        <w:t xml:space="preserve"> DTF (2022b), p. 210.</w:t>
      </w:r>
    </w:p>
  </w:footnote>
  <w:footnote w:id="48">
    <w:p w14:paraId="11355439" w14:textId="77777777" w:rsidR="00563C6F" w:rsidRDefault="00563C6F" w:rsidP="00563C6F">
      <w:pPr>
        <w:pStyle w:val="FootnoteText"/>
      </w:pPr>
      <w:r>
        <w:rPr>
          <w:rStyle w:val="FootnoteReference"/>
        </w:rPr>
        <w:footnoteRef/>
      </w:r>
      <w:r>
        <w:t xml:space="preserve"> DTF (2022b), p. 211.</w:t>
      </w:r>
    </w:p>
  </w:footnote>
  <w:footnote w:id="49">
    <w:p w14:paraId="45ECB85F" w14:textId="77777777" w:rsidR="00563C6F" w:rsidRDefault="00563C6F" w:rsidP="00563C6F">
      <w:pPr>
        <w:pStyle w:val="FootnoteText"/>
      </w:pPr>
      <w:r>
        <w:rPr>
          <w:rStyle w:val="FootnoteReference"/>
        </w:rPr>
        <w:footnoteRef/>
      </w:r>
      <w:r>
        <w:t xml:space="preserve"> DTF (2022a), p. 3.</w:t>
      </w:r>
    </w:p>
  </w:footnote>
  <w:footnote w:id="50">
    <w:p w14:paraId="2BFF2C5C" w14:textId="77777777" w:rsidR="008D77A4" w:rsidRPr="0001372A" w:rsidRDefault="008D77A4" w:rsidP="008D77A4">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51">
    <w:p w14:paraId="2569DEB1" w14:textId="77777777" w:rsidR="00563C6F" w:rsidRPr="0001372A" w:rsidRDefault="00563C6F" w:rsidP="00563C6F">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52">
    <w:p w14:paraId="6990FF65" w14:textId="77777777" w:rsidR="00563C6F" w:rsidRPr="0001372A" w:rsidRDefault="00563C6F" w:rsidP="00563C6F">
      <w:pPr>
        <w:pStyle w:val="Footnotes"/>
      </w:pPr>
      <w:r w:rsidRPr="0001372A">
        <w:rPr>
          <w:rStyle w:val="FootnoteReference"/>
        </w:rPr>
        <w:footnoteRef/>
      </w:r>
      <w:r w:rsidRPr="0001372A">
        <w:t xml:space="preserve"> VAGO (2021), p. 1.</w:t>
      </w:r>
    </w:p>
  </w:footnote>
  <w:footnote w:id="53">
    <w:p w14:paraId="6F4E1A0E" w14:textId="1E336B18" w:rsidR="006449D2" w:rsidRDefault="006449D2">
      <w:pPr>
        <w:pStyle w:val="FootnoteText"/>
      </w:pPr>
      <w:r>
        <w:rPr>
          <w:rStyle w:val="FootnoteReference"/>
        </w:rPr>
        <w:footnoteRef/>
      </w:r>
      <w:r>
        <w:t xml:space="preserve"> </w:t>
      </w:r>
      <w:r w:rsidRPr="0001372A">
        <w:t>VAGO (2021), p. 3.</w:t>
      </w:r>
    </w:p>
  </w:footnote>
  <w:footnote w:id="54">
    <w:p w14:paraId="32A6DD98" w14:textId="171DD8B8" w:rsidR="00BC44D6" w:rsidRDefault="00BC44D6">
      <w:pPr>
        <w:pStyle w:val="FootnoteText"/>
      </w:pPr>
      <w:r>
        <w:rPr>
          <w:rStyle w:val="FootnoteReference"/>
        </w:rPr>
        <w:footnoteRef/>
      </w:r>
      <w:r>
        <w:t xml:space="preserve"> </w:t>
      </w:r>
      <w:r w:rsidR="009178A4">
        <w:t>RBA</w:t>
      </w:r>
      <w:r>
        <w:t xml:space="preserve"> (2022</w:t>
      </w:r>
      <w:r w:rsidR="009178A4">
        <w:t>a</w:t>
      </w:r>
      <w:r>
        <w:t>).</w:t>
      </w:r>
    </w:p>
  </w:footnote>
  <w:footnote w:id="55">
    <w:p w14:paraId="03341E93" w14:textId="77777777" w:rsidR="0005531A" w:rsidRDefault="0005531A" w:rsidP="0005531A">
      <w:pPr>
        <w:pStyle w:val="FootnoteText"/>
      </w:pPr>
      <w:r w:rsidRPr="00B20F9D">
        <w:rPr>
          <w:rStyle w:val="FootnoteReference"/>
        </w:rPr>
        <w:footnoteRef/>
      </w:r>
      <w:r w:rsidRPr="00B20F9D">
        <w:t xml:space="preserve"> Commonwealth Government of Australia (2022).</w:t>
      </w:r>
      <w:r>
        <w:t xml:space="preserve">  </w:t>
      </w:r>
    </w:p>
  </w:footnote>
  <w:footnote w:id="56">
    <w:p w14:paraId="10F60677" w14:textId="08E21378" w:rsidR="00DE5E5B" w:rsidRDefault="00DE5E5B">
      <w:pPr>
        <w:pStyle w:val="FootnoteText"/>
      </w:pPr>
      <w:r>
        <w:rPr>
          <w:rStyle w:val="FootnoteReference"/>
        </w:rPr>
        <w:footnoteRef/>
      </w:r>
      <w:r>
        <w:t xml:space="preserve"> VPSC (20</w:t>
      </w:r>
      <w:r w:rsidR="00B102CB">
        <w:t>19</w:t>
      </w:r>
      <w:r>
        <w:t>), p</w:t>
      </w:r>
      <w:r w:rsidR="00502B1C">
        <w:t xml:space="preserve">. </w:t>
      </w:r>
      <w:r w:rsidR="001C75D4" w:rsidRPr="00F94983">
        <w:t>4</w:t>
      </w:r>
      <w:r w:rsidR="007462B0">
        <w:t>6</w:t>
      </w:r>
      <w:r w:rsidR="00502B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75669AF9" w:rsidR="004753FE" w:rsidRDefault="00936595">
    <w:pPr>
      <w:pStyle w:val="Header"/>
    </w:pPr>
    <w:r>
      <w:rPr>
        <w:noProof/>
      </w:rPr>
      <w:pict w14:anchorId="09C56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13.8pt;height:85.6pt;rotation:315;z-index:-251654132;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r w:rsidR="009759C5">
      <w:rPr>
        <w:noProof/>
      </w:rPr>
      <mc:AlternateContent>
        <mc:Choice Requires="wps">
          <w:drawing>
            <wp:anchor distT="0" distB="0" distL="114300" distR="114300" simplePos="0" relativeHeight="251658246" behindDoc="1" locked="0" layoutInCell="0" allowOverlap="1" wp14:anchorId="14BECD26" wp14:editId="2A743A7D">
              <wp:simplePos x="0" y="0"/>
              <wp:positionH relativeFrom="margin">
                <wp:align>center</wp:align>
              </wp:positionH>
              <wp:positionV relativeFrom="margin">
                <wp:align>center</wp:align>
              </wp:positionV>
              <wp:extent cx="3860800" cy="1543685"/>
              <wp:effectExtent l="0" t="1047750" r="0" b="8470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91735B" w14:textId="77777777" w:rsidR="009759C5" w:rsidRDefault="009759C5" w:rsidP="009759C5">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ECD26" id="_x0000_t202" coordsize="21600,21600" o:spt="202" path="m,l,21600r21600,l21600,xe">
              <v:stroke joinstyle="miter"/>
              <v:path gradientshapeok="t" o:connecttype="rect"/>
            </v:shapetype>
            <v:shape id="Text Box 3" o:spid="_x0000_s1027" type="#_x0000_t202" style="position:absolute;margin-left:0;margin-top:0;width:304pt;height:121.5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" o:allowincell="f" filled="f" stroked="f">
              <v:stroke joinstyle="round"/>
              <o:lock v:ext="edit" shapetype="t"/>
              <v:textbox style="mso-fit-shape-to-text:t">
                <w:txbxContent>
                  <w:p w14:paraId="3B91735B" w14:textId="77777777" w:rsidR="009759C5" w:rsidRDefault="009759C5" w:rsidP="009759C5">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sidR="009759C5">
      <w:rPr>
        <w:noProof/>
      </w:rPr>
      <mc:AlternateContent>
        <mc:Choice Requires="wps">
          <w:drawing>
            <wp:anchor distT="0" distB="0" distL="114300" distR="114300" simplePos="0" relativeHeight="251658247" behindDoc="1" locked="0" layoutInCell="0" allowOverlap="1" wp14:anchorId="2DB42925" wp14:editId="4166E615">
              <wp:simplePos x="0" y="0"/>
              <wp:positionH relativeFrom="margin">
                <wp:align>center</wp:align>
              </wp:positionH>
              <wp:positionV relativeFrom="margin">
                <wp:align>center</wp:align>
              </wp:positionV>
              <wp:extent cx="3860800" cy="1543685"/>
              <wp:effectExtent l="0" t="1047750" r="0" b="8470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86080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E9EC1C" w14:textId="77777777" w:rsidR="009759C5" w:rsidRDefault="009759C5" w:rsidP="009759C5">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42925" id="Text Box 2" o:spid="_x0000_s1028" type="#_x0000_t202" style="position:absolute;margin-left:0;margin-top:0;width:304pt;height:121.5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" o:allowincell="f" filled="f" stroked="f">
              <v:stroke joinstyle="round"/>
              <o:lock v:ext="edit" shapetype="t"/>
              <v:textbox style="mso-fit-shape-to-text:t">
                <w:txbxContent>
                  <w:p w14:paraId="64E9EC1C" w14:textId="77777777" w:rsidR="009759C5" w:rsidRDefault="009759C5" w:rsidP="009759C5">
                    <w:pPr>
                      <w:jc w:val="center"/>
                      <w:rPr>
                        <w:rFonts w:cs="Arial"/>
                        <w:color w:val="D9D9D9" w:themeColor="background1" w:themeShade="D9"/>
                        <w:sz w:val="2"/>
                        <w:szCs w:val="2"/>
                        <w14:textFill>
                          <w14:solidFill>
                            <w14:schemeClr w14:val="bg1">
                              <w14:alpha w14:val="50000"/>
                              <w14:lumMod w14:val="85000"/>
                            </w14:schemeClr>
                          </w14:solidFill>
                        </w14:textFill>
                      </w:rPr>
                    </w:pPr>
                    <w:r>
                      <w:rPr>
                        <w:rFonts w:cs="Arial"/>
                        <w:color w:val="D9D9D9" w:themeColor="background1" w:themeShade="D9"/>
                        <w:sz w:val="2"/>
                        <w:szCs w:val="2"/>
                        <w14:textFill>
                          <w14:solidFill>
                            <w14:schemeClr w14:val="bg1">
                              <w14:alpha w14:val="50000"/>
                              <w14:lumMod w14:val="85000"/>
                            </w14:schemeClr>
                          </w14:solidFill>
                        </w14:textFill>
                      </w:rPr>
                      <w:t>DRAFT</w:t>
                    </w:r>
                  </w:p>
                </w:txbxContent>
              </v:textbox>
              <w10:wrap anchorx="margin" anchory="margin"/>
            </v:shape>
          </w:pict>
        </mc:Fallback>
      </mc:AlternateContent>
    </w:r>
    <w:r w:rsidR="009759C5">
      <w:rPr>
        <w:noProof/>
      </w:rPr>
      <mc:AlternateContent>
        <mc:Choice Requires="wps">
          <w:drawing>
            <wp:anchor distT="0" distB="0" distL="114300" distR="114300" simplePos="0" relativeHeight="251658248" behindDoc="1" locked="0" layoutInCell="0" allowOverlap="1" wp14:anchorId="496D2FF5" wp14:editId="23957D6F">
              <wp:simplePos x="0" y="0"/>
              <wp:positionH relativeFrom="margin">
                <wp:align>center</wp:align>
              </wp:positionH>
              <wp:positionV relativeFrom="margin">
                <wp:align>center</wp:align>
              </wp:positionV>
              <wp:extent cx="3378200" cy="2026920"/>
              <wp:effectExtent l="0" t="742950" r="0" b="4210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378200" cy="202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BBC2F" w14:textId="77777777" w:rsidR="009759C5" w:rsidRDefault="009759C5" w:rsidP="009759C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6D2FF5" id="Text Box 1" o:spid="_x0000_s1029" type="#_x0000_t202" style="position:absolute;margin-left:0;margin-top:0;width:266pt;height:159.6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" o:allowincell="f" filled="f" stroked="f">
              <v:stroke joinstyle="round"/>
              <o:lock v:ext="edit" shapetype="t"/>
              <v:textbox style="mso-fit-shape-to-text:t">
                <w:txbxContent>
                  <w:p w14:paraId="7C3BBC2F" w14:textId="77777777" w:rsidR="009759C5" w:rsidRDefault="009759C5" w:rsidP="009759C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809F" w14:textId="77777777" w:rsidR="00E00E84" w:rsidRDefault="00E00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142045E5"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4B0EB455" w:rsidR="004753FE" w:rsidRDefault="00936595">
    <w:pPr>
      <w:pStyle w:val="Header"/>
    </w:pPr>
    <w:r>
      <w:rPr>
        <w:noProof/>
      </w:rPr>
      <w:pict w14:anchorId="4D979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13.8pt;height:85.6pt;rotation:315;z-index:-251647988;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r>
      <w:rPr>
        <w:noProof/>
      </w:rPr>
      <w:pict w14:anchorId="243F8CB2">
        <v:shape id="_x0000_s2054" type="#_x0000_t136" style="position:absolute;margin-left:0;margin-top:0;width:304pt;height:121.55pt;rotation:315;z-index:-251658235;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2053" type="#_x0000_t136" style="position:absolute;margin-left:0;margin-top:0;width:304pt;height:121.55pt;rotation:315;z-index:-251658237;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2052" type="#_x0000_t136" style="position:absolute;margin-left:0;margin-top:0;width:266pt;height:159.6pt;rotation:315;z-index:-251658239;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4154DB84"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55C882A0" w:rsidR="004753FE" w:rsidRDefault="00936595">
    <w:pPr>
      <w:pStyle w:val="Header"/>
    </w:pPr>
    <w:r>
      <w:rPr>
        <w:noProof/>
      </w:rPr>
      <w:pict w14:anchorId="6542F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13.8pt;height:85.6pt;rotation:315;z-index:-25165003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r>
      <w:rPr>
        <w:noProof/>
      </w:rPr>
      <w:pict w14:anchorId="5F79FA5D">
        <v:shape id="_x0000_s2051" type="#_x0000_t136" style="position:absolute;margin-left:0;margin-top:0;width:304pt;height:121.55pt;rotation:315;z-index:-251658236;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2050" type="#_x0000_t136" style="position:absolute;margin-left:0;margin-top:0;width:304pt;height:121.55pt;rotation:315;z-index:-251658238;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2049" type="#_x0000_t136" style="position:absolute;margin-left:0;margin-top:0;width:266pt;height:159.6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57C28CDF" w:rsidR="009C1981" w:rsidRDefault="00936595">
    <w:pPr>
      <w:pStyle w:val="Header"/>
    </w:pPr>
    <w:r>
      <w:rPr>
        <w:noProof/>
      </w:rPr>
      <w:pict w14:anchorId="223B4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13.8pt;height:85.6pt;rotation:315;z-index:-251641844;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0A202429"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37032B1A"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2A7854"/>
    <w:multiLevelType w:val="hybridMultilevel"/>
    <w:tmpl w:val="CA26B4A0"/>
    <w:lvl w:ilvl="0" w:tplc="D408F62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5"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26B6624"/>
    <w:multiLevelType w:val="hybridMultilevel"/>
    <w:tmpl w:val="AD680D2C"/>
    <w:lvl w:ilvl="0" w:tplc="7902BC74">
      <w:start w:val="1"/>
      <w:numFmt w:val="decimal"/>
      <w:lvlText w:val="A.%1"/>
      <w:lvlJc w:val="left"/>
      <w:pPr>
        <w:ind w:left="1191" w:hanging="471"/>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314558"/>
    <w:multiLevelType w:val="hybridMultilevel"/>
    <w:tmpl w:val="1902A4A0"/>
    <w:lvl w:ilvl="0" w:tplc="0C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4"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1"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6BFE2E5B"/>
    <w:multiLevelType w:val="hybridMultilevel"/>
    <w:tmpl w:val="170A3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4"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5"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3"/>
  </w:num>
  <w:num w:numId="15">
    <w:abstractNumId w:val="17"/>
  </w:num>
  <w:num w:numId="16">
    <w:abstractNumId w:val="25"/>
  </w:num>
  <w:num w:numId="17">
    <w:abstractNumId w:val="13"/>
  </w:num>
  <w:num w:numId="18">
    <w:abstractNumId w:val="31"/>
  </w:num>
  <w:num w:numId="19">
    <w:abstractNumId w:val="35"/>
  </w:num>
  <w:num w:numId="20">
    <w:abstractNumId w:val="18"/>
  </w:num>
  <w:num w:numId="21">
    <w:abstractNumId w:val="34"/>
  </w:num>
  <w:num w:numId="22">
    <w:abstractNumId w:val="28"/>
  </w:num>
  <w:num w:numId="23">
    <w:abstractNumId w:val="30"/>
  </w:num>
  <w:num w:numId="24">
    <w:abstractNumId w:val="10"/>
  </w:num>
  <w:num w:numId="25">
    <w:abstractNumId w:val="37"/>
  </w:num>
  <w:num w:numId="26">
    <w:abstractNumId w:val="24"/>
  </w:num>
  <w:num w:numId="27">
    <w:abstractNumId w:val="22"/>
  </w:num>
  <w:num w:numId="28">
    <w:abstractNumId w:val="36"/>
  </w:num>
  <w:num w:numId="29">
    <w:abstractNumId w:val="26"/>
  </w:num>
  <w:num w:numId="30">
    <w:abstractNumId w:val="11"/>
  </w:num>
  <w:num w:numId="31">
    <w:abstractNumId w:val="20"/>
  </w:num>
  <w:num w:numId="32">
    <w:abstractNumId w:val="23"/>
  </w:num>
  <w:num w:numId="33">
    <w:abstractNumId w:val="14"/>
  </w:num>
  <w:num w:numId="34">
    <w:abstractNumId w:val="27"/>
  </w:num>
  <w:num w:numId="35">
    <w:abstractNumId w:val="38"/>
  </w:num>
  <w:num w:numId="36">
    <w:abstractNumId w:val="38"/>
  </w:num>
  <w:num w:numId="37">
    <w:abstractNumId w:val="38"/>
  </w:num>
  <w:num w:numId="38">
    <w:abstractNumId w:val="21"/>
  </w:num>
  <w:num w:numId="39">
    <w:abstractNumId w:val="38"/>
  </w:num>
  <w:num w:numId="40">
    <w:abstractNumId w:val="3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formatting="1" w:enforcement="1" w:cryptProviderType="rsaAES" w:cryptAlgorithmClass="hash" w:cryptAlgorithmType="typeAny" w:cryptAlgorithmSid="14" w:cryptSpinCount="100000" w:hash="hDYqLhym/iuP/zQL7FG8kw9+9R7fZsSlhqc3ybQB2UCl1FcZI5MHKN4J6sIP+o1wlBx4BUhJvnQ0gkzCEgVgtA==" w:salt="RM0qBzvho+YoaLBFx9FWFQ=="/>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2C1"/>
    <w:rsid w:val="00000354"/>
    <w:rsid w:val="00000378"/>
    <w:rsid w:val="0000050A"/>
    <w:rsid w:val="0000051C"/>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D2"/>
    <w:rsid w:val="000017EB"/>
    <w:rsid w:val="00001913"/>
    <w:rsid w:val="000019A4"/>
    <w:rsid w:val="00001A68"/>
    <w:rsid w:val="00001BC7"/>
    <w:rsid w:val="00001C07"/>
    <w:rsid w:val="00001D6D"/>
    <w:rsid w:val="00001E28"/>
    <w:rsid w:val="00001EE1"/>
    <w:rsid w:val="00001F08"/>
    <w:rsid w:val="00001F9F"/>
    <w:rsid w:val="00001FCD"/>
    <w:rsid w:val="00002114"/>
    <w:rsid w:val="00002344"/>
    <w:rsid w:val="0000256C"/>
    <w:rsid w:val="00002605"/>
    <w:rsid w:val="0000261B"/>
    <w:rsid w:val="0000273D"/>
    <w:rsid w:val="000027A7"/>
    <w:rsid w:val="0000293F"/>
    <w:rsid w:val="00002A77"/>
    <w:rsid w:val="00002B79"/>
    <w:rsid w:val="00002D24"/>
    <w:rsid w:val="00002E5D"/>
    <w:rsid w:val="00003038"/>
    <w:rsid w:val="000030FB"/>
    <w:rsid w:val="0000312C"/>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AA2"/>
    <w:rsid w:val="00005B92"/>
    <w:rsid w:val="00005B9A"/>
    <w:rsid w:val="00005D07"/>
    <w:rsid w:val="00005D9C"/>
    <w:rsid w:val="00006054"/>
    <w:rsid w:val="00006253"/>
    <w:rsid w:val="00006294"/>
    <w:rsid w:val="000062DB"/>
    <w:rsid w:val="00006324"/>
    <w:rsid w:val="000063AD"/>
    <w:rsid w:val="0000646F"/>
    <w:rsid w:val="00006530"/>
    <w:rsid w:val="00006553"/>
    <w:rsid w:val="0000655F"/>
    <w:rsid w:val="000065F6"/>
    <w:rsid w:val="00006699"/>
    <w:rsid w:val="0000692D"/>
    <w:rsid w:val="00006F88"/>
    <w:rsid w:val="0000734C"/>
    <w:rsid w:val="000073D2"/>
    <w:rsid w:val="00007578"/>
    <w:rsid w:val="0000779E"/>
    <w:rsid w:val="00007979"/>
    <w:rsid w:val="000079FD"/>
    <w:rsid w:val="00007A9E"/>
    <w:rsid w:val="00007B58"/>
    <w:rsid w:val="00007BEE"/>
    <w:rsid w:val="00007D13"/>
    <w:rsid w:val="00007D99"/>
    <w:rsid w:val="00007DFA"/>
    <w:rsid w:val="00007E59"/>
    <w:rsid w:val="000100E5"/>
    <w:rsid w:val="0001036F"/>
    <w:rsid w:val="0001058B"/>
    <w:rsid w:val="00010675"/>
    <w:rsid w:val="000109C8"/>
    <w:rsid w:val="00010AEA"/>
    <w:rsid w:val="00010B6A"/>
    <w:rsid w:val="00010D43"/>
    <w:rsid w:val="00010E3D"/>
    <w:rsid w:val="00010EBE"/>
    <w:rsid w:val="00010EFB"/>
    <w:rsid w:val="00010F28"/>
    <w:rsid w:val="000110B9"/>
    <w:rsid w:val="000115DF"/>
    <w:rsid w:val="000118D0"/>
    <w:rsid w:val="0001194E"/>
    <w:rsid w:val="00011CCC"/>
    <w:rsid w:val="00011D20"/>
    <w:rsid w:val="00012188"/>
    <w:rsid w:val="000121F8"/>
    <w:rsid w:val="00012257"/>
    <w:rsid w:val="000122E6"/>
    <w:rsid w:val="000122EA"/>
    <w:rsid w:val="00012378"/>
    <w:rsid w:val="000123D7"/>
    <w:rsid w:val="00012494"/>
    <w:rsid w:val="0001253B"/>
    <w:rsid w:val="000126E5"/>
    <w:rsid w:val="00012864"/>
    <w:rsid w:val="00012EE8"/>
    <w:rsid w:val="00012FCF"/>
    <w:rsid w:val="000130EF"/>
    <w:rsid w:val="0001372A"/>
    <w:rsid w:val="00013912"/>
    <w:rsid w:val="00013B13"/>
    <w:rsid w:val="00013BAA"/>
    <w:rsid w:val="00013BEF"/>
    <w:rsid w:val="00013D7D"/>
    <w:rsid w:val="0001406F"/>
    <w:rsid w:val="000143DB"/>
    <w:rsid w:val="000143FC"/>
    <w:rsid w:val="00014691"/>
    <w:rsid w:val="000147A0"/>
    <w:rsid w:val="000148E9"/>
    <w:rsid w:val="00014906"/>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CD7"/>
    <w:rsid w:val="00015D28"/>
    <w:rsid w:val="00015D82"/>
    <w:rsid w:val="00015FCB"/>
    <w:rsid w:val="0001608A"/>
    <w:rsid w:val="0001611F"/>
    <w:rsid w:val="000162EE"/>
    <w:rsid w:val="00016507"/>
    <w:rsid w:val="0001655B"/>
    <w:rsid w:val="000166FC"/>
    <w:rsid w:val="0001670D"/>
    <w:rsid w:val="000170F2"/>
    <w:rsid w:val="0001713F"/>
    <w:rsid w:val="000172EC"/>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3A"/>
    <w:rsid w:val="00020D7F"/>
    <w:rsid w:val="00020DD4"/>
    <w:rsid w:val="00020E2F"/>
    <w:rsid w:val="00020F31"/>
    <w:rsid w:val="00020F43"/>
    <w:rsid w:val="00020FB1"/>
    <w:rsid w:val="00021102"/>
    <w:rsid w:val="0002113C"/>
    <w:rsid w:val="000212F6"/>
    <w:rsid w:val="00021305"/>
    <w:rsid w:val="0002140D"/>
    <w:rsid w:val="0002149B"/>
    <w:rsid w:val="0002157C"/>
    <w:rsid w:val="00021636"/>
    <w:rsid w:val="0002171B"/>
    <w:rsid w:val="0002180C"/>
    <w:rsid w:val="00021A62"/>
    <w:rsid w:val="00021B46"/>
    <w:rsid w:val="00021D76"/>
    <w:rsid w:val="0002204C"/>
    <w:rsid w:val="00022325"/>
    <w:rsid w:val="00022467"/>
    <w:rsid w:val="000226F9"/>
    <w:rsid w:val="000227FB"/>
    <w:rsid w:val="00022818"/>
    <w:rsid w:val="00022B70"/>
    <w:rsid w:val="00022EDA"/>
    <w:rsid w:val="00022EFB"/>
    <w:rsid w:val="00023034"/>
    <w:rsid w:val="0002310F"/>
    <w:rsid w:val="00023146"/>
    <w:rsid w:val="000231BC"/>
    <w:rsid w:val="0002328B"/>
    <w:rsid w:val="000232D5"/>
    <w:rsid w:val="000235C3"/>
    <w:rsid w:val="00023773"/>
    <w:rsid w:val="000237D0"/>
    <w:rsid w:val="000238F4"/>
    <w:rsid w:val="00023A55"/>
    <w:rsid w:val="00023B9D"/>
    <w:rsid w:val="00023DFB"/>
    <w:rsid w:val="00023FB4"/>
    <w:rsid w:val="0002433F"/>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1A"/>
    <w:rsid w:val="000250C2"/>
    <w:rsid w:val="00025281"/>
    <w:rsid w:val="0002534A"/>
    <w:rsid w:val="0002584F"/>
    <w:rsid w:val="00025AE8"/>
    <w:rsid w:val="00025BD7"/>
    <w:rsid w:val="00025D64"/>
    <w:rsid w:val="00025E22"/>
    <w:rsid w:val="00025ED1"/>
    <w:rsid w:val="00025FA9"/>
    <w:rsid w:val="0002628F"/>
    <w:rsid w:val="000263BA"/>
    <w:rsid w:val="000263CA"/>
    <w:rsid w:val="0002644C"/>
    <w:rsid w:val="000265CF"/>
    <w:rsid w:val="00026725"/>
    <w:rsid w:val="00026775"/>
    <w:rsid w:val="0002690E"/>
    <w:rsid w:val="00026BA0"/>
    <w:rsid w:val="00026BA7"/>
    <w:rsid w:val="00026EB0"/>
    <w:rsid w:val="00026FC0"/>
    <w:rsid w:val="000270A6"/>
    <w:rsid w:val="000271BB"/>
    <w:rsid w:val="00027463"/>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926"/>
    <w:rsid w:val="00030AB3"/>
    <w:rsid w:val="00030DA4"/>
    <w:rsid w:val="00030F86"/>
    <w:rsid w:val="000311AE"/>
    <w:rsid w:val="0003124F"/>
    <w:rsid w:val="00031309"/>
    <w:rsid w:val="0003135A"/>
    <w:rsid w:val="00031437"/>
    <w:rsid w:val="000314CB"/>
    <w:rsid w:val="000315FA"/>
    <w:rsid w:val="000316DF"/>
    <w:rsid w:val="00031716"/>
    <w:rsid w:val="00031856"/>
    <w:rsid w:val="000318C1"/>
    <w:rsid w:val="00031BCB"/>
    <w:rsid w:val="00031BCD"/>
    <w:rsid w:val="00031C39"/>
    <w:rsid w:val="00031E28"/>
    <w:rsid w:val="00031E89"/>
    <w:rsid w:val="00031EEB"/>
    <w:rsid w:val="00032068"/>
    <w:rsid w:val="000320C9"/>
    <w:rsid w:val="000320F3"/>
    <w:rsid w:val="00032268"/>
    <w:rsid w:val="000322B6"/>
    <w:rsid w:val="00032652"/>
    <w:rsid w:val="000326E7"/>
    <w:rsid w:val="00032D5B"/>
    <w:rsid w:val="00032E89"/>
    <w:rsid w:val="00032EC5"/>
    <w:rsid w:val="00033039"/>
    <w:rsid w:val="000330E0"/>
    <w:rsid w:val="00033198"/>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E6"/>
    <w:rsid w:val="00034022"/>
    <w:rsid w:val="00034054"/>
    <w:rsid w:val="000340D0"/>
    <w:rsid w:val="00034156"/>
    <w:rsid w:val="000343D1"/>
    <w:rsid w:val="0003446B"/>
    <w:rsid w:val="000345A5"/>
    <w:rsid w:val="000345BE"/>
    <w:rsid w:val="00034679"/>
    <w:rsid w:val="000346E6"/>
    <w:rsid w:val="00034703"/>
    <w:rsid w:val="0003471D"/>
    <w:rsid w:val="00034829"/>
    <w:rsid w:val="00034DD7"/>
    <w:rsid w:val="00034F08"/>
    <w:rsid w:val="000350AE"/>
    <w:rsid w:val="0003518F"/>
    <w:rsid w:val="0003520A"/>
    <w:rsid w:val="0003535A"/>
    <w:rsid w:val="00035375"/>
    <w:rsid w:val="000353BD"/>
    <w:rsid w:val="00035661"/>
    <w:rsid w:val="000356E4"/>
    <w:rsid w:val="000357BB"/>
    <w:rsid w:val="00035991"/>
    <w:rsid w:val="000359A3"/>
    <w:rsid w:val="000359C8"/>
    <w:rsid w:val="00035B86"/>
    <w:rsid w:val="00035E59"/>
    <w:rsid w:val="00036027"/>
    <w:rsid w:val="0003607F"/>
    <w:rsid w:val="00036227"/>
    <w:rsid w:val="00036238"/>
    <w:rsid w:val="00036298"/>
    <w:rsid w:val="0003643D"/>
    <w:rsid w:val="000364FF"/>
    <w:rsid w:val="000366FD"/>
    <w:rsid w:val="0003672D"/>
    <w:rsid w:val="0003677B"/>
    <w:rsid w:val="0003681B"/>
    <w:rsid w:val="0003692B"/>
    <w:rsid w:val="00036A79"/>
    <w:rsid w:val="00036A7D"/>
    <w:rsid w:val="00036C0B"/>
    <w:rsid w:val="00036C61"/>
    <w:rsid w:val="00036DF8"/>
    <w:rsid w:val="00036FB0"/>
    <w:rsid w:val="00036FBA"/>
    <w:rsid w:val="00037151"/>
    <w:rsid w:val="00037276"/>
    <w:rsid w:val="00037661"/>
    <w:rsid w:val="00037671"/>
    <w:rsid w:val="0003768D"/>
    <w:rsid w:val="00037996"/>
    <w:rsid w:val="000401BB"/>
    <w:rsid w:val="0004026B"/>
    <w:rsid w:val="00040288"/>
    <w:rsid w:val="000402E0"/>
    <w:rsid w:val="0004046A"/>
    <w:rsid w:val="00040651"/>
    <w:rsid w:val="0004075F"/>
    <w:rsid w:val="000409A4"/>
    <w:rsid w:val="00040A07"/>
    <w:rsid w:val="00040B0C"/>
    <w:rsid w:val="00040BE6"/>
    <w:rsid w:val="00040F72"/>
    <w:rsid w:val="00040F9A"/>
    <w:rsid w:val="000410EE"/>
    <w:rsid w:val="0004112A"/>
    <w:rsid w:val="000411AA"/>
    <w:rsid w:val="000412AD"/>
    <w:rsid w:val="00041337"/>
    <w:rsid w:val="00041398"/>
    <w:rsid w:val="000414BE"/>
    <w:rsid w:val="0004164B"/>
    <w:rsid w:val="000416EB"/>
    <w:rsid w:val="0004171E"/>
    <w:rsid w:val="00041A8C"/>
    <w:rsid w:val="00041E7C"/>
    <w:rsid w:val="00041FC0"/>
    <w:rsid w:val="000420BA"/>
    <w:rsid w:val="000420E8"/>
    <w:rsid w:val="000421CA"/>
    <w:rsid w:val="000422D4"/>
    <w:rsid w:val="0004238C"/>
    <w:rsid w:val="00042434"/>
    <w:rsid w:val="0004268F"/>
    <w:rsid w:val="00042752"/>
    <w:rsid w:val="000427D3"/>
    <w:rsid w:val="00042A1C"/>
    <w:rsid w:val="00042C57"/>
    <w:rsid w:val="00042CAB"/>
    <w:rsid w:val="00042D79"/>
    <w:rsid w:val="00042E12"/>
    <w:rsid w:val="00043166"/>
    <w:rsid w:val="00043207"/>
    <w:rsid w:val="0004327B"/>
    <w:rsid w:val="000433C6"/>
    <w:rsid w:val="0004343D"/>
    <w:rsid w:val="00043465"/>
    <w:rsid w:val="00043763"/>
    <w:rsid w:val="0004393B"/>
    <w:rsid w:val="0004394F"/>
    <w:rsid w:val="00043A2F"/>
    <w:rsid w:val="00043AA7"/>
    <w:rsid w:val="00043AE7"/>
    <w:rsid w:val="00043B1D"/>
    <w:rsid w:val="00043C0E"/>
    <w:rsid w:val="00043C50"/>
    <w:rsid w:val="00043D14"/>
    <w:rsid w:val="00043DA8"/>
    <w:rsid w:val="00043DE4"/>
    <w:rsid w:val="00043E53"/>
    <w:rsid w:val="00043E85"/>
    <w:rsid w:val="00043E99"/>
    <w:rsid w:val="00043EFF"/>
    <w:rsid w:val="00043F4C"/>
    <w:rsid w:val="00044229"/>
    <w:rsid w:val="0004425F"/>
    <w:rsid w:val="000442D9"/>
    <w:rsid w:val="000445E8"/>
    <w:rsid w:val="000445F3"/>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957"/>
    <w:rsid w:val="00045A36"/>
    <w:rsid w:val="00045CEF"/>
    <w:rsid w:val="00045E11"/>
    <w:rsid w:val="000463A0"/>
    <w:rsid w:val="000463CE"/>
    <w:rsid w:val="00046429"/>
    <w:rsid w:val="00046633"/>
    <w:rsid w:val="00046757"/>
    <w:rsid w:val="0004680D"/>
    <w:rsid w:val="00046B49"/>
    <w:rsid w:val="00046C6C"/>
    <w:rsid w:val="00046FE8"/>
    <w:rsid w:val="00047177"/>
    <w:rsid w:val="000475DF"/>
    <w:rsid w:val="00047775"/>
    <w:rsid w:val="000477B3"/>
    <w:rsid w:val="00047C76"/>
    <w:rsid w:val="00047DCD"/>
    <w:rsid w:val="00047DEA"/>
    <w:rsid w:val="00047E03"/>
    <w:rsid w:val="00047F0A"/>
    <w:rsid w:val="00047F2A"/>
    <w:rsid w:val="00050164"/>
    <w:rsid w:val="00050473"/>
    <w:rsid w:val="0005051C"/>
    <w:rsid w:val="000507F4"/>
    <w:rsid w:val="0005080C"/>
    <w:rsid w:val="00050B2D"/>
    <w:rsid w:val="00050BFD"/>
    <w:rsid w:val="00050C6B"/>
    <w:rsid w:val="00050C6C"/>
    <w:rsid w:val="00050CDB"/>
    <w:rsid w:val="00050F4F"/>
    <w:rsid w:val="00050F54"/>
    <w:rsid w:val="000510E5"/>
    <w:rsid w:val="00051267"/>
    <w:rsid w:val="00051414"/>
    <w:rsid w:val="00051627"/>
    <w:rsid w:val="00051737"/>
    <w:rsid w:val="000518AF"/>
    <w:rsid w:val="000518E6"/>
    <w:rsid w:val="00051A70"/>
    <w:rsid w:val="00051C8F"/>
    <w:rsid w:val="00051CDC"/>
    <w:rsid w:val="00051FBF"/>
    <w:rsid w:val="0005211F"/>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139"/>
    <w:rsid w:val="0005427F"/>
    <w:rsid w:val="00054380"/>
    <w:rsid w:val="0005447B"/>
    <w:rsid w:val="000544E4"/>
    <w:rsid w:val="0005468F"/>
    <w:rsid w:val="000549D9"/>
    <w:rsid w:val="00054B9C"/>
    <w:rsid w:val="00054DC5"/>
    <w:rsid w:val="00054F15"/>
    <w:rsid w:val="00055072"/>
    <w:rsid w:val="000550AA"/>
    <w:rsid w:val="000552B9"/>
    <w:rsid w:val="0005531A"/>
    <w:rsid w:val="000555AA"/>
    <w:rsid w:val="0005565E"/>
    <w:rsid w:val="00055711"/>
    <w:rsid w:val="00055753"/>
    <w:rsid w:val="00055837"/>
    <w:rsid w:val="00055978"/>
    <w:rsid w:val="00055A7C"/>
    <w:rsid w:val="00055B13"/>
    <w:rsid w:val="00055C2F"/>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7059"/>
    <w:rsid w:val="00057101"/>
    <w:rsid w:val="00057176"/>
    <w:rsid w:val="000573B2"/>
    <w:rsid w:val="000573B6"/>
    <w:rsid w:val="000577D1"/>
    <w:rsid w:val="000578FF"/>
    <w:rsid w:val="00057946"/>
    <w:rsid w:val="00057CAC"/>
    <w:rsid w:val="00057CFA"/>
    <w:rsid w:val="00057E86"/>
    <w:rsid w:val="00057EE4"/>
    <w:rsid w:val="000600CE"/>
    <w:rsid w:val="00060360"/>
    <w:rsid w:val="00060488"/>
    <w:rsid w:val="0006061F"/>
    <w:rsid w:val="00060891"/>
    <w:rsid w:val="0006099E"/>
    <w:rsid w:val="00060A35"/>
    <w:rsid w:val="00060D04"/>
    <w:rsid w:val="00061168"/>
    <w:rsid w:val="000611B5"/>
    <w:rsid w:val="00061213"/>
    <w:rsid w:val="000612E6"/>
    <w:rsid w:val="0006144C"/>
    <w:rsid w:val="0006165D"/>
    <w:rsid w:val="000617A4"/>
    <w:rsid w:val="000617D6"/>
    <w:rsid w:val="000619EB"/>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8A3"/>
    <w:rsid w:val="0006295A"/>
    <w:rsid w:val="000629D4"/>
    <w:rsid w:val="000629D9"/>
    <w:rsid w:val="00062ACC"/>
    <w:rsid w:val="00062B7F"/>
    <w:rsid w:val="00062BDD"/>
    <w:rsid w:val="00062C00"/>
    <w:rsid w:val="00062D07"/>
    <w:rsid w:val="00062D70"/>
    <w:rsid w:val="00062EEF"/>
    <w:rsid w:val="00063026"/>
    <w:rsid w:val="000630C6"/>
    <w:rsid w:val="0006318D"/>
    <w:rsid w:val="00063339"/>
    <w:rsid w:val="000633AF"/>
    <w:rsid w:val="0006348B"/>
    <w:rsid w:val="000635B7"/>
    <w:rsid w:val="0006360D"/>
    <w:rsid w:val="00063734"/>
    <w:rsid w:val="00063776"/>
    <w:rsid w:val="000637FA"/>
    <w:rsid w:val="00063909"/>
    <w:rsid w:val="00063B08"/>
    <w:rsid w:val="00063C6B"/>
    <w:rsid w:val="00063DC0"/>
    <w:rsid w:val="00064600"/>
    <w:rsid w:val="00064648"/>
    <w:rsid w:val="000646BC"/>
    <w:rsid w:val="000647D9"/>
    <w:rsid w:val="00064968"/>
    <w:rsid w:val="000649C6"/>
    <w:rsid w:val="000649E0"/>
    <w:rsid w:val="00064A12"/>
    <w:rsid w:val="00064B28"/>
    <w:rsid w:val="00064C31"/>
    <w:rsid w:val="00064C68"/>
    <w:rsid w:val="00064F8E"/>
    <w:rsid w:val="0006510D"/>
    <w:rsid w:val="00065136"/>
    <w:rsid w:val="0006529B"/>
    <w:rsid w:val="000652AD"/>
    <w:rsid w:val="0006541A"/>
    <w:rsid w:val="00065603"/>
    <w:rsid w:val="000656D2"/>
    <w:rsid w:val="00065A13"/>
    <w:rsid w:val="00065B92"/>
    <w:rsid w:val="00065C45"/>
    <w:rsid w:val="00065CFB"/>
    <w:rsid w:val="00065FE0"/>
    <w:rsid w:val="0006605F"/>
    <w:rsid w:val="000661A5"/>
    <w:rsid w:val="000661FB"/>
    <w:rsid w:val="0006621A"/>
    <w:rsid w:val="000662F1"/>
    <w:rsid w:val="00066376"/>
    <w:rsid w:val="0006637D"/>
    <w:rsid w:val="000663DC"/>
    <w:rsid w:val="00066404"/>
    <w:rsid w:val="0006640C"/>
    <w:rsid w:val="000664C8"/>
    <w:rsid w:val="00066540"/>
    <w:rsid w:val="000666C9"/>
    <w:rsid w:val="0006685A"/>
    <w:rsid w:val="000668CC"/>
    <w:rsid w:val="000668E9"/>
    <w:rsid w:val="00066922"/>
    <w:rsid w:val="0006698B"/>
    <w:rsid w:val="00066AFF"/>
    <w:rsid w:val="00066B15"/>
    <w:rsid w:val="00066BBE"/>
    <w:rsid w:val="00066BFF"/>
    <w:rsid w:val="00066CE5"/>
    <w:rsid w:val="00066CE9"/>
    <w:rsid w:val="00066FD2"/>
    <w:rsid w:val="00067005"/>
    <w:rsid w:val="0006728A"/>
    <w:rsid w:val="000674BE"/>
    <w:rsid w:val="000675D9"/>
    <w:rsid w:val="000675F5"/>
    <w:rsid w:val="00067627"/>
    <w:rsid w:val="0006770B"/>
    <w:rsid w:val="00067712"/>
    <w:rsid w:val="000677D5"/>
    <w:rsid w:val="000679B1"/>
    <w:rsid w:val="00067B9E"/>
    <w:rsid w:val="00067D28"/>
    <w:rsid w:val="00067D59"/>
    <w:rsid w:val="00067D60"/>
    <w:rsid w:val="0007005A"/>
    <w:rsid w:val="000701C7"/>
    <w:rsid w:val="000701CC"/>
    <w:rsid w:val="000701F6"/>
    <w:rsid w:val="000702AD"/>
    <w:rsid w:val="000704E6"/>
    <w:rsid w:val="000704E7"/>
    <w:rsid w:val="00070738"/>
    <w:rsid w:val="000708B9"/>
    <w:rsid w:val="00070934"/>
    <w:rsid w:val="00070AD7"/>
    <w:rsid w:val="00070AE6"/>
    <w:rsid w:val="00070BE0"/>
    <w:rsid w:val="000711B1"/>
    <w:rsid w:val="00071345"/>
    <w:rsid w:val="00071569"/>
    <w:rsid w:val="00071672"/>
    <w:rsid w:val="000717DC"/>
    <w:rsid w:val="000718F6"/>
    <w:rsid w:val="00071901"/>
    <w:rsid w:val="00071D75"/>
    <w:rsid w:val="00071E00"/>
    <w:rsid w:val="00071E88"/>
    <w:rsid w:val="00071E95"/>
    <w:rsid w:val="00071F3A"/>
    <w:rsid w:val="00072149"/>
    <w:rsid w:val="000722DA"/>
    <w:rsid w:val="0007232D"/>
    <w:rsid w:val="00072528"/>
    <w:rsid w:val="0007256F"/>
    <w:rsid w:val="0007269C"/>
    <w:rsid w:val="000726D1"/>
    <w:rsid w:val="00072873"/>
    <w:rsid w:val="00072B21"/>
    <w:rsid w:val="00072EA1"/>
    <w:rsid w:val="00072F94"/>
    <w:rsid w:val="00073013"/>
    <w:rsid w:val="00073020"/>
    <w:rsid w:val="00073096"/>
    <w:rsid w:val="000730B2"/>
    <w:rsid w:val="000730EC"/>
    <w:rsid w:val="00073127"/>
    <w:rsid w:val="000732A6"/>
    <w:rsid w:val="000732E4"/>
    <w:rsid w:val="0007356B"/>
    <w:rsid w:val="000735BC"/>
    <w:rsid w:val="00073776"/>
    <w:rsid w:val="000738C2"/>
    <w:rsid w:val="00073903"/>
    <w:rsid w:val="00073949"/>
    <w:rsid w:val="00073A23"/>
    <w:rsid w:val="00073ADC"/>
    <w:rsid w:val="00073AF9"/>
    <w:rsid w:val="00073C53"/>
    <w:rsid w:val="00073CDC"/>
    <w:rsid w:val="00073D1B"/>
    <w:rsid w:val="00073D5A"/>
    <w:rsid w:val="00073F66"/>
    <w:rsid w:val="00074063"/>
    <w:rsid w:val="00074100"/>
    <w:rsid w:val="00074147"/>
    <w:rsid w:val="000741E6"/>
    <w:rsid w:val="0007424A"/>
    <w:rsid w:val="000742A3"/>
    <w:rsid w:val="00074414"/>
    <w:rsid w:val="00074690"/>
    <w:rsid w:val="000746A1"/>
    <w:rsid w:val="000746EF"/>
    <w:rsid w:val="00074AE7"/>
    <w:rsid w:val="00074BA3"/>
    <w:rsid w:val="00074BD1"/>
    <w:rsid w:val="00074C4F"/>
    <w:rsid w:val="00074D64"/>
    <w:rsid w:val="00074D9A"/>
    <w:rsid w:val="00074E84"/>
    <w:rsid w:val="00074EEE"/>
    <w:rsid w:val="00074F2B"/>
    <w:rsid w:val="00074FD0"/>
    <w:rsid w:val="00075007"/>
    <w:rsid w:val="000753E1"/>
    <w:rsid w:val="00075568"/>
    <w:rsid w:val="00075570"/>
    <w:rsid w:val="000755B0"/>
    <w:rsid w:val="000755ED"/>
    <w:rsid w:val="000756E1"/>
    <w:rsid w:val="000758A5"/>
    <w:rsid w:val="00075E62"/>
    <w:rsid w:val="00076172"/>
    <w:rsid w:val="000761C1"/>
    <w:rsid w:val="000762FF"/>
    <w:rsid w:val="00076557"/>
    <w:rsid w:val="00076731"/>
    <w:rsid w:val="0007682B"/>
    <w:rsid w:val="000769B1"/>
    <w:rsid w:val="00076A09"/>
    <w:rsid w:val="00076D5C"/>
    <w:rsid w:val="00076F8A"/>
    <w:rsid w:val="00077086"/>
    <w:rsid w:val="00077200"/>
    <w:rsid w:val="00077359"/>
    <w:rsid w:val="00077421"/>
    <w:rsid w:val="00077424"/>
    <w:rsid w:val="00077464"/>
    <w:rsid w:val="0007749C"/>
    <w:rsid w:val="00077535"/>
    <w:rsid w:val="000775EC"/>
    <w:rsid w:val="000776C1"/>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45B"/>
    <w:rsid w:val="000806A9"/>
    <w:rsid w:val="00080C0B"/>
    <w:rsid w:val="00080CAD"/>
    <w:rsid w:val="00080D35"/>
    <w:rsid w:val="00080E54"/>
    <w:rsid w:val="00080E6D"/>
    <w:rsid w:val="00080ECB"/>
    <w:rsid w:val="00080F7E"/>
    <w:rsid w:val="00080FAB"/>
    <w:rsid w:val="00080FE1"/>
    <w:rsid w:val="0008108B"/>
    <w:rsid w:val="000811F5"/>
    <w:rsid w:val="0008121F"/>
    <w:rsid w:val="0008130E"/>
    <w:rsid w:val="000814C5"/>
    <w:rsid w:val="000815AD"/>
    <w:rsid w:val="0008163F"/>
    <w:rsid w:val="00081834"/>
    <w:rsid w:val="00081B06"/>
    <w:rsid w:val="00081B89"/>
    <w:rsid w:val="00081BA4"/>
    <w:rsid w:val="00081CE2"/>
    <w:rsid w:val="00081D45"/>
    <w:rsid w:val="00081D7D"/>
    <w:rsid w:val="00081D8B"/>
    <w:rsid w:val="000820AF"/>
    <w:rsid w:val="000822B5"/>
    <w:rsid w:val="0008261C"/>
    <w:rsid w:val="0008275C"/>
    <w:rsid w:val="00082A66"/>
    <w:rsid w:val="00082B61"/>
    <w:rsid w:val="00082B7D"/>
    <w:rsid w:val="00082EE8"/>
    <w:rsid w:val="0008301A"/>
    <w:rsid w:val="0008304C"/>
    <w:rsid w:val="000832D6"/>
    <w:rsid w:val="00083316"/>
    <w:rsid w:val="00083426"/>
    <w:rsid w:val="0008344C"/>
    <w:rsid w:val="00083723"/>
    <w:rsid w:val="000837A0"/>
    <w:rsid w:val="00083A36"/>
    <w:rsid w:val="00083DFF"/>
    <w:rsid w:val="00083EB0"/>
    <w:rsid w:val="00083F08"/>
    <w:rsid w:val="000840DA"/>
    <w:rsid w:val="0008417E"/>
    <w:rsid w:val="0008426A"/>
    <w:rsid w:val="0008430A"/>
    <w:rsid w:val="0008436B"/>
    <w:rsid w:val="00084645"/>
    <w:rsid w:val="000848CE"/>
    <w:rsid w:val="00084988"/>
    <w:rsid w:val="00084AD7"/>
    <w:rsid w:val="00084B22"/>
    <w:rsid w:val="00084B94"/>
    <w:rsid w:val="00084C21"/>
    <w:rsid w:val="00084D40"/>
    <w:rsid w:val="00084D69"/>
    <w:rsid w:val="000850C9"/>
    <w:rsid w:val="0008511D"/>
    <w:rsid w:val="00085181"/>
    <w:rsid w:val="0008520A"/>
    <w:rsid w:val="00085290"/>
    <w:rsid w:val="000856A4"/>
    <w:rsid w:val="00085714"/>
    <w:rsid w:val="0008581A"/>
    <w:rsid w:val="00085864"/>
    <w:rsid w:val="00085878"/>
    <w:rsid w:val="0008590E"/>
    <w:rsid w:val="000859BB"/>
    <w:rsid w:val="00085A14"/>
    <w:rsid w:val="00085A72"/>
    <w:rsid w:val="00085AC2"/>
    <w:rsid w:val="00085C13"/>
    <w:rsid w:val="00085CBB"/>
    <w:rsid w:val="00085CC7"/>
    <w:rsid w:val="00085FEF"/>
    <w:rsid w:val="0008600F"/>
    <w:rsid w:val="000862FC"/>
    <w:rsid w:val="0008638D"/>
    <w:rsid w:val="000864C2"/>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B27"/>
    <w:rsid w:val="00087C30"/>
    <w:rsid w:val="00087CAC"/>
    <w:rsid w:val="00087D91"/>
    <w:rsid w:val="00087E36"/>
    <w:rsid w:val="00087E3C"/>
    <w:rsid w:val="00087F07"/>
    <w:rsid w:val="00087F67"/>
    <w:rsid w:val="0009002D"/>
    <w:rsid w:val="0009009C"/>
    <w:rsid w:val="0009017F"/>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30"/>
    <w:rsid w:val="00091A9E"/>
    <w:rsid w:val="00091B6F"/>
    <w:rsid w:val="00091DDC"/>
    <w:rsid w:val="00091E3A"/>
    <w:rsid w:val="000924A3"/>
    <w:rsid w:val="00092777"/>
    <w:rsid w:val="00092A1B"/>
    <w:rsid w:val="00092BE8"/>
    <w:rsid w:val="00092C27"/>
    <w:rsid w:val="00092D74"/>
    <w:rsid w:val="00093015"/>
    <w:rsid w:val="000930FF"/>
    <w:rsid w:val="000931A1"/>
    <w:rsid w:val="00093520"/>
    <w:rsid w:val="00093539"/>
    <w:rsid w:val="000935C0"/>
    <w:rsid w:val="00093662"/>
    <w:rsid w:val="000938AF"/>
    <w:rsid w:val="00093AB6"/>
    <w:rsid w:val="00093BCA"/>
    <w:rsid w:val="00093C0E"/>
    <w:rsid w:val="00093CAB"/>
    <w:rsid w:val="000940C4"/>
    <w:rsid w:val="000944F4"/>
    <w:rsid w:val="00094661"/>
    <w:rsid w:val="000949A3"/>
    <w:rsid w:val="00094CC6"/>
    <w:rsid w:val="00094D92"/>
    <w:rsid w:val="00094DE5"/>
    <w:rsid w:val="00094E9F"/>
    <w:rsid w:val="00094EBF"/>
    <w:rsid w:val="00094F72"/>
    <w:rsid w:val="00095117"/>
    <w:rsid w:val="0009523B"/>
    <w:rsid w:val="00095309"/>
    <w:rsid w:val="0009532C"/>
    <w:rsid w:val="00095363"/>
    <w:rsid w:val="000953BE"/>
    <w:rsid w:val="000954D8"/>
    <w:rsid w:val="00095598"/>
    <w:rsid w:val="0009566D"/>
    <w:rsid w:val="0009582C"/>
    <w:rsid w:val="0009582E"/>
    <w:rsid w:val="00095B56"/>
    <w:rsid w:val="00095DF8"/>
    <w:rsid w:val="00095E3D"/>
    <w:rsid w:val="00095ECF"/>
    <w:rsid w:val="00095F16"/>
    <w:rsid w:val="0009610C"/>
    <w:rsid w:val="00096121"/>
    <w:rsid w:val="00096272"/>
    <w:rsid w:val="0009637A"/>
    <w:rsid w:val="000963F4"/>
    <w:rsid w:val="0009646C"/>
    <w:rsid w:val="000964C8"/>
    <w:rsid w:val="00096699"/>
    <w:rsid w:val="0009684C"/>
    <w:rsid w:val="00096A26"/>
    <w:rsid w:val="00096A76"/>
    <w:rsid w:val="00096A78"/>
    <w:rsid w:val="00096B28"/>
    <w:rsid w:val="00096D95"/>
    <w:rsid w:val="00096ECD"/>
    <w:rsid w:val="00096F39"/>
    <w:rsid w:val="00096FB8"/>
    <w:rsid w:val="00097000"/>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F"/>
    <w:rsid w:val="000A007E"/>
    <w:rsid w:val="000A0267"/>
    <w:rsid w:val="000A026C"/>
    <w:rsid w:val="000A02E6"/>
    <w:rsid w:val="000A04B5"/>
    <w:rsid w:val="000A066E"/>
    <w:rsid w:val="000A0700"/>
    <w:rsid w:val="000A08C0"/>
    <w:rsid w:val="000A091C"/>
    <w:rsid w:val="000A0936"/>
    <w:rsid w:val="000A096C"/>
    <w:rsid w:val="000A0A83"/>
    <w:rsid w:val="000A0B84"/>
    <w:rsid w:val="000A0C5E"/>
    <w:rsid w:val="000A0CF4"/>
    <w:rsid w:val="000A0E0D"/>
    <w:rsid w:val="000A0F34"/>
    <w:rsid w:val="000A126C"/>
    <w:rsid w:val="000A1397"/>
    <w:rsid w:val="000A160D"/>
    <w:rsid w:val="000A1771"/>
    <w:rsid w:val="000A17F2"/>
    <w:rsid w:val="000A17F9"/>
    <w:rsid w:val="000A1A8A"/>
    <w:rsid w:val="000A1CF0"/>
    <w:rsid w:val="000A20EE"/>
    <w:rsid w:val="000A2187"/>
    <w:rsid w:val="000A227C"/>
    <w:rsid w:val="000A22F4"/>
    <w:rsid w:val="000A253F"/>
    <w:rsid w:val="000A2578"/>
    <w:rsid w:val="000A25D2"/>
    <w:rsid w:val="000A2787"/>
    <w:rsid w:val="000A2927"/>
    <w:rsid w:val="000A29CB"/>
    <w:rsid w:val="000A2B12"/>
    <w:rsid w:val="000A2C07"/>
    <w:rsid w:val="000A2E4F"/>
    <w:rsid w:val="000A2F27"/>
    <w:rsid w:val="000A3344"/>
    <w:rsid w:val="000A33FC"/>
    <w:rsid w:val="000A3429"/>
    <w:rsid w:val="000A3846"/>
    <w:rsid w:val="000A38C9"/>
    <w:rsid w:val="000A3C48"/>
    <w:rsid w:val="000A3D43"/>
    <w:rsid w:val="000A3D71"/>
    <w:rsid w:val="000A4341"/>
    <w:rsid w:val="000A4414"/>
    <w:rsid w:val="000A45E6"/>
    <w:rsid w:val="000A46F3"/>
    <w:rsid w:val="000A47BD"/>
    <w:rsid w:val="000A484E"/>
    <w:rsid w:val="000A4923"/>
    <w:rsid w:val="000A49B9"/>
    <w:rsid w:val="000A49C4"/>
    <w:rsid w:val="000A4AAB"/>
    <w:rsid w:val="000A4DA1"/>
    <w:rsid w:val="000A4EBC"/>
    <w:rsid w:val="000A5061"/>
    <w:rsid w:val="000A5373"/>
    <w:rsid w:val="000A5651"/>
    <w:rsid w:val="000A567A"/>
    <w:rsid w:val="000A57AD"/>
    <w:rsid w:val="000A5896"/>
    <w:rsid w:val="000A59E0"/>
    <w:rsid w:val="000A5B41"/>
    <w:rsid w:val="000A5B4E"/>
    <w:rsid w:val="000A5B55"/>
    <w:rsid w:val="000A5E39"/>
    <w:rsid w:val="000A5E51"/>
    <w:rsid w:val="000A5F09"/>
    <w:rsid w:val="000A5F46"/>
    <w:rsid w:val="000A6038"/>
    <w:rsid w:val="000A604A"/>
    <w:rsid w:val="000A605E"/>
    <w:rsid w:val="000A60F5"/>
    <w:rsid w:val="000A6227"/>
    <w:rsid w:val="000A666A"/>
    <w:rsid w:val="000A672D"/>
    <w:rsid w:val="000A6886"/>
    <w:rsid w:val="000A6949"/>
    <w:rsid w:val="000A696D"/>
    <w:rsid w:val="000A697F"/>
    <w:rsid w:val="000A6BDF"/>
    <w:rsid w:val="000A6DA5"/>
    <w:rsid w:val="000A6DF4"/>
    <w:rsid w:val="000A6FE7"/>
    <w:rsid w:val="000A6FEB"/>
    <w:rsid w:val="000A70E3"/>
    <w:rsid w:val="000A73F7"/>
    <w:rsid w:val="000A74DD"/>
    <w:rsid w:val="000A7662"/>
    <w:rsid w:val="000A76AD"/>
    <w:rsid w:val="000A77C3"/>
    <w:rsid w:val="000A78D2"/>
    <w:rsid w:val="000A799D"/>
    <w:rsid w:val="000A7C09"/>
    <w:rsid w:val="000A7C6A"/>
    <w:rsid w:val="000A7D21"/>
    <w:rsid w:val="000A7DDE"/>
    <w:rsid w:val="000A7DDF"/>
    <w:rsid w:val="000A7E65"/>
    <w:rsid w:val="000B00AE"/>
    <w:rsid w:val="000B017E"/>
    <w:rsid w:val="000B023B"/>
    <w:rsid w:val="000B053D"/>
    <w:rsid w:val="000B067F"/>
    <w:rsid w:val="000B09CA"/>
    <w:rsid w:val="000B0AF1"/>
    <w:rsid w:val="000B0CBC"/>
    <w:rsid w:val="000B0FD4"/>
    <w:rsid w:val="000B1196"/>
    <w:rsid w:val="000B132C"/>
    <w:rsid w:val="000B153A"/>
    <w:rsid w:val="000B17A1"/>
    <w:rsid w:val="000B1A52"/>
    <w:rsid w:val="000B1ADD"/>
    <w:rsid w:val="000B1B2B"/>
    <w:rsid w:val="000B1C9A"/>
    <w:rsid w:val="000B1EB9"/>
    <w:rsid w:val="000B1F55"/>
    <w:rsid w:val="000B1F68"/>
    <w:rsid w:val="000B20E7"/>
    <w:rsid w:val="000B2649"/>
    <w:rsid w:val="000B26B9"/>
    <w:rsid w:val="000B284E"/>
    <w:rsid w:val="000B289B"/>
    <w:rsid w:val="000B28C6"/>
    <w:rsid w:val="000B2B1E"/>
    <w:rsid w:val="000B2CCF"/>
    <w:rsid w:val="000B2E47"/>
    <w:rsid w:val="000B2EAF"/>
    <w:rsid w:val="000B30AE"/>
    <w:rsid w:val="000B3490"/>
    <w:rsid w:val="000B3497"/>
    <w:rsid w:val="000B3530"/>
    <w:rsid w:val="000B37BE"/>
    <w:rsid w:val="000B382E"/>
    <w:rsid w:val="000B39F4"/>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84D"/>
    <w:rsid w:val="000B48E6"/>
    <w:rsid w:val="000B4C65"/>
    <w:rsid w:val="000B4DDA"/>
    <w:rsid w:val="000B4E42"/>
    <w:rsid w:val="000B502D"/>
    <w:rsid w:val="000B50E6"/>
    <w:rsid w:val="000B5140"/>
    <w:rsid w:val="000B52EB"/>
    <w:rsid w:val="000B546D"/>
    <w:rsid w:val="000B54DF"/>
    <w:rsid w:val="000B5563"/>
    <w:rsid w:val="000B56AE"/>
    <w:rsid w:val="000B5705"/>
    <w:rsid w:val="000B57FE"/>
    <w:rsid w:val="000B5933"/>
    <w:rsid w:val="000B5B2B"/>
    <w:rsid w:val="000B5BAF"/>
    <w:rsid w:val="000B5C94"/>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4D6"/>
    <w:rsid w:val="000B75B8"/>
    <w:rsid w:val="000B76C1"/>
    <w:rsid w:val="000B76EF"/>
    <w:rsid w:val="000B7BF0"/>
    <w:rsid w:val="000B7D08"/>
    <w:rsid w:val="000B7DDB"/>
    <w:rsid w:val="000B7F68"/>
    <w:rsid w:val="000C024C"/>
    <w:rsid w:val="000C0357"/>
    <w:rsid w:val="000C03FA"/>
    <w:rsid w:val="000C043E"/>
    <w:rsid w:val="000C04F4"/>
    <w:rsid w:val="000C0A7E"/>
    <w:rsid w:val="000C123D"/>
    <w:rsid w:val="000C12EC"/>
    <w:rsid w:val="000C14A3"/>
    <w:rsid w:val="000C14F3"/>
    <w:rsid w:val="000C1583"/>
    <w:rsid w:val="000C196C"/>
    <w:rsid w:val="000C199D"/>
    <w:rsid w:val="000C19A3"/>
    <w:rsid w:val="000C1AA6"/>
    <w:rsid w:val="000C1CB4"/>
    <w:rsid w:val="000C1D0E"/>
    <w:rsid w:val="000C2053"/>
    <w:rsid w:val="000C230B"/>
    <w:rsid w:val="000C23A4"/>
    <w:rsid w:val="000C23DF"/>
    <w:rsid w:val="000C244F"/>
    <w:rsid w:val="000C24DF"/>
    <w:rsid w:val="000C29B7"/>
    <w:rsid w:val="000C2A79"/>
    <w:rsid w:val="000C2C9F"/>
    <w:rsid w:val="000C2E2E"/>
    <w:rsid w:val="000C304E"/>
    <w:rsid w:val="000C3117"/>
    <w:rsid w:val="000C3669"/>
    <w:rsid w:val="000C3780"/>
    <w:rsid w:val="000C3792"/>
    <w:rsid w:val="000C3798"/>
    <w:rsid w:val="000C39F1"/>
    <w:rsid w:val="000C3A08"/>
    <w:rsid w:val="000C3BD1"/>
    <w:rsid w:val="000C3D5F"/>
    <w:rsid w:val="000C3F74"/>
    <w:rsid w:val="000C413D"/>
    <w:rsid w:val="000C41D6"/>
    <w:rsid w:val="000C4265"/>
    <w:rsid w:val="000C4387"/>
    <w:rsid w:val="000C44FB"/>
    <w:rsid w:val="000C45AF"/>
    <w:rsid w:val="000C45D5"/>
    <w:rsid w:val="000C45E9"/>
    <w:rsid w:val="000C4711"/>
    <w:rsid w:val="000C47D9"/>
    <w:rsid w:val="000C49FB"/>
    <w:rsid w:val="000C4BC4"/>
    <w:rsid w:val="000C5089"/>
    <w:rsid w:val="000C50E5"/>
    <w:rsid w:val="000C5128"/>
    <w:rsid w:val="000C512A"/>
    <w:rsid w:val="000C52C1"/>
    <w:rsid w:val="000C5563"/>
    <w:rsid w:val="000C5B55"/>
    <w:rsid w:val="000C5E37"/>
    <w:rsid w:val="000C6009"/>
    <w:rsid w:val="000C6010"/>
    <w:rsid w:val="000C66AD"/>
    <w:rsid w:val="000C6731"/>
    <w:rsid w:val="000C675C"/>
    <w:rsid w:val="000C698A"/>
    <w:rsid w:val="000C6A4B"/>
    <w:rsid w:val="000C6A7B"/>
    <w:rsid w:val="000C6B6C"/>
    <w:rsid w:val="000C6BF0"/>
    <w:rsid w:val="000C6DF4"/>
    <w:rsid w:val="000C6E18"/>
    <w:rsid w:val="000C6E57"/>
    <w:rsid w:val="000C6FC0"/>
    <w:rsid w:val="000C70B5"/>
    <w:rsid w:val="000C718A"/>
    <w:rsid w:val="000C7516"/>
    <w:rsid w:val="000C7781"/>
    <w:rsid w:val="000C779D"/>
    <w:rsid w:val="000C789C"/>
    <w:rsid w:val="000C7E06"/>
    <w:rsid w:val="000C7F38"/>
    <w:rsid w:val="000D0035"/>
    <w:rsid w:val="000D00B1"/>
    <w:rsid w:val="000D0120"/>
    <w:rsid w:val="000D033B"/>
    <w:rsid w:val="000D04D2"/>
    <w:rsid w:val="000D06A4"/>
    <w:rsid w:val="000D0799"/>
    <w:rsid w:val="000D07D3"/>
    <w:rsid w:val="000D0905"/>
    <w:rsid w:val="000D09BC"/>
    <w:rsid w:val="000D0AF0"/>
    <w:rsid w:val="000D0C5E"/>
    <w:rsid w:val="000D0D2F"/>
    <w:rsid w:val="000D0E96"/>
    <w:rsid w:val="000D0EF5"/>
    <w:rsid w:val="000D0F25"/>
    <w:rsid w:val="000D0F71"/>
    <w:rsid w:val="000D117B"/>
    <w:rsid w:val="000D11A4"/>
    <w:rsid w:val="000D1399"/>
    <w:rsid w:val="000D1537"/>
    <w:rsid w:val="000D16BA"/>
    <w:rsid w:val="000D16DF"/>
    <w:rsid w:val="000D1706"/>
    <w:rsid w:val="000D1736"/>
    <w:rsid w:val="000D1856"/>
    <w:rsid w:val="000D1BB5"/>
    <w:rsid w:val="000D1E24"/>
    <w:rsid w:val="000D1E81"/>
    <w:rsid w:val="000D1E97"/>
    <w:rsid w:val="000D22C7"/>
    <w:rsid w:val="000D23D9"/>
    <w:rsid w:val="000D2417"/>
    <w:rsid w:val="000D27E5"/>
    <w:rsid w:val="000D2945"/>
    <w:rsid w:val="000D2B0A"/>
    <w:rsid w:val="000D2B73"/>
    <w:rsid w:val="000D2C21"/>
    <w:rsid w:val="000D2C95"/>
    <w:rsid w:val="000D2E09"/>
    <w:rsid w:val="000D2E36"/>
    <w:rsid w:val="000D2EA9"/>
    <w:rsid w:val="000D307B"/>
    <w:rsid w:val="000D35D2"/>
    <w:rsid w:val="000D368E"/>
    <w:rsid w:val="000D3843"/>
    <w:rsid w:val="000D3A1E"/>
    <w:rsid w:val="000D3A4B"/>
    <w:rsid w:val="000D3A97"/>
    <w:rsid w:val="000D3CF2"/>
    <w:rsid w:val="000D3D6D"/>
    <w:rsid w:val="000D3E0B"/>
    <w:rsid w:val="000D3E25"/>
    <w:rsid w:val="000D3E64"/>
    <w:rsid w:val="000D3EA0"/>
    <w:rsid w:val="000D4089"/>
    <w:rsid w:val="000D40F6"/>
    <w:rsid w:val="000D411C"/>
    <w:rsid w:val="000D411D"/>
    <w:rsid w:val="000D41A9"/>
    <w:rsid w:val="000D436B"/>
    <w:rsid w:val="000D440A"/>
    <w:rsid w:val="000D4497"/>
    <w:rsid w:val="000D4B7D"/>
    <w:rsid w:val="000D4C58"/>
    <w:rsid w:val="000D4E41"/>
    <w:rsid w:val="000D4F35"/>
    <w:rsid w:val="000D4FAB"/>
    <w:rsid w:val="000D52B8"/>
    <w:rsid w:val="000D530F"/>
    <w:rsid w:val="000D559E"/>
    <w:rsid w:val="000D5612"/>
    <w:rsid w:val="000D5652"/>
    <w:rsid w:val="000D5796"/>
    <w:rsid w:val="000D5927"/>
    <w:rsid w:val="000D5EBB"/>
    <w:rsid w:val="000D5FC7"/>
    <w:rsid w:val="000D60FD"/>
    <w:rsid w:val="000D610A"/>
    <w:rsid w:val="000D6270"/>
    <w:rsid w:val="000D646C"/>
    <w:rsid w:val="000D67CE"/>
    <w:rsid w:val="000D67DC"/>
    <w:rsid w:val="000D6BF4"/>
    <w:rsid w:val="000D6C23"/>
    <w:rsid w:val="000D6C70"/>
    <w:rsid w:val="000D6D8A"/>
    <w:rsid w:val="000D6E5B"/>
    <w:rsid w:val="000D6F79"/>
    <w:rsid w:val="000D70B9"/>
    <w:rsid w:val="000D7280"/>
    <w:rsid w:val="000D72BC"/>
    <w:rsid w:val="000D7361"/>
    <w:rsid w:val="000D7405"/>
    <w:rsid w:val="000D7501"/>
    <w:rsid w:val="000D7764"/>
    <w:rsid w:val="000D77A2"/>
    <w:rsid w:val="000D77BC"/>
    <w:rsid w:val="000D7823"/>
    <w:rsid w:val="000D79E2"/>
    <w:rsid w:val="000D7A23"/>
    <w:rsid w:val="000D7A43"/>
    <w:rsid w:val="000D7C23"/>
    <w:rsid w:val="000D7C78"/>
    <w:rsid w:val="000D7E03"/>
    <w:rsid w:val="000D7E7E"/>
    <w:rsid w:val="000D7FC5"/>
    <w:rsid w:val="000E0300"/>
    <w:rsid w:val="000E0303"/>
    <w:rsid w:val="000E03DF"/>
    <w:rsid w:val="000E0706"/>
    <w:rsid w:val="000E0755"/>
    <w:rsid w:val="000E08A0"/>
    <w:rsid w:val="000E0AC2"/>
    <w:rsid w:val="000E0B53"/>
    <w:rsid w:val="000E0B69"/>
    <w:rsid w:val="000E0D0B"/>
    <w:rsid w:val="000E0FA7"/>
    <w:rsid w:val="000E1202"/>
    <w:rsid w:val="000E131D"/>
    <w:rsid w:val="000E1480"/>
    <w:rsid w:val="000E148F"/>
    <w:rsid w:val="000E1656"/>
    <w:rsid w:val="000E18D5"/>
    <w:rsid w:val="000E18D9"/>
    <w:rsid w:val="000E1CD4"/>
    <w:rsid w:val="000E1D45"/>
    <w:rsid w:val="000E1DBF"/>
    <w:rsid w:val="000E1E37"/>
    <w:rsid w:val="000E1FAC"/>
    <w:rsid w:val="000E2117"/>
    <w:rsid w:val="000E21B7"/>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B67"/>
    <w:rsid w:val="000E3DCA"/>
    <w:rsid w:val="000E3E41"/>
    <w:rsid w:val="000E3EEB"/>
    <w:rsid w:val="000E41F5"/>
    <w:rsid w:val="000E450D"/>
    <w:rsid w:val="000E47B0"/>
    <w:rsid w:val="000E47D8"/>
    <w:rsid w:val="000E47DC"/>
    <w:rsid w:val="000E498A"/>
    <w:rsid w:val="000E49CA"/>
    <w:rsid w:val="000E49FE"/>
    <w:rsid w:val="000E4CCA"/>
    <w:rsid w:val="000E4DF3"/>
    <w:rsid w:val="000E4F1F"/>
    <w:rsid w:val="000E5107"/>
    <w:rsid w:val="000E51BE"/>
    <w:rsid w:val="000E51C9"/>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85F"/>
    <w:rsid w:val="000E6A2E"/>
    <w:rsid w:val="000E6A7C"/>
    <w:rsid w:val="000E6C98"/>
    <w:rsid w:val="000E6CFA"/>
    <w:rsid w:val="000E6D6E"/>
    <w:rsid w:val="000E6DF8"/>
    <w:rsid w:val="000E704C"/>
    <w:rsid w:val="000E70A0"/>
    <w:rsid w:val="000E715D"/>
    <w:rsid w:val="000E71E3"/>
    <w:rsid w:val="000E721E"/>
    <w:rsid w:val="000E72CE"/>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D3F"/>
    <w:rsid w:val="000F0DFA"/>
    <w:rsid w:val="000F0E4F"/>
    <w:rsid w:val="000F0E68"/>
    <w:rsid w:val="000F0EA8"/>
    <w:rsid w:val="000F0EC4"/>
    <w:rsid w:val="000F0F00"/>
    <w:rsid w:val="000F131E"/>
    <w:rsid w:val="000F195F"/>
    <w:rsid w:val="000F19A7"/>
    <w:rsid w:val="000F19F0"/>
    <w:rsid w:val="000F1CD1"/>
    <w:rsid w:val="000F1D24"/>
    <w:rsid w:val="000F1D26"/>
    <w:rsid w:val="000F1D77"/>
    <w:rsid w:val="000F1F42"/>
    <w:rsid w:val="000F202A"/>
    <w:rsid w:val="000F229F"/>
    <w:rsid w:val="000F23A6"/>
    <w:rsid w:val="000F23D4"/>
    <w:rsid w:val="000F2706"/>
    <w:rsid w:val="000F2814"/>
    <w:rsid w:val="000F2912"/>
    <w:rsid w:val="000F2A5B"/>
    <w:rsid w:val="000F2B8B"/>
    <w:rsid w:val="000F2D90"/>
    <w:rsid w:val="000F3060"/>
    <w:rsid w:val="000F3080"/>
    <w:rsid w:val="000F309A"/>
    <w:rsid w:val="000F31BA"/>
    <w:rsid w:val="000F3635"/>
    <w:rsid w:val="000F363C"/>
    <w:rsid w:val="000F3819"/>
    <w:rsid w:val="000F3893"/>
    <w:rsid w:val="000F3896"/>
    <w:rsid w:val="000F3A1A"/>
    <w:rsid w:val="000F401D"/>
    <w:rsid w:val="000F40B6"/>
    <w:rsid w:val="000F4117"/>
    <w:rsid w:val="000F42FE"/>
    <w:rsid w:val="000F4324"/>
    <w:rsid w:val="000F43F9"/>
    <w:rsid w:val="000F479A"/>
    <w:rsid w:val="000F4FDF"/>
    <w:rsid w:val="000F4FFF"/>
    <w:rsid w:val="000F5077"/>
    <w:rsid w:val="000F50B4"/>
    <w:rsid w:val="000F50FF"/>
    <w:rsid w:val="000F5230"/>
    <w:rsid w:val="000F52BE"/>
    <w:rsid w:val="000F530F"/>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5FDF"/>
    <w:rsid w:val="000F601C"/>
    <w:rsid w:val="000F6026"/>
    <w:rsid w:val="000F604A"/>
    <w:rsid w:val="000F606F"/>
    <w:rsid w:val="000F62C2"/>
    <w:rsid w:val="000F648C"/>
    <w:rsid w:val="000F6525"/>
    <w:rsid w:val="000F65E4"/>
    <w:rsid w:val="000F667F"/>
    <w:rsid w:val="000F66A4"/>
    <w:rsid w:val="000F6722"/>
    <w:rsid w:val="000F6917"/>
    <w:rsid w:val="000F6C2D"/>
    <w:rsid w:val="000F716F"/>
    <w:rsid w:val="000F7ACD"/>
    <w:rsid w:val="000F7C75"/>
    <w:rsid w:val="000F7D34"/>
    <w:rsid w:val="000F7D5D"/>
    <w:rsid w:val="001001B5"/>
    <w:rsid w:val="00100240"/>
    <w:rsid w:val="00100797"/>
    <w:rsid w:val="001008A1"/>
    <w:rsid w:val="0010090D"/>
    <w:rsid w:val="0010090F"/>
    <w:rsid w:val="00100C46"/>
    <w:rsid w:val="00100C88"/>
    <w:rsid w:val="00100CAA"/>
    <w:rsid w:val="00100E23"/>
    <w:rsid w:val="0010115C"/>
    <w:rsid w:val="00101422"/>
    <w:rsid w:val="0010146E"/>
    <w:rsid w:val="001014B4"/>
    <w:rsid w:val="001014E4"/>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6A4"/>
    <w:rsid w:val="0010272F"/>
    <w:rsid w:val="00102846"/>
    <w:rsid w:val="001028A8"/>
    <w:rsid w:val="0010296E"/>
    <w:rsid w:val="001029B4"/>
    <w:rsid w:val="00102C86"/>
    <w:rsid w:val="00102D26"/>
    <w:rsid w:val="00102D6C"/>
    <w:rsid w:val="00102EAD"/>
    <w:rsid w:val="00102FE6"/>
    <w:rsid w:val="00103145"/>
    <w:rsid w:val="0010316C"/>
    <w:rsid w:val="00103252"/>
    <w:rsid w:val="001032E5"/>
    <w:rsid w:val="00103363"/>
    <w:rsid w:val="001033B1"/>
    <w:rsid w:val="001033FF"/>
    <w:rsid w:val="0010353A"/>
    <w:rsid w:val="00103743"/>
    <w:rsid w:val="00103954"/>
    <w:rsid w:val="00103968"/>
    <w:rsid w:val="0010397E"/>
    <w:rsid w:val="00103AE9"/>
    <w:rsid w:val="00103B6C"/>
    <w:rsid w:val="00103C4E"/>
    <w:rsid w:val="00103D87"/>
    <w:rsid w:val="00103E11"/>
    <w:rsid w:val="00104011"/>
    <w:rsid w:val="00104017"/>
    <w:rsid w:val="0010419F"/>
    <w:rsid w:val="0010437D"/>
    <w:rsid w:val="00104B76"/>
    <w:rsid w:val="00104C63"/>
    <w:rsid w:val="00104D0E"/>
    <w:rsid w:val="00104EC9"/>
    <w:rsid w:val="00104EE0"/>
    <w:rsid w:val="00104F16"/>
    <w:rsid w:val="0010501C"/>
    <w:rsid w:val="00105112"/>
    <w:rsid w:val="00105163"/>
    <w:rsid w:val="001051EA"/>
    <w:rsid w:val="0010533C"/>
    <w:rsid w:val="00105341"/>
    <w:rsid w:val="00105A83"/>
    <w:rsid w:val="00105E2E"/>
    <w:rsid w:val="001061BA"/>
    <w:rsid w:val="001061F8"/>
    <w:rsid w:val="00106514"/>
    <w:rsid w:val="00106517"/>
    <w:rsid w:val="0010675D"/>
    <w:rsid w:val="00106916"/>
    <w:rsid w:val="00106931"/>
    <w:rsid w:val="001069C7"/>
    <w:rsid w:val="001069DF"/>
    <w:rsid w:val="00106B55"/>
    <w:rsid w:val="00106DE7"/>
    <w:rsid w:val="001070BF"/>
    <w:rsid w:val="001071C7"/>
    <w:rsid w:val="00107228"/>
    <w:rsid w:val="001072C2"/>
    <w:rsid w:val="001074C4"/>
    <w:rsid w:val="001075E0"/>
    <w:rsid w:val="001076D8"/>
    <w:rsid w:val="00107736"/>
    <w:rsid w:val="00107AFF"/>
    <w:rsid w:val="00107CBA"/>
    <w:rsid w:val="00107ECE"/>
    <w:rsid w:val="00107F4B"/>
    <w:rsid w:val="001100A3"/>
    <w:rsid w:val="001101FA"/>
    <w:rsid w:val="00110290"/>
    <w:rsid w:val="0011031E"/>
    <w:rsid w:val="0011051E"/>
    <w:rsid w:val="00110771"/>
    <w:rsid w:val="00110908"/>
    <w:rsid w:val="00110966"/>
    <w:rsid w:val="00110AAA"/>
    <w:rsid w:val="00110F89"/>
    <w:rsid w:val="00110FBF"/>
    <w:rsid w:val="00111088"/>
    <w:rsid w:val="00111286"/>
    <w:rsid w:val="001112F5"/>
    <w:rsid w:val="00111354"/>
    <w:rsid w:val="0011161E"/>
    <w:rsid w:val="00111759"/>
    <w:rsid w:val="001118DD"/>
    <w:rsid w:val="001119D0"/>
    <w:rsid w:val="001119E1"/>
    <w:rsid w:val="00111A40"/>
    <w:rsid w:val="00111D6E"/>
    <w:rsid w:val="00112085"/>
    <w:rsid w:val="001122DD"/>
    <w:rsid w:val="00112358"/>
    <w:rsid w:val="00112659"/>
    <w:rsid w:val="00112753"/>
    <w:rsid w:val="001127ED"/>
    <w:rsid w:val="00112C9B"/>
    <w:rsid w:val="00112CC3"/>
    <w:rsid w:val="00112E93"/>
    <w:rsid w:val="00112FB6"/>
    <w:rsid w:val="00113023"/>
    <w:rsid w:val="001130E1"/>
    <w:rsid w:val="001130E3"/>
    <w:rsid w:val="00113199"/>
    <w:rsid w:val="001132A8"/>
    <w:rsid w:val="00113672"/>
    <w:rsid w:val="001137CE"/>
    <w:rsid w:val="001138E8"/>
    <w:rsid w:val="00113A11"/>
    <w:rsid w:val="00113D1F"/>
    <w:rsid w:val="00113D76"/>
    <w:rsid w:val="00113D8A"/>
    <w:rsid w:val="00113E1B"/>
    <w:rsid w:val="00113F01"/>
    <w:rsid w:val="00114185"/>
    <w:rsid w:val="0011418A"/>
    <w:rsid w:val="00114213"/>
    <w:rsid w:val="001142CB"/>
    <w:rsid w:val="001144F7"/>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17B"/>
    <w:rsid w:val="00115326"/>
    <w:rsid w:val="0011534D"/>
    <w:rsid w:val="00115723"/>
    <w:rsid w:val="0011573C"/>
    <w:rsid w:val="00115863"/>
    <w:rsid w:val="00115941"/>
    <w:rsid w:val="0011598E"/>
    <w:rsid w:val="00115A3E"/>
    <w:rsid w:val="00115C2F"/>
    <w:rsid w:val="0011600D"/>
    <w:rsid w:val="00116077"/>
    <w:rsid w:val="00116133"/>
    <w:rsid w:val="00116773"/>
    <w:rsid w:val="0011679C"/>
    <w:rsid w:val="0011684F"/>
    <w:rsid w:val="001168A1"/>
    <w:rsid w:val="001169A3"/>
    <w:rsid w:val="00116A78"/>
    <w:rsid w:val="00116E53"/>
    <w:rsid w:val="00116EBE"/>
    <w:rsid w:val="00116FB1"/>
    <w:rsid w:val="00116FC2"/>
    <w:rsid w:val="001171F6"/>
    <w:rsid w:val="00117273"/>
    <w:rsid w:val="001172CF"/>
    <w:rsid w:val="0011735B"/>
    <w:rsid w:val="00117384"/>
    <w:rsid w:val="00117427"/>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DF"/>
    <w:rsid w:val="00120947"/>
    <w:rsid w:val="00120A59"/>
    <w:rsid w:val="00120AB8"/>
    <w:rsid w:val="00120CA6"/>
    <w:rsid w:val="00120D08"/>
    <w:rsid w:val="00120F49"/>
    <w:rsid w:val="0012101B"/>
    <w:rsid w:val="0012105E"/>
    <w:rsid w:val="001210E6"/>
    <w:rsid w:val="00121215"/>
    <w:rsid w:val="001215F9"/>
    <w:rsid w:val="00121799"/>
    <w:rsid w:val="00121ACD"/>
    <w:rsid w:val="00121C2F"/>
    <w:rsid w:val="00121CDE"/>
    <w:rsid w:val="00121DBD"/>
    <w:rsid w:val="00122085"/>
    <w:rsid w:val="001220A2"/>
    <w:rsid w:val="00122135"/>
    <w:rsid w:val="00122396"/>
    <w:rsid w:val="001223C4"/>
    <w:rsid w:val="00122411"/>
    <w:rsid w:val="00122585"/>
    <w:rsid w:val="00122647"/>
    <w:rsid w:val="0012270E"/>
    <w:rsid w:val="001227B9"/>
    <w:rsid w:val="00122930"/>
    <w:rsid w:val="00122C7A"/>
    <w:rsid w:val="00122E17"/>
    <w:rsid w:val="00122ECE"/>
    <w:rsid w:val="00122FD4"/>
    <w:rsid w:val="001230CF"/>
    <w:rsid w:val="00123344"/>
    <w:rsid w:val="001233F2"/>
    <w:rsid w:val="0012352B"/>
    <w:rsid w:val="00123625"/>
    <w:rsid w:val="00123650"/>
    <w:rsid w:val="001236A7"/>
    <w:rsid w:val="00123744"/>
    <w:rsid w:val="00123949"/>
    <w:rsid w:val="00123E32"/>
    <w:rsid w:val="001241DD"/>
    <w:rsid w:val="001241E1"/>
    <w:rsid w:val="00124270"/>
    <w:rsid w:val="0012444A"/>
    <w:rsid w:val="00124515"/>
    <w:rsid w:val="00124582"/>
    <w:rsid w:val="00124676"/>
    <w:rsid w:val="0012481E"/>
    <w:rsid w:val="0012487F"/>
    <w:rsid w:val="00124AE0"/>
    <w:rsid w:val="0012506A"/>
    <w:rsid w:val="001251E7"/>
    <w:rsid w:val="001254B6"/>
    <w:rsid w:val="001258CA"/>
    <w:rsid w:val="001258D6"/>
    <w:rsid w:val="001259D7"/>
    <w:rsid w:val="00125AD2"/>
    <w:rsid w:val="00125D57"/>
    <w:rsid w:val="00125EDC"/>
    <w:rsid w:val="00125EE0"/>
    <w:rsid w:val="00125F51"/>
    <w:rsid w:val="00125FC5"/>
    <w:rsid w:val="001260AA"/>
    <w:rsid w:val="00126317"/>
    <w:rsid w:val="001264A2"/>
    <w:rsid w:val="001265AF"/>
    <w:rsid w:val="0012672B"/>
    <w:rsid w:val="00126759"/>
    <w:rsid w:val="001267E9"/>
    <w:rsid w:val="001267F4"/>
    <w:rsid w:val="00126919"/>
    <w:rsid w:val="00126B38"/>
    <w:rsid w:val="00126BB2"/>
    <w:rsid w:val="00126D4E"/>
    <w:rsid w:val="00126E2C"/>
    <w:rsid w:val="00126E86"/>
    <w:rsid w:val="0012703A"/>
    <w:rsid w:val="001270D4"/>
    <w:rsid w:val="001273BC"/>
    <w:rsid w:val="001273CE"/>
    <w:rsid w:val="00127402"/>
    <w:rsid w:val="00127519"/>
    <w:rsid w:val="00127529"/>
    <w:rsid w:val="00127832"/>
    <w:rsid w:val="001279AF"/>
    <w:rsid w:val="00127AFD"/>
    <w:rsid w:val="00127B14"/>
    <w:rsid w:val="00127CA2"/>
    <w:rsid w:val="00130089"/>
    <w:rsid w:val="001300DE"/>
    <w:rsid w:val="00130223"/>
    <w:rsid w:val="00130793"/>
    <w:rsid w:val="001307A8"/>
    <w:rsid w:val="001308AC"/>
    <w:rsid w:val="001309EC"/>
    <w:rsid w:val="00130A4A"/>
    <w:rsid w:val="00130B50"/>
    <w:rsid w:val="00130B85"/>
    <w:rsid w:val="00130D24"/>
    <w:rsid w:val="00130D2C"/>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D5"/>
    <w:rsid w:val="00132D2C"/>
    <w:rsid w:val="00132D4A"/>
    <w:rsid w:val="00132DAF"/>
    <w:rsid w:val="00132E16"/>
    <w:rsid w:val="00132F75"/>
    <w:rsid w:val="001330F1"/>
    <w:rsid w:val="0013332B"/>
    <w:rsid w:val="001333D9"/>
    <w:rsid w:val="001334A7"/>
    <w:rsid w:val="001334DA"/>
    <w:rsid w:val="00133558"/>
    <w:rsid w:val="001336D3"/>
    <w:rsid w:val="001336F5"/>
    <w:rsid w:val="00133769"/>
    <w:rsid w:val="00133960"/>
    <w:rsid w:val="00133AF9"/>
    <w:rsid w:val="00133BF7"/>
    <w:rsid w:val="00133DF9"/>
    <w:rsid w:val="00133DFC"/>
    <w:rsid w:val="001340CC"/>
    <w:rsid w:val="001340CF"/>
    <w:rsid w:val="0013424A"/>
    <w:rsid w:val="001344DF"/>
    <w:rsid w:val="00134A6C"/>
    <w:rsid w:val="00134BE2"/>
    <w:rsid w:val="00134C06"/>
    <w:rsid w:val="00134CF9"/>
    <w:rsid w:val="00134D00"/>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B7C"/>
    <w:rsid w:val="00135E45"/>
    <w:rsid w:val="00135E77"/>
    <w:rsid w:val="00135EEA"/>
    <w:rsid w:val="00135F9F"/>
    <w:rsid w:val="00135FE9"/>
    <w:rsid w:val="00136253"/>
    <w:rsid w:val="0013670E"/>
    <w:rsid w:val="00136795"/>
    <w:rsid w:val="00136867"/>
    <w:rsid w:val="00136878"/>
    <w:rsid w:val="00136A90"/>
    <w:rsid w:val="00136A9A"/>
    <w:rsid w:val="00136C3B"/>
    <w:rsid w:val="001370A8"/>
    <w:rsid w:val="00137249"/>
    <w:rsid w:val="001372A2"/>
    <w:rsid w:val="0013739D"/>
    <w:rsid w:val="00137500"/>
    <w:rsid w:val="00137676"/>
    <w:rsid w:val="00137910"/>
    <w:rsid w:val="001379BC"/>
    <w:rsid w:val="00137AB2"/>
    <w:rsid w:val="00137D8B"/>
    <w:rsid w:val="001401F6"/>
    <w:rsid w:val="001402E8"/>
    <w:rsid w:val="0014037B"/>
    <w:rsid w:val="0014042B"/>
    <w:rsid w:val="0014052F"/>
    <w:rsid w:val="0014063E"/>
    <w:rsid w:val="001407DE"/>
    <w:rsid w:val="00140C93"/>
    <w:rsid w:val="00140CD4"/>
    <w:rsid w:val="00140D05"/>
    <w:rsid w:val="00140E37"/>
    <w:rsid w:val="00140FCB"/>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1F88"/>
    <w:rsid w:val="00142283"/>
    <w:rsid w:val="001423B8"/>
    <w:rsid w:val="00142503"/>
    <w:rsid w:val="001427B7"/>
    <w:rsid w:val="0014289C"/>
    <w:rsid w:val="00143098"/>
    <w:rsid w:val="001430C7"/>
    <w:rsid w:val="0014327B"/>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5F"/>
    <w:rsid w:val="00145985"/>
    <w:rsid w:val="00145B82"/>
    <w:rsid w:val="00145C9A"/>
    <w:rsid w:val="00145DA7"/>
    <w:rsid w:val="00145E89"/>
    <w:rsid w:val="00145EF3"/>
    <w:rsid w:val="00146223"/>
    <w:rsid w:val="0014629B"/>
    <w:rsid w:val="001463A6"/>
    <w:rsid w:val="001463F0"/>
    <w:rsid w:val="0014660E"/>
    <w:rsid w:val="00146B8D"/>
    <w:rsid w:val="00146CDC"/>
    <w:rsid w:val="00146E05"/>
    <w:rsid w:val="0014700E"/>
    <w:rsid w:val="0014727E"/>
    <w:rsid w:val="0014744B"/>
    <w:rsid w:val="00147487"/>
    <w:rsid w:val="001475D8"/>
    <w:rsid w:val="001477C1"/>
    <w:rsid w:val="0014785E"/>
    <w:rsid w:val="00147A12"/>
    <w:rsid w:val="00147AED"/>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1193"/>
    <w:rsid w:val="001511C4"/>
    <w:rsid w:val="001511CF"/>
    <w:rsid w:val="00151397"/>
    <w:rsid w:val="00151440"/>
    <w:rsid w:val="001514AE"/>
    <w:rsid w:val="00151555"/>
    <w:rsid w:val="001517A9"/>
    <w:rsid w:val="001517FB"/>
    <w:rsid w:val="00151848"/>
    <w:rsid w:val="001519B2"/>
    <w:rsid w:val="001519E7"/>
    <w:rsid w:val="00151AD3"/>
    <w:rsid w:val="00151C5B"/>
    <w:rsid w:val="00151DFD"/>
    <w:rsid w:val="00151E79"/>
    <w:rsid w:val="001520DD"/>
    <w:rsid w:val="00152244"/>
    <w:rsid w:val="00152292"/>
    <w:rsid w:val="001522B1"/>
    <w:rsid w:val="001523E0"/>
    <w:rsid w:val="0015242C"/>
    <w:rsid w:val="001524B6"/>
    <w:rsid w:val="00152518"/>
    <w:rsid w:val="001527B6"/>
    <w:rsid w:val="00152941"/>
    <w:rsid w:val="00152A23"/>
    <w:rsid w:val="00152B23"/>
    <w:rsid w:val="00152BF2"/>
    <w:rsid w:val="00152CD9"/>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E9D"/>
    <w:rsid w:val="00156FDC"/>
    <w:rsid w:val="00156FF5"/>
    <w:rsid w:val="00157182"/>
    <w:rsid w:val="001571B7"/>
    <w:rsid w:val="00157244"/>
    <w:rsid w:val="00157489"/>
    <w:rsid w:val="00157852"/>
    <w:rsid w:val="001578F2"/>
    <w:rsid w:val="0015794C"/>
    <w:rsid w:val="00157958"/>
    <w:rsid w:val="00157AFD"/>
    <w:rsid w:val="00157B01"/>
    <w:rsid w:val="00157C78"/>
    <w:rsid w:val="00157CA7"/>
    <w:rsid w:val="00157CEB"/>
    <w:rsid w:val="00157DF5"/>
    <w:rsid w:val="00157E75"/>
    <w:rsid w:val="00157EC7"/>
    <w:rsid w:val="0016006D"/>
    <w:rsid w:val="00160260"/>
    <w:rsid w:val="00160328"/>
    <w:rsid w:val="0016047A"/>
    <w:rsid w:val="00160482"/>
    <w:rsid w:val="0016051A"/>
    <w:rsid w:val="0016062B"/>
    <w:rsid w:val="00160773"/>
    <w:rsid w:val="00160839"/>
    <w:rsid w:val="00160A68"/>
    <w:rsid w:val="00160C22"/>
    <w:rsid w:val="00160D82"/>
    <w:rsid w:val="00160DC6"/>
    <w:rsid w:val="00160E50"/>
    <w:rsid w:val="001611FB"/>
    <w:rsid w:val="0016137E"/>
    <w:rsid w:val="00161430"/>
    <w:rsid w:val="0016143C"/>
    <w:rsid w:val="001615AC"/>
    <w:rsid w:val="0016175E"/>
    <w:rsid w:val="00161978"/>
    <w:rsid w:val="001619F2"/>
    <w:rsid w:val="00161AFB"/>
    <w:rsid w:val="00161C49"/>
    <w:rsid w:val="00161D22"/>
    <w:rsid w:val="00161E3D"/>
    <w:rsid w:val="00161F10"/>
    <w:rsid w:val="00161F16"/>
    <w:rsid w:val="0016239D"/>
    <w:rsid w:val="00162681"/>
    <w:rsid w:val="001626ED"/>
    <w:rsid w:val="001626FE"/>
    <w:rsid w:val="00162987"/>
    <w:rsid w:val="00162AE7"/>
    <w:rsid w:val="00162DA5"/>
    <w:rsid w:val="00162F96"/>
    <w:rsid w:val="00163052"/>
    <w:rsid w:val="001632D4"/>
    <w:rsid w:val="0016337C"/>
    <w:rsid w:val="0016343C"/>
    <w:rsid w:val="00163497"/>
    <w:rsid w:val="001635FF"/>
    <w:rsid w:val="00163732"/>
    <w:rsid w:val="00163A2A"/>
    <w:rsid w:val="00163A73"/>
    <w:rsid w:val="00163A9B"/>
    <w:rsid w:val="00163AFE"/>
    <w:rsid w:val="00163B11"/>
    <w:rsid w:val="00163C83"/>
    <w:rsid w:val="00163CB7"/>
    <w:rsid w:val="00163F40"/>
    <w:rsid w:val="00164085"/>
    <w:rsid w:val="00164318"/>
    <w:rsid w:val="00164429"/>
    <w:rsid w:val="00164613"/>
    <w:rsid w:val="0016471D"/>
    <w:rsid w:val="001647E3"/>
    <w:rsid w:val="00164988"/>
    <w:rsid w:val="00164E22"/>
    <w:rsid w:val="0016525E"/>
    <w:rsid w:val="001653AF"/>
    <w:rsid w:val="00165495"/>
    <w:rsid w:val="001657B7"/>
    <w:rsid w:val="00165D95"/>
    <w:rsid w:val="001660C7"/>
    <w:rsid w:val="00166137"/>
    <w:rsid w:val="00166284"/>
    <w:rsid w:val="00166293"/>
    <w:rsid w:val="001662F5"/>
    <w:rsid w:val="001665D0"/>
    <w:rsid w:val="001669C2"/>
    <w:rsid w:val="001669E8"/>
    <w:rsid w:val="00166DFE"/>
    <w:rsid w:val="00166E69"/>
    <w:rsid w:val="00166ECF"/>
    <w:rsid w:val="001674BC"/>
    <w:rsid w:val="001674F1"/>
    <w:rsid w:val="00167507"/>
    <w:rsid w:val="00167918"/>
    <w:rsid w:val="001679C5"/>
    <w:rsid w:val="00167A00"/>
    <w:rsid w:val="00167C50"/>
    <w:rsid w:val="00167C73"/>
    <w:rsid w:val="00167F34"/>
    <w:rsid w:val="00167FEF"/>
    <w:rsid w:val="00170089"/>
    <w:rsid w:val="001700A4"/>
    <w:rsid w:val="001700D1"/>
    <w:rsid w:val="00170126"/>
    <w:rsid w:val="001701D3"/>
    <w:rsid w:val="001702AB"/>
    <w:rsid w:val="00170408"/>
    <w:rsid w:val="001704AE"/>
    <w:rsid w:val="001706F1"/>
    <w:rsid w:val="00170886"/>
    <w:rsid w:val="00170927"/>
    <w:rsid w:val="00170B2A"/>
    <w:rsid w:val="00170C09"/>
    <w:rsid w:val="00170CE7"/>
    <w:rsid w:val="00170D66"/>
    <w:rsid w:val="0017108C"/>
    <w:rsid w:val="0017117A"/>
    <w:rsid w:val="00171207"/>
    <w:rsid w:val="00171296"/>
    <w:rsid w:val="001712AE"/>
    <w:rsid w:val="0017136A"/>
    <w:rsid w:val="00171496"/>
    <w:rsid w:val="0017170F"/>
    <w:rsid w:val="0017186E"/>
    <w:rsid w:val="001718B7"/>
    <w:rsid w:val="001719D4"/>
    <w:rsid w:val="00171A5A"/>
    <w:rsid w:val="00171A8A"/>
    <w:rsid w:val="00171AB7"/>
    <w:rsid w:val="00171BD9"/>
    <w:rsid w:val="00171C5D"/>
    <w:rsid w:val="00171EAA"/>
    <w:rsid w:val="00171FE5"/>
    <w:rsid w:val="00172088"/>
    <w:rsid w:val="0017237B"/>
    <w:rsid w:val="0017240E"/>
    <w:rsid w:val="001724F0"/>
    <w:rsid w:val="001724F5"/>
    <w:rsid w:val="0017277D"/>
    <w:rsid w:val="00172967"/>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E2C"/>
    <w:rsid w:val="00173F5A"/>
    <w:rsid w:val="001740A1"/>
    <w:rsid w:val="00174128"/>
    <w:rsid w:val="001741C4"/>
    <w:rsid w:val="001744B7"/>
    <w:rsid w:val="001746E7"/>
    <w:rsid w:val="00174893"/>
    <w:rsid w:val="00174926"/>
    <w:rsid w:val="00174988"/>
    <w:rsid w:val="00174C12"/>
    <w:rsid w:val="00174C78"/>
    <w:rsid w:val="00174D1C"/>
    <w:rsid w:val="00174F06"/>
    <w:rsid w:val="00174FEB"/>
    <w:rsid w:val="0017534D"/>
    <w:rsid w:val="00175596"/>
    <w:rsid w:val="00175636"/>
    <w:rsid w:val="0017579A"/>
    <w:rsid w:val="00175804"/>
    <w:rsid w:val="00175874"/>
    <w:rsid w:val="001758D1"/>
    <w:rsid w:val="00175984"/>
    <w:rsid w:val="00175A68"/>
    <w:rsid w:val="00175AF6"/>
    <w:rsid w:val="00175D98"/>
    <w:rsid w:val="00175FEE"/>
    <w:rsid w:val="00176005"/>
    <w:rsid w:val="001760CF"/>
    <w:rsid w:val="001760F9"/>
    <w:rsid w:val="001763A1"/>
    <w:rsid w:val="001764A0"/>
    <w:rsid w:val="001766EB"/>
    <w:rsid w:val="0017674D"/>
    <w:rsid w:val="00176846"/>
    <w:rsid w:val="00176876"/>
    <w:rsid w:val="00176972"/>
    <w:rsid w:val="00176977"/>
    <w:rsid w:val="00176A24"/>
    <w:rsid w:val="00176B73"/>
    <w:rsid w:val="00176CC7"/>
    <w:rsid w:val="001770A4"/>
    <w:rsid w:val="00177146"/>
    <w:rsid w:val="001775B3"/>
    <w:rsid w:val="001775FA"/>
    <w:rsid w:val="0017764F"/>
    <w:rsid w:val="00177688"/>
    <w:rsid w:val="001776BB"/>
    <w:rsid w:val="00177B4F"/>
    <w:rsid w:val="00177C35"/>
    <w:rsid w:val="00177C5B"/>
    <w:rsid w:val="00180163"/>
    <w:rsid w:val="001801FB"/>
    <w:rsid w:val="001802A7"/>
    <w:rsid w:val="00180488"/>
    <w:rsid w:val="0018081D"/>
    <w:rsid w:val="0018083E"/>
    <w:rsid w:val="00180934"/>
    <w:rsid w:val="00180A87"/>
    <w:rsid w:val="00180C97"/>
    <w:rsid w:val="001810B8"/>
    <w:rsid w:val="001810EA"/>
    <w:rsid w:val="001814B2"/>
    <w:rsid w:val="001815CD"/>
    <w:rsid w:val="001816C8"/>
    <w:rsid w:val="0018184D"/>
    <w:rsid w:val="0018196C"/>
    <w:rsid w:val="00181B0B"/>
    <w:rsid w:val="00181B35"/>
    <w:rsid w:val="00181D47"/>
    <w:rsid w:val="00181D7D"/>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433"/>
    <w:rsid w:val="00184524"/>
    <w:rsid w:val="001845DB"/>
    <w:rsid w:val="00184605"/>
    <w:rsid w:val="0018469A"/>
    <w:rsid w:val="00184AEA"/>
    <w:rsid w:val="00184BFB"/>
    <w:rsid w:val="00184D46"/>
    <w:rsid w:val="00184EA0"/>
    <w:rsid w:val="00185184"/>
    <w:rsid w:val="00185424"/>
    <w:rsid w:val="00185472"/>
    <w:rsid w:val="001854C9"/>
    <w:rsid w:val="001855BB"/>
    <w:rsid w:val="0018583C"/>
    <w:rsid w:val="00185ABC"/>
    <w:rsid w:val="00185B70"/>
    <w:rsid w:val="00185E58"/>
    <w:rsid w:val="00185E59"/>
    <w:rsid w:val="00185EED"/>
    <w:rsid w:val="00185EF4"/>
    <w:rsid w:val="00185EF8"/>
    <w:rsid w:val="00185FA3"/>
    <w:rsid w:val="00185FC3"/>
    <w:rsid w:val="0018616B"/>
    <w:rsid w:val="00186339"/>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776"/>
    <w:rsid w:val="001877A9"/>
    <w:rsid w:val="00187828"/>
    <w:rsid w:val="00187876"/>
    <w:rsid w:val="00187C99"/>
    <w:rsid w:val="00187E2D"/>
    <w:rsid w:val="00187E97"/>
    <w:rsid w:val="00187F5E"/>
    <w:rsid w:val="00187FEE"/>
    <w:rsid w:val="0019027C"/>
    <w:rsid w:val="001904C7"/>
    <w:rsid w:val="001904F2"/>
    <w:rsid w:val="00190643"/>
    <w:rsid w:val="0019065E"/>
    <w:rsid w:val="00190747"/>
    <w:rsid w:val="001907A6"/>
    <w:rsid w:val="001907C6"/>
    <w:rsid w:val="00190864"/>
    <w:rsid w:val="00190DE6"/>
    <w:rsid w:val="00190DEB"/>
    <w:rsid w:val="00191207"/>
    <w:rsid w:val="001912A5"/>
    <w:rsid w:val="001914DE"/>
    <w:rsid w:val="00191659"/>
    <w:rsid w:val="00191667"/>
    <w:rsid w:val="001916AD"/>
    <w:rsid w:val="0019180D"/>
    <w:rsid w:val="00191969"/>
    <w:rsid w:val="00191975"/>
    <w:rsid w:val="00191AE5"/>
    <w:rsid w:val="00191BD8"/>
    <w:rsid w:val="00191C95"/>
    <w:rsid w:val="00191E4F"/>
    <w:rsid w:val="00192102"/>
    <w:rsid w:val="00192195"/>
    <w:rsid w:val="00192281"/>
    <w:rsid w:val="00192319"/>
    <w:rsid w:val="0019236D"/>
    <w:rsid w:val="001923F6"/>
    <w:rsid w:val="0019241F"/>
    <w:rsid w:val="001924D2"/>
    <w:rsid w:val="0019297C"/>
    <w:rsid w:val="00192A08"/>
    <w:rsid w:val="00192B17"/>
    <w:rsid w:val="00192B58"/>
    <w:rsid w:val="00192C55"/>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40A3"/>
    <w:rsid w:val="001940B8"/>
    <w:rsid w:val="001940DA"/>
    <w:rsid w:val="001940F9"/>
    <w:rsid w:val="0019410F"/>
    <w:rsid w:val="001941E5"/>
    <w:rsid w:val="00194210"/>
    <w:rsid w:val="00194433"/>
    <w:rsid w:val="00194509"/>
    <w:rsid w:val="001945A4"/>
    <w:rsid w:val="00194669"/>
    <w:rsid w:val="00194717"/>
    <w:rsid w:val="00194798"/>
    <w:rsid w:val="00194832"/>
    <w:rsid w:val="001948D2"/>
    <w:rsid w:val="00194C06"/>
    <w:rsid w:val="00194DE6"/>
    <w:rsid w:val="00195004"/>
    <w:rsid w:val="00195022"/>
    <w:rsid w:val="001950D7"/>
    <w:rsid w:val="0019514B"/>
    <w:rsid w:val="0019517C"/>
    <w:rsid w:val="001954CB"/>
    <w:rsid w:val="001957D2"/>
    <w:rsid w:val="00195973"/>
    <w:rsid w:val="00195CE2"/>
    <w:rsid w:val="00195D9A"/>
    <w:rsid w:val="00195E4D"/>
    <w:rsid w:val="00196144"/>
    <w:rsid w:val="001962C2"/>
    <w:rsid w:val="0019633E"/>
    <w:rsid w:val="001963F9"/>
    <w:rsid w:val="00196509"/>
    <w:rsid w:val="0019696D"/>
    <w:rsid w:val="001969BE"/>
    <w:rsid w:val="001969FF"/>
    <w:rsid w:val="00196BAD"/>
    <w:rsid w:val="00196BFC"/>
    <w:rsid w:val="00196DB4"/>
    <w:rsid w:val="00196E10"/>
    <w:rsid w:val="00196E65"/>
    <w:rsid w:val="0019704D"/>
    <w:rsid w:val="001972DB"/>
    <w:rsid w:val="00197383"/>
    <w:rsid w:val="00197615"/>
    <w:rsid w:val="00197758"/>
    <w:rsid w:val="00197A9F"/>
    <w:rsid w:val="00197B00"/>
    <w:rsid w:val="00197D55"/>
    <w:rsid w:val="00197DF8"/>
    <w:rsid w:val="00197DFB"/>
    <w:rsid w:val="00197F97"/>
    <w:rsid w:val="00197FCC"/>
    <w:rsid w:val="001A00A4"/>
    <w:rsid w:val="001A0134"/>
    <w:rsid w:val="001A01B9"/>
    <w:rsid w:val="001A0219"/>
    <w:rsid w:val="001A023F"/>
    <w:rsid w:val="001A0770"/>
    <w:rsid w:val="001A0814"/>
    <w:rsid w:val="001A09CD"/>
    <w:rsid w:val="001A0B5F"/>
    <w:rsid w:val="001A0B7D"/>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D6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11"/>
    <w:rsid w:val="001A29E5"/>
    <w:rsid w:val="001A2B4B"/>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85E"/>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0"/>
    <w:rsid w:val="001A611C"/>
    <w:rsid w:val="001A61ED"/>
    <w:rsid w:val="001A623C"/>
    <w:rsid w:val="001A631C"/>
    <w:rsid w:val="001A63A0"/>
    <w:rsid w:val="001A640B"/>
    <w:rsid w:val="001A64AB"/>
    <w:rsid w:val="001A674C"/>
    <w:rsid w:val="001A6802"/>
    <w:rsid w:val="001A69A7"/>
    <w:rsid w:val="001A69F3"/>
    <w:rsid w:val="001A6D2F"/>
    <w:rsid w:val="001A6EEF"/>
    <w:rsid w:val="001A6EF3"/>
    <w:rsid w:val="001A6F8F"/>
    <w:rsid w:val="001A714C"/>
    <w:rsid w:val="001A716E"/>
    <w:rsid w:val="001A767F"/>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E1B"/>
    <w:rsid w:val="001B0F0B"/>
    <w:rsid w:val="001B119C"/>
    <w:rsid w:val="001B11E9"/>
    <w:rsid w:val="001B1379"/>
    <w:rsid w:val="001B13EF"/>
    <w:rsid w:val="001B1416"/>
    <w:rsid w:val="001B1557"/>
    <w:rsid w:val="001B15F2"/>
    <w:rsid w:val="001B16C6"/>
    <w:rsid w:val="001B182A"/>
    <w:rsid w:val="001B1889"/>
    <w:rsid w:val="001B1952"/>
    <w:rsid w:val="001B1981"/>
    <w:rsid w:val="001B1D77"/>
    <w:rsid w:val="001B1EF3"/>
    <w:rsid w:val="001B1F9A"/>
    <w:rsid w:val="001B234E"/>
    <w:rsid w:val="001B23AD"/>
    <w:rsid w:val="001B23EB"/>
    <w:rsid w:val="001B2464"/>
    <w:rsid w:val="001B2649"/>
    <w:rsid w:val="001B279F"/>
    <w:rsid w:val="001B2888"/>
    <w:rsid w:val="001B296B"/>
    <w:rsid w:val="001B2CB2"/>
    <w:rsid w:val="001B2D14"/>
    <w:rsid w:val="001B2E1C"/>
    <w:rsid w:val="001B3051"/>
    <w:rsid w:val="001B315F"/>
    <w:rsid w:val="001B31C5"/>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A"/>
    <w:rsid w:val="001B40D3"/>
    <w:rsid w:val="001B42F2"/>
    <w:rsid w:val="001B45F6"/>
    <w:rsid w:val="001B46BA"/>
    <w:rsid w:val="001B46FF"/>
    <w:rsid w:val="001B471A"/>
    <w:rsid w:val="001B479A"/>
    <w:rsid w:val="001B47B3"/>
    <w:rsid w:val="001B485B"/>
    <w:rsid w:val="001B4A9E"/>
    <w:rsid w:val="001B4AAC"/>
    <w:rsid w:val="001B4D4B"/>
    <w:rsid w:val="001B4EFB"/>
    <w:rsid w:val="001B504D"/>
    <w:rsid w:val="001B5067"/>
    <w:rsid w:val="001B517A"/>
    <w:rsid w:val="001B51B2"/>
    <w:rsid w:val="001B520C"/>
    <w:rsid w:val="001B52E8"/>
    <w:rsid w:val="001B53AF"/>
    <w:rsid w:val="001B565B"/>
    <w:rsid w:val="001B56D1"/>
    <w:rsid w:val="001B577C"/>
    <w:rsid w:val="001B59CF"/>
    <w:rsid w:val="001B5A6D"/>
    <w:rsid w:val="001B5AA3"/>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F67"/>
    <w:rsid w:val="001C0064"/>
    <w:rsid w:val="001C00FC"/>
    <w:rsid w:val="001C0752"/>
    <w:rsid w:val="001C07BD"/>
    <w:rsid w:val="001C089F"/>
    <w:rsid w:val="001C0A69"/>
    <w:rsid w:val="001C0A82"/>
    <w:rsid w:val="001C0A89"/>
    <w:rsid w:val="001C0AFB"/>
    <w:rsid w:val="001C0B54"/>
    <w:rsid w:val="001C0CC6"/>
    <w:rsid w:val="001C0DBD"/>
    <w:rsid w:val="001C0EDD"/>
    <w:rsid w:val="001C0F60"/>
    <w:rsid w:val="001C100F"/>
    <w:rsid w:val="001C1687"/>
    <w:rsid w:val="001C1863"/>
    <w:rsid w:val="001C188C"/>
    <w:rsid w:val="001C1B59"/>
    <w:rsid w:val="001C1D41"/>
    <w:rsid w:val="001C1D47"/>
    <w:rsid w:val="001C1F0F"/>
    <w:rsid w:val="001C2071"/>
    <w:rsid w:val="001C2181"/>
    <w:rsid w:val="001C2182"/>
    <w:rsid w:val="001C22FA"/>
    <w:rsid w:val="001C24F2"/>
    <w:rsid w:val="001C2901"/>
    <w:rsid w:val="001C2944"/>
    <w:rsid w:val="001C2D2D"/>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462"/>
    <w:rsid w:val="001C44DE"/>
    <w:rsid w:val="001C495A"/>
    <w:rsid w:val="001C4965"/>
    <w:rsid w:val="001C49A9"/>
    <w:rsid w:val="001C4BD4"/>
    <w:rsid w:val="001C4C21"/>
    <w:rsid w:val="001C4D36"/>
    <w:rsid w:val="001C4D99"/>
    <w:rsid w:val="001C4E0C"/>
    <w:rsid w:val="001C4E44"/>
    <w:rsid w:val="001C5638"/>
    <w:rsid w:val="001C5782"/>
    <w:rsid w:val="001C5DD1"/>
    <w:rsid w:val="001C60E2"/>
    <w:rsid w:val="001C6168"/>
    <w:rsid w:val="001C62B1"/>
    <w:rsid w:val="001C6380"/>
    <w:rsid w:val="001C63C9"/>
    <w:rsid w:val="001C697F"/>
    <w:rsid w:val="001C6B0E"/>
    <w:rsid w:val="001C6DC4"/>
    <w:rsid w:val="001C6F4F"/>
    <w:rsid w:val="001C700F"/>
    <w:rsid w:val="001C719C"/>
    <w:rsid w:val="001C73B7"/>
    <w:rsid w:val="001C73E7"/>
    <w:rsid w:val="001C75D4"/>
    <w:rsid w:val="001C769D"/>
    <w:rsid w:val="001C76D1"/>
    <w:rsid w:val="001C7936"/>
    <w:rsid w:val="001C7957"/>
    <w:rsid w:val="001C79CF"/>
    <w:rsid w:val="001C7B79"/>
    <w:rsid w:val="001C7E31"/>
    <w:rsid w:val="001C7F70"/>
    <w:rsid w:val="001D0171"/>
    <w:rsid w:val="001D036A"/>
    <w:rsid w:val="001D04BD"/>
    <w:rsid w:val="001D055A"/>
    <w:rsid w:val="001D08A7"/>
    <w:rsid w:val="001D08B3"/>
    <w:rsid w:val="001D091C"/>
    <w:rsid w:val="001D09EF"/>
    <w:rsid w:val="001D0AF1"/>
    <w:rsid w:val="001D0FFE"/>
    <w:rsid w:val="001D1017"/>
    <w:rsid w:val="001D109C"/>
    <w:rsid w:val="001D111B"/>
    <w:rsid w:val="001D116F"/>
    <w:rsid w:val="001D11AE"/>
    <w:rsid w:val="001D1263"/>
    <w:rsid w:val="001D1369"/>
    <w:rsid w:val="001D139C"/>
    <w:rsid w:val="001D14FA"/>
    <w:rsid w:val="001D164D"/>
    <w:rsid w:val="001D1662"/>
    <w:rsid w:val="001D1693"/>
    <w:rsid w:val="001D16DF"/>
    <w:rsid w:val="001D19F9"/>
    <w:rsid w:val="001D1B12"/>
    <w:rsid w:val="001D1D17"/>
    <w:rsid w:val="001D1F9C"/>
    <w:rsid w:val="001D2041"/>
    <w:rsid w:val="001D2089"/>
    <w:rsid w:val="001D2199"/>
    <w:rsid w:val="001D23C3"/>
    <w:rsid w:val="001D2440"/>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66D"/>
    <w:rsid w:val="001D3788"/>
    <w:rsid w:val="001D387D"/>
    <w:rsid w:val="001D39AF"/>
    <w:rsid w:val="001D3AE5"/>
    <w:rsid w:val="001D3B88"/>
    <w:rsid w:val="001D3CC1"/>
    <w:rsid w:val="001D3E18"/>
    <w:rsid w:val="001D404B"/>
    <w:rsid w:val="001D4086"/>
    <w:rsid w:val="001D4091"/>
    <w:rsid w:val="001D40EF"/>
    <w:rsid w:val="001D41E4"/>
    <w:rsid w:val="001D42C3"/>
    <w:rsid w:val="001D4334"/>
    <w:rsid w:val="001D4603"/>
    <w:rsid w:val="001D489E"/>
    <w:rsid w:val="001D493F"/>
    <w:rsid w:val="001D4CDA"/>
    <w:rsid w:val="001D4D22"/>
    <w:rsid w:val="001D4E89"/>
    <w:rsid w:val="001D4EF0"/>
    <w:rsid w:val="001D4F13"/>
    <w:rsid w:val="001D514E"/>
    <w:rsid w:val="001D53C6"/>
    <w:rsid w:val="001D5409"/>
    <w:rsid w:val="001D557D"/>
    <w:rsid w:val="001D56AB"/>
    <w:rsid w:val="001D5721"/>
    <w:rsid w:val="001D5743"/>
    <w:rsid w:val="001D5A94"/>
    <w:rsid w:val="001D5AFA"/>
    <w:rsid w:val="001D5B48"/>
    <w:rsid w:val="001D5BF1"/>
    <w:rsid w:val="001D5D9B"/>
    <w:rsid w:val="001D5F43"/>
    <w:rsid w:val="001D610A"/>
    <w:rsid w:val="001D6337"/>
    <w:rsid w:val="001D65A1"/>
    <w:rsid w:val="001D65EC"/>
    <w:rsid w:val="001D6614"/>
    <w:rsid w:val="001D67DC"/>
    <w:rsid w:val="001D6D61"/>
    <w:rsid w:val="001D6D97"/>
    <w:rsid w:val="001D6DBB"/>
    <w:rsid w:val="001D6DD4"/>
    <w:rsid w:val="001D6EAF"/>
    <w:rsid w:val="001D7170"/>
    <w:rsid w:val="001D72DF"/>
    <w:rsid w:val="001D7530"/>
    <w:rsid w:val="001D75D4"/>
    <w:rsid w:val="001D7623"/>
    <w:rsid w:val="001D7656"/>
    <w:rsid w:val="001D7775"/>
    <w:rsid w:val="001D7930"/>
    <w:rsid w:val="001D7AF1"/>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59"/>
    <w:rsid w:val="001E0BDE"/>
    <w:rsid w:val="001E0CF0"/>
    <w:rsid w:val="001E0DA0"/>
    <w:rsid w:val="001E0DEF"/>
    <w:rsid w:val="001E0E29"/>
    <w:rsid w:val="001E0EFA"/>
    <w:rsid w:val="001E105B"/>
    <w:rsid w:val="001E1096"/>
    <w:rsid w:val="001E10B7"/>
    <w:rsid w:val="001E10DE"/>
    <w:rsid w:val="001E12B7"/>
    <w:rsid w:val="001E12D5"/>
    <w:rsid w:val="001E1555"/>
    <w:rsid w:val="001E162C"/>
    <w:rsid w:val="001E1829"/>
    <w:rsid w:val="001E182E"/>
    <w:rsid w:val="001E1A95"/>
    <w:rsid w:val="001E1C30"/>
    <w:rsid w:val="001E1CF7"/>
    <w:rsid w:val="001E1D3D"/>
    <w:rsid w:val="001E219D"/>
    <w:rsid w:val="001E2719"/>
    <w:rsid w:val="001E2722"/>
    <w:rsid w:val="001E280B"/>
    <w:rsid w:val="001E286E"/>
    <w:rsid w:val="001E2AA6"/>
    <w:rsid w:val="001E2B72"/>
    <w:rsid w:val="001E2BDD"/>
    <w:rsid w:val="001E2C7B"/>
    <w:rsid w:val="001E2E48"/>
    <w:rsid w:val="001E31A2"/>
    <w:rsid w:val="001E31F7"/>
    <w:rsid w:val="001E3232"/>
    <w:rsid w:val="001E327D"/>
    <w:rsid w:val="001E32D7"/>
    <w:rsid w:val="001E330C"/>
    <w:rsid w:val="001E3339"/>
    <w:rsid w:val="001E3353"/>
    <w:rsid w:val="001E343A"/>
    <w:rsid w:val="001E34F4"/>
    <w:rsid w:val="001E352D"/>
    <w:rsid w:val="001E360A"/>
    <w:rsid w:val="001E3656"/>
    <w:rsid w:val="001E392E"/>
    <w:rsid w:val="001E3AA6"/>
    <w:rsid w:val="001E3D55"/>
    <w:rsid w:val="001E3F9D"/>
    <w:rsid w:val="001E42CA"/>
    <w:rsid w:val="001E46D9"/>
    <w:rsid w:val="001E490B"/>
    <w:rsid w:val="001E49B9"/>
    <w:rsid w:val="001E4C7E"/>
    <w:rsid w:val="001E4CD0"/>
    <w:rsid w:val="001E507B"/>
    <w:rsid w:val="001E5216"/>
    <w:rsid w:val="001E5226"/>
    <w:rsid w:val="001E527D"/>
    <w:rsid w:val="001E5287"/>
    <w:rsid w:val="001E532F"/>
    <w:rsid w:val="001E543F"/>
    <w:rsid w:val="001E54F3"/>
    <w:rsid w:val="001E5781"/>
    <w:rsid w:val="001E58BC"/>
    <w:rsid w:val="001E58D7"/>
    <w:rsid w:val="001E5C0C"/>
    <w:rsid w:val="001E5DD7"/>
    <w:rsid w:val="001E5E9E"/>
    <w:rsid w:val="001E5EA4"/>
    <w:rsid w:val="001E5F05"/>
    <w:rsid w:val="001E62F8"/>
    <w:rsid w:val="001E6409"/>
    <w:rsid w:val="001E654A"/>
    <w:rsid w:val="001E6555"/>
    <w:rsid w:val="001E6558"/>
    <w:rsid w:val="001E65D4"/>
    <w:rsid w:val="001E65EA"/>
    <w:rsid w:val="001E66C7"/>
    <w:rsid w:val="001E6A1D"/>
    <w:rsid w:val="001E6A7A"/>
    <w:rsid w:val="001E6B15"/>
    <w:rsid w:val="001E6B19"/>
    <w:rsid w:val="001E6C58"/>
    <w:rsid w:val="001E6D13"/>
    <w:rsid w:val="001E6D5B"/>
    <w:rsid w:val="001E6DD0"/>
    <w:rsid w:val="001E6FD8"/>
    <w:rsid w:val="001E71B5"/>
    <w:rsid w:val="001E7501"/>
    <w:rsid w:val="001E7704"/>
    <w:rsid w:val="001E785F"/>
    <w:rsid w:val="001E7960"/>
    <w:rsid w:val="001E7B06"/>
    <w:rsid w:val="001E7D25"/>
    <w:rsid w:val="001F015F"/>
    <w:rsid w:val="001F03E8"/>
    <w:rsid w:val="001F04B2"/>
    <w:rsid w:val="001F05FF"/>
    <w:rsid w:val="001F062A"/>
    <w:rsid w:val="001F06FC"/>
    <w:rsid w:val="001F0973"/>
    <w:rsid w:val="001F09A9"/>
    <w:rsid w:val="001F0C08"/>
    <w:rsid w:val="001F0C7E"/>
    <w:rsid w:val="001F0CF5"/>
    <w:rsid w:val="001F0E62"/>
    <w:rsid w:val="001F0F7B"/>
    <w:rsid w:val="001F0FBA"/>
    <w:rsid w:val="001F10E2"/>
    <w:rsid w:val="001F124E"/>
    <w:rsid w:val="001F1431"/>
    <w:rsid w:val="001F15E0"/>
    <w:rsid w:val="001F16E1"/>
    <w:rsid w:val="001F1799"/>
    <w:rsid w:val="001F1800"/>
    <w:rsid w:val="001F18AF"/>
    <w:rsid w:val="001F19E6"/>
    <w:rsid w:val="001F1A1B"/>
    <w:rsid w:val="001F1A88"/>
    <w:rsid w:val="001F1AE2"/>
    <w:rsid w:val="001F1AF1"/>
    <w:rsid w:val="001F1BB9"/>
    <w:rsid w:val="001F1BCE"/>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C66"/>
    <w:rsid w:val="001F2CF3"/>
    <w:rsid w:val="001F2D4B"/>
    <w:rsid w:val="001F2FCF"/>
    <w:rsid w:val="001F3073"/>
    <w:rsid w:val="001F30F1"/>
    <w:rsid w:val="001F312A"/>
    <w:rsid w:val="001F3210"/>
    <w:rsid w:val="001F3263"/>
    <w:rsid w:val="001F328C"/>
    <w:rsid w:val="001F329C"/>
    <w:rsid w:val="001F33CB"/>
    <w:rsid w:val="001F3473"/>
    <w:rsid w:val="001F349F"/>
    <w:rsid w:val="001F3649"/>
    <w:rsid w:val="001F3760"/>
    <w:rsid w:val="001F37CE"/>
    <w:rsid w:val="001F3D1B"/>
    <w:rsid w:val="001F3DB0"/>
    <w:rsid w:val="001F4019"/>
    <w:rsid w:val="001F4246"/>
    <w:rsid w:val="001F4366"/>
    <w:rsid w:val="001F4389"/>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2E9"/>
    <w:rsid w:val="001F7421"/>
    <w:rsid w:val="001F74AC"/>
    <w:rsid w:val="001F74AD"/>
    <w:rsid w:val="001F763E"/>
    <w:rsid w:val="001F76A6"/>
    <w:rsid w:val="001F7898"/>
    <w:rsid w:val="001F7911"/>
    <w:rsid w:val="001F7915"/>
    <w:rsid w:val="001F79B7"/>
    <w:rsid w:val="001F7A72"/>
    <w:rsid w:val="001F7B00"/>
    <w:rsid w:val="001F7FB5"/>
    <w:rsid w:val="001F7FE5"/>
    <w:rsid w:val="002001FF"/>
    <w:rsid w:val="00200656"/>
    <w:rsid w:val="002006D4"/>
    <w:rsid w:val="00200783"/>
    <w:rsid w:val="002009BB"/>
    <w:rsid w:val="00200C78"/>
    <w:rsid w:val="00200CB9"/>
    <w:rsid w:val="00200D4D"/>
    <w:rsid w:val="00200EA4"/>
    <w:rsid w:val="00201002"/>
    <w:rsid w:val="00201100"/>
    <w:rsid w:val="002015C1"/>
    <w:rsid w:val="00201716"/>
    <w:rsid w:val="00201E67"/>
    <w:rsid w:val="00201FBE"/>
    <w:rsid w:val="00201FFE"/>
    <w:rsid w:val="0020202C"/>
    <w:rsid w:val="002022B5"/>
    <w:rsid w:val="002022D8"/>
    <w:rsid w:val="0020230C"/>
    <w:rsid w:val="00202484"/>
    <w:rsid w:val="00202608"/>
    <w:rsid w:val="00202722"/>
    <w:rsid w:val="002029CB"/>
    <w:rsid w:val="00202A7F"/>
    <w:rsid w:val="00202B4F"/>
    <w:rsid w:val="00202C26"/>
    <w:rsid w:val="00202D36"/>
    <w:rsid w:val="00202D6A"/>
    <w:rsid w:val="00202E80"/>
    <w:rsid w:val="00202F2A"/>
    <w:rsid w:val="00202F64"/>
    <w:rsid w:val="00203080"/>
    <w:rsid w:val="00203215"/>
    <w:rsid w:val="00203290"/>
    <w:rsid w:val="00203491"/>
    <w:rsid w:val="002035D6"/>
    <w:rsid w:val="0020362E"/>
    <w:rsid w:val="00203B2D"/>
    <w:rsid w:val="00203B5B"/>
    <w:rsid w:val="00203C1C"/>
    <w:rsid w:val="00203C79"/>
    <w:rsid w:val="00203DE5"/>
    <w:rsid w:val="00203F71"/>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37"/>
    <w:rsid w:val="00205F89"/>
    <w:rsid w:val="0020616A"/>
    <w:rsid w:val="0020616C"/>
    <w:rsid w:val="002062F2"/>
    <w:rsid w:val="00206472"/>
    <w:rsid w:val="002064F3"/>
    <w:rsid w:val="00206610"/>
    <w:rsid w:val="00206621"/>
    <w:rsid w:val="0020669E"/>
    <w:rsid w:val="00206785"/>
    <w:rsid w:val="002067FE"/>
    <w:rsid w:val="0020692D"/>
    <w:rsid w:val="00206B78"/>
    <w:rsid w:val="00207019"/>
    <w:rsid w:val="0020701C"/>
    <w:rsid w:val="0020710D"/>
    <w:rsid w:val="00207308"/>
    <w:rsid w:val="002073CC"/>
    <w:rsid w:val="0020745E"/>
    <w:rsid w:val="002074CA"/>
    <w:rsid w:val="00207737"/>
    <w:rsid w:val="00207A9A"/>
    <w:rsid w:val="00207AE5"/>
    <w:rsid w:val="00207BA2"/>
    <w:rsid w:val="00207CEE"/>
    <w:rsid w:val="00207D6C"/>
    <w:rsid w:val="00207F32"/>
    <w:rsid w:val="00210135"/>
    <w:rsid w:val="002101DA"/>
    <w:rsid w:val="002102D9"/>
    <w:rsid w:val="002103C3"/>
    <w:rsid w:val="00210482"/>
    <w:rsid w:val="00210519"/>
    <w:rsid w:val="0021070A"/>
    <w:rsid w:val="002107FF"/>
    <w:rsid w:val="002109F1"/>
    <w:rsid w:val="00210DE3"/>
    <w:rsid w:val="00210F67"/>
    <w:rsid w:val="00211501"/>
    <w:rsid w:val="0021152D"/>
    <w:rsid w:val="0021175C"/>
    <w:rsid w:val="00211770"/>
    <w:rsid w:val="00211942"/>
    <w:rsid w:val="002119A9"/>
    <w:rsid w:val="00211DE0"/>
    <w:rsid w:val="00211E1F"/>
    <w:rsid w:val="00211F1C"/>
    <w:rsid w:val="0021201C"/>
    <w:rsid w:val="002121A9"/>
    <w:rsid w:val="002123DB"/>
    <w:rsid w:val="00212610"/>
    <w:rsid w:val="002126B0"/>
    <w:rsid w:val="002126E3"/>
    <w:rsid w:val="00212700"/>
    <w:rsid w:val="00212761"/>
    <w:rsid w:val="002127FB"/>
    <w:rsid w:val="00212DB0"/>
    <w:rsid w:val="00212E39"/>
    <w:rsid w:val="00212F1A"/>
    <w:rsid w:val="00212F32"/>
    <w:rsid w:val="00212FA3"/>
    <w:rsid w:val="00212FE2"/>
    <w:rsid w:val="00213120"/>
    <w:rsid w:val="002133B6"/>
    <w:rsid w:val="002133DB"/>
    <w:rsid w:val="00213631"/>
    <w:rsid w:val="00213796"/>
    <w:rsid w:val="00213A00"/>
    <w:rsid w:val="00213AD3"/>
    <w:rsid w:val="00213B66"/>
    <w:rsid w:val="00213CB0"/>
    <w:rsid w:val="00213F7D"/>
    <w:rsid w:val="00213F8F"/>
    <w:rsid w:val="00214120"/>
    <w:rsid w:val="002141D9"/>
    <w:rsid w:val="00214224"/>
    <w:rsid w:val="002146F2"/>
    <w:rsid w:val="0021478B"/>
    <w:rsid w:val="00214844"/>
    <w:rsid w:val="00214960"/>
    <w:rsid w:val="002149B0"/>
    <w:rsid w:val="00214A14"/>
    <w:rsid w:val="00214AA4"/>
    <w:rsid w:val="00214C08"/>
    <w:rsid w:val="00214ECC"/>
    <w:rsid w:val="00214F33"/>
    <w:rsid w:val="00215133"/>
    <w:rsid w:val="00215202"/>
    <w:rsid w:val="0021524A"/>
    <w:rsid w:val="00215301"/>
    <w:rsid w:val="002157FD"/>
    <w:rsid w:val="0021589F"/>
    <w:rsid w:val="00215A28"/>
    <w:rsid w:val="00215AF9"/>
    <w:rsid w:val="00215C40"/>
    <w:rsid w:val="00215D21"/>
    <w:rsid w:val="00215E75"/>
    <w:rsid w:val="00215F70"/>
    <w:rsid w:val="00215F95"/>
    <w:rsid w:val="00216041"/>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B2"/>
    <w:rsid w:val="00216FCE"/>
    <w:rsid w:val="00216FF5"/>
    <w:rsid w:val="0021700E"/>
    <w:rsid w:val="002170D3"/>
    <w:rsid w:val="0021741B"/>
    <w:rsid w:val="00217692"/>
    <w:rsid w:val="002176B9"/>
    <w:rsid w:val="002177D9"/>
    <w:rsid w:val="002177E5"/>
    <w:rsid w:val="00217A96"/>
    <w:rsid w:val="00217B97"/>
    <w:rsid w:val="0022038B"/>
    <w:rsid w:val="002204FD"/>
    <w:rsid w:val="00220557"/>
    <w:rsid w:val="002207B4"/>
    <w:rsid w:val="00220870"/>
    <w:rsid w:val="0022092A"/>
    <w:rsid w:val="00220A21"/>
    <w:rsid w:val="00220A52"/>
    <w:rsid w:val="00220ACA"/>
    <w:rsid w:val="00220B03"/>
    <w:rsid w:val="00220D74"/>
    <w:rsid w:val="00220E09"/>
    <w:rsid w:val="00220E44"/>
    <w:rsid w:val="00221061"/>
    <w:rsid w:val="002211ED"/>
    <w:rsid w:val="00221208"/>
    <w:rsid w:val="00221229"/>
    <w:rsid w:val="002213B2"/>
    <w:rsid w:val="00221593"/>
    <w:rsid w:val="002215BF"/>
    <w:rsid w:val="002215C2"/>
    <w:rsid w:val="00221668"/>
    <w:rsid w:val="00221789"/>
    <w:rsid w:val="002217AE"/>
    <w:rsid w:val="0022187C"/>
    <w:rsid w:val="00221C81"/>
    <w:rsid w:val="00221D1E"/>
    <w:rsid w:val="00221D20"/>
    <w:rsid w:val="00221EF2"/>
    <w:rsid w:val="00221F70"/>
    <w:rsid w:val="0022210F"/>
    <w:rsid w:val="00222115"/>
    <w:rsid w:val="0022223C"/>
    <w:rsid w:val="002223D5"/>
    <w:rsid w:val="0022260F"/>
    <w:rsid w:val="002226D7"/>
    <w:rsid w:val="00222A17"/>
    <w:rsid w:val="00222B57"/>
    <w:rsid w:val="00222C6F"/>
    <w:rsid w:val="00222DC1"/>
    <w:rsid w:val="00222FE7"/>
    <w:rsid w:val="0022304A"/>
    <w:rsid w:val="0022305F"/>
    <w:rsid w:val="0022309D"/>
    <w:rsid w:val="00223296"/>
    <w:rsid w:val="0022338F"/>
    <w:rsid w:val="002235A4"/>
    <w:rsid w:val="00223611"/>
    <w:rsid w:val="002238D0"/>
    <w:rsid w:val="002239DC"/>
    <w:rsid w:val="00223B24"/>
    <w:rsid w:val="00223CD4"/>
    <w:rsid w:val="00223E4C"/>
    <w:rsid w:val="00224305"/>
    <w:rsid w:val="00224313"/>
    <w:rsid w:val="00224318"/>
    <w:rsid w:val="0022446D"/>
    <w:rsid w:val="002245CC"/>
    <w:rsid w:val="0022460C"/>
    <w:rsid w:val="00224791"/>
    <w:rsid w:val="00224864"/>
    <w:rsid w:val="00224963"/>
    <w:rsid w:val="002249D7"/>
    <w:rsid w:val="00224AEA"/>
    <w:rsid w:val="00224D43"/>
    <w:rsid w:val="00224E25"/>
    <w:rsid w:val="00224E36"/>
    <w:rsid w:val="002251CE"/>
    <w:rsid w:val="0022539F"/>
    <w:rsid w:val="002254E6"/>
    <w:rsid w:val="00225605"/>
    <w:rsid w:val="0022588A"/>
    <w:rsid w:val="002258F5"/>
    <w:rsid w:val="002258F6"/>
    <w:rsid w:val="00225926"/>
    <w:rsid w:val="00225AF3"/>
    <w:rsid w:val="00225B5D"/>
    <w:rsid w:val="00225C22"/>
    <w:rsid w:val="00225E3A"/>
    <w:rsid w:val="002262E9"/>
    <w:rsid w:val="0022645D"/>
    <w:rsid w:val="0022650D"/>
    <w:rsid w:val="002267F3"/>
    <w:rsid w:val="00226919"/>
    <w:rsid w:val="00226A09"/>
    <w:rsid w:val="00226B1D"/>
    <w:rsid w:val="00226BF3"/>
    <w:rsid w:val="00226EA7"/>
    <w:rsid w:val="00226F76"/>
    <w:rsid w:val="0022714F"/>
    <w:rsid w:val="002272E1"/>
    <w:rsid w:val="00227880"/>
    <w:rsid w:val="002278C1"/>
    <w:rsid w:val="0022799B"/>
    <w:rsid w:val="00227D5B"/>
    <w:rsid w:val="00227E83"/>
    <w:rsid w:val="00227E99"/>
    <w:rsid w:val="002301FA"/>
    <w:rsid w:val="002304A0"/>
    <w:rsid w:val="0023096C"/>
    <w:rsid w:val="002309F5"/>
    <w:rsid w:val="00230A3C"/>
    <w:rsid w:val="00230B36"/>
    <w:rsid w:val="00230B98"/>
    <w:rsid w:val="00230C09"/>
    <w:rsid w:val="00230C0B"/>
    <w:rsid w:val="00230E5E"/>
    <w:rsid w:val="00230EA7"/>
    <w:rsid w:val="0023116E"/>
    <w:rsid w:val="0023126A"/>
    <w:rsid w:val="0023135C"/>
    <w:rsid w:val="002314CB"/>
    <w:rsid w:val="002314EF"/>
    <w:rsid w:val="00231562"/>
    <w:rsid w:val="002316A5"/>
    <w:rsid w:val="00231794"/>
    <w:rsid w:val="002317A2"/>
    <w:rsid w:val="00231880"/>
    <w:rsid w:val="00231918"/>
    <w:rsid w:val="002319DE"/>
    <w:rsid w:val="00231A20"/>
    <w:rsid w:val="00231A56"/>
    <w:rsid w:val="00231A5C"/>
    <w:rsid w:val="00231B40"/>
    <w:rsid w:val="00231CBB"/>
    <w:rsid w:val="00231F27"/>
    <w:rsid w:val="002320E1"/>
    <w:rsid w:val="0023218A"/>
    <w:rsid w:val="002321BC"/>
    <w:rsid w:val="002322D7"/>
    <w:rsid w:val="00232310"/>
    <w:rsid w:val="00232315"/>
    <w:rsid w:val="002323E4"/>
    <w:rsid w:val="00232625"/>
    <w:rsid w:val="00232661"/>
    <w:rsid w:val="00232702"/>
    <w:rsid w:val="00232898"/>
    <w:rsid w:val="00232932"/>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DF7"/>
    <w:rsid w:val="00233FAA"/>
    <w:rsid w:val="00234048"/>
    <w:rsid w:val="002341E6"/>
    <w:rsid w:val="0023421A"/>
    <w:rsid w:val="00234245"/>
    <w:rsid w:val="002344E4"/>
    <w:rsid w:val="002345C4"/>
    <w:rsid w:val="002348BA"/>
    <w:rsid w:val="00234DB4"/>
    <w:rsid w:val="00234FE2"/>
    <w:rsid w:val="0023537B"/>
    <w:rsid w:val="0023545E"/>
    <w:rsid w:val="002354C9"/>
    <w:rsid w:val="002358B9"/>
    <w:rsid w:val="00235A4E"/>
    <w:rsid w:val="00235A53"/>
    <w:rsid w:val="00235EAB"/>
    <w:rsid w:val="00235F9B"/>
    <w:rsid w:val="00236093"/>
    <w:rsid w:val="00236218"/>
    <w:rsid w:val="0023633F"/>
    <w:rsid w:val="002363F5"/>
    <w:rsid w:val="00236505"/>
    <w:rsid w:val="0023663A"/>
    <w:rsid w:val="00236844"/>
    <w:rsid w:val="00236944"/>
    <w:rsid w:val="002369EE"/>
    <w:rsid w:val="00236B03"/>
    <w:rsid w:val="00236EAB"/>
    <w:rsid w:val="002371E5"/>
    <w:rsid w:val="0023724B"/>
    <w:rsid w:val="0023743B"/>
    <w:rsid w:val="00237472"/>
    <w:rsid w:val="002378E6"/>
    <w:rsid w:val="00237938"/>
    <w:rsid w:val="00237988"/>
    <w:rsid w:val="00237BA9"/>
    <w:rsid w:val="00237C05"/>
    <w:rsid w:val="00237E81"/>
    <w:rsid w:val="002402F0"/>
    <w:rsid w:val="00240719"/>
    <w:rsid w:val="002408A5"/>
    <w:rsid w:val="00240AFD"/>
    <w:rsid w:val="00240C65"/>
    <w:rsid w:val="00240F03"/>
    <w:rsid w:val="0024102A"/>
    <w:rsid w:val="00241115"/>
    <w:rsid w:val="00241127"/>
    <w:rsid w:val="00241743"/>
    <w:rsid w:val="00241825"/>
    <w:rsid w:val="002420B4"/>
    <w:rsid w:val="00242153"/>
    <w:rsid w:val="002423A8"/>
    <w:rsid w:val="002424D2"/>
    <w:rsid w:val="002425C2"/>
    <w:rsid w:val="0024278A"/>
    <w:rsid w:val="00242857"/>
    <w:rsid w:val="0024291B"/>
    <w:rsid w:val="00242A39"/>
    <w:rsid w:val="00242A58"/>
    <w:rsid w:val="00242A93"/>
    <w:rsid w:val="00242C4D"/>
    <w:rsid w:val="00242C66"/>
    <w:rsid w:val="00242DF3"/>
    <w:rsid w:val="00242E72"/>
    <w:rsid w:val="00242EA4"/>
    <w:rsid w:val="00242FD1"/>
    <w:rsid w:val="00243024"/>
    <w:rsid w:val="002430B5"/>
    <w:rsid w:val="002432F0"/>
    <w:rsid w:val="00243460"/>
    <w:rsid w:val="0024371F"/>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4FF1"/>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620B"/>
    <w:rsid w:val="0024642C"/>
    <w:rsid w:val="0024659A"/>
    <w:rsid w:val="002465B4"/>
    <w:rsid w:val="002468D3"/>
    <w:rsid w:val="00246908"/>
    <w:rsid w:val="0024699A"/>
    <w:rsid w:val="00246ACE"/>
    <w:rsid w:val="00246B52"/>
    <w:rsid w:val="00246C8E"/>
    <w:rsid w:val="00246C9D"/>
    <w:rsid w:val="00247089"/>
    <w:rsid w:val="00247206"/>
    <w:rsid w:val="00247249"/>
    <w:rsid w:val="002474B3"/>
    <w:rsid w:val="002475C6"/>
    <w:rsid w:val="002476EF"/>
    <w:rsid w:val="00247980"/>
    <w:rsid w:val="00247990"/>
    <w:rsid w:val="00247B4B"/>
    <w:rsid w:val="00247CB2"/>
    <w:rsid w:val="00247D77"/>
    <w:rsid w:val="00247D9D"/>
    <w:rsid w:val="00247E25"/>
    <w:rsid w:val="002502B8"/>
    <w:rsid w:val="002502B9"/>
    <w:rsid w:val="002504EA"/>
    <w:rsid w:val="002505F8"/>
    <w:rsid w:val="00250695"/>
    <w:rsid w:val="0025077D"/>
    <w:rsid w:val="0025089E"/>
    <w:rsid w:val="002508BA"/>
    <w:rsid w:val="002509F5"/>
    <w:rsid w:val="002509F9"/>
    <w:rsid w:val="00250BAF"/>
    <w:rsid w:val="00250DF1"/>
    <w:rsid w:val="00250F11"/>
    <w:rsid w:val="00250F8D"/>
    <w:rsid w:val="00251015"/>
    <w:rsid w:val="0025118B"/>
    <w:rsid w:val="002511CA"/>
    <w:rsid w:val="002511E7"/>
    <w:rsid w:val="00251227"/>
    <w:rsid w:val="00251264"/>
    <w:rsid w:val="002513FF"/>
    <w:rsid w:val="002515F3"/>
    <w:rsid w:val="00251826"/>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2C53"/>
    <w:rsid w:val="0025306C"/>
    <w:rsid w:val="002531CA"/>
    <w:rsid w:val="002531F2"/>
    <w:rsid w:val="002532D1"/>
    <w:rsid w:val="00253318"/>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A9"/>
    <w:rsid w:val="00254FD4"/>
    <w:rsid w:val="00255033"/>
    <w:rsid w:val="0025508A"/>
    <w:rsid w:val="002552D8"/>
    <w:rsid w:val="0025534A"/>
    <w:rsid w:val="00255519"/>
    <w:rsid w:val="002555B6"/>
    <w:rsid w:val="0025561B"/>
    <w:rsid w:val="0025562D"/>
    <w:rsid w:val="002557D0"/>
    <w:rsid w:val="00255A06"/>
    <w:rsid w:val="00255C39"/>
    <w:rsid w:val="00255D4A"/>
    <w:rsid w:val="00255E32"/>
    <w:rsid w:val="002562FC"/>
    <w:rsid w:val="002562FF"/>
    <w:rsid w:val="00256346"/>
    <w:rsid w:val="002563E0"/>
    <w:rsid w:val="00256990"/>
    <w:rsid w:val="00256C6C"/>
    <w:rsid w:val="00256F66"/>
    <w:rsid w:val="002570DA"/>
    <w:rsid w:val="0025723E"/>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DFD"/>
    <w:rsid w:val="00257F26"/>
    <w:rsid w:val="00257F38"/>
    <w:rsid w:val="00257FF7"/>
    <w:rsid w:val="002600CB"/>
    <w:rsid w:val="002602FF"/>
    <w:rsid w:val="00260434"/>
    <w:rsid w:val="00260544"/>
    <w:rsid w:val="00260632"/>
    <w:rsid w:val="002607CD"/>
    <w:rsid w:val="00260821"/>
    <w:rsid w:val="002608C7"/>
    <w:rsid w:val="00260ACB"/>
    <w:rsid w:val="00260ADE"/>
    <w:rsid w:val="00260B36"/>
    <w:rsid w:val="00260C4D"/>
    <w:rsid w:val="00261018"/>
    <w:rsid w:val="0026106F"/>
    <w:rsid w:val="002610F4"/>
    <w:rsid w:val="00261189"/>
    <w:rsid w:val="002612A4"/>
    <w:rsid w:val="0026143A"/>
    <w:rsid w:val="002614A6"/>
    <w:rsid w:val="002614BC"/>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B2"/>
    <w:rsid w:val="00262919"/>
    <w:rsid w:val="002629DF"/>
    <w:rsid w:val="00262AF8"/>
    <w:rsid w:val="00262BE5"/>
    <w:rsid w:val="00262D18"/>
    <w:rsid w:val="00262D3F"/>
    <w:rsid w:val="00262E35"/>
    <w:rsid w:val="002630C9"/>
    <w:rsid w:val="00263200"/>
    <w:rsid w:val="00263415"/>
    <w:rsid w:val="002634D8"/>
    <w:rsid w:val="00263543"/>
    <w:rsid w:val="002636C6"/>
    <w:rsid w:val="00263786"/>
    <w:rsid w:val="002638D1"/>
    <w:rsid w:val="00263C25"/>
    <w:rsid w:val="00263D2A"/>
    <w:rsid w:val="00263DD1"/>
    <w:rsid w:val="00263E2A"/>
    <w:rsid w:val="00263EA4"/>
    <w:rsid w:val="00264242"/>
    <w:rsid w:val="00264330"/>
    <w:rsid w:val="0026453A"/>
    <w:rsid w:val="002647EC"/>
    <w:rsid w:val="00264AF0"/>
    <w:rsid w:val="00264C5D"/>
    <w:rsid w:val="00264CC6"/>
    <w:rsid w:val="00264D00"/>
    <w:rsid w:val="00264D86"/>
    <w:rsid w:val="00264F72"/>
    <w:rsid w:val="00265069"/>
    <w:rsid w:val="00265207"/>
    <w:rsid w:val="0026527F"/>
    <w:rsid w:val="002652A4"/>
    <w:rsid w:val="00265357"/>
    <w:rsid w:val="0026541D"/>
    <w:rsid w:val="002654C0"/>
    <w:rsid w:val="002655F9"/>
    <w:rsid w:val="00265638"/>
    <w:rsid w:val="0026568E"/>
    <w:rsid w:val="00265785"/>
    <w:rsid w:val="002657FE"/>
    <w:rsid w:val="00265925"/>
    <w:rsid w:val="0026596D"/>
    <w:rsid w:val="00265A0A"/>
    <w:rsid w:val="00265A53"/>
    <w:rsid w:val="00265AAC"/>
    <w:rsid w:val="00265F80"/>
    <w:rsid w:val="00265FA4"/>
    <w:rsid w:val="00266001"/>
    <w:rsid w:val="002664C7"/>
    <w:rsid w:val="0026677D"/>
    <w:rsid w:val="002667BD"/>
    <w:rsid w:val="00266846"/>
    <w:rsid w:val="002669F6"/>
    <w:rsid w:val="00266E03"/>
    <w:rsid w:val="00266FF8"/>
    <w:rsid w:val="00267268"/>
    <w:rsid w:val="0026726D"/>
    <w:rsid w:val="00267325"/>
    <w:rsid w:val="0026732C"/>
    <w:rsid w:val="00267480"/>
    <w:rsid w:val="00267589"/>
    <w:rsid w:val="00267601"/>
    <w:rsid w:val="00267658"/>
    <w:rsid w:val="002676AB"/>
    <w:rsid w:val="002678E5"/>
    <w:rsid w:val="0026792A"/>
    <w:rsid w:val="00267D06"/>
    <w:rsid w:val="00267D96"/>
    <w:rsid w:val="00267E8D"/>
    <w:rsid w:val="00267ECA"/>
    <w:rsid w:val="00267F10"/>
    <w:rsid w:val="00267F3F"/>
    <w:rsid w:val="00270073"/>
    <w:rsid w:val="0027030F"/>
    <w:rsid w:val="002704BE"/>
    <w:rsid w:val="00270718"/>
    <w:rsid w:val="00270AEC"/>
    <w:rsid w:val="00270B0A"/>
    <w:rsid w:val="00270B3E"/>
    <w:rsid w:val="00271060"/>
    <w:rsid w:val="0027107A"/>
    <w:rsid w:val="0027134A"/>
    <w:rsid w:val="0027156B"/>
    <w:rsid w:val="00271627"/>
    <w:rsid w:val="00271658"/>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979"/>
    <w:rsid w:val="00272AC5"/>
    <w:rsid w:val="00272B37"/>
    <w:rsid w:val="00272B5E"/>
    <w:rsid w:val="00272C76"/>
    <w:rsid w:val="00272D6C"/>
    <w:rsid w:val="00272D71"/>
    <w:rsid w:val="00272D81"/>
    <w:rsid w:val="00272F99"/>
    <w:rsid w:val="0027306F"/>
    <w:rsid w:val="002731E0"/>
    <w:rsid w:val="0027335D"/>
    <w:rsid w:val="00273B72"/>
    <w:rsid w:val="00273C48"/>
    <w:rsid w:val="00273C75"/>
    <w:rsid w:val="00273CC2"/>
    <w:rsid w:val="0027409F"/>
    <w:rsid w:val="00274115"/>
    <w:rsid w:val="0027418B"/>
    <w:rsid w:val="00274356"/>
    <w:rsid w:val="002743F2"/>
    <w:rsid w:val="0027466B"/>
    <w:rsid w:val="0027478E"/>
    <w:rsid w:val="00274905"/>
    <w:rsid w:val="00274B60"/>
    <w:rsid w:val="00274B63"/>
    <w:rsid w:val="00274CBA"/>
    <w:rsid w:val="00274D2D"/>
    <w:rsid w:val="00274E46"/>
    <w:rsid w:val="0027512C"/>
    <w:rsid w:val="00275157"/>
    <w:rsid w:val="0027517B"/>
    <w:rsid w:val="002754CA"/>
    <w:rsid w:val="002756A1"/>
    <w:rsid w:val="00275767"/>
    <w:rsid w:val="0027582A"/>
    <w:rsid w:val="0027582B"/>
    <w:rsid w:val="00275860"/>
    <w:rsid w:val="00275C01"/>
    <w:rsid w:val="00275C82"/>
    <w:rsid w:val="00275EDC"/>
    <w:rsid w:val="00275F5F"/>
    <w:rsid w:val="00275F7D"/>
    <w:rsid w:val="00276196"/>
    <w:rsid w:val="00276235"/>
    <w:rsid w:val="0027623C"/>
    <w:rsid w:val="00276304"/>
    <w:rsid w:val="0027632C"/>
    <w:rsid w:val="002763C8"/>
    <w:rsid w:val="00276514"/>
    <w:rsid w:val="0027658E"/>
    <w:rsid w:val="00276D09"/>
    <w:rsid w:val="00276E45"/>
    <w:rsid w:val="00276EB0"/>
    <w:rsid w:val="0027701A"/>
    <w:rsid w:val="00277141"/>
    <w:rsid w:val="0027751A"/>
    <w:rsid w:val="002775CC"/>
    <w:rsid w:val="00277624"/>
    <w:rsid w:val="002776B2"/>
    <w:rsid w:val="0027782A"/>
    <w:rsid w:val="00277933"/>
    <w:rsid w:val="00277A6D"/>
    <w:rsid w:val="00277A85"/>
    <w:rsid w:val="00277B36"/>
    <w:rsid w:val="00277C74"/>
    <w:rsid w:val="00277CBD"/>
    <w:rsid w:val="0028004E"/>
    <w:rsid w:val="00280143"/>
    <w:rsid w:val="00280190"/>
    <w:rsid w:val="002802BC"/>
    <w:rsid w:val="0028031C"/>
    <w:rsid w:val="00280348"/>
    <w:rsid w:val="0028072E"/>
    <w:rsid w:val="00280747"/>
    <w:rsid w:val="002807B7"/>
    <w:rsid w:val="002809DB"/>
    <w:rsid w:val="00280B91"/>
    <w:rsid w:val="00280C90"/>
    <w:rsid w:val="00280D3F"/>
    <w:rsid w:val="00280D88"/>
    <w:rsid w:val="00280DED"/>
    <w:rsid w:val="002811E2"/>
    <w:rsid w:val="0028137E"/>
    <w:rsid w:val="00281698"/>
    <w:rsid w:val="00281758"/>
    <w:rsid w:val="002817B7"/>
    <w:rsid w:val="00281B37"/>
    <w:rsid w:val="00281C3F"/>
    <w:rsid w:val="00281E11"/>
    <w:rsid w:val="00281EF6"/>
    <w:rsid w:val="00281F6E"/>
    <w:rsid w:val="00281FCC"/>
    <w:rsid w:val="002823AE"/>
    <w:rsid w:val="0028259D"/>
    <w:rsid w:val="00282670"/>
    <w:rsid w:val="0028278C"/>
    <w:rsid w:val="0028280D"/>
    <w:rsid w:val="00282827"/>
    <w:rsid w:val="002829CD"/>
    <w:rsid w:val="002829D0"/>
    <w:rsid w:val="00282C0F"/>
    <w:rsid w:val="00282C19"/>
    <w:rsid w:val="00283097"/>
    <w:rsid w:val="00283417"/>
    <w:rsid w:val="0028355F"/>
    <w:rsid w:val="002835CA"/>
    <w:rsid w:val="00283814"/>
    <w:rsid w:val="00283A43"/>
    <w:rsid w:val="00283B72"/>
    <w:rsid w:val="00283B7C"/>
    <w:rsid w:val="00283B89"/>
    <w:rsid w:val="00283BAD"/>
    <w:rsid w:val="00283BDE"/>
    <w:rsid w:val="00283C2B"/>
    <w:rsid w:val="00283CA4"/>
    <w:rsid w:val="00283DD3"/>
    <w:rsid w:val="00283DF6"/>
    <w:rsid w:val="00283FEF"/>
    <w:rsid w:val="00284098"/>
    <w:rsid w:val="002842F1"/>
    <w:rsid w:val="00284552"/>
    <w:rsid w:val="00284686"/>
    <w:rsid w:val="002846BB"/>
    <w:rsid w:val="002846E6"/>
    <w:rsid w:val="002846EA"/>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D6"/>
    <w:rsid w:val="002852E6"/>
    <w:rsid w:val="00285330"/>
    <w:rsid w:val="00285353"/>
    <w:rsid w:val="002855E9"/>
    <w:rsid w:val="00285712"/>
    <w:rsid w:val="00285930"/>
    <w:rsid w:val="00285A3D"/>
    <w:rsid w:val="00285BDD"/>
    <w:rsid w:val="00285C36"/>
    <w:rsid w:val="00285DE8"/>
    <w:rsid w:val="00286081"/>
    <w:rsid w:val="002862B7"/>
    <w:rsid w:val="002866D6"/>
    <w:rsid w:val="00286833"/>
    <w:rsid w:val="0028699C"/>
    <w:rsid w:val="00286A21"/>
    <w:rsid w:val="00286B46"/>
    <w:rsid w:val="00286BDF"/>
    <w:rsid w:val="00286C7D"/>
    <w:rsid w:val="00286E03"/>
    <w:rsid w:val="00286E6E"/>
    <w:rsid w:val="00286EBC"/>
    <w:rsid w:val="00286F50"/>
    <w:rsid w:val="00287014"/>
    <w:rsid w:val="002870D1"/>
    <w:rsid w:val="002870F7"/>
    <w:rsid w:val="00287223"/>
    <w:rsid w:val="002873C1"/>
    <w:rsid w:val="002874F8"/>
    <w:rsid w:val="002875B1"/>
    <w:rsid w:val="002877D9"/>
    <w:rsid w:val="00287DCF"/>
    <w:rsid w:val="00287E04"/>
    <w:rsid w:val="00287E33"/>
    <w:rsid w:val="0029004A"/>
    <w:rsid w:val="00290134"/>
    <w:rsid w:val="002902C6"/>
    <w:rsid w:val="00290429"/>
    <w:rsid w:val="002904EC"/>
    <w:rsid w:val="00290505"/>
    <w:rsid w:val="0029052E"/>
    <w:rsid w:val="00290534"/>
    <w:rsid w:val="00290790"/>
    <w:rsid w:val="002909B7"/>
    <w:rsid w:val="00290A0E"/>
    <w:rsid w:val="00290B5B"/>
    <w:rsid w:val="00290BBC"/>
    <w:rsid w:val="00290BC2"/>
    <w:rsid w:val="00290C01"/>
    <w:rsid w:val="00290CD6"/>
    <w:rsid w:val="00290ECE"/>
    <w:rsid w:val="00290EFF"/>
    <w:rsid w:val="00290FFE"/>
    <w:rsid w:val="002911A8"/>
    <w:rsid w:val="002911B1"/>
    <w:rsid w:val="002911C3"/>
    <w:rsid w:val="00291239"/>
    <w:rsid w:val="0029127E"/>
    <w:rsid w:val="00291308"/>
    <w:rsid w:val="0029154C"/>
    <w:rsid w:val="00291573"/>
    <w:rsid w:val="002916A1"/>
    <w:rsid w:val="00291748"/>
    <w:rsid w:val="0029175F"/>
    <w:rsid w:val="0029177D"/>
    <w:rsid w:val="002917CA"/>
    <w:rsid w:val="0029184B"/>
    <w:rsid w:val="00291856"/>
    <w:rsid w:val="002918E0"/>
    <w:rsid w:val="002919CA"/>
    <w:rsid w:val="00291A31"/>
    <w:rsid w:val="00291A61"/>
    <w:rsid w:val="00291B9F"/>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154"/>
    <w:rsid w:val="00293358"/>
    <w:rsid w:val="002933B8"/>
    <w:rsid w:val="0029345C"/>
    <w:rsid w:val="002935C0"/>
    <w:rsid w:val="002936FE"/>
    <w:rsid w:val="002937AB"/>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5F5E"/>
    <w:rsid w:val="002960C0"/>
    <w:rsid w:val="002961E4"/>
    <w:rsid w:val="0029622B"/>
    <w:rsid w:val="0029661F"/>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C5B"/>
    <w:rsid w:val="00297E40"/>
    <w:rsid w:val="00297E6F"/>
    <w:rsid w:val="002A0137"/>
    <w:rsid w:val="002A02CE"/>
    <w:rsid w:val="002A02FC"/>
    <w:rsid w:val="002A03CB"/>
    <w:rsid w:val="002A056D"/>
    <w:rsid w:val="002A0767"/>
    <w:rsid w:val="002A07D8"/>
    <w:rsid w:val="002A086A"/>
    <w:rsid w:val="002A087A"/>
    <w:rsid w:val="002A08C8"/>
    <w:rsid w:val="002A09F7"/>
    <w:rsid w:val="002A0A79"/>
    <w:rsid w:val="002A0B3E"/>
    <w:rsid w:val="002A0B4F"/>
    <w:rsid w:val="002A0BF6"/>
    <w:rsid w:val="002A0D7C"/>
    <w:rsid w:val="002A105D"/>
    <w:rsid w:val="002A137E"/>
    <w:rsid w:val="002A13A6"/>
    <w:rsid w:val="002A1406"/>
    <w:rsid w:val="002A1413"/>
    <w:rsid w:val="002A1416"/>
    <w:rsid w:val="002A1610"/>
    <w:rsid w:val="002A162D"/>
    <w:rsid w:val="002A1646"/>
    <w:rsid w:val="002A170A"/>
    <w:rsid w:val="002A1732"/>
    <w:rsid w:val="002A17EB"/>
    <w:rsid w:val="002A1805"/>
    <w:rsid w:val="002A1845"/>
    <w:rsid w:val="002A1D5B"/>
    <w:rsid w:val="002A1E20"/>
    <w:rsid w:val="002A1F2B"/>
    <w:rsid w:val="002A1F55"/>
    <w:rsid w:val="002A215D"/>
    <w:rsid w:val="002A2301"/>
    <w:rsid w:val="002A2392"/>
    <w:rsid w:val="002A23D7"/>
    <w:rsid w:val="002A2802"/>
    <w:rsid w:val="002A2810"/>
    <w:rsid w:val="002A2AAA"/>
    <w:rsid w:val="002A2AF8"/>
    <w:rsid w:val="002A2D64"/>
    <w:rsid w:val="002A2DEE"/>
    <w:rsid w:val="002A2F4D"/>
    <w:rsid w:val="002A3167"/>
    <w:rsid w:val="002A324A"/>
    <w:rsid w:val="002A3332"/>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A4D"/>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1CB"/>
    <w:rsid w:val="002A6279"/>
    <w:rsid w:val="002A6343"/>
    <w:rsid w:val="002A646C"/>
    <w:rsid w:val="002A654E"/>
    <w:rsid w:val="002A65EF"/>
    <w:rsid w:val="002A6609"/>
    <w:rsid w:val="002A66A3"/>
    <w:rsid w:val="002A6A16"/>
    <w:rsid w:val="002A6C99"/>
    <w:rsid w:val="002A6CB8"/>
    <w:rsid w:val="002A6D05"/>
    <w:rsid w:val="002A6EC6"/>
    <w:rsid w:val="002A6FA1"/>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7FA"/>
    <w:rsid w:val="002B1A2B"/>
    <w:rsid w:val="002B1AD8"/>
    <w:rsid w:val="002B1B2D"/>
    <w:rsid w:val="002B1B61"/>
    <w:rsid w:val="002B1BC4"/>
    <w:rsid w:val="002B1C2E"/>
    <w:rsid w:val="002B1E14"/>
    <w:rsid w:val="002B1F3A"/>
    <w:rsid w:val="002B1FE7"/>
    <w:rsid w:val="002B2218"/>
    <w:rsid w:val="002B2287"/>
    <w:rsid w:val="002B232E"/>
    <w:rsid w:val="002B2346"/>
    <w:rsid w:val="002B23A1"/>
    <w:rsid w:val="002B25D6"/>
    <w:rsid w:val="002B29F5"/>
    <w:rsid w:val="002B2A46"/>
    <w:rsid w:val="002B3095"/>
    <w:rsid w:val="002B30BF"/>
    <w:rsid w:val="002B3211"/>
    <w:rsid w:val="002B32A2"/>
    <w:rsid w:val="002B3949"/>
    <w:rsid w:val="002B3A72"/>
    <w:rsid w:val="002B3B52"/>
    <w:rsid w:val="002B3D49"/>
    <w:rsid w:val="002B3E0F"/>
    <w:rsid w:val="002B3F35"/>
    <w:rsid w:val="002B3FBF"/>
    <w:rsid w:val="002B4316"/>
    <w:rsid w:val="002B432B"/>
    <w:rsid w:val="002B433D"/>
    <w:rsid w:val="002B47B9"/>
    <w:rsid w:val="002B4874"/>
    <w:rsid w:val="002B48AF"/>
    <w:rsid w:val="002B49B9"/>
    <w:rsid w:val="002B4BD6"/>
    <w:rsid w:val="002B4EAF"/>
    <w:rsid w:val="002B4EE5"/>
    <w:rsid w:val="002B506C"/>
    <w:rsid w:val="002B5127"/>
    <w:rsid w:val="002B5204"/>
    <w:rsid w:val="002B5289"/>
    <w:rsid w:val="002B54F6"/>
    <w:rsid w:val="002B5638"/>
    <w:rsid w:val="002B56BA"/>
    <w:rsid w:val="002B56C5"/>
    <w:rsid w:val="002B588B"/>
    <w:rsid w:val="002B59D7"/>
    <w:rsid w:val="002B5D7B"/>
    <w:rsid w:val="002B5D95"/>
    <w:rsid w:val="002B5FA6"/>
    <w:rsid w:val="002B6365"/>
    <w:rsid w:val="002B63AA"/>
    <w:rsid w:val="002B6587"/>
    <w:rsid w:val="002B6659"/>
    <w:rsid w:val="002B6AB2"/>
    <w:rsid w:val="002B6ACA"/>
    <w:rsid w:val="002B6BAA"/>
    <w:rsid w:val="002B6BF7"/>
    <w:rsid w:val="002B6D15"/>
    <w:rsid w:val="002B707A"/>
    <w:rsid w:val="002B7252"/>
    <w:rsid w:val="002B72F2"/>
    <w:rsid w:val="002B7336"/>
    <w:rsid w:val="002B7356"/>
    <w:rsid w:val="002B7666"/>
    <w:rsid w:val="002B767B"/>
    <w:rsid w:val="002B7960"/>
    <w:rsid w:val="002B7CB0"/>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10BA"/>
    <w:rsid w:val="002C12B0"/>
    <w:rsid w:val="002C13AC"/>
    <w:rsid w:val="002C141D"/>
    <w:rsid w:val="002C1489"/>
    <w:rsid w:val="002C157D"/>
    <w:rsid w:val="002C15C6"/>
    <w:rsid w:val="002C17EE"/>
    <w:rsid w:val="002C1942"/>
    <w:rsid w:val="002C1C99"/>
    <w:rsid w:val="002C2033"/>
    <w:rsid w:val="002C20E5"/>
    <w:rsid w:val="002C2123"/>
    <w:rsid w:val="002C2211"/>
    <w:rsid w:val="002C2280"/>
    <w:rsid w:val="002C22F4"/>
    <w:rsid w:val="002C232E"/>
    <w:rsid w:val="002C2642"/>
    <w:rsid w:val="002C29A0"/>
    <w:rsid w:val="002C2AC3"/>
    <w:rsid w:val="002C2C7A"/>
    <w:rsid w:val="002C2CB3"/>
    <w:rsid w:val="002C2DFB"/>
    <w:rsid w:val="002C2E6F"/>
    <w:rsid w:val="002C2F29"/>
    <w:rsid w:val="002C2F39"/>
    <w:rsid w:val="002C2F4C"/>
    <w:rsid w:val="002C30AA"/>
    <w:rsid w:val="002C31DF"/>
    <w:rsid w:val="002C3419"/>
    <w:rsid w:val="002C36DD"/>
    <w:rsid w:val="002C3939"/>
    <w:rsid w:val="002C3AB3"/>
    <w:rsid w:val="002C3C0C"/>
    <w:rsid w:val="002C3D42"/>
    <w:rsid w:val="002C3D81"/>
    <w:rsid w:val="002C3D9B"/>
    <w:rsid w:val="002C4171"/>
    <w:rsid w:val="002C4258"/>
    <w:rsid w:val="002C44C3"/>
    <w:rsid w:val="002C4638"/>
    <w:rsid w:val="002C47FA"/>
    <w:rsid w:val="002C4AF1"/>
    <w:rsid w:val="002C4F56"/>
    <w:rsid w:val="002C4FA3"/>
    <w:rsid w:val="002C4FAD"/>
    <w:rsid w:val="002C501A"/>
    <w:rsid w:val="002C5101"/>
    <w:rsid w:val="002C523B"/>
    <w:rsid w:val="002C5288"/>
    <w:rsid w:val="002C5644"/>
    <w:rsid w:val="002C57C0"/>
    <w:rsid w:val="002C5807"/>
    <w:rsid w:val="002C582C"/>
    <w:rsid w:val="002C5851"/>
    <w:rsid w:val="002C5924"/>
    <w:rsid w:val="002C5A89"/>
    <w:rsid w:val="002C5D9B"/>
    <w:rsid w:val="002C6048"/>
    <w:rsid w:val="002C6159"/>
    <w:rsid w:val="002C61AD"/>
    <w:rsid w:val="002C621E"/>
    <w:rsid w:val="002C645A"/>
    <w:rsid w:val="002C657E"/>
    <w:rsid w:val="002C6A93"/>
    <w:rsid w:val="002C6AA4"/>
    <w:rsid w:val="002C6ADE"/>
    <w:rsid w:val="002C6BCE"/>
    <w:rsid w:val="002C6C23"/>
    <w:rsid w:val="002C6C49"/>
    <w:rsid w:val="002C6CBE"/>
    <w:rsid w:val="002C7009"/>
    <w:rsid w:val="002C7431"/>
    <w:rsid w:val="002C7516"/>
    <w:rsid w:val="002C754F"/>
    <w:rsid w:val="002C77F0"/>
    <w:rsid w:val="002C77F8"/>
    <w:rsid w:val="002C7942"/>
    <w:rsid w:val="002C79A6"/>
    <w:rsid w:val="002C79B5"/>
    <w:rsid w:val="002C7B38"/>
    <w:rsid w:val="002C7CE5"/>
    <w:rsid w:val="002C7D03"/>
    <w:rsid w:val="002C7F1B"/>
    <w:rsid w:val="002D01BB"/>
    <w:rsid w:val="002D04DE"/>
    <w:rsid w:val="002D0603"/>
    <w:rsid w:val="002D085B"/>
    <w:rsid w:val="002D0C76"/>
    <w:rsid w:val="002D0EFF"/>
    <w:rsid w:val="002D110A"/>
    <w:rsid w:val="002D1463"/>
    <w:rsid w:val="002D1466"/>
    <w:rsid w:val="002D1496"/>
    <w:rsid w:val="002D162B"/>
    <w:rsid w:val="002D1989"/>
    <w:rsid w:val="002D199F"/>
    <w:rsid w:val="002D1A24"/>
    <w:rsid w:val="002D1BD0"/>
    <w:rsid w:val="002D1C4B"/>
    <w:rsid w:val="002D204B"/>
    <w:rsid w:val="002D2111"/>
    <w:rsid w:val="002D2139"/>
    <w:rsid w:val="002D233B"/>
    <w:rsid w:val="002D24A3"/>
    <w:rsid w:val="002D24B1"/>
    <w:rsid w:val="002D2548"/>
    <w:rsid w:val="002D256D"/>
    <w:rsid w:val="002D2654"/>
    <w:rsid w:val="002D2735"/>
    <w:rsid w:val="002D27E9"/>
    <w:rsid w:val="002D283C"/>
    <w:rsid w:val="002D2947"/>
    <w:rsid w:val="002D2ACC"/>
    <w:rsid w:val="002D2AE3"/>
    <w:rsid w:val="002D2AE6"/>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6F"/>
    <w:rsid w:val="002D3BC2"/>
    <w:rsid w:val="002D3BD9"/>
    <w:rsid w:val="002D3DD3"/>
    <w:rsid w:val="002D3E59"/>
    <w:rsid w:val="002D437F"/>
    <w:rsid w:val="002D442D"/>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4B"/>
    <w:rsid w:val="002D5A02"/>
    <w:rsid w:val="002D5B14"/>
    <w:rsid w:val="002D5B22"/>
    <w:rsid w:val="002D5F02"/>
    <w:rsid w:val="002D6067"/>
    <w:rsid w:val="002D6203"/>
    <w:rsid w:val="002D65AD"/>
    <w:rsid w:val="002D6731"/>
    <w:rsid w:val="002D67A7"/>
    <w:rsid w:val="002D69C1"/>
    <w:rsid w:val="002D6ECE"/>
    <w:rsid w:val="002D6EEF"/>
    <w:rsid w:val="002D7051"/>
    <w:rsid w:val="002D7164"/>
    <w:rsid w:val="002D716F"/>
    <w:rsid w:val="002D71DA"/>
    <w:rsid w:val="002D7219"/>
    <w:rsid w:val="002D746C"/>
    <w:rsid w:val="002D74B4"/>
    <w:rsid w:val="002D767C"/>
    <w:rsid w:val="002D79C7"/>
    <w:rsid w:val="002D7A45"/>
    <w:rsid w:val="002D7A90"/>
    <w:rsid w:val="002D7B66"/>
    <w:rsid w:val="002D7E81"/>
    <w:rsid w:val="002D7EBB"/>
    <w:rsid w:val="002E0186"/>
    <w:rsid w:val="002E0192"/>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466"/>
    <w:rsid w:val="002E14BF"/>
    <w:rsid w:val="002E170A"/>
    <w:rsid w:val="002E18CB"/>
    <w:rsid w:val="002E1A84"/>
    <w:rsid w:val="002E1B8F"/>
    <w:rsid w:val="002E1BDC"/>
    <w:rsid w:val="002E1C3E"/>
    <w:rsid w:val="002E1E53"/>
    <w:rsid w:val="002E1E5C"/>
    <w:rsid w:val="002E1EEA"/>
    <w:rsid w:val="002E1F5A"/>
    <w:rsid w:val="002E20AC"/>
    <w:rsid w:val="002E2251"/>
    <w:rsid w:val="002E2268"/>
    <w:rsid w:val="002E241B"/>
    <w:rsid w:val="002E2527"/>
    <w:rsid w:val="002E2557"/>
    <w:rsid w:val="002E27F9"/>
    <w:rsid w:val="002E2AD7"/>
    <w:rsid w:val="002E2AE6"/>
    <w:rsid w:val="002E2D63"/>
    <w:rsid w:val="002E2DDA"/>
    <w:rsid w:val="002E30E6"/>
    <w:rsid w:val="002E320B"/>
    <w:rsid w:val="002E32E2"/>
    <w:rsid w:val="002E350B"/>
    <w:rsid w:val="002E3636"/>
    <w:rsid w:val="002E378C"/>
    <w:rsid w:val="002E395C"/>
    <w:rsid w:val="002E3C03"/>
    <w:rsid w:val="002E3DDA"/>
    <w:rsid w:val="002E3DDC"/>
    <w:rsid w:val="002E3ED2"/>
    <w:rsid w:val="002E402D"/>
    <w:rsid w:val="002E4162"/>
    <w:rsid w:val="002E446C"/>
    <w:rsid w:val="002E44FD"/>
    <w:rsid w:val="002E457E"/>
    <w:rsid w:val="002E49B3"/>
    <w:rsid w:val="002E4A85"/>
    <w:rsid w:val="002E4AAC"/>
    <w:rsid w:val="002E4C0D"/>
    <w:rsid w:val="002E4CC9"/>
    <w:rsid w:val="002E4DF6"/>
    <w:rsid w:val="002E52AD"/>
    <w:rsid w:val="002E530E"/>
    <w:rsid w:val="002E5729"/>
    <w:rsid w:val="002E574E"/>
    <w:rsid w:val="002E57B4"/>
    <w:rsid w:val="002E57D6"/>
    <w:rsid w:val="002E587D"/>
    <w:rsid w:val="002E58AC"/>
    <w:rsid w:val="002E5B8B"/>
    <w:rsid w:val="002E5BF1"/>
    <w:rsid w:val="002E5C38"/>
    <w:rsid w:val="002E5E84"/>
    <w:rsid w:val="002E5EBF"/>
    <w:rsid w:val="002E5FB3"/>
    <w:rsid w:val="002E60D4"/>
    <w:rsid w:val="002E61A4"/>
    <w:rsid w:val="002E6205"/>
    <w:rsid w:val="002E627C"/>
    <w:rsid w:val="002E6336"/>
    <w:rsid w:val="002E650C"/>
    <w:rsid w:val="002E652D"/>
    <w:rsid w:val="002E6538"/>
    <w:rsid w:val="002E655C"/>
    <w:rsid w:val="002E664C"/>
    <w:rsid w:val="002E6703"/>
    <w:rsid w:val="002E67D7"/>
    <w:rsid w:val="002E68A3"/>
    <w:rsid w:val="002E68FE"/>
    <w:rsid w:val="002E6A60"/>
    <w:rsid w:val="002E6AA6"/>
    <w:rsid w:val="002E6AE6"/>
    <w:rsid w:val="002E6B22"/>
    <w:rsid w:val="002E6B72"/>
    <w:rsid w:val="002E6C3A"/>
    <w:rsid w:val="002E6C6D"/>
    <w:rsid w:val="002E6CF1"/>
    <w:rsid w:val="002E706A"/>
    <w:rsid w:val="002E712A"/>
    <w:rsid w:val="002E719F"/>
    <w:rsid w:val="002E7251"/>
    <w:rsid w:val="002E727D"/>
    <w:rsid w:val="002E7290"/>
    <w:rsid w:val="002E7494"/>
    <w:rsid w:val="002E7539"/>
    <w:rsid w:val="002E7631"/>
    <w:rsid w:val="002E79CA"/>
    <w:rsid w:val="002E7A67"/>
    <w:rsid w:val="002E7B93"/>
    <w:rsid w:val="002E7CF1"/>
    <w:rsid w:val="002E7E1D"/>
    <w:rsid w:val="002E7E78"/>
    <w:rsid w:val="002F0158"/>
    <w:rsid w:val="002F0203"/>
    <w:rsid w:val="002F0328"/>
    <w:rsid w:val="002F0427"/>
    <w:rsid w:val="002F0493"/>
    <w:rsid w:val="002F05ED"/>
    <w:rsid w:val="002F0895"/>
    <w:rsid w:val="002F08D2"/>
    <w:rsid w:val="002F0BFF"/>
    <w:rsid w:val="002F0C5A"/>
    <w:rsid w:val="002F106F"/>
    <w:rsid w:val="002F1122"/>
    <w:rsid w:val="002F1142"/>
    <w:rsid w:val="002F129E"/>
    <w:rsid w:val="002F12A4"/>
    <w:rsid w:val="002F1452"/>
    <w:rsid w:val="002F1534"/>
    <w:rsid w:val="002F164E"/>
    <w:rsid w:val="002F1695"/>
    <w:rsid w:val="002F16B1"/>
    <w:rsid w:val="002F16BF"/>
    <w:rsid w:val="002F1834"/>
    <w:rsid w:val="002F1C6C"/>
    <w:rsid w:val="002F213C"/>
    <w:rsid w:val="002F232B"/>
    <w:rsid w:val="002F2383"/>
    <w:rsid w:val="002F2417"/>
    <w:rsid w:val="002F2752"/>
    <w:rsid w:val="002F296E"/>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209"/>
    <w:rsid w:val="002F4485"/>
    <w:rsid w:val="002F452F"/>
    <w:rsid w:val="002F45B5"/>
    <w:rsid w:val="002F45DF"/>
    <w:rsid w:val="002F46AE"/>
    <w:rsid w:val="002F4734"/>
    <w:rsid w:val="002F4974"/>
    <w:rsid w:val="002F4A56"/>
    <w:rsid w:val="002F4AB1"/>
    <w:rsid w:val="002F4DD8"/>
    <w:rsid w:val="002F4E4E"/>
    <w:rsid w:val="002F5123"/>
    <w:rsid w:val="002F52CA"/>
    <w:rsid w:val="002F5388"/>
    <w:rsid w:val="002F546A"/>
    <w:rsid w:val="002F55B6"/>
    <w:rsid w:val="002F565A"/>
    <w:rsid w:val="002F5688"/>
    <w:rsid w:val="002F5799"/>
    <w:rsid w:val="002F57C6"/>
    <w:rsid w:val="002F58B7"/>
    <w:rsid w:val="002F5999"/>
    <w:rsid w:val="002F5A84"/>
    <w:rsid w:val="002F5AB6"/>
    <w:rsid w:val="002F5BD1"/>
    <w:rsid w:val="002F5E78"/>
    <w:rsid w:val="002F5EA9"/>
    <w:rsid w:val="002F60BC"/>
    <w:rsid w:val="002F6197"/>
    <w:rsid w:val="002F6459"/>
    <w:rsid w:val="002F6578"/>
    <w:rsid w:val="002F6862"/>
    <w:rsid w:val="002F6B01"/>
    <w:rsid w:val="002F6CBA"/>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FE"/>
    <w:rsid w:val="002F7A38"/>
    <w:rsid w:val="002F7A67"/>
    <w:rsid w:val="002F7A71"/>
    <w:rsid w:val="002F7B85"/>
    <w:rsid w:val="002F7C51"/>
    <w:rsid w:val="002F7D5E"/>
    <w:rsid w:val="002F7D6D"/>
    <w:rsid w:val="002F7EE4"/>
    <w:rsid w:val="002F7FDE"/>
    <w:rsid w:val="0030009E"/>
    <w:rsid w:val="003003A0"/>
    <w:rsid w:val="00300422"/>
    <w:rsid w:val="0030046B"/>
    <w:rsid w:val="003004D6"/>
    <w:rsid w:val="00300882"/>
    <w:rsid w:val="00300896"/>
    <w:rsid w:val="00300B68"/>
    <w:rsid w:val="00300B8C"/>
    <w:rsid w:val="00300BEC"/>
    <w:rsid w:val="00300DAD"/>
    <w:rsid w:val="00300EB7"/>
    <w:rsid w:val="0030117D"/>
    <w:rsid w:val="003011CB"/>
    <w:rsid w:val="003012A0"/>
    <w:rsid w:val="00301803"/>
    <w:rsid w:val="00301884"/>
    <w:rsid w:val="00301A23"/>
    <w:rsid w:val="00301D89"/>
    <w:rsid w:val="00301E1D"/>
    <w:rsid w:val="00301E6A"/>
    <w:rsid w:val="00301F16"/>
    <w:rsid w:val="00301F24"/>
    <w:rsid w:val="00302096"/>
    <w:rsid w:val="0030219E"/>
    <w:rsid w:val="00302220"/>
    <w:rsid w:val="003022EE"/>
    <w:rsid w:val="0030237C"/>
    <w:rsid w:val="00302395"/>
    <w:rsid w:val="003023CA"/>
    <w:rsid w:val="0030245F"/>
    <w:rsid w:val="00302736"/>
    <w:rsid w:val="0030291C"/>
    <w:rsid w:val="00302A95"/>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6E"/>
    <w:rsid w:val="00303D7D"/>
    <w:rsid w:val="00303EB7"/>
    <w:rsid w:val="003040AA"/>
    <w:rsid w:val="00304113"/>
    <w:rsid w:val="003041AF"/>
    <w:rsid w:val="003041F8"/>
    <w:rsid w:val="0030433F"/>
    <w:rsid w:val="00304388"/>
    <w:rsid w:val="00304415"/>
    <w:rsid w:val="003044A0"/>
    <w:rsid w:val="00304575"/>
    <w:rsid w:val="003045A1"/>
    <w:rsid w:val="003045CA"/>
    <w:rsid w:val="00304A7B"/>
    <w:rsid w:val="00304AAA"/>
    <w:rsid w:val="00304CDE"/>
    <w:rsid w:val="00304D9F"/>
    <w:rsid w:val="00304F8F"/>
    <w:rsid w:val="00304FAA"/>
    <w:rsid w:val="0030503A"/>
    <w:rsid w:val="00305205"/>
    <w:rsid w:val="00305250"/>
    <w:rsid w:val="003054B3"/>
    <w:rsid w:val="00305562"/>
    <w:rsid w:val="00305818"/>
    <w:rsid w:val="00305954"/>
    <w:rsid w:val="00305ABE"/>
    <w:rsid w:val="00305CAE"/>
    <w:rsid w:val="00305EBF"/>
    <w:rsid w:val="00305EFE"/>
    <w:rsid w:val="00305F90"/>
    <w:rsid w:val="00305FF8"/>
    <w:rsid w:val="00306120"/>
    <w:rsid w:val="00306336"/>
    <w:rsid w:val="00306602"/>
    <w:rsid w:val="003066CA"/>
    <w:rsid w:val="00306996"/>
    <w:rsid w:val="00306A13"/>
    <w:rsid w:val="00306ACF"/>
    <w:rsid w:val="00306B4C"/>
    <w:rsid w:val="00306CF1"/>
    <w:rsid w:val="00306E40"/>
    <w:rsid w:val="00307027"/>
    <w:rsid w:val="003073E9"/>
    <w:rsid w:val="0030758C"/>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8C"/>
    <w:rsid w:val="003106C3"/>
    <w:rsid w:val="003106EA"/>
    <w:rsid w:val="00310789"/>
    <w:rsid w:val="003108AB"/>
    <w:rsid w:val="00310C24"/>
    <w:rsid w:val="00310C5D"/>
    <w:rsid w:val="00310DC6"/>
    <w:rsid w:val="00310EC2"/>
    <w:rsid w:val="00310EC6"/>
    <w:rsid w:val="00310F19"/>
    <w:rsid w:val="00311278"/>
    <w:rsid w:val="00311329"/>
    <w:rsid w:val="00311507"/>
    <w:rsid w:val="003115A3"/>
    <w:rsid w:val="00311774"/>
    <w:rsid w:val="003117FC"/>
    <w:rsid w:val="00311B8B"/>
    <w:rsid w:val="00311C21"/>
    <w:rsid w:val="00311FFC"/>
    <w:rsid w:val="003120A7"/>
    <w:rsid w:val="0031237C"/>
    <w:rsid w:val="003123B0"/>
    <w:rsid w:val="003124B5"/>
    <w:rsid w:val="003124BF"/>
    <w:rsid w:val="003125E5"/>
    <w:rsid w:val="003127D9"/>
    <w:rsid w:val="00312958"/>
    <w:rsid w:val="0031297E"/>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8A7"/>
    <w:rsid w:val="0031498C"/>
    <w:rsid w:val="003149AD"/>
    <w:rsid w:val="00314BE1"/>
    <w:rsid w:val="00314C47"/>
    <w:rsid w:val="00314C49"/>
    <w:rsid w:val="00314DD9"/>
    <w:rsid w:val="00314E69"/>
    <w:rsid w:val="00314E76"/>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4FF"/>
    <w:rsid w:val="003165A4"/>
    <w:rsid w:val="00316762"/>
    <w:rsid w:val="003168C0"/>
    <w:rsid w:val="003169CA"/>
    <w:rsid w:val="00316B71"/>
    <w:rsid w:val="00316B95"/>
    <w:rsid w:val="0031705C"/>
    <w:rsid w:val="0031719D"/>
    <w:rsid w:val="0031726D"/>
    <w:rsid w:val="003172BC"/>
    <w:rsid w:val="003173D3"/>
    <w:rsid w:val="003173FB"/>
    <w:rsid w:val="003174A7"/>
    <w:rsid w:val="0031761F"/>
    <w:rsid w:val="0031775A"/>
    <w:rsid w:val="00317906"/>
    <w:rsid w:val="00317A4B"/>
    <w:rsid w:val="00317B1F"/>
    <w:rsid w:val="00317C0D"/>
    <w:rsid w:val="00317CA4"/>
    <w:rsid w:val="00317CFD"/>
    <w:rsid w:val="00317D97"/>
    <w:rsid w:val="003200A9"/>
    <w:rsid w:val="0032010C"/>
    <w:rsid w:val="0032012E"/>
    <w:rsid w:val="003201C0"/>
    <w:rsid w:val="003201DD"/>
    <w:rsid w:val="00320301"/>
    <w:rsid w:val="00320304"/>
    <w:rsid w:val="00320532"/>
    <w:rsid w:val="00320689"/>
    <w:rsid w:val="00320726"/>
    <w:rsid w:val="003207A2"/>
    <w:rsid w:val="003209FB"/>
    <w:rsid w:val="00320A67"/>
    <w:rsid w:val="00320A8D"/>
    <w:rsid w:val="00320B2C"/>
    <w:rsid w:val="00320CF5"/>
    <w:rsid w:val="00320EC3"/>
    <w:rsid w:val="00321382"/>
    <w:rsid w:val="003213D1"/>
    <w:rsid w:val="003218C7"/>
    <w:rsid w:val="00321A39"/>
    <w:rsid w:val="00321B8C"/>
    <w:rsid w:val="00321BBA"/>
    <w:rsid w:val="00321EC0"/>
    <w:rsid w:val="00321FAB"/>
    <w:rsid w:val="00321FCB"/>
    <w:rsid w:val="00321FCE"/>
    <w:rsid w:val="003220E5"/>
    <w:rsid w:val="003220F3"/>
    <w:rsid w:val="0032223D"/>
    <w:rsid w:val="00322466"/>
    <w:rsid w:val="0032246E"/>
    <w:rsid w:val="00322481"/>
    <w:rsid w:val="003224AF"/>
    <w:rsid w:val="0032251D"/>
    <w:rsid w:val="003226E1"/>
    <w:rsid w:val="003226EC"/>
    <w:rsid w:val="00322898"/>
    <w:rsid w:val="00322963"/>
    <w:rsid w:val="00322E17"/>
    <w:rsid w:val="00322F32"/>
    <w:rsid w:val="00322F33"/>
    <w:rsid w:val="00323232"/>
    <w:rsid w:val="0032338B"/>
    <w:rsid w:val="0032344B"/>
    <w:rsid w:val="0032368A"/>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D3"/>
    <w:rsid w:val="0032477B"/>
    <w:rsid w:val="003247CF"/>
    <w:rsid w:val="00324871"/>
    <w:rsid w:val="0032496D"/>
    <w:rsid w:val="00324A0E"/>
    <w:rsid w:val="00324DEB"/>
    <w:rsid w:val="00324FA4"/>
    <w:rsid w:val="00324FAF"/>
    <w:rsid w:val="003250D3"/>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6E38"/>
    <w:rsid w:val="0032712A"/>
    <w:rsid w:val="0032736D"/>
    <w:rsid w:val="0032748C"/>
    <w:rsid w:val="003274CB"/>
    <w:rsid w:val="003274CE"/>
    <w:rsid w:val="00327759"/>
    <w:rsid w:val="003277A9"/>
    <w:rsid w:val="003277F4"/>
    <w:rsid w:val="0032790C"/>
    <w:rsid w:val="00327A5D"/>
    <w:rsid w:val="00327C08"/>
    <w:rsid w:val="003300AF"/>
    <w:rsid w:val="00330125"/>
    <w:rsid w:val="0033018B"/>
    <w:rsid w:val="003303C4"/>
    <w:rsid w:val="00330414"/>
    <w:rsid w:val="003304C9"/>
    <w:rsid w:val="00330B95"/>
    <w:rsid w:val="00330CD1"/>
    <w:rsid w:val="00330CEE"/>
    <w:rsid w:val="00330D0F"/>
    <w:rsid w:val="00330DD2"/>
    <w:rsid w:val="00330DD6"/>
    <w:rsid w:val="003311F5"/>
    <w:rsid w:val="003313B3"/>
    <w:rsid w:val="0033145D"/>
    <w:rsid w:val="003315F7"/>
    <w:rsid w:val="003316BA"/>
    <w:rsid w:val="0033191D"/>
    <w:rsid w:val="00331989"/>
    <w:rsid w:val="00331A51"/>
    <w:rsid w:val="00331AE0"/>
    <w:rsid w:val="0033202F"/>
    <w:rsid w:val="003320B8"/>
    <w:rsid w:val="00332171"/>
    <w:rsid w:val="00332763"/>
    <w:rsid w:val="00332D55"/>
    <w:rsid w:val="00332FAB"/>
    <w:rsid w:val="00333135"/>
    <w:rsid w:val="00333248"/>
    <w:rsid w:val="00333290"/>
    <w:rsid w:val="00333311"/>
    <w:rsid w:val="0033333B"/>
    <w:rsid w:val="00333365"/>
    <w:rsid w:val="0033341B"/>
    <w:rsid w:val="003336F6"/>
    <w:rsid w:val="00333748"/>
    <w:rsid w:val="003337E1"/>
    <w:rsid w:val="003339BE"/>
    <w:rsid w:val="00333A05"/>
    <w:rsid w:val="00333AD4"/>
    <w:rsid w:val="00333B58"/>
    <w:rsid w:val="00333DB1"/>
    <w:rsid w:val="00333F67"/>
    <w:rsid w:val="00334049"/>
    <w:rsid w:val="00334057"/>
    <w:rsid w:val="00334173"/>
    <w:rsid w:val="00334209"/>
    <w:rsid w:val="003342AC"/>
    <w:rsid w:val="003343C3"/>
    <w:rsid w:val="00334615"/>
    <w:rsid w:val="003346F1"/>
    <w:rsid w:val="0033475A"/>
    <w:rsid w:val="003347FC"/>
    <w:rsid w:val="0033483E"/>
    <w:rsid w:val="003348D7"/>
    <w:rsid w:val="003348D8"/>
    <w:rsid w:val="003349AD"/>
    <w:rsid w:val="00334A3F"/>
    <w:rsid w:val="00334BAE"/>
    <w:rsid w:val="00334D1A"/>
    <w:rsid w:val="00334EDB"/>
    <w:rsid w:val="00334F5D"/>
    <w:rsid w:val="00334F9B"/>
    <w:rsid w:val="003350BE"/>
    <w:rsid w:val="00335144"/>
    <w:rsid w:val="003353C5"/>
    <w:rsid w:val="00335531"/>
    <w:rsid w:val="00335792"/>
    <w:rsid w:val="0033587F"/>
    <w:rsid w:val="00335888"/>
    <w:rsid w:val="00335E13"/>
    <w:rsid w:val="00335FC1"/>
    <w:rsid w:val="00335FCE"/>
    <w:rsid w:val="00336226"/>
    <w:rsid w:val="0033630F"/>
    <w:rsid w:val="0033646A"/>
    <w:rsid w:val="003365AF"/>
    <w:rsid w:val="00336643"/>
    <w:rsid w:val="0033675B"/>
    <w:rsid w:val="00336818"/>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DC2"/>
    <w:rsid w:val="00337E5B"/>
    <w:rsid w:val="00337F95"/>
    <w:rsid w:val="00340199"/>
    <w:rsid w:val="00340437"/>
    <w:rsid w:val="00340459"/>
    <w:rsid w:val="003404AA"/>
    <w:rsid w:val="00340589"/>
    <w:rsid w:val="003405ED"/>
    <w:rsid w:val="00340683"/>
    <w:rsid w:val="00340857"/>
    <w:rsid w:val="003408D9"/>
    <w:rsid w:val="00340966"/>
    <w:rsid w:val="00340A9D"/>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343"/>
    <w:rsid w:val="00343354"/>
    <w:rsid w:val="00343533"/>
    <w:rsid w:val="0034362A"/>
    <w:rsid w:val="0034387C"/>
    <w:rsid w:val="00343974"/>
    <w:rsid w:val="003439A2"/>
    <w:rsid w:val="003439CD"/>
    <w:rsid w:val="00343A10"/>
    <w:rsid w:val="00343AB1"/>
    <w:rsid w:val="00343C35"/>
    <w:rsid w:val="00343EBA"/>
    <w:rsid w:val="00343ED6"/>
    <w:rsid w:val="00343FB7"/>
    <w:rsid w:val="00344284"/>
    <w:rsid w:val="00344297"/>
    <w:rsid w:val="00344301"/>
    <w:rsid w:val="003443B6"/>
    <w:rsid w:val="003443CD"/>
    <w:rsid w:val="003444CB"/>
    <w:rsid w:val="00344832"/>
    <w:rsid w:val="00344856"/>
    <w:rsid w:val="003449D4"/>
    <w:rsid w:val="00344AFE"/>
    <w:rsid w:val="00344DD3"/>
    <w:rsid w:val="00344DEC"/>
    <w:rsid w:val="00344EBE"/>
    <w:rsid w:val="00344F3B"/>
    <w:rsid w:val="00345035"/>
    <w:rsid w:val="00345061"/>
    <w:rsid w:val="003450CF"/>
    <w:rsid w:val="003451D0"/>
    <w:rsid w:val="00345241"/>
    <w:rsid w:val="0034538B"/>
    <w:rsid w:val="003453B5"/>
    <w:rsid w:val="00345453"/>
    <w:rsid w:val="00345580"/>
    <w:rsid w:val="003458E6"/>
    <w:rsid w:val="00345941"/>
    <w:rsid w:val="00345989"/>
    <w:rsid w:val="00345A28"/>
    <w:rsid w:val="00345A80"/>
    <w:rsid w:val="00345CA8"/>
    <w:rsid w:val="00345DDE"/>
    <w:rsid w:val="00345FD1"/>
    <w:rsid w:val="0034603D"/>
    <w:rsid w:val="00346298"/>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8C"/>
    <w:rsid w:val="00347A8F"/>
    <w:rsid w:val="00347A94"/>
    <w:rsid w:val="00347AD9"/>
    <w:rsid w:val="00347C0B"/>
    <w:rsid w:val="00347C32"/>
    <w:rsid w:val="00347C63"/>
    <w:rsid w:val="00347C6D"/>
    <w:rsid w:val="00347D52"/>
    <w:rsid w:val="00347D68"/>
    <w:rsid w:val="00347DA2"/>
    <w:rsid w:val="00347E39"/>
    <w:rsid w:val="00347EB9"/>
    <w:rsid w:val="00347F79"/>
    <w:rsid w:val="00347FD3"/>
    <w:rsid w:val="00350114"/>
    <w:rsid w:val="00350159"/>
    <w:rsid w:val="003501AF"/>
    <w:rsid w:val="0035023F"/>
    <w:rsid w:val="003504AD"/>
    <w:rsid w:val="00350690"/>
    <w:rsid w:val="00350749"/>
    <w:rsid w:val="003507E2"/>
    <w:rsid w:val="00350B41"/>
    <w:rsid w:val="00350BF0"/>
    <w:rsid w:val="00350C6D"/>
    <w:rsid w:val="0035102C"/>
    <w:rsid w:val="003510A4"/>
    <w:rsid w:val="003511A5"/>
    <w:rsid w:val="003511B6"/>
    <w:rsid w:val="003511D3"/>
    <w:rsid w:val="00351286"/>
    <w:rsid w:val="003512A0"/>
    <w:rsid w:val="003513B0"/>
    <w:rsid w:val="003513D9"/>
    <w:rsid w:val="003513E1"/>
    <w:rsid w:val="003515D8"/>
    <w:rsid w:val="003518EA"/>
    <w:rsid w:val="00351987"/>
    <w:rsid w:val="00351C1A"/>
    <w:rsid w:val="00351CC8"/>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A2C"/>
    <w:rsid w:val="00353A3C"/>
    <w:rsid w:val="00353A9D"/>
    <w:rsid w:val="00353AA5"/>
    <w:rsid w:val="00353B22"/>
    <w:rsid w:val="00353B93"/>
    <w:rsid w:val="00353C4C"/>
    <w:rsid w:val="00353C86"/>
    <w:rsid w:val="00353E63"/>
    <w:rsid w:val="00353EB7"/>
    <w:rsid w:val="00353F1C"/>
    <w:rsid w:val="00354054"/>
    <w:rsid w:val="0035405D"/>
    <w:rsid w:val="00354186"/>
    <w:rsid w:val="003541D2"/>
    <w:rsid w:val="00354333"/>
    <w:rsid w:val="00354531"/>
    <w:rsid w:val="0035458F"/>
    <w:rsid w:val="0035460B"/>
    <w:rsid w:val="00354779"/>
    <w:rsid w:val="003547B8"/>
    <w:rsid w:val="003547CF"/>
    <w:rsid w:val="00354AA0"/>
    <w:rsid w:val="00354B3B"/>
    <w:rsid w:val="00354F45"/>
    <w:rsid w:val="003554C7"/>
    <w:rsid w:val="003555D0"/>
    <w:rsid w:val="003557E2"/>
    <w:rsid w:val="0035591D"/>
    <w:rsid w:val="00355C24"/>
    <w:rsid w:val="00355DC3"/>
    <w:rsid w:val="00355E62"/>
    <w:rsid w:val="00355E91"/>
    <w:rsid w:val="00355FE4"/>
    <w:rsid w:val="0035608B"/>
    <w:rsid w:val="003560D2"/>
    <w:rsid w:val="00356164"/>
    <w:rsid w:val="0035616D"/>
    <w:rsid w:val="0035687E"/>
    <w:rsid w:val="00356AC6"/>
    <w:rsid w:val="00356AC7"/>
    <w:rsid w:val="00356B75"/>
    <w:rsid w:val="00356CEA"/>
    <w:rsid w:val="00356DE9"/>
    <w:rsid w:val="00356E97"/>
    <w:rsid w:val="00356EFE"/>
    <w:rsid w:val="003572D0"/>
    <w:rsid w:val="0035738B"/>
    <w:rsid w:val="003575FB"/>
    <w:rsid w:val="003577B1"/>
    <w:rsid w:val="0035786A"/>
    <w:rsid w:val="00357971"/>
    <w:rsid w:val="00357D12"/>
    <w:rsid w:val="00357EFF"/>
    <w:rsid w:val="00360097"/>
    <w:rsid w:val="003600B6"/>
    <w:rsid w:val="003600C1"/>
    <w:rsid w:val="003600C2"/>
    <w:rsid w:val="003600DE"/>
    <w:rsid w:val="0036022D"/>
    <w:rsid w:val="00360345"/>
    <w:rsid w:val="003603E7"/>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667"/>
    <w:rsid w:val="003619A1"/>
    <w:rsid w:val="00361A23"/>
    <w:rsid w:val="00361A99"/>
    <w:rsid w:val="00361E02"/>
    <w:rsid w:val="0036206D"/>
    <w:rsid w:val="0036213C"/>
    <w:rsid w:val="00362238"/>
    <w:rsid w:val="003623BB"/>
    <w:rsid w:val="00362993"/>
    <w:rsid w:val="003629D6"/>
    <w:rsid w:val="00362BA8"/>
    <w:rsid w:val="00362E18"/>
    <w:rsid w:val="00362F40"/>
    <w:rsid w:val="00362F87"/>
    <w:rsid w:val="003630E4"/>
    <w:rsid w:val="003630F6"/>
    <w:rsid w:val="00363126"/>
    <w:rsid w:val="00363233"/>
    <w:rsid w:val="00363918"/>
    <w:rsid w:val="0036391E"/>
    <w:rsid w:val="00363A89"/>
    <w:rsid w:val="00363ABA"/>
    <w:rsid w:val="00363B59"/>
    <w:rsid w:val="00363B7C"/>
    <w:rsid w:val="00363B9C"/>
    <w:rsid w:val="00363C39"/>
    <w:rsid w:val="00364215"/>
    <w:rsid w:val="0036425F"/>
    <w:rsid w:val="003643D8"/>
    <w:rsid w:val="00364A74"/>
    <w:rsid w:val="00364BA6"/>
    <w:rsid w:val="00364DBE"/>
    <w:rsid w:val="0036502C"/>
    <w:rsid w:val="003651C5"/>
    <w:rsid w:val="003652CE"/>
    <w:rsid w:val="00365339"/>
    <w:rsid w:val="003653AF"/>
    <w:rsid w:val="003653CF"/>
    <w:rsid w:val="003654E0"/>
    <w:rsid w:val="00365517"/>
    <w:rsid w:val="0036597C"/>
    <w:rsid w:val="00365A8D"/>
    <w:rsid w:val="00365C83"/>
    <w:rsid w:val="00365CBB"/>
    <w:rsid w:val="00365CCD"/>
    <w:rsid w:val="00365F88"/>
    <w:rsid w:val="0036603D"/>
    <w:rsid w:val="0036661A"/>
    <w:rsid w:val="0036679D"/>
    <w:rsid w:val="0036690B"/>
    <w:rsid w:val="003669F8"/>
    <w:rsid w:val="00366A33"/>
    <w:rsid w:val="00366E07"/>
    <w:rsid w:val="00366E9E"/>
    <w:rsid w:val="00367050"/>
    <w:rsid w:val="003670C1"/>
    <w:rsid w:val="00367300"/>
    <w:rsid w:val="003674B6"/>
    <w:rsid w:val="003676B3"/>
    <w:rsid w:val="00367BAE"/>
    <w:rsid w:val="00367BF7"/>
    <w:rsid w:val="00367C17"/>
    <w:rsid w:val="00367C88"/>
    <w:rsid w:val="00367D16"/>
    <w:rsid w:val="00367D9F"/>
    <w:rsid w:val="00370032"/>
    <w:rsid w:val="003700A8"/>
    <w:rsid w:val="003700C2"/>
    <w:rsid w:val="003700C3"/>
    <w:rsid w:val="003700FA"/>
    <w:rsid w:val="003701CB"/>
    <w:rsid w:val="0037022D"/>
    <w:rsid w:val="003702D5"/>
    <w:rsid w:val="00370374"/>
    <w:rsid w:val="0037047C"/>
    <w:rsid w:val="00370574"/>
    <w:rsid w:val="003705E8"/>
    <w:rsid w:val="003707A1"/>
    <w:rsid w:val="00370A40"/>
    <w:rsid w:val="00370BEE"/>
    <w:rsid w:val="00370CB1"/>
    <w:rsid w:val="00370CBF"/>
    <w:rsid w:val="00370E63"/>
    <w:rsid w:val="00370F06"/>
    <w:rsid w:val="00370F5C"/>
    <w:rsid w:val="00370FE6"/>
    <w:rsid w:val="00371135"/>
    <w:rsid w:val="00371153"/>
    <w:rsid w:val="00371166"/>
    <w:rsid w:val="003711B9"/>
    <w:rsid w:val="003712FE"/>
    <w:rsid w:val="003714E2"/>
    <w:rsid w:val="003715DC"/>
    <w:rsid w:val="00371708"/>
    <w:rsid w:val="0037181B"/>
    <w:rsid w:val="00371850"/>
    <w:rsid w:val="00371911"/>
    <w:rsid w:val="0037192A"/>
    <w:rsid w:val="00371A9D"/>
    <w:rsid w:val="00371AAF"/>
    <w:rsid w:val="00371ADD"/>
    <w:rsid w:val="00371B34"/>
    <w:rsid w:val="00371D54"/>
    <w:rsid w:val="00371E37"/>
    <w:rsid w:val="00371E3F"/>
    <w:rsid w:val="00371EEF"/>
    <w:rsid w:val="00371F80"/>
    <w:rsid w:val="00371FB0"/>
    <w:rsid w:val="00371FBC"/>
    <w:rsid w:val="0037226F"/>
    <w:rsid w:val="00372E00"/>
    <w:rsid w:val="00372FA8"/>
    <w:rsid w:val="00373180"/>
    <w:rsid w:val="00373353"/>
    <w:rsid w:val="003733F7"/>
    <w:rsid w:val="0037344A"/>
    <w:rsid w:val="00373549"/>
    <w:rsid w:val="00373580"/>
    <w:rsid w:val="003737AE"/>
    <w:rsid w:val="003737D4"/>
    <w:rsid w:val="003738DE"/>
    <w:rsid w:val="003738ED"/>
    <w:rsid w:val="00373983"/>
    <w:rsid w:val="00373A27"/>
    <w:rsid w:val="00373A8D"/>
    <w:rsid w:val="00373BE8"/>
    <w:rsid w:val="00373D02"/>
    <w:rsid w:val="00373F50"/>
    <w:rsid w:val="00373FC1"/>
    <w:rsid w:val="00374013"/>
    <w:rsid w:val="00374242"/>
    <w:rsid w:val="003743BA"/>
    <w:rsid w:val="00374468"/>
    <w:rsid w:val="003744E0"/>
    <w:rsid w:val="003744FE"/>
    <w:rsid w:val="003745C6"/>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96B"/>
    <w:rsid w:val="00376BA8"/>
    <w:rsid w:val="00376C97"/>
    <w:rsid w:val="00376CAF"/>
    <w:rsid w:val="00376EEA"/>
    <w:rsid w:val="00376F43"/>
    <w:rsid w:val="00377224"/>
    <w:rsid w:val="0037739D"/>
    <w:rsid w:val="0037741C"/>
    <w:rsid w:val="003776F1"/>
    <w:rsid w:val="00377979"/>
    <w:rsid w:val="00377C08"/>
    <w:rsid w:val="00377D37"/>
    <w:rsid w:val="00377D8E"/>
    <w:rsid w:val="0038013C"/>
    <w:rsid w:val="00380402"/>
    <w:rsid w:val="00380529"/>
    <w:rsid w:val="00380646"/>
    <w:rsid w:val="003806B2"/>
    <w:rsid w:val="003806C2"/>
    <w:rsid w:val="00380730"/>
    <w:rsid w:val="003807CB"/>
    <w:rsid w:val="00380842"/>
    <w:rsid w:val="00380B4A"/>
    <w:rsid w:val="00380C85"/>
    <w:rsid w:val="00380D4A"/>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3B7"/>
    <w:rsid w:val="00382578"/>
    <w:rsid w:val="00382624"/>
    <w:rsid w:val="0038263A"/>
    <w:rsid w:val="00382660"/>
    <w:rsid w:val="00382663"/>
    <w:rsid w:val="00382811"/>
    <w:rsid w:val="00382A69"/>
    <w:rsid w:val="00382A79"/>
    <w:rsid w:val="00382AE9"/>
    <w:rsid w:val="00382B1D"/>
    <w:rsid w:val="00382D74"/>
    <w:rsid w:val="00382F67"/>
    <w:rsid w:val="00383142"/>
    <w:rsid w:val="0038318A"/>
    <w:rsid w:val="00383389"/>
    <w:rsid w:val="00383583"/>
    <w:rsid w:val="00383594"/>
    <w:rsid w:val="0038359B"/>
    <w:rsid w:val="00383AD4"/>
    <w:rsid w:val="00383B9D"/>
    <w:rsid w:val="00383BBE"/>
    <w:rsid w:val="00383DB2"/>
    <w:rsid w:val="00383F37"/>
    <w:rsid w:val="00384361"/>
    <w:rsid w:val="00384565"/>
    <w:rsid w:val="003846A8"/>
    <w:rsid w:val="003846CD"/>
    <w:rsid w:val="003846EB"/>
    <w:rsid w:val="00384786"/>
    <w:rsid w:val="00384A1C"/>
    <w:rsid w:val="00384BBF"/>
    <w:rsid w:val="00384BF9"/>
    <w:rsid w:val="00384C2F"/>
    <w:rsid w:val="00384DA6"/>
    <w:rsid w:val="00384E81"/>
    <w:rsid w:val="00385038"/>
    <w:rsid w:val="0038504B"/>
    <w:rsid w:val="00385247"/>
    <w:rsid w:val="0038536E"/>
    <w:rsid w:val="0038552B"/>
    <w:rsid w:val="003856A5"/>
    <w:rsid w:val="00385A80"/>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AB1"/>
    <w:rsid w:val="00386B41"/>
    <w:rsid w:val="00386E7F"/>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B47"/>
    <w:rsid w:val="00390DE4"/>
    <w:rsid w:val="003910B5"/>
    <w:rsid w:val="003910DC"/>
    <w:rsid w:val="00391434"/>
    <w:rsid w:val="00391A92"/>
    <w:rsid w:val="00391B80"/>
    <w:rsid w:val="00391C55"/>
    <w:rsid w:val="00391CC0"/>
    <w:rsid w:val="00391D0B"/>
    <w:rsid w:val="00391F9B"/>
    <w:rsid w:val="00391FF3"/>
    <w:rsid w:val="0039206F"/>
    <w:rsid w:val="00392081"/>
    <w:rsid w:val="00392133"/>
    <w:rsid w:val="003921D0"/>
    <w:rsid w:val="003921FD"/>
    <w:rsid w:val="00392347"/>
    <w:rsid w:val="0039244E"/>
    <w:rsid w:val="003925FB"/>
    <w:rsid w:val="0039290F"/>
    <w:rsid w:val="00392E0C"/>
    <w:rsid w:val="00393888"/>
    <w:rsid w:val="00393893"/>
    <w:rsid w:val="0039391E"/>
    <w:rsid w:val="00393BB2"/>
    <w:rsid w:val="00393C84"/>
    <w:rsid w:val="00393CE4"/>
    <w:rsid w:val="00393DAC"/>
    <w:rsid w:val="00393E06"/>
    <w:rsid w:val="00393EF6"/>
    <w:rsid w:val="00393F26"/>
    <w:rsid w:val="00393FB3"/>
    <w:rsid w:val="003940A4"/>
    <w:rsid w:val="003940A8"/>
    <w:rsid w:val="0039416D"/>
    <w:rsid w:val="003941A7"/>
    <w:rsid w:val="003941EE"/>
    <w:rsid w:val="00394338"/>
    <w:rsid w:val="00394798"/>
    <w:rsid w:val="003947AB"/>
    <w:rsid w:val="003947EB"/>
    <w:rsid w:val="00394893"/>
    <w:rsid w:val="00394A0E"/>
    <w:rsid w:val="00394A6F"/>
    <w:rsid w:val="00394C2E"/>
    <w:rsid w:val="00394CFF"/>
    <w:rsid w:val="00394D02"/>
    <w:rsid w:val="00394D9B"/>
    <w:rsid w:val="00395014"/>
    <w:rsid w:val="0039514B"/>
    <w:rsid w:val="0039517B"/>
    <w:rsid w:val="00395218"/>
    <w:rsid w:val="00395256"/>
    <w:rsid w:val="003952CC"/>
    <w:rsid w:val="00395308"/>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9C"/>
    <w:rsid w:val="003A031E"/>
    <w:rsid w:val="003A0516"/>
    <w:rsid w:val="003A05E5"/>
    <w:rsid w:val="003A0812"/>
    <w:rsid w:val="003A092F"/>
    <w:rsid w:val="003A095D"/>
    <w:rsid w:val="003A09D9"/>
    <w:rsid w:val="003A09E5"/>
    <w:rsid w:val="003A0FB5"/>
    <w:rsid w:val="003A1034"/>
    <w:rsid w:val="003A108B"/>
    <w:rsid w:val="003A10A7"/>
    <w:rsid w:val="003A10C3"/>
    <w:rsid w:val="003A10F6"/>
    <w:rsid w:val="003A1192"/>
    <w:rsid w:val="003A1652"/>
    <w:rsid w:val="003A1890"/>
    <w:rsid w:val="003A1920"/>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357"/>
    <w:rsid w:val="003A5399"/>
    <w:rsid w:val="003A53DA"/>
    <w:rsid w:val="003A546C"/>
    <w:rsid w:val="003A54F3"/>
    <w:rsid w:val="003A55C7"/>
    <w:rsid w:val="003A55EA"/>
    <w:rsid w:val="003A57CC"/>
    <w:rsid w:val="003A57CE"/>
    <w:rsid w:val="003A5B40"/>
    <w:rsid w:val="003A5BA3"/>
    <w:rsid w:val="003A5C7E"/>
    <w:rsid w:val="003A5CA4"/>
    <w:rsid w:val="003A5ECA"/>
    <w:rsid w:val="003A5FA1"/>
    <w:rsid w:val="003A60A4"/>
    <w:rsid w:val="003A64AD"/>
    <w:rsid w:val="003A64BB"/>
    <w:rsid w:val="003A6700"/>
    <w:rsid w:val="003A67FB"/>
    <w:rsid w:val="003A6B31"/>
    <w:rsid w:val="003A6CAC"/>
    <w:rsid w:val="003A6CF6"/>
    <w:rsid w:val="003A6DCF"/>
    <w:rsid w:val="003A6DDA"/>
    <w:rsid w:val="003A6FAE"/>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E5A"/>
    <w:rsid w:val="003A7E67"/>
    <w:rsid w:val="003A7FD7"/>
    <w:rsid w:val="003B040B"/>
    <w:rsid w:val="003B04AA"/>
    <w:rsid w:val="003B0591"/>
    <w:rsid w:val="003B0829"/>
    <w:rsid w:val="003B08DF"/>
    <w:rsid w:val="003B0A62"/>
    <w:rsid w:val="003B0A95"/>
    <w:rsid w:val="003B0AC1"/>
    <w:rsid w:val="003B0AEA"/>
    <w:rsid w:val="003B0B06"/>
    <w:rsid w:val="003B0B5D"/>
    <w:rsid w:val="003B0C5B"/>
    <w:rsid w:val="003B0D50"/>
    <w:rsid w:val="003B0E96"/>
    <w:rsid w:val="003B0F16"/>
    <w:rsid w:val="003B0F18"/>
    <w:rsid w:val="003B1033"/>
    <w:rsid w:val="003B1089"/>
    <w:rsid w:val="003B109F"/>
    <w:rsid w:val="003B11EE"/>
    <w:rsid w:val="003B12BA"/>
    <w:rsid w:val="003B1342"/>
    <w:rsid w:val="003B13AF"/>
    <w:rsid w:val="003B161C"/>
    <w:rsid w:val="003B1867"/>
    <w:rsid w:val="003B1948"/>
    <w:rsid w:val="003B1A54"/>
    <w:rsid w:val="003B1A77"/>
    <w:rsid w:val="003B1B2D"/>
    <w:rsid w:val="003B1D15"/>
    <w:rsid w:val="003B1DFA"/>
    <w:rsid w:val="003B21AD"/>
    <w:rsid w:val="003B21B0"/>
    <w:rsid w:val="003B224A"/>
    <w:rsid w:val="003B243B"/>
    <w:rsid w:val="003B2507"/>
    <w:rsid w:val="003B267A"/>
    <w:rsid w:val="003B2872"/>
    <w:rsid w:val="003B2998"/>
    <w:rsid w:val="003B2B1F"/>
    <w:rsid w:val="003B2B67"/>
    <w:rsid w:val="003B2C4C"/>
    <w:rsid w:val="003B2C8C"/>
    <w:rsid w:val="003B2D26"/>
    <w:rsid w:val="003B2D32"/>
    <w:rsid w:val="003B2D9F"/>
    <w:rsid w:val="003B2F00"/>
    <w:rsid w:val="003B30C1"/>
    <w:rsid w:val="003B3106"/>
    <w:rsid w:val="003B3238"/>
    <w:rsid w:val="003B33DF"/>
    <w:rsid w:val="003B35FD"/>
    <w:rsid w:val="003B3AE0"/>
    <w:rsid w:val="003B3BC7"/>
    <w:rsid w:val="003B3BE1"/>
    <w:rsid w:val="003B3C35"/>
    <w:rsid w:val="003B3CAD"/>
    <w:rsid w:val="003B3CF6"/>
    <w:rsid w:val="003B3FAF"/>
    <w:rsid w:val="003B4057"/>
    <w:rsid w:val="003B4195"/>
    <w:rsid w:val="003B41B5"/>
    <w:rsid w:val="003B41E5"/>
    <w:rsid w:val="003B438C"/>
    <w:rsid w:val="003B43E1"/>
    <w:rsid w:val="003B4463"/>
    <w:rsid w:val="003B4537"/>
    <w:rsid w:val="003B46D7"/>
    <w:rsid w:val="003B4826"/>
    <w:rsid w:val="003B4B72"/>
    <w:rsid w:val="003B4BF0"/>
    <w:rsid w:val="003B4F95"/>
    <w:rsid w:val="003B501B"/>
    <w:rsid w:val="003B5102"/>
    <w:rsid w:val="003B5128"/>
    <w:rsid w:val="003B539D"/>
    <w:rsid w:val="003B53BD"/>
    <w:rsid w:val="003B5450"/>
    <w:rsid w:val="003B5471"/>
    <w:rsid w:val="003B54F4"/>
    <w:rsid w:val="003B54F8"/>
    <w:rsid w:val="003B5794"/>
    <w:rsid w:val="003B57C0"/>
    <w:rsid w:val="003B599D"/>
    <w:rsid w:val="003B5A76"/>
    <w:rsid w:val="003B5A80"/>
    <w:rsid w:val="003B5D0F"/>
    <w:rsid w:val="003B5EBD"/>
    <w:rsid w:val="003B6057"/>
    <w:rsid w:val="003B6181"/>
    <w:rsid w:val="003B657A"/>
    <w:rsid w:val="003B65DD"/>
    <w:rsid w:val="003B6647"/>
    <w:rsid w:val="003B6A36"/>
    <w:rsid w:val="003B6A5F"/>
    <w:rsid w:val="003B6ACA"/>
    <w:rsid w:val="003B6CC8"/>
    <w:rsid w:val="003B6E50"/>
    <w:rsid w:val="003B6F63"/>
    <w:rsid w:val="003B6F86"/>
    <w:rsid w:val="003B71F8"/>
    <w:rsid w:val="003B72E8"/>
    <w:rsid w:val="003B72EB"/>
    <w:rsid w:val="003B734F"/>
    <w:rsid w:val="003B745A"/>
    <w:rsid w:val="003B7665"/>
    <w:rsid w:val="003B7723"/>
    <w:rsid w:val="003B779C"/>
    <w:rsid w:val="003B785E"/>
    <w:rsid w:val="003B7D8C"/>
    <w:rsid w:val="003B7E33"/>
    <w:rsid w:val="003B7EA9"/>
    <w:rsid w:val="003B7FE9"/>
    <w:rsid w:val="003C064F"/>
    <w:rsid w:val="003C06ED"/>
    <w:rsid w:val="003C083D"/>
    <w:rsid w:val="003C0864"/>
    <w:rsid w:val="003C0960"/>
    <w:rsid w:val="003C0989"/>
    <w:rsid w:val="003C099F"/>
    <w:rsid w:val="003C09E3"/>
    <w:rsid w:val="003C0A40"/>
    <w:rsid w:val="003C0C16"/>
    <w:rsid w:val="003C0C4E"/>
    <w:rsid w:val="003C10ED"/>
    <w:rsid w:val="003C116F"/>
    <w:rsid w:val="003C1273"/>
    <w:rsid w:val="003C128A"/>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22AA"/>
    <w:rsid w:val="003C23A3"/>
    <w:rsid w:val="003C2470"/>
    <w:rsid w:val="003C2564"/>
    <w:rsid w:val="003C2577"/>
    <w:rsid w:val="003C26A4"/>
    <w:rsid w:val="003C294B"/>
    <w:rsid w:val="003C295E"/>
    <w:rsid w:val="003C29C6"/>
    <w:rsid w:val="003C2A5B"/>
    <w:rsid w:val="003C2B5D"/>
    <w:rsid w:val="003C2C1B"/>
    <w:rsid w:val="003C2CEC"/>
    <w:rsid w:val="003C2D06"/>
    <w:rsid w:val="003C2D2C"/>
    <w:rsid w:val="003C2D39"/>
    <w:rsid w:val="003C2D59"/>
    <w:rsid w:val="003C3365"/>
    <w:rsid w:val="003C33B6"/>
    <w:rsid w:val="003C35BB"/>
    <w:rsid w:val="003C360D"/>
    <w:rsid w:val="003C3709"/>
    <w:rsid w:val="003C3A86"/>
    <w:rsid w:val="003C3BB2"/>
    <w:rsid w:val="003C3DD5"/>
    <w:rsid w:val="003C3E73"/>
    <w:rsid w:val="003C3F8A"/>
    <w:rsid w:val="003C3FA6"/>
    <w:rsid w:val="003C4076"/>
    <w:rsid w:val="003C40B6"/>
    <w:rsid w:val="003C41E5"/>
    <w:rsid w:val="003C438F"/>
    <w:rsid w:val="003C4629"/>
    <w:rsid w:val="003C49F8"/>
    <w:rsid w:val="003C4A08"/>
    <w:rsid w:val="003C4C84"/>
    <w:rsid w:val="003C51A9"/>
    <w:rsid w:val="003C5402"/>
    <w:rsid w:val="003C544D"/>
    <w:rsid w:val="003C5542"/>
    <w:rsid w:val="003C5580"/>
    <w:rsid w:val="003C56BD"/>
    <w:rsid w:val="003C56E4"/>
    <w:rsid w:val="003C59DC"/>
    <w:rsid w:val="003C59F5"/>
    <w:rsid w:val="003C5BD8"/>
    <w:rsid w:val="003C600F"/>
    <w:rsid w:val="003C605D"/>
    <w:rsid w:val="003C606F"/>
    <w:rsid w:val="003C60E0"/>
    <w:rsid w:val="003C6134"/>
    <w:rsid w:val="003C6300"/>
    <w:rsid w:val="003C63D9"/>
    <w:rsid w:val="003C6420"/>
    <w:rsid w:val="003C649F"/>
    <w:rsid w:val="003C64A8"/>
    <w:rsid w:val="003C6565"/>
    <w:rsid w:val="003C6743"/>
    <w:rsid w:val="003C68DC"/>
    <w:rsid w:val="003C6920"/>
    <w:rsid w:val="003C692A"/>
    <w:rsid w:val="003C6A86"/>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5A5"/>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A7B"/>
    <w:rsid w:val="003D1B57"/>
    <w:rsid w:val="003D1BA4"/>
    <w:rsid w:val="003D1D54"/>
    <w:rsid w:val="003D1D62"/>
    <w:rsid w:val="003D1F1E"/>
    <w:rsid w:val="003D2100"/>
    <w:rsid w:val="003D223C"/>
    <w:rsid w:val="003D23FA"/>
    <w:rsid w:val="003D2611"/>
    <w:rsid w:val="003D2615"/>
    <w:rsid w:val="003D2B1D"/>
    <w:rsid w:val="003D2B64"/>
    <w:rsid w:val="003D2B8E"/>
    <w:rsid w:val="003D2C36"/>
    <w:rsid w:val="003D2D4E"/>
    <w:rsid w:val="003D2DE6"/>
    <w:rsid w:val="003D2EA6"/>
    <w:rsid w:val="003D3010"/>
    <w:rsid w:val="003D313D"/>
    <w:rsid w:val="003D31AA"/>
    <w:rsid w:val="003D3301"/>
    <w:rsid w:val="003D336B"/>
    <w:rsid w:val="003D36C5"/>
    <w:rsid w:val="003D3724"/>
    <w:rsid w:val="003D393A"/>
    <w:rsid w:val="003D39AE"/>
    <w:rsid w:val="003D3BEF"/>
    <w:rsid w:val="003D3C42"/>
    <w:rsid w:val="003D3D25"/>
    <w:rsid w:val="003D3D51"/>
    <w:rsid w:val="003D3DCC"/>
    <w:rsid w:val="003D3DE4"/>
    <w:rsid w:val="003D3E2A"/>
    <w:rsid w:val="003D3F34"/>
    <w:rsid w:val="003D4011"/>
    <w:rsid w:val="003D4023"/>
    <w:rsid w:val="003D40B3"/>
    <w:rsid w:val="003D41DD"/>
    <w:rsid w:val="003D4282"/>
    <w:rsid w:val="003D4363"/>
    <w:rsid w:val="003D43BA"/>
    <w:rsid w:val="003D465D"/>
    <w:rsid w:val="003D46BD"/>
    <w:rsid w:val="003D4A06"/>
    <w:rsid w:val="003D4A89"/>
    <w:rsid w:val="003D4BD2"/>
    <w:rsid w:val="003D4EF1"/>
    <w:rsid w:val="003D4F92"/>
    <w:rsid w:val="003D511F"/>
    <w:rsid w:val="003D5202"/>
    <w:rsid w:val="003D525E"/>
    <w:rsid w:val="003D530C"/>
    <w:rsid w:val="003D5358"/>
    <w:rsid w:val="003D53A7"/>
    <w:rsid w:val="003D5564"/>
    <w:rsid w:val="003D55E9"/>
    <w:rsid w:val="003D5A45"/>
    <w:rsid w:val="003D5B9F"/>
    <w:rsid w:val="003D5BB3"/>
    <w:rsid w:val="003D5C72"/>
    <w:rsid w:val="003D5CA9"/>
    <w:rsid w:val="003D5CC2"/>
    <w:rsid w:val="003D5CCF"/>
    <w:rsid w:val="003D5E33"/>
    <w:rsid w:val="003D609B"/>
    <w:rsid w:val="003D611E"/>
    <w:rsid w:val="003D6285"/>
    <w:rsid w:val="003D62C1"/>
    <w:rsid w:val="003D6319"/>
    <w:rsid w:val="003D63BD"/>
    <w:rsid w:val="003D6682"/>
    <w:rsid w:val="003D677C"/>
    <w:rsid w:val="003D680D"/>
    <w:rsid w:val="003D6876"/>
    <w:rsid w:val="003D6B81"/>
    <w:rsid w:val="003D6E0E"/>
    <w:rsid w:val="003D6F94"/>
    <w:rsid w:val="003D6FA3"/>
    <w:rsid w:val="003D7010"/>
    <w:rsid w:val="003D71AC"/>
    <w:rsid w:val="003D7333"/>
    <w:rsid w:val="003D7348"/>
    <w:rsid w:val="003D752F"/>
    <w:rsid w:val="003D7536"/>
    <w:rsid w:val="003D7711"/>
    <w:rsid w:val="003D7730"/>
    <w:rsid w:val="003D789A"/>
    <w:rsid w:val="003D7981"/>
    <w:rsid w:val="003D7A74"/>
    <w:rsid w:val="003D7C72"/>
    <w:rsid w:val="003D7D15"/>
    <w:rsid w:val="003D7D69"/>
    <w:rsid w:val="003D7E3E"/>
    <w:rsid w:val="003D7FD7"/>
    <w:rsid w:val="003E00B5"/>
    <w:rsid w:val="003E00F3"/>
    <w:rsid w:val="003E02D8"/>
    <w:rsid w:val="003E055C"/>
    <w:rsid w:val="003E06EC"/>
    <w:rsid w:val="003E0764"/>
    <w:rsid w:val="003E0778"/>
    <w:rsid w:val="003E079F"/>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8CD"/>
    <w:rsid w:val="003E1920"/>
    <w:rsid w:val="003E195C"/>
    <w:rsid w:val="003E199B"/>
    <w:rsid w:val="003E1A33"/>
    <w:rsid w:val="003E1BCD"/>
    <w:rsid w:val="003E1D2B"/>
    <w:rsid w:val="003E1FCC"/>
    <w:rsid w:val="003E20EC"/>
    <w:rsid w:val="003E2162"/>
    <w:rsid w:val="003E23DE"/>
    <w:rsid w:val="003E2470"/>
    <w:rsid w:val="003E2527"/>
    <w:rsid w:val="003E2599"/>
    <w:rsid w:val="003E25B6"/>
    <w:rsid w:val="003E26F8"/>
    <w:rsid w:val="003E2777"/>
    <w:rsid w:val="003E28F3"/>
    <w:rsid w:val="003E29E2"/>
    <w:rsid w:val="003E2A38"/>
    <w:rsid w:val="003E2A5C"/>
    <w:rsid w:val="003E2B45"/>
    <w:rsid w:val="003E2DB4"/>
    <w:rsid w:val="003E2E5A"/>
    <w:rsid w:val="003E31A6"/>
    <w:rsid w:val="003E33F0"/>
    <w:rsid w:val="003E34F6"/>
    <w:rsid w:val="003E3517"/>
    <w:rsid w:val="003E351B"/>
    <w:rsid w:val="003E3583"/>
    <w:rsid w:val="003E3657"/>
    <w:rsid w:val="003E3825"/>
    <w:rsid w:val="003E3857"/>
    <w:rsid w:val="003E3916"/>
    <w:rsid w:val="003E3A2C"/>
    <w:rsid w:val="003E3B97"/>
    <w:rsid w:val="003E3BD9"/>
    <w:rsid w:val="003E3C31"/>
    <w:rsid w:val="003E3D2C"/>
    <w:rsid w:val="003E4089"/>
    <w:rsid w:val="003E40E2"/>
    <w:rsid w:val="003E42A1"/>
    <w:rsid w:val="003E42BB"/>
    <w:rsid w:val="003E431C"/>
    <w:rsid w:val="003E4375"/>
    <w:rsid w:val="003E4688"/>
    <w:rsid w:val="003E47EA"/>
    <w:rsid w:val="003E48D2"/>
    <w:rsid w:val="003E4B54"/>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D9"/>
    <w:rsid w:val="003E5D8E"/>
    <w:rsid w:val="003E5DA5"/>
    <w:rsid w:val="003E5F3B"/>
    <w:rsid w:val="003E605A"/>
    <w:rsid w:val="003E615B"/>
    <w:rsid w:val="003E61AF"/>
    <w:rsid w:val="003E6208"/>
    <w:rsid w:val="003E6366"/>
    <w:rsid w:val="003E640F"/>
    <w:rsid w:val="003E67A7"/>
    <w:rsid w:val="003E684C"/>
    <w:rsid w:val="003E68C6"/>
    <w:rsid w:val="003E6B13"/>
    <w:rsid w:val="003E6C2C"/>
    <w:rsid w:val="003E6C89"/>
    <w:rsid w:val="003E6D38"/>
    <w:rsid w:val="003E6E2D"/>
    <w:rsid w:val="003E6E6C"/>
    <w:rsid w:val="003E726A"/>
    <w:rsid w:val="003E7449"/>
    <w:rsid w:val="003E74EE"/>
    <w:rsid w:val="003E7547"/>
    <w:rsid w:val="003E7595"/>
    <w:rsid w:val="003E7599"/>
    <w:rsid w:val="003E75B8"/>
    <w:rsid w:val="003E771B"/>
    <w:rsid w:val="003E778A"/>
    <w:rsid w:val="003E7876"/>
    <w:rsid w:val="003E7972"/>
    <w:rsid w:val="003E7A15"/>
    <w:rsid w:val="003E7DB0"/>
    <w:rsid w:val="003E7F9D"/>
    <w:rsid w:val="003F00AC"/>
    <w:rsid w:val="003F010A"/>
    <w:rsid w:val="003F0649"/>
    <w:rsid w:val="003F073A"/>
    <w:rsid w:val="003F0894"/>
    <w:rsid w:val="003F090E"/>
    <w:rsid w:val="003F098C"/>
    <w:rsid w:val="003F0D16"/>
    <w:rsid w:val="003F0F3C"/>
    <w:rsid w:val="003F0F3D"/>
    <w:rsid w:val="003F0F8F"/>
    <w:rsid w:val="003F1120"/>
    <w:rsid w:val="003F11C3"/>
    <w:rsid w:val="003F12CC"/>
    <w:rsid w:val="003F1412"/>
    <w:rsid w:val="003F160A"/>
    <w:rsid w:val="003F1619"/>
    <w:rsid w:val="003F1668"/>
    <w:rsid w:val="003F198E"/>
    <w:rsid w:val="003F1A31"/>
    <w:rsid w:val="003F1A50"/>
    <w:rsid w:val="003F1A90"/>
    <w:rsid w:val="003F1A96"/>
    <w:rsid w:val="003F1AA0"/>
    <w:rsid w:val="003F1ABC"/>
    <w:rsid w:val="003F1BD0"/>
    <w:rsid w:val="003F1C00"/>
    <w:rsid w:val="003F1DB8"/>
    <w:rsid w:val="003F1FA7"/>
    <w:rsid w:val="003F2096"/>
    <w:rsid w:val="003F242C"/>
    <w:rsid w:val="003F2460"/>
    <w:rsid w:val="003F2551"/>
    <w:rsid w:val="003F2610"/>
    <w:rsid w:val="003F2941"/>
    <w:rsid w:val="003F2C4B"/>
    <w:rsid w:val="003F2CA2"/>
    <w:rsid w:val="003F2E0E"/>
    <w:rsid w:val="003F2E1A"/>
    <w:rsid w:val="003F30E4"/>
    <w:rsid w:val="003F3166"/>
    <w:rsid w:val="003F32AD"/>
    <w:rsid w:val="003F360F"/>
    <w:rsid w:val="003F3662"/>
    <w:rsid w:val="003F366D"/>
    <w:rsid w:val="003F3778"/>
    <w:rsid w:val="003F37AF"/>
    <w:rsid w:val="003F3955"/>
    <w:rsid w:val="003F3A72"/>
    <w:rsid w:val="003F3B26"/>
    <w:rsid w:val="003F3B84"/>
    <w:rsid w:val="003F3BAC"/>
    <w:rsid w:val="003F3DD1"/>
    <w:rsid w:val="003F3FC6"/>
    <w:rsid w:val="003F407A"/>
    <w:rsid w:val="003F4257"/>
    <w:rsid w:val="003F43C9"/>
    <w:rsid w:val="003F4475"/>
    <w:rsid w:val="003F4667"/>
    <w:rsid w:val="003F47DB"/>
    <w:rsid w:val="003F4837"/>
    <w:rsid w:val="003F4A45"/>
    <w:rsid w:val="003F4D87"/>
    <w:rsid w:val="003F4E87"/>
    <w:rsid w:val="003F4F6C"/>
    <w:rsid w:val="003F4FA0"/>
    <w:rsid w:val="003F53DE"/>
    <w:rsid w:val="003F5461"/>
    <w:rsid w:val="003F5551"/>
    <w:rsid w:val="003F5594"/>
    <w:rsid w:val="003F55D3"/>
    <w:rsid w:val="003F57F5"/>
    <w:rsid w:val="003F582C"/>
    <w:rsid w:val="003F5A9E"/>
    <w:rsid w:val="003F5BB1"/>
    <w:rsid w:val="003F5BCD"/>
    <w:rsid w:val="003F5D6A"/>
    <w:rsid w:val="003F5E46"/>
    <w:rsid w:val="003F5F2F"/>
    <w:rsid w:val="003F5F57"/>
    <w:rsid w:val="003F603D"/>
    <w:rsid w:val="003F609B"/>
    <w:rsid w:val="003F6346"/>
    <w:rsid w:val="003F6389"/>
    <w:rsid w:val="003F63B2"/>
    <w:rsid w:val="003F6404"/>
    <w:rsid w:val="003F6619"/>
    <w:rsid w:val="003F66E7"/>
    <w:rsid w:val="003F6826"/>
    <w:rsid w:val="003F685E"/>
    <w:rsid w:val="003F6961"/>
    <w:rsid w:val="003F6A73"/>
    <w:rsid w:val="003F6C17"/>
    <w:rsid w:val="003F6D21"/>
    <w:rsid w:val="003F6DB9"/>
    <w:rsid w:val="003F6FC3"/>
    <w:rsid w:val="003F707F"/>
    <w:rsid w:val="003F72B9"/>
    <w:rsid w:val="003F72DD"/>
    <w:rsid w:val="003F74AA"/>
    <w:rsid w:val="003F761D"/>
    <w:rsid w:val="003F781B"/>
    <w:rsid w:val="003F7842"/>
    <w:rsid w:val="003F795B"/>
    <w:rsid w:val="003F7AB6"/>
    <w:rsid w:val="003F7AF8"/>
    <w:rsid w:val="003F7B96"/>
    <w:rsid w:val="003F7BB9"/>
    <w:rsid w:val="003F7E9F"/>
    <w:rsid w:val="003F7EA6"/>
    <w:rsid w:val="003F7F13"/>
    <w:rsid w:val="00400147"/>
    <w:rsid w:val="0040019C"/>
    <w:rsid w:val="004003E2"/>
    <w:rsid w:val="004004F9"/>
    <w:rsid w:val="004005CA"/>
    <w:rsid w:val="00400717"/>
    <w:rsid w:val="0040098F"/>
    <w:rsid w:val="00400AC2"/>
    <w:rsid w:val="00400AEC"/>
    <w:rsid w:val="00400AFB"/>
    <w:rsid w:val="00400BB0"/>
    <w:rsid w:val="00400D61"/>
    <w:rsid w:val="00400D6F"/>
    <w:rsid w:val="00400E6E"/>
    <w:rsid w:val="00400E7F"/>
    <w:rsid w:val="00400F64"/>
    <w:rsid w:val="00401286"/>
    <w:rsid w:val="00401442"/>
    <w:rsid w:val="00401559"/>
    <w:rsid w:val="00401628"/>
    <w:rsid w:val="004018BD"/>
    <w:rsid w:val="00401912"/>
    <w:rsid w:val="00401A44"/>
    <w:rsid w:val="00401B36"/>
    <w:rsid w:val="00401D9C"/>
    <w:rsid w:val="00401E08"/>
    <w:rsid w:val="00401E34"/>
    <w:rsid w:val="00402000"/>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411"/>
    <w:rsid w:val="0040377A"/>
    <w:rsid w:val="004038F0"/>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81"/>
    <w:rsid w:val="00404EAD"/>
    <w:rsid w:val="00405032"/>
    <w:rsid w:val="00405087"/>
    <w:rsid w:val="004050CF"/>
    <w:rsid w:val="0040516B"/>
    <w:rsid w:val="00405489"/>
    <w:rsid w:val="004054D8"/>
    <w:rsid w:val="0040580D"/>
    <w:rsid w:val="0040583B"/>
    <w:rsid w:val="00405C4B"/>
    <w:rsid w:val="00405C57"/>
    <w:rsid w:val="00405DDB"/>
    <w:rsid w:val="00405DFB"/>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6CA"/>
    <w:rsid w:val="00410891"/>
    <w:rsid w:val="00410946"/>
    <w:rsid w:val="00410B25"/>
    <w:rsid w:val="00410BF1"/>
    <w:rsid w:val="00410D22"/>
    <w:rsid w:val="00410DAC"/>
    <w:rsid w:val="00410E39"/>
    <w:rsid w:val="00410F6F"/>
    <w:rsid w:val="00410F8D"/>
    <w:rsid w:val="004110DE"/>
    <w:rsid w:val="0041131C"/>
    <w:rsid w:val="004113DF"/>
    <w:rsid w:val="00411B04"/>
    <w:rsid w:val="0041202E"/>
    <w:rsid w:val="004120CA"/>
    <w:rsid w:val="0041224D"/>
    <w:rsid w:val="004122DF"/>
    <w:rsid w:val="00412453"/>
    <w:rsid w:val="004124F0"/>
    <w:rsid w:val="00412562"/>
    <w:rsid w:val="00412567"/>
    <w:rsid w:val="0041273C"/>
    <w:rsid w:val="0041285D"/>
    <w:rsid w:val="00412A3A"/>
    <w:rsid w:val="00412A73"/>
    <w:rsid w:val="00412AB9"/>
    <w:rsid w:val="00412ABF"/>
    <w:rsid w:val="00412CB7"/>
    <w:rsid w:val="00412EE7"/>
    <w:rsid w:val="00412F3D"/>
    <w:rsid w:val="00412FB2"/>
    <w:rsid w:val="00412FE7"/>
    <w:rsid w:val="0041317D"/>
    <w:rsid w:val="00413223"/>
    <w:rsid w:val="004133F9"/>
    <w:rsid w:val="00413432"/>
    <w:rsid w:val="00413468"/>
    <w:rsid w:val="0041350A"/>
    <w:rsid w:val="00413528"/>
    <w:rsid w:val="00413575"/>
    <w:rsid w:val="004135C1"/>
    <w:rsid w:val="0041364A"/>
    <w:rsid w:val="00413672"/>
    <w:rsid w:val="004137A1"/>
    <w:rsid w:val="004137B7"/>
    <w:rsid w:val="00413A80"/>
    <w:rsid w:val="00413AE9"/>
    <w:rsid w:val="00413AF6"/>
    <w:rsid w:val="00413C61"/>
    <w:rsid w:val="00413C85"/>
    <w:rsid w:val="00413D0D"/>
    <w:rsid w:val="00413D17"/>
    <w:rsid w:val="00413D57"/>
    <w:rsid w:val="0041403F"/>
    <w:rsid w:val="004141A1"/>
    <w:rsid w:val="0041439E"/>
    <w:rsid w:val="004143B6"/>
    <w:rsid w:val="00414431"/>
    <w:rsid w:val="00414478"/>
    <w:rsid w:val="00414978"/>
    <w:rsid w:val="004149D2"/>
    <w:rsid w:val="004149F8"/>
    <w:rsid w:val="00414AD9"/>
    <w:rsid w:val="00414B28"/>
    <w:rsid w:val="00414BC3"/>
    <w:rsid w:val="00414C8E"/>
    <w:rsid w:val="00414F25"/>
    <w:rsid w:val="00414F2B"/>
    <w:rsid w:val="00414F70"/>
    <w:rsid w:val="00414F7C"/>
    <w:rsid w:val="00414FB2"/>
    <w:rsid w:val="00415083"/>
    <w:rsid w:val="00415196"/>
    <w:rsid w:val="00415239"/>
    <w:rsid w:val="004152F7"/>
    <w:rsid w:val="00415335"/>
    <w:rsid w:val="004154F6"/>
    <w:rsid w:val="004156C5"/>
    <w:rsid w:val="004156DF"/>
    <w:rsid w:val="004157E1"/>
    <w:rsid w:val="004158A2"/>
    <w:rsid w:val="004159C7"/>
    <w:rsid w:val="00415A57"/>
    <w:rsid w:val="00415D5B"/>
    <w:rsid w:val="00415EBA"/>
    <w:rsid w:val="00415FE8"/>
    <w:rsid w:val="0041625E"/>
    <w:rsid w:val="00416294"/>
    <w:rsid w:val="00416538"/>
    <w:rsid w:val="00416898"/>
    <w:rsid w:val="004168A7"/>
    <w:rsid w:val="0041697E"/>
    <w:rsid w:val="00416AF7"/>
    <w:rsid w:val="00416B70"/>
    <w:rsid w:val="00416CEB"/>
    <w:rsid w:val="00416E5E"/>
    <w:rsid w:val="00416EC7"/>
    <w:rsid w:val="00416F6F"/>
    <w:rsid w:val="00417076"/>
    <w:rsid w:val="00417108"/>
    <w:rsid w:val="0041750B"/>
    <w:rsid w:val="00417648"/>
    <w:rsid w:val="00417977"/>
    <w:rsid w:val="00417A21"/>
    <w:rsid w:val="00417A99"/>
    <w:rsid w:val="00417B65"/>
    <w:rsid w:val="00417D04"/>
    <w:rsid w:val="00417E48"/>
    <w:rsid w:val="00417E5E"/>
    <w:rsid w:val="00417E6A"/>
    <w:rsid w:val="004201A6"/>
    <w:rsid w:val="004205AC"/>
    <w:rsid w:val="004206EC"/>
    <w:rsid w:val="00420793"/>
    <w:rsid w:val="0042080C"/>
    <w:rsid w:val="0042081F"/>
    <w:rsid w:val="004208C0"/>
    <w:rsid w:val="00420AA3"/>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55"/>
    <w:rsid w:val="00422C2C"/>
    <w:rsid w:val="00422D1D"/>
    <w:rsid w:val="00422D23"/>
    <w:rsid w:val="00422E59"/>
    <w:rsid w:val="00423047"/>
    <w:rsid w:val="0042305B"/>
    <w:rsid w:val="0042314F"/>
    <w:rsid w:val="00423182"/>
    <w:rsid w:val="00423409"/>
    <w:rsid w:val="00423689"/>
    <w:rsid w:val="0042378D"/>
    <w:rsid w:val="004237BE"/>
    <w:rsid w:val="00423895"/>
    <w:rsid w:val="00423916"/>
    <w:rsid w:val="00423ECD"/>
    <w:rsid w:val="00423EF0"/>
    <w:rsid w:val="0042412D"/>
    <w:rsid w:val="00424365"/>
    <w:rsid w:val="004243E5"/>
    <w:rsid w:val="00424486"/>
    <w:rsid w:val="0042450A"/>
    <w:rsid w:val="00424902"/>
    <w:rsid w:val="00424A0D"/>
    <w:rsid w:val="00424A18"/>
    <w:rsid w:val="00424B2D"/>
    <w:rsid w:val="00424B38"/>
    <w:rsid w:val="00424B61"/>
    <w:rsid w:val="00424E38"/>
    <w:rsid w:val="004251D2"/>
    <w:rsid w:val="00425293"/>
    <w:rsid w:val="004256CC"/>
    <w:rsid w:val="004257AB"/>
    <w:rsid w:val="00425B02"/>
    <w:rsid w:val="00425B16"/>
    <w:rsid w:val="00425EA1"/>
    <w:rsid w:val="00426116"/>
    <w:rsid w:val="00426174"/>
    <w:rsid w:val="00426301"/>
    <w:rsid w:val="0042641D"/>
    <w:rsid w:val="004265A6"/>
    <w:rsid w:val="0042660E"/>
    <w:rsid w:val="0042664F"/>
    <w:rsid w:val="00426738"/>
    <w:rsid w:val="00426755"/>
    <w:rsid w:val="00426ACB"/>
    <w:rsid w:val="00426D0D"/>
    <w:rsid w:val="00426D6F"/>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AFB"/>
    <w:rsid w:val="00427BBA"/>
    <w:rsid w:val="00427C1E"/>
    <w:rsid w:val="00427C21"/>
    <w:rsid w:val="00427C87"/>
    <w:rsid w:val="0043009E"/>
    <w:rsid w:val="004301D2"/>
    <w:rsid w:val="0043026B"/>
    <w:rsid w:val="00430740"/>
    <w:rsid w:val="00430932"/>
    <w:rsid w:val="00430A7A"/>
    <w:rsid w:val="00430D44"/>
    <w:rsid w:val="00430D72"/>
    <w:rsid w:val="00430EAC"/>
    <w:rsid w:val="00430F93"/>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2DA"/>
    <w:rsid w:val="004324BC"/>
    <w:rsid w:val="0043253F"/>
    <w:rsid w:val="00432707"/>
    <w:rsid w:val="0043271C"/>
    <w:rsid w:val="00432774"/>
    <w:rsid w:val="004327D9"/>
    <w:rsid w:val="00432AB1"/>
    <w:rsid w:val="00432C84"/>
    <w:rsid w:val="00432D8B"/>
    <w:rsid w:val="00432F36"/>
    <w:rsid w:val="00432F52"/>
    <w:rsid w:val="00433028"/>
    <w:rsid w:val="00433042"/>
    <w:rsid w:val="004330FB"/>
    <w:rsid w:val="00433171"/>
    <w:rsid w:val="00433231"/>
    <w:rsid w:val="004333B7"/>
    <w:rsid w:val="00433466"/>
    <w:rsid w:val="00433560"/>
    <w:rsid w:val="004336D6"/>
    <w:rsid w:val="0043378F"/>
    <w:rsid w:val="004337AE"/>
    <w:rsid w:val="00433A0B"/>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BEB"/>
    <w:rsid w:val="00434C44"/>
    <w:rsid w:val="00434CC6"/>
    <w:rsid w:val="00434FD0"/>
    <w:rsid w:val="00435567"/>
    <w:rsid w:val="004355FF"/>
    <w:rsid w:val="00435792"/>
    <w:rsid w:val="004358B3"/>
    <w:rsid w:val="004359C8"/>
    <w:rsid w:val="00435D5B"/>
    <w:rsid w:val="004360AA"/>
    <w:rsid w:val="004363E1"/>
    <w:rsid w:val="004364C2"/>
    <w:rsid w:val="004366B0"/>
    <w:rsid w:val="004366BE"/>
    <w:rsid w:val="0043681F"/>
    <w:rsid w:val="00436A53"/>
    <w:rsid w:val="00436A5D"/>
    <w:rsid w:val="00436C19"/>
    <w:rsid w:val="00436E03"/>
    <w:rsid w:val="00436E99"/>
    <w:rsid w:val="004371B9"/>
    <w:rsid w:val="0043737A"/>
    <w:rsid w:val="0043752B"/>
    <w:rsid w:val="00437691"/>
    <w:rsid w:val="0043772A"/>
    <w:rsid w:val="004377CC"/>
    <w:rsid w:val="004378CE"/>
    <w:rsid w:val="00437A55"/>
    <w:rsid w:val="00437AC4"/>
    <w:rsid w:val="00437AEF"/>
    <w:rsid w:val="00437B42"/>
    <w:rsid w:val="00437E09"/>
    <w:rsid w:val="00437FCE"/>
    <w:rsid w:val="00440074"/>
    <w:rsid w:val="004400F2"/>
    <w:rsid w:val="004401CC"/>
    <w:rsid w:val="00440232"/>
    <w:rsid w:val="00440439"/>
    <w:rsid w:val="0044052B"/>
    <w:rsid w:val="00440622"/>
    <w:rsid w:val="00440868"/>
    <w:rsid w:val="00440915"/>
    <w:rsid w:val="00440941"/>
    <w:rsid w:val="004409F7"/>
    <w:rsid w:val="00440A1B"/>
    <w:rsid w:val="00440E9B"/>
    <w:rsid w:val="00441163"/>
    <w:rsid w:val="0044131C"/>
    <w:rsid w:val="00441379"/>
    <w:rsid w:val="0044165B"/>
    <w:rsid w:val="004418D3"/>
    <w:rsid w:val="00441C37"/>
    <w:rsid w:val="00441CDE"/>
    <w:rsid w:val="0044219C"/>
    <w:rsid w:val="004421E1"/>
    <w:rsid w:val="004422D5"/>
    <w:rsid w:val="0044238F"/>
    <w:rsid w:val="004423EC"/>
    <w:rsid w:val="0044242E"/>
    <w:rsid w:val="0044256B"/>
    <w:rsid w:val="00442714"/>
    <w:rsid w:val="004427F1"/>
    <w:rsid w:val="00442ADD"/>
    <w:rsid w:val="00442B22"/>
    <w:rsid w:val="00442B73"/>
    <w:rsid w:val="00442C3B"/>
    <w:rsid w:val="00442E4D"/>
    <w:rsid w:val="00442FF8"/>
    <w:rsid w:val="00443174"/>
    <w:rsid w:val="00443228"/>
    <w:rsid w:val="0044366B"/>
    <w:rsid w:val="0044369D"/>
    <w:rsid w:val="00443745"/>
    <w:rsid w:val="00443840"/>
    <w:rsid w:val="00443862"/>
    <w:rsid w:val="0044389D"/>
    <w:rsid w:val="004438C2"/>
    <w:rsid w:val="00443C01"/>
    <w:rsid w:val="00443CBB"/>
    <w:rsid w:val="00443D4B"/>
    <w:rsid w:val="00443EBD"/>
    <w:rsid w:val="00443FA4"/>
    <w:rsid w:val="00444392"/>
    <w:rsid w:val="004443CB"/>
    <w:rsid w:val="0044478E"/>
    <w:rsid w:val="0044481A"/>
    <w:rsid w:val="0044483F"/>
    <w:rsid w:val="00444942"/>
    <w:rsid w:val="00444A49"/>
    <w:rsid w:val="00444A4F"/>
    <w:rsid w:val="00444A6F"/>
    <w:rsid w:val="00444CC0"/>
    <w:rsid w:val="00444CDB"/>
    <w:rsid w:val="00444D05"/>
    <w:rsid w:val="00444DF0"/>
    <w:rsid w:val="00444E33"/>
    <w:rsid w:val="00444E9D"/>
    <w:rsid w:val="00444F27"/>
    <w:rsid w:val="00444FC1"/>
    <w:rsid w:val="00445257"/>
    <w:rsid w:val="0044541B"/>
    <w:rsid w:val="004454DC"/>
    <w:rsid w:val="00445730"/>
    <w:rsid w:val="00445945"/>
    <w:rsid w:val="00445BEF"/>
    <w:rsid w:val="00445DE9"/>
    <w:rsid w:val="00446070"/>
    <w:rsid w:val="00446079"/>
    <w:rsid w:val="0044618C"/>
    <w:rsid w:val="0044626B"/>
    <w:rsid w:val="004462D5"/>
    <w:rsid w:val="004463DC"/>
    <w:rsid w:val="00446510"/>
    <w:rsid w:val="0044655B"/>
    <w:rsid w:val="004465B6"/>
    <w:rsid w:val="004469D6"/>
    <w:rsid w:val="00446F46"/>
    <w:rsid w:val="004470F8"/>
    <w:rsid w:val="0044719B"/>
    <w:rsid w:val="0044719D"/>
    <w:rsid w:val="004472F0"/>
    <w:rsid w:val="004474A9"/>
    <w:rsid w:val="0044777D"/>
    <w:rsid w:val="0044784A"/>
    <w:rsid w:val="0044796D"/>
    <w:rsid w:val="00447B93"/>
    <w:rsid w:val="00447CD3"/>
    <w:rsid w:val="00447F2A"/>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C0C"/>
    <w:rsid w:val="00450D94"/>
    <w:rsid w:val="00451020"/>
    <w:rsid w:val="004510B1"/>
    <w:rsid w:val="004510EA"/>
    <w:rsid w:val="00451214"/>
    <w:rsid w:val="004513C0"/>
    <w:rsid w:val="00451949"/>
    <w:rsid w:val="00451A28"/>
    <w:rsid w:val="00451B29"/>
    <w:rsid w:val="00451B8B"/>
    <w:rsid w:val="00451BFF"/>
    <w:rsid w:val="00451F74"/>
    <w:rsid w:val="00451F86"/>
    <w:rsid w:val="00452271"/>
    <w:rsid w:val="004525B5"/>
    <w:rsid w:val="004525C0"/>
    <w:rsid w:val="004527D9"/>
    <w:rsid w:val="004529E5"/>
    <w:rsid w:val="00452A54"/>
    <w:rsid w:val="00452D07"/>
    <w:rsid w:val="0045307D"/>
    <w:rsid w:val="0045366A"/>
    <w:rsid w:val="00453887"/>
    <w:rsid w:val="00453897"/>
    <w:rsid w:val="00453941"/>
    <w:rsid w:val="00453AB4"/>
    <w:rsid w:val="00453ABC"/>
    <w:rsid w:val="00453B78"/>
    <w:rsid w:val="00453C68"/>
    <w:rsid w:val="00453D2D"/>
    <w:rsid w:val="00453E7B"/>
    <w:rsid w:val="0045436C"/>
    <w:rsid w:val="004543FA"/>
    <w:rsid w:val="0045453A"/>
    <w:rsid w:val="00454606"/>
    <w:rsid w:val="004546F7"/>
    <w:rsid w:val="00454915"/>
    <w:rsid w:val="004549C7"/>
    <w:rsid w:val="00454B01"/>
    <w:rsid w:val="00454B7A"/>
    <w:rsid w:val="00454CD0"/>
    <w:rsid w:val="00454CE4"/>
    <w:rsid w:val="00454E23"/>
    <w:rsid w:val="00454F4D"/>
    <w:rsid w:val="004553F3"/>
    <w:rsid w:val="00455445"/>
    <w:rsid w:val="00455572"/>
    <w:rsid w:val="0045564E"/>
    <w:rsid w:val="0045574D"/>
    <w:rsid w:val="00455796"/>
    <w:rsid w:val="0045587F"/>
    <w:rsid w:val="00455A1C"/>
    <w:rsid w:val="00455A7E"/>
    <w:rsid w:val="00455AA3"/>
    <w:rsid w:val="00455AF3"/>
    <w:rsid w:val="00455BFC"/>
    <w:rsid w:val="00455C1C"/>
    <w:rsid w:val="00455D04"/>
    <w:rsid w:val="00455D12"/>
    <w:rsid w:val="00455E21"/>
    <w:rsid w:val="00455F5E"/>
    <w:rsid w:val="00455FB9"/>
    <w:rsid w:val="00455FD8"/>
    <w:rsid w:val="00456142"/>
    <w:rsid w:val="0045636B"/>
    <w:rsid w:val="0045642C"/>
    <w:rsid w:val="0045649C"/>
    <w:rsid w:val="00456845"/>
    <w:rsid w:val="0045689B"/>
    <w:rsid w:val="00456A7E"/>
    <w:rsid w:val="00456D57"/>
    <w:rsid w:val="00456DF3"/>
    <w:rsid w:val="00456E30"/>
    <w:rsid w:val="00456EFC"/>
    <w:rsid w:val="00456FCE"/>
    <w:rsid w:val="004572A3"/>
    <w:rsid w:val="004572AB"/>
    <w:rsid w:val="004572B6"/>
    <w:rsid w:val="004572CC"/>
    <w:rsid w:val="00457400"/>
    <w:rsid w:val="00457498"/>
    <w:rsid w:val="004574CB"/>
    <w:rsid w:val="0045765D"/>
    <w:rsid w:val="004577E1"/>
    <w:rsid w:val="004578D8"/>
    <w:rsid w:val="0045792F"/>
    <w:rsid w:val="00457B3B"/>
    <w:rsid w:val="00457CD5"/>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2AC"/>
    <w:rsid w:val="00461474"/>
    <w:rsid w:val="004614D2"/>
    <w:rsid w:val="00461936"/>
    <w:rsid w:val="00461A04"/>
    <w:rsid w:val="00461BF7"/>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9A3"/>
    <w:rsid w:val="00464B96"/>
    <w:rsid w:val="00464BDC"/>
    <w:rsid w:val="004654D1"/>
    <w:rsid w:val="00465571"/>
    <w:rsid w:val="0046560A"/>
    <w:rsid w:val="004657E6"/>
    <w:rsid w:val="00465808"/>
    <w:rsid w:val="0046585D"/>
    <w:rsid w:val="004658A8"/>
    <w:rsid w:val="00465D23"/>
    <w:rsid w:val="00465D31"/>
    <w:rsid w:val="00465E25"/>
    <w:rsid w:val="00465EB0"/>
    <w:rsid w:val="004661F0"/>
    <w:rsid w:val="0046620F"/>
    <w:rsid w:val="0046628B"/>
    <w:rsid w:val="004663A6"/>
    <w:rsid w:val="004663FB"/>
    <w:rsid w:val="0046641F"/>
    <w:rsid w:val="00466611"/>
    <w:rsid w:val="004666C2"/>
    <w:rsid w:val="004666ED"/>
    <w:rsid w:val="004667AD"/>
    <w:rsid w:val="004667EB"/>
    <w:rsid w:val="00466BBB"/>
    <w:rsid w:val="00466C84"/>
    <w:rsid w:val="00466EC6"/>
    <w:rsid w:val="00466FAF"/>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9D5"/>
    <w:rsid w:val="00470C30"/>
    <w:rsid w:val="00470D13"/>
    <w:rsid w:val="00470D59"/>
    <w:rsid w:val="00470DFC"/>
    <w:rsid w:val="00470EAA"/>
    <w:rsid w:val="00470F41"/>
    <w:rsid w:val="004710D2"/>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B1"/>
    <w:rsid w:val="004720BB"/>
    <w:rsid w:val="00472139"/>
    <w:rsid w:val="0047213C"/>
    <w:rsid w:val="00472291"/>
    <w:rsid w:val="004722E8"/>
    <w:rsid w:val="004724CF"/>
    <w:rsid w:val="00472657"/>
    <w:rsid w:val="004729CB"/>
    <w:rsid w:val="00472B22"/>
    <w:rsid w:val="00472D53"/>
    <w:rsid w:val="00472ED9"/>
    <w:rsid w:val="00472EF9"/>
    <w:rsid w:val="00472F0C"/>
    <w:rsid w:val="00472F91"/>
    <w:rsid w:val="00472F98"/>
    <w:rsid w:val="004731F6"/>
    <w:rsid w:val="00473333"/>
    <w:rsid w:val="004735EB"/>
    <w:rsid w:val="0047368E"/>
    <w:rsid w:val="0047373D"/>
    <w:rsid w:val="0047386C"/>
    <w:rsid w:val="004739F7"/>
    <w:rsid w:val="00473A08"/>
    <w:rsid w:val="00473AD4"/>
    <w:rsid w:val="00473C70"/>
    <w:rsid w:val="00473D92"/>
    <w:rsid w:val="00473DE9"/>
    <w:rsid w:val="00473F14"/>
    <w:rsid w:val="00473F4F"/>
    <w:rsid w:val="00473F93"/>
    <w:rsid w:val="00473FF3"/>
    <w:rsid w:val="0047403D"/>
    <w:rsid w:val="0047457B"/>
    <w:rsid w:val="0047468A"/>
    <w:rsid w:val="00474814"/>
    <w:rsid w:val="004748CA"/>
    <w:rsid w:val="004748DD"/>
    <w:rsid w:val="00474BD4"/>
    <w:rsid w:val="00474C24"/>
    <w:rsid w:val="00474C8D"/>
    <w:rsid w:val="00474E37"/>
    <w:rsid w:val="00474E3A"/>
    <w:rsid w:val="00474F3A"/>
    <w:rsid w:val="004751F8"/>
    <w:rsid w:val="00475245"/>
    <w:rsid w:val="004752B7"/>
    <w:rsid w:val="004753FE"/>
    <w:rsid w:val="00475408"/>
    <w:rsid w:val="004754DA"/>
    <w:rsid w:val="004757AB"/>
    <w:rsid w:val="00475947"/>
    <w:rsid w:val="0047598F"/>
    <w:rsid w:val="00475A1D"/>
    <w:rsid w:val="00475B90"/>
    <w:rsid w:val="00475BEE"/>
    <w:rsid w:val="00475C54"/>
    <w:rsid w:val="00475CDC"/>
    <w:rsid w:val="00475E6D"/>
    <w:rsid w:val="0047609D"/>
    <w:rsid w:val="00476111"/>
    <w:rsid w:val="004761F6"/>
    <w:rsid w:val="004765B7"/>
    <w:rsid w:val="0047662C"/>
    <w:rsid w:val="004767FF"/>
    <w:rsid w:val="00476814"/>
    <w:rsid w:val="00476815"/>
    <w:rsid w:val="00476904"/>
    <w:rsid w:val="004769E3"/>
    <w:rsid w:val="00476B84"/>
    <w:rsid w:val="00476CD3"/>
    <w:rsid w:val="00476DB7"/>
    <w:rsid w:val="00477047"/>
    <w:rsid w:val="00477122"/>
    <w:rsid w:val="004771A8"/>
    <w:rsid w:val="004772C3"/>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827"/>
    <w:rsid w:val="00480846"/>
    <w:rsid w:val="00480855"/>
    <w:rsid w:val="00480B8F"/>
    <w:rsid w:val="00480EAE"/>
    <w:rsid w:val="00480F9A"/>
    <w:rsid w:val="00481089"/>
    <w:rsid w:val="0048133B"/>
    <w:rsid w:val="00481619"/>
    <w:rsid w:val="004816FE"/>
    <w:rsid w:val="004817C0"/>
    <w:rsid w:val="004817CF"/>
    <w:rsid w:val="0048197A"/>
    <w:rsid w:val="0048198B"/>
    <w:rsid w:val="00481C98"/>
    <w:rsid w:val="00481E62"/>
    <w:rsid w:val="00481F5A"/>
    <w:rsid w:val="00481F6A"/>
    <w:rsid w:val="00482302"/>
    <w:rsid w:val="00482342"/>
    <w:rsid w:val="00482548"/>
    <w:rsid w:val="0048265D"/>
    <w:rsid w:val="0048267A"/>
    <w:rsid w:val="004827DC"/>
    <w:rsid w:val="00482D1A"/>
    <w:rsid w:val="00482D88"/>
    <w:rsid w:val="00482DF6"/>
    <w:rsid w:val="00483034"/>
    <w:rsid w:val="0048306C"/>
    <w:rsid w:val="00483153"/>
    <w:rsid w:val="00483199"/>
    <w:rsid w:val="004833B8"/>
    <w:rsid w:val="00483401"/>
    <w:rsid w:val="004835AD"/>
    <w:rsid w:val="00483635"/>
    <w:rsid w:val="00483723"/>
    <w:rsid w:val="00483738"/>
    <w:rsid w:val="0048382E"/>
    <w:rsid w:val="0048385F"/>
    <w:rsid w:val="00483CC7"/>
    <w:rsid w:val="00483D0D"/>
    <w:rsid w:val="00483D9A"/>
    <w:rsid w:val="00483FB4"/>
    <w:rsid w:val="0048464C"/>
    <w:rsid w:val="004847C6"/>
    <w:rsid w:val="0048482C"/>
    <w:rsid w:val="004849D4"/>
    <w:rsid w:val="00484BE9"/>
    <w:rsid w:val="00484CF6"/>
    <w:rsid w:val="004851B5"/>
    <w:rsid w:val="00485786"/>
    <w:rsid w:val="00485B6F"/>
    <w:rsid w:val="00485C43"/>
    <w:rsid w:val="00485C51"/>
    <w:rsid w:val="00485DAC"/>
    <w:rsid w:val="00485DF1"/>
    <w:rsid w:val="00486004"/>
    <w:rsid w:val="00486142"/>
    <w:rsid w:val="004861C6"/>
    <w:rsid w:val="00486271"/>
    <w:rsid w:val="00486313"/>
    <w:rsid w:val="00486597"/>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52D"/>
    <w:rsid w:val="004876B2"/>
    <w:rsid w:val="004876DE"/>
    <w:rsid w:val="00487834"/>
    <w:rsid w:val="00487B51"/>
    <w:rsid w:val="00487DB0"/>
    <w:rsid w:val="00487E93"/>
    <w:rsid w:val="00490085"/>
    <w:rsid w:val="00490202"/>
    <w:rsid w:val="00490319"/>
    <w:rsid w:val="004905F4"/>
    <w:rsid w:val="0049060B"/>
    <w:rsid w:val="00490619"/>
    <w:rsid w:val="004906F5"/>
    <w:rsid w:val="0049086E"/>
    <w:rsid w:val="004908B4"/>
    <w:rsid w:val="00490A21"/>
    <w:rsid w:val="00490E1C"/>
    <w:rsid w:val="00490FE5"/>
    <w:rsid w:val="004910CD"/>
    <w:rsid w:val="004912BE"/>
    <w:rsid w:val="00491366"/>
    <w:rsid w:val="004913E9"/>
    <w:rsid w:val="004915A5"/>
    <w:rsid w:val="004916AA"/>
    <w:rsid w:val="0049175B"/>
    <w:rsid w:val="00491858"/>
    <w:rsid w:val="0049196B"/>
    <w:rsid w:val="004919A4"/>
    <w:rsid w:val="00491E38"/>
    <w:rsid w:val="00491E50"/>
    <w:rsid w:val="00491EBC"/>
    <w:rsid w:val="00491F86"/>
    <w:rsid w:val="0049230E"/>
    <w:rsid w:val="0049243E"/>
    <w:rsid w:val="004925C2"/>
    <w:rsid w:val="00492685"/>
    <w:rsid w:val="004926CE"/>
    <w:rsid w:val="004927F7"/>
    <w:rsid w:val="004929E6"/>
    <w:rsid w:val="00492A29"/>
    <w:rsid w:val="00492B6C"/>
    <w:rsid w:val="00492E2A"/>
    <w:rsid w:val="00492F3D"/>
    <w:rsid w:val="00492F4D"/>
    <w:rsid w:val="00493006"/>
    <w:rsid w:val="0049331D"/>
    <w:rsid w:val="00493345"/>
    <w:rsid w:val="004933BD"/>
    <w:rsid w:val="00493436"/>
    <w:rsid w:val="00493545"/>
    <w:rsid w:val="004935EC"/>
    <w:rsid w:val="0049375D"/>
    <w:rsid w:val="00493764"/>
    <w:rsid w:val="00493817"/>
    <w:rsid w:val="00493867"/>
    <w:rsid w:val="004939C6"/>
    <w:rsid w:val="004939EB"/>
    <w:rsid w:val="00493B32"/>
    <w:rsid w:val="00493C99"/>
    <w:rsid w:val="00493E06"/>
    <w:rsid w:val="00493E45"/>
    <w:rsid w:val="00494015"/>
    <w:rsid w:val="0049409B"/>
    <w:rsid w:val="0049453C"/>
    <w:rsid w:val="00494689"/>
    <w:rsid w:val="004947C4"/>
    <w:rsid w:val="0049499C"/>
    <w:rsid w:val="00494B72"/>
    <w:rsid w:val="00494C5C"/>
    <w:rsid w:val="00494DF9"/>
    <w:rsid w:val="00494FD7"/>
    <w:rsid w:val="00495014"/>
    <w:rsid w:val="00495189"/>
    <w:rsid w:val="00495449"/>
    <w:rsid w:val="004954C7"/>
    <w:rsid w:val="004956B6"/>
    <w:rsid w:val="00495784"/>
    <w:rsid w:val="004959EF"/>
    <w:rsid w:val="00495A5F"/>
    <w:rsid w:val="00495D36"/>
    <w:rsid w:val="00495FE2"/>
    <w:rsid w:val="00496162"/>
    <w:rsid w:val="00496285"/>
    <w:rsid w:val="00496581"/>
    <w:rsid w:val="0049680F"/>
    <w:rsid w:val="0049684D"/>
    <w:rsid w:val="004969F2"/>
    <w:rsid w:val="00496A9C"/>
    <w:rsid w:val="00496C98"/>
    <w:rsid w:val="00496E7B"/>
    <w:rsid w:val="00496EE8"/>
    <w:rsid w:val="0049709A"/>
    <w:rsid w:val="004970BC"/>
    <w:rsid w:val="004972BF"/>
    <w:rsid w:val="00497378"/>
    <w:rsid w:val="0049741B"/>
    <w:rsid w:val="0049742E"/>
    <w:rsid w:val="004974F7"/>
    <w:rsid w:val="00497537"/>
    <w:rsid w:val="004978C6"/>
    <w:rsid w:val="00497C37"/>
    <w:rsid w:val="00497C4C"/>
    <w:rsid w:val="00497D92"/>
    <w:rsid w:val="00497E79"/>
    <w:rsid w:val="00497F68"/>
    <w:rsid w:val="004A02A2"/>
    <w:rsid w:val="004A05BF"/>
    <w:rsid w:val="004A05F5"/>
    <w:rsid w:val="004A0667"/>
    <w:rsid w:val="004A06EA"/>
    <w:rsid w:val="004A0707"/>
    <w:rsid w:val="004A0790"/>
    <w:rsid w:val="004A08E2"/>
    <w:rsid w:val="004A0925"/>
    <w:rsid w:val="004A0DAB"/>
    <w:rsid w:val="004A0E94"/>
    <w:rsid w:val="004A1271"/>
    <w:rsid w:val="004A1433"/>
    <w:rsid w:val="004A1717"/>
    <w:rsid w:val="004A1768"/>
    <w:rsid w:val="004A177B"/>
    <w:rsid w:val="004A1B12"/>
    <w:rsid w:val="004A1B4C"/>
    <w:rsid w:val="004A214A"/>
    <w:rsid w:val="004A2230"/>
    <w:rsid w:val="004A22ED"/>
    <w:rsid w:val="004A23D8"/>
    <w:rsid w:val="004A252C"/>
    <w:rsid w:val="004A28FA"/>
    <w:rsid w:val="004A2A84"/>
    <w:rsid w:val="004A2ADB"/>
    <w:rsid w:val="004A2B2C"/>
    <w:rsid w:val="004A2CDC"/>
    <w:rsid w:val="004A2D74"/>
    <w:rsid w:val="004A2E32"/>
    <w:rsid w:val="004A2E50"/>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914"/>
    <w:rsid w:val="004A6C12"/>
    <w:rsid w:val="004A6D60"/>
    <w:rsid w:val="004A6DFF"/>
    <w:rsid w:val="004A6EAE"/>
    <w:rsid w:val="004A6FD3"/>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B54"/>
    <w:rsid w:val="004B0B73"/>
    <w:rsid w:val="004B0BC5"/>
    <w:rsid w:val="004B0CA6"/>
    <w:rsid w:val="004B0CCA"/>
    <w:rsid w:val="004B0DE7"/>
    <w:rsid w:val="004B0E3B"/>
    <w:rsid w:val="004B1172"/>
    <w:rsid w:val="004B11E8"/>
    <w:rsid w:val="004B1330"/>
    <w:rsid w:val="004B156B"/>
    <w:rsid w:val="004B1686"/>
    <w:rsid w:val="004B168E"/>
    <w:rsid w:val="004B196F"/>
    <w:rsid w:val="004B1B02"/>
    <w:rsid w:val="004B1CCE"/>
    <w:rsid w:val="004B1CDD"/>
    <w:rsid w:val="004B1D36"/>
    <w:rsid w:val="004B1FD9"/>
    <w:rsid w:val="004B2016"/>
    <w:rsid w:val="004B21DE"/>
    <w:rsid w:val="004B23E7"/>
    <w:rsid w:val="004B26B1"/>
    <w:rsid w:val="004B271C"/>
    <w:rsid w:val="004B2756"/>
    <w:rsid w:val="004B2800"/>
    <w:rsid w:val="004B2A78"/>
    <w:rsid w:val="004B2BEC"/>
    <w:rsid w:val="004B2DED"/>
    <w:rsid w:val="004B2F42"/>
    <w:rsid w:val="004B2FD9"/>
    <w:rsid w:val="004B3033"/>
    <w:rsid w:val="004B33F8"/>
    <w:rsid w:val="004B34F7"/>
    <w:rsid w:val="004B3567"/>
    <w:rsid w:val="004B35F3"/>
    <w:rsid w:val="004B363E"/>
    <w:rsid w:val="004B3824"/>
    <w:rsid w:val="004B3926"/>
    <w:rsid w:val="004B3B32"/>
    <w:rsid w:val="004B3B5E"/>
    <w:rsid w:val="004B3C95"/>
    <w:rsid w:val="004B3CA7"/>
    <w:rsid w:val="004B3D12"/>
    <w:rsid w:val="004B3E38"/>
    <w:rsid w:val="004B3F8B"/>
    <w:rsid w:val="004B3FD7"/>
    <w:rsid w:val="004B413B"/>
    <w:rsid w:val="004B44AA"/>
    <w:rsid w:val="004B4566"/>
    <w:rsid w:val="004B45AC"/>
    <w:rsid w:val="004B467E"/>
    <w:rsid w:val="004B4680"/>
    <w:rsid w:val="004B4799"/>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D4F"/>
    <w:rsid w:val="004B5EE5"/>
    <w:rsid w:val="004B607B"/>
    <w:rsid w:val="004B61D5"/>
    <w:rsid w:val="004B6208"/>
    <w:rsid w:val="004B62AD"/>
    <w:rsid w:val="004B641B"/>
    <w:rsid w:val="004B656F"/>
    <w:rsid w:val="004B687A"/>
    <w:rsid w:val="004B69A3"/>
    <w:rsid w:val="004B6A5B"/>
    <w:rsid w:val="004B6BC9"/>
    <w:rsid w:val="004B6C01"/>
    <w:rsid w:val="004B6DC2"/>
    <w:rsid w:val="004B6E96"/>
    <w:rsid w:val="004B6FE4"/>
    <w:rsid w:val="004B709E"/>
    <w:rsid w:val="004B722C"/>
    <w:rsid w:val="004B750E"/>
    <w:rsid w:val="004B7597"/>
    <w:rsid w:val="004B76B0"/>
    <w:rsid w:val="004B7820"/>
    <w:rsid w:val="004B784B"/>
    <w:rsid w:val="004B7A4F"/>
    <w:rsid w:val="004B7A9E"/>
    <w:rsid w:val="004B7AA5"/>
    <w:rsid w:val="004B7B3D"/>
    <w:rsid w:val="004B7BF0"/>
    <w:rsid w:val="004B7CC4"/>
    <w:rsid w:val="004B7E16"/>
    <w:rsid w:val="004B7FB1"/>
    <w:rsid w:val="004C007E"/>
    <w:rsid w:val="004C01B8"/>
    <w:rsid w:val="004C01F9"/>
    <w:rsid w:val="004C024D"/>
    <w:rsid w:val="004C0334"/>
    <w:rsid w:val="004C041F"/>
    <w:rsid w:val="004C0455"/>
    <w:rsid w:val="004C046C"/>
    <w:rsid w:val="004C05FB"/>
    <w:rsid w:val="004C0676"/>
    <w:rsid w:val="004C0865"/>
    <w:rsid w:val="004C088C"/>
    <w:rsid w:val="004C0A82"/>
    <w:rsid w:val="004C0DD3"/>
    <w:rsid w:val="004C0EE6"/>
    <w:rsid w:val="004C1010"/>
    <w:rsid w:val="004C112B"/>
    <w:rsid w:val="004C1234"/>
    <w:rsid w:val="004C1321"/>
    <w:rsid w:val="004C132F"/>
    <w:rsid w:val="004C14FA"/>
    <w:rsid w:val="004C1543"/>
    <w:rsid w:val="004C1592"/>
    <w:rsid w:val="004C1599"/>
    <w:rsid w:val="004C159A"/>
    <w:rsid w:val="004C1650"/>
    <w:rsid w:val="004C18DD"/>
    <w:rsid w:val="004C19C2"/>
    <w:rsid w:val="004C1BF3"/>
    <w:rsid w:val="004C1C4E"/>
    <w:rsid w:val="004C1D1D"/>
    <w:rsid w:val="004C1E70"/>
    <w:rsid w:val="004C1ED2"/>
    <w:rsid w:val="004C20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53"/>
    <w:rsid w:val="004C3B7E"/>
    <w:rsid w:val="004C3C50"/>
    <w:rsid w:val="004C3CEF"/>
    <w:rsid w:val="004C3D31"/>
    <w:rsid w:val="004C3DC3"/>
    <w:rsid w:val="004C3ED3"/>
    <w:rsid w:val="004C4011"/>
    <w:rsid w:val="004C4014"/>
    <w:rsid w:val="004C4107"/>
    <w:rsid w:val="004C41BA"/>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6DF"/>
    <w:rsid w:val="004C57AA"/>
    <w:rsid w:val="004C5B33"/>
    <w:rsid w:val="004C5B5D"/>
    <w:rsid w:val="004C5D83"/>
    <w:rsid w:val="004C5DE5"/>
    <w:rsid w:val="004C5E48"/>
    <w:rsid w:val="004C5F53"/>
    <w:rsid w:val="004C5F6B"/>
    <w:rsid w:val="004C600B"/>
    <w:rsid w:val="004C6071"/>
    <w:rsid w:val="004C6188"/>
    <w:rsid w:val="004C6208"/>
    <w:rsid w:val="004C6550"/>
    <w:rsid w:val="004C6572"/>
    <w:rsid w:val="004C659B"/>
    <w:rsid w:val="004C6625"/>
    <w:rsid w:val="004C6713"/>
    <w:rsid w:val="004C6964"/>
    <w:rsid w:val="004C69F5"/>
    <w:rsid w:val="004C6A35"/>
    <w:rsid w:val="004C6B4F"/>
    <w:rsid w:val="004C6B82"/>
    <w:rsid w:val="004C6B86"/>
    <w:rsid w:val="004C6BBE"/>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76"/>
    <w:rsid w:val="004D0706"/>
    <w:rsid w:val="004D09D1"/>
    <w:rsid w:val="004D0BED"/>
    <w:rsid w:val="004D0C4E"/>
    <w:rsid w:val="004D0EC3"/>
    <w:rsid w:val="004D10B4"/>
    <w:rsid w:val="004D1167"/>
    <w:rsid w:val="004D119E"/>
    <w:rsid w:val="004D11BA"/>
    <w:rsid w:val="004D14BE"/>
    <w:rsid w:val="004D1666"/>
    <w:rsid w:val="004D1890"/>
    <w:rsid w:val="004D1966"/>
    <w:rsid w:val="004D1BC2"/>
    <w:rsid w:val="004D209C"/>
    <w:rsid w:val="004D20F0"/>
    <w:rsid w:val="004D274E"/>
    <w:rsid w:val="004D2798"/>
    <w:rsid w:val="004D28BE"/>
    <w:rsid w:val="004D2A6D"/>
    <w:rsid w:val="004D2B61"/>
    <w:rsid w:val="004D2BC0"/>
    <w:rsid w:val="004D2F5D"/>
    <w:rsid w:val="004D30D8"/>
    <w:rsid w:val="004D3215"/>
    <w:rsid w:val="004D3329"/>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509"/>
    <w:rsid w:val="004D4635"/>
    <w:rsid w:val="004D46AC"/>
    <w:rsid w:val="004D4733"/>
    <w:rsid w:val="004D482B"/>
    <w:rsid w:val="004D4B43"/>
    <w:rsid w:val="004D4BD0"/>
    <w:rsid w:val="004D4D3B"/>
    <w:rsid w:val="004D4F16"/>
    <w:rsid w:val="004D510B"/>
    <w:rsid w:val="004D520E"/>
    <w:rsid w:val="004D532E"/>
    <w:rsid w:val="004D5928"/>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A76"/>
    <w:rsid w:val="004D6CF6"/>
    <w:rsid w:val="004D6E58"/>
    <w:rsid w:val="004D6EB7"/>
    <w:rsid w:val="004D70A8"/>
    <w:rsid w:val="004D71B0"/>
    <w:rsid w:val="004D71CD"/>
    <w:rsid w:val="004D7293"/>
    <w:rsid w:val="004D740D"/>
    <w:rsid w:val="004D751A"/>
    <w:rsid w:val="004D76E9"/>
    <w:rsid w:val="004D770D"/>
    <w:rsid w:val="004D7721"/>
    <w:rsid w:val="004D79A5"/>
    <w:rsid w:val="004D7AE3"/>
    <w:rsid w:val="004D7B2B"/>
    <w:rsid w:val="004D7C75"/>
    <w:rsid w:val="004D7D43"/>
    <w:rsid w:val="004E022C"/>
    <w:rsid w:val="004E0457"/>
    <w:rsid w:val="004E06FD"/>
    <w:rsid w:val="004E0A9E"/>
    <w:rsid w:val="004E0CEA"/>
    <w:rsid w:val="004E0EB3"/>
    <w:rsid w:val="004E0FE8"/>
    <w:rsid w:val="004E134A"/>
    <w:rsid w:val="004E15FD"/>
    <w:rsid w:val="004E16A9"/>
    <w:rsid w:val="004E172F"/>
    <w:rsid w:val="004E173E"/>
    <w:rsid w:val="004E19B2"/>
    <w:rsid w:val="004E1BAF"/>
    <w:rsid w:val="004E20FC"/>
    <w:rsid w:val="004E2274"/>
    <w:rsid w:val="004E24DE"/>
    <w:rsid w:val="004E2684"/>
    <w:rsid w:val="004E275B"/>
    <w:rsid w:val="004E288E"/>
    <w:rsid w:val="004E2A10"/>
    <w:rsid w:val="004E2ABA"/>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1F"/>
    <w:rsid w:val="004E3D60"/>
    <w:rsid w:val="004E41A4"/>
    <w:rsid w:val="004E4280"/>
    <w:rsid w:val="004E43AE"/>
    <w:rsid w:val="004E47F4"/>
    <w:rsid w:val="004E4C2C"/>
    <w:rsid w:val="004E4D76"/>
    <w:rsid w:val="004E50E9"/>
    <w:rsid w:val="004E51A1"/>
    <w:rsid w:val="004E5C0F"/>
    <w:rsid w:val="004E5C7B"/>
    <w:rsid w:val="004E5D95"/>
    <w:rsid w:val="004E5E7C"/>
    <w:rsid w:val="004E6033"/>
    <w:rsid w:val="004E6641"/>
    <w:rsid w:val="004E6D38"/>
    <w:rsid w:val="004E6DC3"/>
    <w:rsid w:val="004E701A"/>
    <w:rsid w:val="004E71AF"/>
    <w:rsid w:val="004E72CD"/>
    <w:rsid w:val="004E7400"/>
    <w:rsid w:val="004E761E"/>
    <w:rsid w:val="004E76D4"/>
    <w:rsid w:val="004E777A"/>
    <w:rsid w:val="004E77FC"/>
    <w:rsid w:val="004E790D"/>
    <w:rsid w:val="004E7A49"/>
    <w:rsid w:val="004E7BE2"/>
    <w:rsid w:val="004E7C2A"/>
    <w:rsid w:val="004F00B7"/>
    <w:rsid w:val="004F0207"/>
    <w:rsid w:val="004F021B"/>
    <w:rsid w:val="004F0245"/>
    <w:rsid w:val="004F04C5"/>
    <w:rsid w:val="004F0548"/>
    <w:rsid w:val="004F07DE"/>
    <w:rsid w:val="004F0D17"/>
    <w:rsid w:val="004F0D4C"/>
    <w:rsid w:val="004F0E96"/>
    <w:rsid w:val="004F0F3E"/>
    <w:rsid w:val="004F1089"/>
    <w:rsid w:val="004F10BC"/>
    <w:rsid w:val="004F1741"/>
    <w:rsid w:val="004F1C7C"/>
    <w:rsid w:val="004F1C8F"/>
    <w:rsid w:val="004F1ED1"/>
    <w:rsid w:val="004F2048"/>
    <w:rsid w:val="004F244A"/>
    <w:rsid w:val="004F246F"/>
    <w:rsid w:val="004F263F"/>
    <w:rsid w:val="004F27F1"/>
    <w:rsid w:val="004F27FB"/>
    <w:rsid w:val="004F27FF"/>
    <w:rsid w:val="004F29BF"/>
    <w:rsid w:val="004F2C56"/>
    <w:rsid w:val="004F2C77"/>
    <w:rsid w:val="004F2F95"/>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EF1"/>
    <w:rsid w:val="004F424E"/>
    <w:rsid w:val="004F427E"/>
    <w:rsid w:val="004F428C"/>
    <w:rsid w:val="004F4448"/>
    <w:rsid w:val="004F455B"/>
    <w:rsid w:val="004F4588"/>
    <w:rsid w:val="004F4A46"/>
    <w:rsid w:val="004F4A63"/>
    <w:rsid w:val="004F4AA3"/>
    <w:rsid w:val="004F4AB0"/>
    <w:rsid w:val="004F4BA8"/>
    <w:rsid w:val="004F4BCC"/>
    <w:rsid w:val="004F4D2B"/>
    <w:rsid w:val="004F4E5B"/>
    <w:rsid w:val="004F4F8E"/>
    <w:rsid w:val="004F5187"/>
    <w:rsid w:val="004F52BC"/>
    <w:rsid w:val="004F5403"/>
    <w:rsid w:val="004F54F5"/>
    <w:rsid w:val="004F5842"/>
    <w:rsid w:val="004F595F"/>
    <w:rsid w:val="004F598B"/>
    <w:rsid w:val="004F59B3"/>
    <w:rsid w:val="004F5A9B"/>
    <w:rsid w:val="004F5C8E"/>
    <w:rsid w:val="004F5CE0"/>
    <w:rsid w:val="004F5E4E"/>
    <w:rsid w:val="004F607A"/>
    <w:rsid w:val="004F607C"/>
    <w:rsid w:val="004F611B"/>
    <w:rsid w:val="004F62FB"/>
    <w:rsid w:val="004F6427"/>
    <w:rsid w:val="004F653D"/>
    <w:rsid w:val="004F69E0"/>
    <w:rsid w:val="004F6ABA"/>
    <w:rsid w:val="004F6CBB"/>
    <w:rsid w:val="004F6D73"/>
    <w:rsid w:val="004F6D83"/>
    <w:rsid w:val="004F6D98"/>
    <w:rsid w:val="004F7020"/>
    <w:rsid w:val="004F711D"/>
    <w:rsid w:val="004F72B7"/>
    <w:rsid w:val="004F73B2"/>
    <w:rsid w:val="004F73DF"/>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584"/>
    <w:rsid w:val="00500A10"/>
    <w:rsid w:val="0050101D"/>
    <w:rsid w:val="005011D7"/>
    <w:rsid w:val="005011E9"/>
    <w:rsid w:val="0050120A"/>
    <w:rsid w:val="0050129C"/>
    <w:rsid w:val="005013B2"/>
    <w:rsid w:val="005015C9"/>
    <w:rsid w:val="005015DC"/>
    <w:rsid w:val="0050165E"/>
    <w:rsid w:val="0050182B"/>
    <w:rsid w:val="00501980"/>
    <w:rsid w:val="005019D1"/>
    <w:rsid w:val="00501A53"/>
    <w:rsid w:val="00501BFD"/>
    <w:rsid w:val="00501C00"/>
    <w:rsid w:val="00501C22"/>
    <w:rsid w:val="00501C71"/>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B1C"/>
    <w:rsid w:val="00502C58"/>
    <w:rsid w:val="00502D82"/>
    <w:rsid w:val="00502E02"/>
    <w:rsid w:val="00502E22"/>
    <w:rsid w:val="0050301B"/>
    <w:rsid w:val="005030DF"/>
    <w:rsid w:val="005031ED"/>
    <w:rsid w:val="005032FA"/>
    <w:rsid w:val="005034DE"/>
    <w:rsid w:val="005039D3"/>
    <w:rsid w:val="005039EE"/>
    <w:rsid w:val="00503A06"/>
    <w:rsid w:val="00503AD4"/>
    <w:rsid w:val="00503CD7"/>
    <w:rsid w:val="00503D3A"/>
    <w:rsid w:val="00503D7E"/>
    <w:rsid w:val="00504770"/>
    <w:rsid w:val="005047C5"/>
    <w:rsid w:val="00504BBF"/>
    <w:rsid w:val="00504DF7"/>
    <w:rsid w:val="005052E1"/>
    <w:rsid w:val="005053B8"/>
    <w:rsid w:val="00505528"/>
    <w:rsid w:val="0050576C"/>
    <w:rsid w:val="00505AB0"/>
    <w:rsid w:val="00505F02"/>
    <w:rsid w:val="00505FAB"/>
    <w:rsid w:val="0050603F"/>
    <w:rsid w:val="005060AD"/>
    <w:rsid w:val="005063DA"/>
    <w:rsid w:val="0050640A"/>
    <w:rsid w:val="005065DA"/>
    <w:rsid w:val="0050679F"/>
    <w:rsid w:val="00506CB9"/>
    <w:rsid w:val="00506F85"/>
    <w:rsid w:val="00507029"/>
    <w:rsid w:val="0050707B"/>
    <w:rsid w:val="005071C6"/>
    <w:rsid w:val="005071D4"/>
    <w:rsid w:val="00507429"/>
    <w:rsid w:val="00507626"/>
    <w:rsid w:val="005076A2"/>
    <w:rsid w:val="00507789"/>
    <w:rsid w:val="005077FB"/>
    <w:rsid w:val="0050794B"/>
    <w:rsid w:val="0050797B"/>
    <w:rsid w:val="005079FB"/>
    <w:rsid w:val="00507AD7"/>
    <w:rsid w:val="00507CB8"/>
    <w:rsid w:val="00507EA7"/>
    <w:rsid w:val="0051030B"/>
    <w:rsid w:val="0051038F"/>
    <w:rsid w:val="00510498"/>
    <w:rsid w:val="00510514"/>
    <w:rsid w:val="00510527"/>
    <w:rsid w:val="0051058A"/>
    <w:rsid w:val="00510C7D"/>
    <w:rsid w:val="00510CF1"/>
    <w:rsid w:val="00510D01"/>
    <w:rsid w:val="00510E3D"/>
    <w:rsid w:val="00510F16"/>
    <w:rsid w:val="0051109F"/>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ED"/>
    <w:rsid w:val="005127A2"/>
    <w:rsid w:val="005127F3"/>
    <w:rsid w:val="00512C21"/>
    <w:rsid w:val="00512D0B"/>
    <w:rsid w:val="005130B7"/>
    <w:rsid w:val="0051340D"/>
    <w:rsid w:val="00513515"/>
    <w:rsid w:val="00513544"/>
    <w:rsid w:val="005135E0"/>
    <w:rsid w:val="00513790"/>
    <w:rsid w:val="005137DC"/>
    <w:rsid w:val="0051398A"/>
    <w:rsid w:val="00513A53"/>
    <w:rsid w:val="00513D2C"/>
    <w:rsid w:val="00513D2F"/>
    <w:rsid w:val="005140AC"/>
    <w:rsid w:val="005141C5"/>
    <w:rsid w:val="00514208"/>
    <w:rsid w:val="0051439A"/>
    <w:rsid w:val="005144E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495"/>
    <w:rsid w:val="00515689"/>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A43"/>
    <w:rsid w:val="00516D18"/>
    <w:rsid w:val="00516DDA"/>
    <w:rsid w:val="00516E2A"/>
    <w:rsid w:val="00516E45"/>
    <w:rsid w:val="00516F42"/>
    <w:rsid w:val="00516FAE"/>
    <w:rsid w:val="005171DC"/>
    <w:rsid w:val="00517231"/>
    <w:rsid w:val="0051797D"/>
    <w:rsid w:val="0051798E"/>
    <w:rsid w:val="00517AF0"/>
    <w:rsid w:val="00517AF5"/>
    <w:rsid w:val="00517BEC"/>
    <w:rsid w:val="00517F33"/>
    <w:rsid w:val="00517F3E"/>
    <w:rsid w:val="00517F80"/>
    <w:rsid w:val="00517FBF"/>
    <w:rsid w:val="00520147"/>
    <w:rsid w:val="005203AE"/>
    <w:rsid w:val="005204F3"/>
    <w:rsid w:val="0052056E"/>
    <w:rsid w:val="0052057B"/>
    <w:rsid w:val="005208C1"/>
    <w:rsid w:val="00520976"/>
    <w:rsid w:val="00520B9B"/>
    <w:rsid w:val="00520C27"/>
    <w:rsid w:val="00520F1C"/>
    <w:rsid w:val="00520F7F"/>
    <w:rsid w:val="00520F89"/>
    <w:rsid w:val="005213A8"/>
    <w:rsid w:val="005213B5"/>
    <w:rsid w:val="0052153E"/>
    <w:rsid w:val="005215AD"/>
    <w:rsid w:val="00521903"/>
    <w:rsid w:val="00521A56"/>
    <w:rsid w:val="00521AC4"/>
    <w:rsid w:val="00521C03"/>
    <w:rsid w:val="00521EAA"/>
    <w:rsid w:val="0052213A"/>
    <w:rsid w:val="0052227A"/>
    <w:rsid w:val="005222F1"/>
    <w:rsid w:val="005224CC"/>
    <w:rsid w:val="00522574"/>
    <w:rsid w:val="005225F0"/>
    <w:rsid w:val="00522712"/>
    <w:rsid w:val="00522715"/>
    <w:rsid w:val="005229CD"/>
    <w:rsid w:val="005229D6"/>
    <w:rsid w:val="00522A2C"/>
    <w:rsid w:val="00522AD3"/>
    <w:rsid w:val="00522B12"/>
    <w:rsid w:val="00522B16"/>
    <w:rsid w:val="00522C8F"/>
    <w:rsid w:val="00522CB4"/>
    <w:rsid w:val="00522DF1"/>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2DF"/>
    <w:rsid w:val="0052476A"/>
    <w:rsid w:val="00524A41"/>
    <w:rsid w:val="00524C77"/>
    <w:rsid w:val="00524D0D"/>
    <w:rsid w:val="00524D16"/>
    <w:rsid w:val="00524EE7"/>
    <w:rsid w:val="005251EA"/>
    <w:rsid w:val="00525299"/>
    <w:rsid w:val="005255DE"/>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B"/>
    <w:rsid w:val="005269D7"/>
    <w:rsid w:val="00526BA4"/>
    <w:rsid w:val="00526C35"/>
    <w:rsid w:val="00526D34"/>
    <w:rsid w:val="00526DF3"/>
    <w:rsid w:val="00526FB3"/>
    <w:rsid w:val="0052709E"/>
    <w:rsid w:val="00527347"/>
    <w:rsid w:val="005274A8"/>
    <w:rsid w:val="005274F1"/>
    <w:rsid w:val="0052772A"/>
    <w:rsid w:val="005277AC"/>
    <w:rsid w:val="005277CD"/>
    <w:rsid w:val="00527812"/>
    <w:rsid w:val="00527E39"/>
    <w:rsid w:val="0053007C"/>
    <w:rsid w:val="0053023A"/>
    <w:rsid w:val="00530343"/>
    <w:rsid w:val="005304CB"/>
    <w:rsid w:val="00530591"/>
    <w:rsid w:val="0053065A"/>
    <w:rsid w:val="00530955"/>
    <w:rsid w:val="00530C31"/>
    <w:rsid w:val="00530E0F"/>
    <w:rsid w:val="00530F82"/>
    <w:rsid w:val="00530F8F"/>
    <w:rsid w:val="00530FF6"/>
    <w:rsid w:val="00531036"/>
    <w:rsid w:val="00531066"/>
    <w:rsid w:val="00531095"/>
    <w:rsid w:val="00531107"/>
    <w:rsid w:val="00531126"/>
    <w:rsid w:val="005311D6"/>
    <w:rsid w:val="005311E7"/>
    <w:rsid w:val="00531345"/>
    <w:rsid w:val="00531717"/>
    <w:rsid w:val="00531748"/>
    <w:rsid w:val="00531785"/>
    <w:rsid w:val="00531A18"/>
    <w:rsid w:val="00531B28"/>
    <w:rsid w:val="00531D39"/>
    <w:rsid w:val="00531D99"/>
    <w:rsid w:val="00531DEA"/>
    <w:rsid w:val="00531ED6"/>
    <w:rsid w:val="005321E2"/>
    <w:rsid w:val="005324B5"/>
    <w:rsid w:val="005325EA"/>
    <w:rsid w:val="0053262C"/>
    <w:rsid w:val="0053270B"/>
    <w:rsid w:val="00532820"/>
    <w:rsid w:val="00532925"/>
    <w:rsid w:val="00532A4F"/>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148"/>
    <w:rsid w:val="00534287"/>
    <w:rsid w:val="005344A0"/>
    <w:rsid w:val="005345FE"/>
    <w:rsid w:val="0053468F"/>
    <w:rsid w:val="005347B2"/>
    <w:rsid w:val="0053482B"/>
    <w:rsid w:val="00534890"/>
    <w:rsid w:val="0053498D"/>
    <w:rsid w:val="00534C14"/>
    <w:rsid w:val="00535050"/>
    <w:rsid w:val="005350C9"/>
    <w:rsid w:val="005352C2"/>
    <w:rsid w:val="005353CA"/>
    <w:rsid w:val="005353ED"/>
    <w:rsid w:val="005355A8"/>
    <w:rsid w:val="005358E0"/>
    <w:rsid w:val="005359A6"/>
    <w:rsid w:val="00535C32"/>
    <w:rsid w:val="00535CC6"/>
    <w:rsid w:val="00535D4F"/>
    <w:rsid w:val="00535F2A"/>
    <w:rsid w:val="00536213"/>
    <w:rsid w:val="005364B1"/>
    <w:rsid w:val="005369C7"/>
    <w:rsid w:val="005369F9"/>
    <w:rsid w:val="00536A66"/>
    <w:rsid w:val="00536C70"/>
    <w:rsid w:val="00536E43"/>
    <w:rsid w:val="00537049"/>
    <w:rsid w:val="0053704A"/>
    <w:rsid w:val="0053724A"/>
    <w:rsid w:val="00537326"/>
    <w:rsid w:val="00537475"/>
    <w:rsid w:val="00537514"/>
    <w:rsid w:val="00537848"/>
    <w:rsid w:val="00537975"/>
    <w:rsid w:val="005379BC"/>
    <w:rsid w:val="005379FA"/>
    <w:rsid w:val="00537A28"/>
    <w:rsid w:val="00537B0C"/>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FCA"/>
    <w:rsid w:val="005411E4"/>
    <w:rsid w:val="005412AF"/>
    <w:rsid w:val="0054133E"/>
    <w:rsid w:val="005413F8"/>
    <w:rsid w:val="00541440"/>
    <w:rsid w:val="0054183D"/>
    <w:rsid w:val="0054185F"/>
    <w:rsid w:val="00541ABE"/>
    <w:rsid w:val="0054200A"/>
    <w:rsid w:val="0054213A"/>
    <w:rsid w:val="00542172"/>
    <w:rsid w:val="00542294"/>
    <w:rsid w:val="0054243F"/>
    <w:rsid w:val="00542455"/>
    <w:rsid w:val="005426AB"/>
    <w:rsid w:val="005426C3"/>
    <w:rsid w:val="0054274C"/>
    <w:rsid w:val="005427A1"/>
    <w:rsid w:val="00542895"/>
    <w:rsid w:val="00542A02"/>
    <w:rsid w:val="00542C57"/>
    <w:rsid w:val="00542D0F"/>
    <w:rsid w:val="0054305F"/>
    <w:rsid w:val="005430F1"/>
    <w:rsid w:val="00543252"/>
    <w:rsid w:val="00543257"/>
    <w:rsid w:val="00543335"/>
    <w:rsid w:val="00543371"/>
    <w:rsid w:val="0054351E"/>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4E0D"/>
    <w:rsid w:val="005450E6"/>
    <w:rsid w:val="005451F2"/>
    <w:rsid w:val="00545790"/>
    <w:rsid w:val="00545963"/>
    <w:rsid w:val="005459E1"/>
    <w:rsid w:val="00545A3C"/>
    <w:rsid w:val="00545BA5"/>
    <w:rsid w:val="00545BD4"/>
    <w:rsid w:val="00545CDE"/>
    <w:rsid w:val="00545D45"/>
    <w:rsid w:val="00545DA2"/>
    <w:rsid w:val="00545E48"/>
    <w:rsid w:val="00545FBC"/>
    <w:rsid w:val="005461FA"/>
    <w:rsid w:val="0054630F"/>
    <w:rsid w:val="00546476"/>
    <w:rsid w:val="005466D0"/>
    <w:rsid w:val="005466EC"/>
    <w:rsid w:val="00546700"/>
    <w:rsid w:val="00546986"/>
    <w:rsid w:val="005469D6"/>
    <w:rsid w:val="00546B62"/>
    <w:rsid w:val="00546C69"/>
    <w:rsid w:val="00546E2F"/>
    <w:rsid w:val="00546EAE"/>
    <w:rsid w:val="00546EE9"/>
    <w:rsid w:val="005472F8"/>
    <w:rsid w:val="00547373"/>
    <w:rsid w:val="005473F2"/>
    <w:rsid w:val="005474D6"/>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3"/>
    <w:rsid w:val="00550BC8"/>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EC8"/>
    <w:rsid w:val="00552F66"/>
    <w:rsid w:val="0055330C"/>
    <w:rsid w:val="0055345C"/>
    <w:rsid w:val="00553840"/>
    <w:rsid w:val="00553856"/>
    <w:rsid w:val="00553BC2"/>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DE6"/>
    <w:rsid w:val="00554E70"/>
    <w:rsid w:val="00554E74"/>
    <w:rsid w:val="00554F8B"/>
    <w:rsid w:val="00554FB8"/>
    <w:rsid w:val="005550A0"/>
    <w:rsid w:val="005550E6"/>
    <w:rsid w:val="0055517B"/>
    <w:rsid w:val="005552E6"/>
    <w:rsid w:val="00555438"/>
    <w:rsid w:val="00555470"/>
    <w:rsid w:val="005554C3"/>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63B"/>
    <w:rsid w:val="005566A5"/>
    <w:rsid w:val="00556735"/>
    <w:rsid w:val="005567DE"/>
    <w:rsid w:val="005568BF"/>
    <w:rsid w:val="005568F1"/>
    <w:rsid w:val="00556A48"/>
    <w:rsid w:val="00556C02"/>
    <w:rsid w:val="00556C4E"/>
    <w:rsid w:val="00556DD9"/>
    <w:rsid w:val="00556E5A"/>
    <w:rsid w:val="005570F4"/>
    <w:rsid w:val="00557199"/>
    <w:rsid w:val="0055745A"/>
    <w:rsid w:val="00557562"/>
    <w:rsid w:val="00557628"/>
    <w:rsid w:val="005578F5"/>
    <w:rsid w:val="00557900"/>
    <w:rsid w:val="0056008D"/>
    <w:rsid w:val="0056012B"/>
    <w:rsid w:val="0056024D"/>
    <w:rsid w:val="005602B3"/>
    <w:rsid w:val="005602CE"/>
    <w:rsid w:val="00560341"/>
    <w:rsid w:val="0056041B"/>
    <w:rsid w:val="00560664"/>
    <w:rsid w:val="00560745"/>
    <w:rsid w:val="005607F8"/>
    <w:rsid w:val="005608C0"/>
    <w:rsid w:val="005609AC"/>
    <w:rsid w:val="00560F1D"/>
    <w:rsid w:val="00561171"/>
    <w:rsid w:val="00561307"/>
    <w:rsid w:val="00561322"/>
    <w:rsid w:val="00561785"/>
    <w:rsid w:val="00561786"/>
    <w:rsid w:val="00561856"/>
    <w:rsid w:val="00561AAD"/>
    <w:rsid w:val="00561D74"/>
    <w:rsid w:val="00561DBC"/>
    <w:rsid w:val="00561E5D"/>
    <w:rsid w:val="00561EBE"/>
    <w:rsid w:val="00561EC4"/>
    <w:rsid w:val="005622BB"/>
    <w:rsid w:val="00562429"/>
    <w:rsid w:val="005624B2"/>
    <w:rsid w:val="005625D8"/>
    <w:rsid w:val="00562664"/>
    <w:rsid w:val="00562816"/>
    <w:rsid w:val="00562B5D"/>
    <w:rsid w:val="00562DF5"/>
    <w:rsid w:val="005630FD"/>
    <w:rsid w:val="0056345F"/>
    <w:rsid w:val="0056359E"/>
    <w:rsid w:val="005635FD"/>
    <w:rsid w:val="0056367B"/>
    <w:rsid w:val="0056371A"/>
    <w:rsid w:val="00563865"/>
    <w:rsid w:val="00563907"/>
    <w:rsid w:val="005639EC"/>
    <w:rsid w:val="00563A54"/>
    <w:rsid w:val="00563C6F"/>
    <w:rsid w:val="00563EFA"/>
    <w:rsid w:val="00563F5E"/>
    <w:rsid w:val="00563F73"/>
    <w:rsid w:val="0056408A"/>
    <w:rsid w:val="00564147"/>
    <w:rsid w:val="00564157"/>
    <w:rsid w:val="0056458B"/>
    <w:rsid w:val="00564606"/>
    <w:rsid w:val="00564612"/>
    <w:rsid w:val="0056485B"/>
    <w:rsid w:val="00564896"/>
    <w:rsid w:val="00564941"/>
    <w:rsid w:val="005649B7"/>
    <w:rsid w:val="005649F9"/>
    <w:rsid w:val="00564DB5"/>
    <w:rsid w:val="00564EAB"/>
    <w:rsid w:val="00565084"/>
    <w:rsid w:val="005653DA"/>
    <w:rsid w:val="00565522"/>
    <w:rsid w:val="005657A7"/>
    <w:rsid w:val="00565A8E"/>
    <w:rsid w:val="00565CE8"/>
    <w:rsid w:val="00565FC1"/>
    <w:rsid w:val="005660EE"/>
    <w:rsid w:val="00566176"/>
    <w:rsid w:val="00566446"/>
    <w:rsid w:val="00566570"/>
    <w:rsid w:val="005666DC"/>
    <w:rsid w:val="005667B5"/>
    <w:rsid w:val="0056685B"/>
    <w:rsid w:val="005669E3"/>
    <w:rsid w:val="00566A7F"/>
    <w:rsid w:val="00566B1B"/>
    <w:rsid w:val="00566E17"/>
    <w:rsid w:val="00566E35"/>
    <w:rsid w:val="00567000"/>
    <w:rsid w:val="0056716C"/>
    <w:rsid w:val="005673C0"/>
    <w:rsid w:val="00567645"/>
    <w:rsid w:val="00567647"/>
    <w:rsid w:val="00567885"/>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CD6"/>
    <w:rsid w:val="00570F21"/>
    <w:rsid w:val="00570F79"/>
    <w:rsid w:val="00571054"/>
    <w:rsid w:val="00571138"/>
    <w:rsid w:val="0057131B"/>
    <w:rsid w:val="005714B7"/>
    <w:rsid w:val="00571514"/>
    <w:rsid w:val="005715C0"/>
    <w:rsid w:val="00571B2E"/>
    <w:rsid w:val="00571C3E"/>
    <w:rsid w:val="00571C9F"/>
    <w:rsid w:val="00571D58"/>
    <w:rsid w:val="00571DE9"/>
    <w:rsid w:val="00571E8C"/>
    <w:rsid w:val="00571E97"/>
    <w:rsid w:val="00571EAA"/>
    <w:rsid w:val="00571EF2"/>
    <w:rsid w:val="00571F33"/>
    <w:rsid w:val="00571FF7"/>
    <w:rsid w:val="00572245"/>
    <w:rsid w:val="005723D6"/>
    <w:rsid w:val="005725C8"/>
    <w:rsid w:val="005725D6"/>
    <w:rsid w:val="005726D1"/>
    <w:rsid w:val="00572717"/>
    <w:rsid w:val="00572941"/>
    <w:rsid w:val="00572AA3"/>
    <w:rsid w:val="00572D10"/>
    <w:rsid w:val="00572D1C"/>
    <w:rsid w:val="00572D64"/>
    <w:rsid w:val="00572DA3"/>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C23"/>
    <w:rsid w:val="00573D36"/>
    <w:rsid w:val="00573D88"/>
    <w:rsid w:val="00573E5E"/>
    <w:rsid w:val="00573E77"/>
    <w:rsid w:val="00573E99"/>
    <w:rsid w:val="00573EC2"/>
    <w:rsid w:val="00573FD9"/>
    <w:rsid w:val="005740A4"/>
    <w:rsid w:val="005741E4"/>
    <w:rsid w:val="00574295"/>
    <w:rsid w:val="0057447B"/>
    <w:rsid w:val="00574A77"/>
    <w:rsid w:val="005751B2"/>
    <w:rsid w:val="00575350"/>
    <w:rsid w:val="00575476"/>
    <w:rsid w:val="0057552D"/>
    <w:rsid w:val="0057558A"/>
    <w:rsid w:val="00575650"/>
    <w:rsid w:val="005758C3"/>
    <w:rsid w:val="005759F2"/>
    <w:rsid w:val="00575B87"/>
    <w:rsid w:val="00575E1A"/>
    <w:rsid w:val="00575F45"/>
    <w:rsid w:val="005761B7"/>
    <w:rsid w:val="005762CF"/>
    <w:rsid w:val="005762D4"/>
    <w:rsid w:val="00576322"/>
    <w:rsid w:val="0057633F"/>
    <w:rsid w:val="0057661B"/>
    <w:rsid w:val="005767AA"/>
    <w:rsid w:val="005767DD"/>
    <w:rsid w:val="00576869"/>
    <w:rsid w:val="00576A1B"/>
    <w:rsid w:val="00576BAD"/>
    <w:rsid w:val="00576C3F"/>
    <w:rsid w:val="00576CB5"/>
    <w:rsid w:val="00576F96"/>
    <w:rsid w:val="00577080"/>
    <w:rsid w:val="00577169"/>
    <w:rsid w:val="00577385"/>
    <w:rsid w:val="0057751C"/>
    <w:rsid w:val="00577544"/>
    <w:rsid w:val="005775C1"/>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79"/>
    <w:rsid w:val="00580F80"/>
    <w:rsid w:val="00580F93"/>
    <w:rsid w:val="005811BA"/>
    <w:rsid w:val="0058199D"/>
    <w:rsid w:val="005819C3"/>
    <w:rsid w:val="005819CA"/>
    <w:rsid w:val="00581A60"/>
    <w:rsid w:val="00581BF2"/>
    <w:rsid w:val="00581EAE"/>
    <w:rsid w:val="00581FBD"/>
    <w:rsid w:val="00582089"/>
    <w:rsid w:val="0058221B"/>
    <w:rsid w:val="00582228"/>
    <w:rsid w:val="005823CE"/>
    <w:rsid w:val="0058246B"/>
    <w:rsid w:val="0058253D"/>
    <w:rsid w:val="00582749"/>
    <w:rsid w:val="005827F2"/>
    <w:rsid w:val="00582BD1"/>
    <w:rsid w:val="00582BFF"/>
    <w:rsid w:val="00582FA4"/>
    <w:rsid w:val="0058349C"/>
    <w:rsid w:val="005834B5"/>
    <w:rsid w:val="0058362C"/>
    <w:rsid w:val="005837B5"/>
    <w:rsid w:val="0058382D"/>
    <w:rsid w:val="005838CA"/>
    <w:rsid w:val="0058396E"/>
    <w:rsid w:val="00583C06"/>
    <w:rsid w:val="00583C92"/>
    <w:rsid w:val="00583CAD"/>
    <w:rsid w:val="00583EE3"/>
    <w:rsid w:val="00584011"/>
    <w:rsid w:val="005841DB"/>
    <w:rsid w:val="00584207"/>
    <w:rsid w:val="005842EC"/>
    <w:rsid w:val="00584401"/>
    <w:rsid w:val="0058454E"/>
    <w:rsid w:val="00584783"/>
    <w:rsid w:val="005848FC"/>
    <w:rsid w:val="0058496A"/>
    <w:rsid w:val="0058498E"/>
    <w:rsid w:val="00584BCC"/>
    <w:rsid w:val="00584C91"/>
    <w:rsid w:val="00584CA4"/>
    <w:rsid w:val="00584CD1"/>
    <w:rsid w:val="00584D6D"/>
    <w:rsid w:val="00584E20"/>
    <w:rsid w:val="00584E23"/>
    <w:rsid w:val="00584EAB"/>
    <w:rsid w:val="00584FCC"/>
    <w:rsid w:val="0058507B"/>
    <w:rsid w:val="0058515E"/>
    <w:rsid w:val="005851DE"/>
    <w:rsid w:val="005855D4"/>
    <w:rsid w:val="00585609"/>
    <w:rsid w:val="00585645"/>
    <w:rsid w:val="00585975"/>
    <w:rsid w:val="005859D6"/>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247"/>
    <w:rsid w:val="005873CD"/>
    <w:rsid w:val="00587586"/>
    <w:rsid w:val="00587614"/>
    <w:rsid w:val="0058769B"/>
    <w:rsid w:val="005877E1"/>
    <w:rsid w:val="0058786D"/>
    <w:rsid w:val="005879CB"/>
    <w:rsid w:val="00587A30"/>
    <w:rsid w:val="00587A49"/>
    <w:rsid w:val="00587BA8"/>
    <w:rsid w:val="00587F54"/>
    <w:rsid w:val="00590094"/>
    <w:rsid w:val="00590230"/>
    <w:rsid w:val="0059039C"/>
    <w:rsid w:val="00590466"/>
    <w:rsid w:val="005904A2"/>
    <w:rsid w:val="005907E0"/>
    <w:rsid w:val="00590A49"/>
    <w:rsid w:val="00590BF8"/>
    <w:rsid w:val="00590C50"/>
    <w:rsid w:val="00590EAE"/>
    <w:rsid w:val="00591130"/>
    <w:rsid w:val="005911DB"/>
    <w:rsid w:val="005911FB"/>
    <w:rsid w:val="005913F8"/>
    <w:rsid w:val="00591411"/>
    <w:rsid w:val="005914D9"/>
    <w:rsid w:val="0059150A"/>
    <w:rsid w:val="00591642"/>
    <w:rsid w:val="00591988"/>
    <w:rsid w:val="005919ED"/>
    <w:rsid w:val="00591AD3"/>
    <w:rsid w:val="00591C1C"/>
    <w:rsid w:val="00591CB8"/>
    <w:rsid w:val="00591FB4"/>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E3"/>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50B7"/>
    <w:rsid w:val="00595195"/>
    <w:rsid w:val="0059564C"/>
    <w:rsid w:val="00595686"/>
    <w:rsid w:val="00595726"/>
    <w:rsid w:val="0059575A"/>
    <w:rsid w:val="0059575F"/>
    <w:rsid w:val="0059577F"/>
    <w:rsid w:val="005958EB"/>
    <w:rsid w:val="00595B32"/>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0BB"/>
    <w:rsid w:val="0059718C"/>
    <w:rsid w:val="005971C2"/>
    <w:rsid w:val="005971E1"/>
    <w:rsid w:val="005971E4"/>
    <w:rsid w:val="005972AD"/>
    <w:rsid w:val="005972D5"/>
    <w:rsid w:val="00597307"/>
    <w:rsid w:val="005975F2"/>
    <w:rsid w:val="00597A4E"/>
    <w:rsid w:val="00597AA9"/>
    <w:rsid w:val="00597AEB"/>
    <w:rsid w:val="00597F63"/>
    <w:rsid w:val="005A0049"/>
    <w:rsid w:val="005A005C"/>
    <w:rsid w:val="005A009E"/>
    <w:rsid w:val="005A00AE"/>
    <w:rsid w:val="005A0134"/>
    <w:rsid w:val="005A02D8"/>
    <w:rsid w:val="005A05AF"/>
    <w:rsid w:val="005A05FF"/>
    <w:rsid w:val="005A0615"/>
    <w:rsid w:val="005A06E1"/>
    <w:rsid w:val="005A06ED"/>
    <w:rsid w:val="005A073D"/>
    <w:rsid w:val="005A0989"/>
    <w:rsid w:val="005A0AA3"/>
    <w:rsid w:val="005A0B42"/>
    <w:rsid w:val="005A0E88"/>
    <w:rsid w:val="005A0F78"/>
    <w:rsid w:val="005A1150"/>
    <w:rsid w:val="005A11C0"/>
    <w:rsid w:val="005A1214"/>
    <w:rsid w:val="005A122C"/>
    <w:rsid w:val="005A126F"/>
    <w:rsid w:val="005A127D"/>
    <w:rsid w:val="005A13B6"/>
    <w:rsid w:val="005A14A5"/>
    <w:rsid w:val="005A15EA"/>
    <w:rsid w:val="005A185C"/>
    <w:rsid w:val="005A1996"/>
    <w:rsid w:val="005A19A4"/>
    <w:rsid w:val="005A19ED"/>
    <w:rsid w:val="005A1A6B"/>
    <w:rsid w:val="005A1AFC"/>
    <w:rsid w:val="005A1C5D"/>
    <w:rsid w:val="005A1C6B"/>
    <w:rsid w:val="005A1D27"/>
    <w:rsid w:val="005A1DF0"/>
    <w:rsid w:val="005A2197"/>
    <w:rsid w:val="005A22BA"/>
    <w:rsid w:val="005A24F0"/>
    <w:rsid w:val="005A2747"/>
    <w:rsid w:val="005A27A3"/>
    <w:rsid w:val="005A299F"/>
    <w:rsid w:val="005A2BB6"/>
    <w:rsid w:val="005A2BC3"/>
    <w:rsid w:val="005A2CF3"/>
    <w:rsid w:val="005A2DEC"/>
    <w:rsid w:val="005A2DF9"/>
    <w:rsid w:val="005A2F8D"/>
    <w:rsid w:val="005A31CD"/>
    <w:rsid w:val="005A3371"/>
    <w:rsid w:val="005A357F"/>
    <w:rsid w:val="005A36BC"/>
    <w:rsid w:val="005A3907"/>
    <w:rsid w:val="005A3A36"/>
    <w:rsid w:val="005A3B55"/>
    <w:rsid w:val="005A3D86"/>
    <w:rsid w:val="005A3E96"/>
    <w:rsid w:val="005A3F74"/>
    <w:rsid w:val="005A3F90"/>
    <w:rsid w:val="005A4128"/>
    <w:rsid w:val="005A42EC"/>
    <w:rsid w:val="005A4551"/>
    <w:rsid w:val="005A4592"/>
    <w:rsid w:val="005A4608"/>
    <w:rsid w:val="005A474B"/>
    <w:rsid w:val="005A4756"/>
    <w:rsid w:val="005A47D3"/>
    <w:rsid w:val="005A47F9"/>
    <w:rsid w:val="005A480A"/>
    <w:rsid w:val="005A4914"/>
    <w:rsid w:val="005A4A30"/>
    <w:rsid w:val="005A4A4A"/>
    <w:rsid w:val="005A4A7F"/>
    <w:rsid w:val="005A4B91"/>
    <w:rsid w:val="005A4BB0"/>
    <w:rsid w:val="005A4C18"/>
    <w:rsid w:val="005A507C"/>
    <w:rsid w:val="005A50B7"/>
    <w:rsid w:val="005A5191"/>
    <w:rsid w:val="005A51C6"/>
    <w:rsid w:val="005A5317"/>
    <w:rsid w:val="005A53D4"/>
    <w:rsid w:val="005A5420"/>
    <w:rsid w:val="005A54A6"/>
    <w:rsid w:val="005A54A7"/>
    <w:rsid w:val="005A55BC"/>
    <w:rsid w:val="005A571C"/>
    <w:rsid w:val="005A5ADC"/>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0D9"/>
    <w:rsid w:val="005A70F5"/>
    <w:rsid w:val="005A73DF"/>
    <w:rsid w:val="005A752D"/>
    <w:rsid w:val="005A754F"/>
    <w:rsid w:val="005A762B"/>
    <w:rsid w:val="005A7735"/>
    <w:rsid w:val="005A78E2"/>
    <w:rsid w:val="005A79E2"/>
    <w:rsid w:val="005A7C37"/>
    <w:rsid w:val="005A7DD9"/>
    <w:rsid w:val="005A7FF6"/>
    <w:rsid w:val="005B0115"/>
    <w:rsid w:val="005B027F"/>
    <w:rsid w:val="005B0297"/>
    <w:rsid w:val="005B02DC"/>
    <w:rsid w:val="005B033E"/>
    <w:rsid w:val="005B037D"/>
    <w:rsid w:val="005B04EE"/>
    <w:rsid w:val="005B04F9"/>
    <w:rsid w:val="005B057B"/>
    <w:rsid w:val="005B0743"/>
    <w:rsid w:val="005B0834"/>
    <w:rsid w:val="005B08BA"/>
    <w:rsid w:val="005B08ED"/>
    <w:rsid w:val="005B0CD6"/>
    <w:rsid w:val="005B0FD1"/>
    <w:rsid w:val="005B1122"/>
    <w:rsid w:val="005B113A"/>
    <w:rsid w:val="005B12F1"/>
    <w:rsid w:val="005B1572"/>
    <w:rsid w:val="005B1598"/>
    <w:rsid w:val="005B15CA"/>
    <w:rsid w:val="005B1655"/>
    <w:rsid w:val="005B16AA"/>
    <w:rsid w:val="005B1BFF"/>
    <w:rsid w:val="005B1C3D"/>
    <w:rsid w:val="005B1C41"/>
    <w:rsid w:val="005B1DC6"/>
    <w:rsid w:val="005B274A"/>
    <w:rsid w:val="005B2833"/>
    <w:rsid w:val="005B2955"/>
    <w:rsid w:val="005B2A2B"/>
    <w:rsid w:val="005B2B45"/>
    <w:rsid w:val="005B2B91"/>
    <w:rsid w:val="005B2BA8"/>
    <w:rsid w:val="005B2C3B"/>
    <w:rsid w:val="005B2CBD"/>
    <w:rsid w:val="005B2D95"/>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F8C"/>
    <w:rsid w:val="005B4FBB"/>
    <w:rsid w:val="005B5003"/>
    <w:rsid w:val="005B5035"/>
    <w:rsid w:val="005B50BF"/>
    <w:rsid w:val="005B519D"/>
    <w:rsid w:val="005B51A8"/>
    <w:rsid w:val="005B51FA"/>
    <w:rsid w:val="005B520C"/>
    <w:rsid w:val="005B5437"/>
    <w:rsid w:val="005B582F"/>
    <w:rsid w:val="005B585C"/>
    <w:rsid w:val="005B5979"/>
    <w:rsid w:val="005B59E8"/>
    <w:rsid w:val="005B5A65"/>
    <w:rsid w:val="005B5CB6"/>
    <w:rsid w:val="005B5ED0"/>
    <w:rsid w:val="005B5F0B"/>
    <w:rsid w:val="005B60A5"/>
    <w:rsid w:val="005B60AC"/>
    <w:rsid w:val="005B6203"/>
    <w:rsid w:val="005B62BD"/>
    <w:rsid w:val="005B631C"/>
    <w:rsid w:val="005B644A"/>
    <w:rsid w:val="005B6474"/>
    <w:rsid w:val="005B66FE"/>
    <w:rsid w:val="005B6763"/>
    <w:rsid w:val="005B6767"/>
    <w:rsid w:val="005B681C"/>
    <w:rsid w:val="005B6A61"/>
    <w:rsid w:val="005B6D1A"/>
    <w:rsid w:val="005B6DE4"/>
    <w:rsid w:val="005B6F59"/>
    <w:rsid w:val="005B706F"/>
    <w:rsid w:val="005B7257"/>
    <w:rsid w:val="005B7288"/>
    <w:rsid w:val="005B7311"/>
    <w:rsid w:val="005B745E"/>
    <w:rsid w:val="005B749A"/>
    <w:rsid w:val="005B7542"/>
    <w:rsid w:val="005B7582"/>
    <w:rsid w:val="005B75C4"/>
    <w:rsid w:val="005B7663"/>
    <w:rsid w:val="005B76F6"/>
    <w:rsid w:val="005B773D"/>
    <w:rsid w:val="005B7A4A"/>
    <w:rsid w:val="005B7A93"/>
    <w:rsid w:val="005B7B0D"/>
    <w:rsid w:val="005B7C8A"/>
    <w:rsid w:val="005B7E99"/>
    <w:rsid w:val="005B7F1D"/>
    <w:rsid w:val="005B7FEF"/>
    <w:rsid w:val="005C027E"/>
    <w:rsid w:val="005C0319"/>
    <w:rsid w:val="005C03EE"/>
    <w:rsid w:val="005C0555"/>
    <w:rsid w:val="005C0744"/>
    <w:rsid w:val="005C083F"/>
    <w:rsid w:val="005C0886"/>
    <w:rsid w:val="005C08FD"/>
    <w:rsid w:val="005C0A11"/>
    <w:rsid w:val="005C0A44"/>
    <w:rsid w:val="005C0B98"/>
    <w:rsid w:val="005C0C37"/>
    <w:rsid w:val="005C0CD5"/>
    <w:rsid w:val="005C0E60"/>
    <w:rsid w:val="005C0F3B"/>
    <w:rsid w:val="005C0F95"/>
    <w:rsid w:val="005C1064"/>
    <w:rsid w:val="005C12D9"/>
    <w:rsid w:val="005C1541"/>
    <w:rsid w:val="005C1916"/>
    <w:rsid w:val="005C1961"/>
    <w:rsid w:val="005C1B1A"/>
    <w:rsid w:val="005C1C25"/>
    <w:rsid w:val="005C1F2B"/>
    <w:rsid w:val="005C1FBA"/>
    <w:rsid w:val="005C20A9"/>
    <w:rsid w:val="005C216B"/>
    <w:rsid w:val="005C21CF"/>
    <w:rsid w:val="005C2256"/>
    <w:rsid w:val="005C263E"/>
    <w:rsid w:val="005C26E5"/>
    <w:rsid w:val="005C2775"/>
    <w:rsid w:val="005C27E3"/>
    <w:rsid w:val="005C29A5"/>
    <w:rsid w:val="005C2A58"/>
    <w:rsid w:val="005C2AD7"/>
    <w:rsid w:val="005C2B5A"/>
    <w:rsid w:val="005C2CE8"/>
    <w:rsid w:val="005C2E54"/>
    <w:rsid w:val="005C2EDB"/>
    <w:rsid w:val="005C2F8F"/>
    <w:rsid w:val="005C2FE8"/>
    <w:rsid w:val="005C2FEC"/>
    <w:rsid w:val="005C3030"/>
    <w:rsid w:val="005C315B"/>
    <w:rsid w:val="005C324E"/>
    <w:rsid w:val="005C33D0"/>
    <w:rsid w:val="005C33D3"/>
    <w:rsid w:val="005C33F3"/>
    <w:rsid w:val="005C35D8"/>
    <w:rsid w:val="005C364B"/>
    <w:rsid w:val="005C370F"/>
    <w:rsid w:val="005C37CE"/>
    <w:rsid w:val="005C3805"/>
    <w:rsid w:val="005C3B70"/>
    <w:rsid w:val="005C3BBA"/>
    <w:rsid w:val="005C3D48"/>
    <w:rsid w:val="005C3DE0"/>
    <w:rsid w:val="005C3F8A"/>
    <w:rsid w:val="005C4240"/>
    <w:rsid w:val="005C425D"/>
    <w:rsid w:val="005C428B"/>
    <w:rsid w:val="005C4373"/>
    <w:rsid w:val="005C43C2"/>
    <w:rsid w:val="005C43DE"/>
    <w:rsid w:val="005C4509"/>
    <w:rsid w:val="005C46C1"/>
    <w:rsid w:val="005C475D"/>
    <w:rsid w:val="005C4883"/>
    <w:rsid w:val="005C489B"/>
    <w:rsid w:val="005C4A8A"/>
    <w:rsid w:val="005C4B6D"/>
    <w:rsid w:val="005C4C1C"/>
    <w:rsid w:val="005C4EB7"/>
    <w:rsid w:val="005C4EF4"/>
    <w:rsid w:val="005C52D8"/>
    <w:rsid w:val="005C5642"/>
    <w:rsid w:val="005C567E"/>
    <w:rsid w:val="005C5739"/>
    <w:rsid w:val="005C578E"/>
    <w:rsid w:val="005C57DD"/>
    <w:rsid w:val="005C5BAD"/>
    <w:rsid w:val="005C5D2F"/>
    <w:rsid w:val="005C5D5D"/>
    <w:rsid w:val="005C5D86"/>
    <w:rsid w:val="005C5E77"/>
    <w:rsid w:val="005C5F71"/>
    <w:rsid w:val="005C607F"/>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203E"/>
    <w:rsid w:val="005D20C2"/>
    <w:rsid w:val="005D20F4"/>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2F6F"/>
    <w:rsid w:val="005D328F"/>
    <w:rsid w:val="005D32D7"/>
    <w:rsid w:val="005D3347"/>
    <w:rsid w:val="005D33CE"/>
    <w:rsid w:val="005D33FF"/>
    <w:rsid w:val="005D3597"/>
    <w:rsid w:val="005D36A0"/>
    <w:rsid w:val="005D38BC"/>
    <w:rsid w:val="005D3A83"/>
    <w:rsid w:val="005D3A9D"/>
    <w:rsid w:val="005D3ADF"/>
    <w:rsid w:val="005D3AF8"/>
    <w:rsid w:val="005D3B24"/>
    <w:rsid w:val="005D3BFF"/>
    <w:rsid w:val="005D3C0E"/>
    <w:rsid w:val="005D3DA4"/>
    <w:rsid w:val="005D3E0D"/>
    <w:rsid w:val="005D4338"/>
    <w:rsid w:val="005D4369"/>
    <w:rsid w:val="005D4394"/>
    <w:rsid w:val="005D43FC"/>
    <w:rsid w:val="005D453E"/>
    <w:rsid w:val="005D477E"/>
    <w:rsid w:val="005D47B9"/>
    <w:rsid w:val="005D486E"/>
    <w:rsid w:val="005D49EC"/>
    <w:rsid w:val="005D4CD3"/>
    <w:rsid w:val="005D4E7E"/>
    <w:rsid w:val="005D4F7D"/>
    <w:rsid w:val="005D4F8E"/>
    <w:rsid w:val="005D5125"/>
    <w:rsid w:val="005D523D"/>
    <w:rsid w:val="005D5262"/>
    <w:rsid w:val="005D5288"/>
    <w:rsid w:val="005D5367"/>
    <w:rsid w:val="005D538B"/>
    <w:rsid w:val="005D552E"/>
    <w:rsid w:val="005D57FA"/>
    <w:rsid w:val="005D58FB"/>
    <w:rsid w:val="005D5A39"/>
    <w:rsid w:val="005D5B63"/>
    <w:rsid w:val="005D5C10"/>
    <w:rsid w:val="005D5C8F"/>
    <w:rsid w:val="005D5CD7"/>
    <w:rsid w:val="005D5EA4"/>
    <w:rsid w:val="005D5EF4"/>
    <w:rsid w:val="005D5F35"/>
    <w:rsid w:val="005D6112"/>
    <w:rsid w:val="005D6161"/>
    <w:rsid w:val="005D61EC"/>
    <w:rsid w:val="005D6357"/>
    <w:rsid w:val="005D63F7"/>
    <w:rsid w:val="005D643E"/>
    <w:rsid w:val="005D65A4"/>
    <w:rsid w:val="005D69BC"/>
    <w:rsid w:val="005D6C61"/>
    <w:rsid w:val="005D70C9"/>
    <w:rsid w:val="005D7118"/>
    <w:rsid w:val="005D7262"/>
    <w:rsid w:val="005D739F"/>
    <w:rsid w:val="005D73C3"/>
    <w:rsid w:val="005D7511"/>
    <w:rsid w:val="005D761B"/>
    <w:rsid w:val="005D77B7"/>
    <w:rsid w:val="005D77DC"/>
    <w:rsid w:val="005D77E5"/>
    <w:rsid w:val="005D780A"/>
    <w:rsid w:val="005D7A49"/>
    <w:rsid w:val="005D7B78"/>
    <w:rsid w:val="005D7C88"/>
    <w:rsid w:val="005D7D37"/>
    <w:rsid w:val="005D7DE5"/>
    <w:rsid w:val="005D7E9F"/>
    <w:rsid w:val="005D7F33"/>
    <w:rsid w:val="005D7FA1"/>
    <w:rsid w:val="005E0064"/>
    <w:rsid w:val="005E01A1"/>
    <w:rsid w:val="005E02D0"/>
    <w:rsid w:val="005E030E"/>
    <w:rsid w:val="005E0487"/>
    <w:rsid w:val="005E0865"/>
    <w:rsid w:val="005E093C"/>
    <w:rsid w:val="005E094D"/>
    <w:rsid w:val="005E09B6"/>
    <w:rsid w:val="005E09C2"/>
    <w:rsid w:val="005E09C8"/>
    <w:rsid w:val="005E0AD7"/>
    <w:rsid w:val="005E0C12"/>
    <w:rsid w:val="005E0D23"/>
    <w:rsid w:val="005E0DFD"/>
    <w:rsid w:val="005E0F89"/>
    <w:rsid w:val="005E0FE1"/>
    <w:rsid w:val="005E1119"/>
    <w:rsid w:val="005E114B"/>
    <w:rsid w:val="005E1179"/>
    <w:rsid w:val="005E1260"/>
    <w:rsid w:val="005E129D"/>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305E"/>
    <w:rsid w:val="005E317C"/>
    <w:rsid w:val="005E318A"/>
    <w:rsid w:val="005E34CE"/>
    <w:rsid w:val="005E3639"/>
    <w:rsid w:val="005E3A74"/>
    <w:rsid w:val="005E3BDB"/>
    <w:rsid w:val="005E3C60"/>
    <w:rsid w:val="005E3D96"/>
    <w:rsid w:val="005E41B2"/>
    <w:rsid w:val="005E4296"/>
    <w:rsid w:val="005E42FA"/>
    <w:rsid w:val="005E437F"/>
    <w:rsid w:val="005E45F6"/>
    <w:rsid w:val="005E46E2"/>
    <w:rsid w:val="005E488E"/>
    <w:rsid w:val="005E49F9"/>
    <w:rsid w:val="005E4A23"/>
    <w:rsid w:val="005E4A7A"/>
    <w:rsid w:val="005E4B23"/>
    <w:rsid w:val="005E4BCE"/>
    <w:rsid w:val="005E4C87"/>
    <w:rsid w:val="005E4CBD"/>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A73"/>
    <w:rsid w:val="005E5B32"/>
    <w:rsid w:val="005E5BD5"/>
    <w:rsid w:val="005E5DBB"/>
    <w:rsid w:val="005E5DDF"/>
    <w:rsid w:val="005E5E62"/>
    <w:rsid w:val="005E5F57"/>
    <w:rsid w:val="005E6003"/>
    <w:rsid w:val="005E60FB"/>
    <w:rsid w:val="005E61A3"/>
    <w:rsid w:val="005E6258"/>
    <w:rsid w:val="005E6266"/>
    <w:rsid w:val="005E6446"/>
    <w:rsid w:val="005E6641"/>
    <w:rsid w:val="005E6838"/>
    <w:rsid w:val="005E69C5"/>
    <w:rsid w:val="005E6A28"/>
    <w:rsid w:val="005E6A65"/>
    <w:rsid w:val="005E6AA4"/>
    <w:rsid w:val="005E6C19"/>
    <w:rsid w:val="005E700A"/>
    <w:rsid w:val="005E7054"/>
    <w:rsid w:val="005E712F"/>
    <w:rsid w:val="005E7257"/>
    <w:rsid w:val="005E72DF"/>
    <w:rsid w:val="005E730B"/>
    <w:rsid w:val="005E735D"/>
    <w:rsid w:val="005E74BA"/>
    <w:rsid w:val="005E767C"/>
    <w:rsid w:val="005E7C5F"/>
    <w:rsid w:val="005E7CC8"/>
    <w:rsid w:val="005E7E7E"/>
    <w:rsid w:val="005F0364"/>
    <w:rsid w:val="005F06F6"/>
    <w:rsid w:val="005F0976"/>
    <w:rsid w:val="005F0A2B"/>
    <w:rsid w:val="005F0B04"/>
    <w:rsid w:val="005F0B9F"/>
    <w:rsid w:val="005F0C2B"/>
    <w:rsid w:val="005F0D7F"/>
    <w:rsid w:val="005F100E"/>
    <w:rsid w:val="005F109C"/>
    <w:rsid w:val="005F10BC"/>
    <w:rsid w:val="005F11CC"/>
    <w:rsid w:val="005F150D"/>
    <w:rsid w:val="005F1597"/>
    <w:rsid w:val="005F15C5"/>
    <w:rsid w:val="005F16F6"/>
    <w:rsid w:val="005F1840"/>
    <w:rsid w:val="005F1894"/>
    <w:rsid w:val="005F196F"/>
    <w:rsid w:val="005F1C74"/>
    <w:rsid w:val="005F1CEA"/>
    <w:rsid w:val="005F1D11"/>
    <w:rsid w:val="005F1DDD"/>
    <w:rsid w:val="005F2034"/>
    <w:rsid w:val="005F24B7"/>
    <w:rsid w:val="005F24EE"/>
    <w:rsid w:val="005F257B"/>
    <w:rsid w:val="005F2619"/>
    <w:rsid w:val="005F2709"/>
    <w:rsid w:val="005F2974"/>
    <w:rsid w:val="005F2A45"/>
    <w:rsid w:val="005F2B44"/>
    <w:rsid w:val="005F2D4E"/>
    <w:rsid w:val="005F2D9E"/>
    <w:rsid w:val="005F2E75"/>
    <w:rsid w:val="005F308C"/>
    <w:rsid w:val="005F30FA"/>
    <w:rsid w:val="005F3413"/>
    <w:rsid w:val="005F3469"/>
    <w:rsid w:val="005F35BC"/>
    <w:rsid w:val="005F39AF"/>
    <w:rsid w:val="005F3A60"/>
    <w:rsid w:val="005F3C07"/>
    <w:rsid w:val="005F3D1B"/>
    <w:rsid w:val="005F3D23"/>
    <w:rsid w:val="005F3EBC"/>
    <w:rsid w:val="005F3EE3"/>
    <w:rsid w:val="005F3F87"/>
    <w:rsid w:val="005F417E"/>
    <w:rsid w:val="005F4263"/>
    <w:rsid w:val="005F438A"/>
    <w:rsid w:val="005F43D6"/>
    <w:rsid w:val="005F461C"/>
    <w:rsid w:val="005F4986"/>
    <w:rsid w:val="005F4AA7"/>
    <w:rsid w:val="005F4E18"/>
    <w:rsid w:val="005F4E2F"/>
    <w:rsid w:val="005F5268"/>
    <w:rsid w:val="005F53B4"/>
    <w:rsid w:val="005F555B"/>
    <w:rsid w:val="005F560F"/>
    <w:rsid w:val="005F5738"/>
    <w:rsid w:val="005F5848"/>
    <w:rsid w:val="005F590D"/>
    <w:rsid w:val="005F5A25"/>
    <w:rsid w:val="005F5D31"/>
    <w:rsid w:val="005F5D4C"/>
    <w:rsid w:val="005F5EF8"/>
    <w:rsid w:val="005F6002"/>
    <w:rsid w:val="005F6006"/>
    <w:rsid w:val="005F63E3"/>
    <w:rsid w:val="005F6410"/>
    <w:rsid w:val="005F6561"/>
    <w:rsid w:val="005F65D5"/>
    <w:rsid w:val="005F65F9"/>
    <w:rsid w:val="005F6A9A"/>
    <w:rsid w:val="005F6EB4"/>
    <w:rsid w:val="005F6F73"/>
    <w:rsid w:val="005F7071"/>
    <w:rsid w:val="005F7264"/>
    <w:rsid w:val="005F75AE"/>
    <w:rsid w:val="005F7658"/>
    <w:rsid w:val="005F76A3"/>
    <w:rsid w:val="005F79DB"/>
    <w:rsid w:val="005F7BCA"/>
    <w:rsid w:val="005F7BD7"/>
    <w:rsid w:val="005F7D8F"/>
    <w:rsid w:val="005F7DB1"/>
    <w:rsid w:val="005F7E0B"/>
    <w:rsid w:val="005F7F03"/>
    <w:rsid w:val="006001A3"/>
    <w:rsid w:val="00600253"/>
    <w:rsid w:val="006002CC"/>
    <w:rsid w:val="006002ED"/>
    <w:rsid w:val="00600317"/>
    <w:rsid w:val="00600348"/>
    <w:rsid w:val="0060040C"/>
    <w:rsid w:val="0060045E"/>
    <w:rsid w:val="006006FE"/>
    <w:rsid w:val="00600799"/>
    <w:rsid w:val="00600D16"/>
    <w:rsid w:val="00600DE3"/>
    <w:rsid w:val="00600E8C"/>
    <w:rsid w:val="00600EAD"/>
    <w:rsid w:val="00601024"/>
    <w:rsid w:val="006011C2"/>
    <w:rsid w:val="00601212"/>
    <w:rsid w:val="00601276"/>
    <w:rsid w:val="006012E7"/>
    <w:rsid w:val="00601315"/>
    <w:rsid w:val="00601525"/>
    <w:rsid w:val="00601625"/>
    <w:rsid w:val="00601831"/>
    <w:rsid w:val="00601A00"/>
    <w:rsid w:val="00601A56"/>
    <w:rsid w:val="00601B49"/>
    <w:rsid w:val="00601B6F"/>
    <w:rsid w:val="00601B70"/>
    <w:rsid w:val="00601D99"/>
    <w:rsid w:val="00601DB0"/>
    <w:rsid w:val="00601EE3"/>
    <w:rsid w:val="0060215F"/>
    <w:rsid w:val="00602258"/>
    <w:rsid w:val="0060234D"/>
    <w:rsid w:val="006023B1"/>
    <w:rsid w:val="006024E2"/>
    <w:rsid w:val="0060251C"/>
    <w:rsid w:val="00602619"/>
    <w:rsid w:val="00602735"/>
    <w:rsid w:val="0060282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A68"/>
    <w:rsid w:val="00604BB7"/>
    <w:rsid w:val="00604BD7"/>
    <w:rsid w:val="00604BFF"/>
    <w:rsid w:val="00604D19"/>
    <w:rsid w:val="00604D3B"/>
    <w:rsid w:val="00604ECA"/>
    <w:rsid w:val="00604F20"/>
    <w:rsid w:val="006051F2"/>
    <w:rsid w:val="006052C3"/>
    <w:rsid w:val="006053A1"/>
    <w:rsid w:val="00605897"/>
    <w:rsid w:val="0060596D"/>
    <w:rsid w:val="00605AE7"/>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6D0B"/>
    <w:rsid w:val="006070CE"/>
    <w:rsid w:val="006070E9"/>
    <w:rsid w:val="00607158"/>
    <w:rsid w:val="00607314"/>
    <w:rsid w:val="0060733D"/>
    <w:rsid w:val="00607363"/>
    <w:rsid w:val="006074DE"/>
    <w:rsid w:val="00607859"/>
    <w:rsid w:val="0060787E"/>
    <w:rsid w:val="006079A4"/>
    <w:rsid w:val="006079B7"/>
    <w:rsid w:val="00607B01"/>
    <w:rsid w:val="00607B30"/>
    <w:rsid w:val="00607C23"/>
    <w:rsid w:val="00607D06"/>
    <w:rsid w:val="00607E6F"/>
    <w:rsid w:val="00607F2F"/>
    <w:rsid w:val="00607FB3"/>
    <w:rsid w:val="00607FE1"/>
    <w:rsid w:val="00610092"/>
    <w:rsid w:val="0061016A"/>
    <w:rsid w:val="006101E2"/>
    <w:rsid w:val="0061028B"/>
    <w:rsid w:val="006102B3"/>
    <w:rsid w:val="00610471"/>
    <w:rsid w:val="006104E8"/>
    <w:rsid w:val="0061053E"/>
    <w:rsid w:val="0061073B"/>
    <w:rsid w:val="00610880"/>
    <w:rsid w:val="00610C83"/>
    <w:rsid w:val="00610CE6"/>
    <w:rsid w:val="00610D7F"/>
    <w:rsid w:val="00610FDD"/>
    <w:rsid w:val="006111A6"/>
    <w:rsid w:val="006115DB"/>
    <w:rsid w:val="00611994"/>
    <w:rsid w:val="006119E9"/>
    <w:rsid w:val="00611A85"/>
    <w:rsid w:val="00611B68"/>
    <w:rsid w:val="00611F17"/>
    <w:rsid w:val="00611FC0"/>
    <w:rsid w:val="0061205F"/>
    <w:rsid w:val="006120A4"/>
    <w:rsid w:val="00612214"/>
    <w:rsid w:val="0061234F"/>
    <w:rsid w:val="00612552"/>
    <w:rsid w:val="0061297C"/>
    <w:rsid w:val="00612A03"/>
    <w:rsid w:val="00613146"/>
    <w:rsid w:val="006132E8"/>
    <w:rsid w:val="00613513"/>
    <w:rsid w:val="0061353A"/>
    <w:rsid w:val="00613558"/>
    <w:rsid w:val="00613689"/>
    <w:rsid w:val="00613700"/>
    <w:rsid w:val="00613D47"/>
    <w:rsid w:val="00613E71"/>
    <w:rsid w:val="00613E88"/>
    <w:rsid w:val="00613EF8"/>
    <w:rsid w:val="00613F72"/>
    <w:rsid w:val="00613F8B"/>
    <w:rsid w:val="00614034"/>
    <w:rsid w:val="006141AC"/>
    <w:rsid w:val="00614348"/>
    <w:rsid w:val="0061442E"/>
    <w:rsid w:val="0061447B"/>
    <w:rsid w:val="006144D5"/>
    <w:rsid w:val="0061452A"/>
    <w:rsid w:val="00614610"/>
    <w:rsid w:val="00614795"/>
    <w:rsid w:val="006147D8"/>
    <w:rsid w:val="006147FD"/>
    <w:rsid w:val="00614901"/>
    <w:rsid w:val="00614AD8"/>
    <w:rsid w:val="00614C2B"/>
    <w:rsid w:val="00614D90"/>
    <w:rsid w:val="00614DE1"/>
    <w:rsid w:val="00615022"/>
    <w:rsid w:val="0061504F"/>
    <w:rsid w:val="006152FF"/>
    <w:rsid w:val="00615578"/>
    <w:rsid w:val="006157D5"/>
    <w:rsid w:val="0061592D"/>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8C7"/>
    <w:rsid w:val="00616940"/>
    <w:rsid w:val="00616B4B"/>
    <w:rsid w:val="00616C85"/>
    <w:rsid w:val="00616D01"/>
    <w:rsid w:val="00616DBC"/>
    <w:rsid w:val="00616E57"/>
    <w:rsid w:val="00616F3B"/>
    <w:rsid w:val="00616F95"/>
    <w:rsid w:val="00616FDB"/>
    <w:rsid w:val="00617033"/>
    <w:rsid w:val="0061726F"/>
    <w:rsid w:val="006172D3"/>
    <w:rsid w:val="006174D8"/>
    <w:rsid w:val="006174F8"/>
    <w:rsid w:val="006174FE"/>
    <w:rsid w:val="00617693"/>
    <w:rsid w:val="006176B7"/>
    <w:rsid w:val="006177E2"/>
    <w:rsid w:val="00617AAE"/>
    <w:rsid w:val="00617B81"/>
    <w:rsid w:val="00617BBD"/>
    <w:rsid w:val="00617CC9"/>
    <w:rsid w:val="00617DE0"/>
    <w:rsid w:val="00617F6D"/>
    <w:rsid w:val="006201E7"/>
    <w:rsid w:val="006202CB"/>
    <w:rsid w:val="006205BE"/>
    <w:rsid w:val="00620751"/>
    <w:rsid w:val="006207CD"/>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F09"/>
    <w:rsid w:val="00621F5C"/>
    <w:rsid w:val="0062201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B1"/>
    <w:rsid w:val="0062331B"/>
    <w:rsid w:val="006236C0"/>
    <w:rsid w:val="006239F5"/>
    <w:rsid w:val="00623BA0"/>
    <w:rsid w:val="00623DAB"/>
    <w:rsid w:val="00623E7B"/>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7D8"/>
    <w:rsid w:val="00625921"/>
    <w:rsid w:val="00625952"/>
    <w:rsid w:val="006259A1"/>
    <w:rsid w:val="00625A2A"/>
    <w:rsid w:val="00625BC1"/>
    <w:rsid w:val="00625D04"/>
    <w:rsid w:val="00625D83"/>
    <w:rsid w:val="00625DF5"/>
    <w:rsid w:val="00625E94"/>
    <w:rsid w:val="00625F00"/>
    <w:rsid w:val="00625F1D"/>
    <w:rsid w:val="00625F36"/>
    <w:rsid w:val="00625F92"/>
    <w:rsid w:val="0062601B"/>
    <w:rsid w:val="00626161"/>
    <w:rsid w:val="006262D1"/>
    <w:rsid w:val="006262E3"/>
    <w:rsid w:val="006262E9"/>
    <w:rsid w:val="0062635E"/>
    <w:rsid w:val="00626578"/>
    <w:rsid w:val="00626874"/>
    <w:rsid w:val="006268AD"/>
    <w:rsid w:val="006269B6"/>
    <w:rsid w:val="006269C6"/>
    <w:rsid w:val="00626A5B"/>
    <w:rsid w:val="00626B7F"/>
    <w:rsid w:val="00626B9C"/>
    <w:rsid w:val="00626BEC"/>
    <w:rsid w:val="006270FD"/>
    <w:rsid w:val="006272FB"/>
    <w:rsid w:val="006273AA"/>
    <w:rsid w:val="006274BC"/>
    <w:rsid w:val="006275EE"/>
    <w:rsid w:val="00627612"/>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3F5"/>
    <w:rsid w:val="0063140B"/>
    <w:rsid w:val="006314E6"/>
    <w:rsid w:val="00631563"/>
    <w:rsid w:val="00631620"/>
    <w:rsid w:val="00631660"/>
    <w:rsid w:val="00631959"/>
    <w:rsid w:val="00631A26"/>
    <w:rsid w:val="00631CA1"/>
    <w:rsid w:val="00631D59"/>
    <w:rsid w:val="00631E2F"/>
    <w:rsid w:val="00631FD1"/>
    <w:rsid w:val="006321B5"/>
    <w:rsid w:val="006323E1"/>
    <w:rsid w:val="0063247D"/>
    <w:rsid w:val="006329BE"/>
    <w:rsid w:val="00632D7B"/>
    <w:rsid w:val="00632EE3"/>
    <w:rsid w:val="006330BD"/>
    <w:rsid w:val="0063320C"/>
    <w:rsid w:val="00633234"/>
    <w:rsid w:val="006332CA"/>
    <w:rsid w:val="0063330E"/>
    <w:rsid w:val="006333D0"/>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5D"/>
    <w:rsid w:val="006357E4"/>
    <w:rsid w:val="00635A11"/>
    <w:rsid w:val="00635B5E"/>
    <w:rsid w:val="00635EE5"/>
    <w:rsid w:val="00635EEB"/>
    <w:rsid w:val="00635F21"/>
    <w:rsid w:val="00636081"/>
    <w:rsid w:val="00636189"/>
    <w:rsid w:val="006363D5"/>
    <w:rsid w:val="0063652C"/>
    <w:rsid w:val="006365A7"/>
    <w:rsid w:val="006366EE"/>
    <w:rsid w:val="00636713"/>
    <w:rsid w:val="0063693F"/>
    <w:rsid w:val="00636C08"/>
    <w:rsid w:val="00636D00"/>
    <w:rsid w:val="00636D7A"/>
    <w:rsid w:val="00636D8E"/>
    <w:rsid w:val="00636DCA"/>
    <w:rsid w:val="00636E42"/>
    <w:rsid w:val="00636FBB"/>
    <w:rsid w:val="00637098"/>
    <w:rsid w:val="006370D1"/>
    <w:rsid w:val="006371C0"/>
    <w:rsid w:val="006373D3"/>
    <w:rsid w:val="00637530"/>
    <w:rsid w:val="00637743"/>
    <w:rsid w:val="00637955"/>
    <w:rsid w:val="00637A56"/>
    <w:rsid w:val="00637AF8"/>
    <w:rsid w:val="00637F4F"/>
    <w:rsid w:val="00637FC1"/>
    <w:rsid w:val="00640187"/>
    <w:rsid w:val="00640255"/>
    <w:rsid w:val="006402A5"/>
    <w:rsid w:val="0064031A"/>
    <w:rsid w:val="00640486"/>
    <w:rsid w:val="0064051F"/>
    <w:rsid w:val="006406BD"/>
    <w:rsid w:val="00640719"/>
    <w:rsid w:val="00640738"/>
    <w:rsid w:val="00640938"/>
    <w:rsid w:val="00640988"/>
    <w:rsid w:val="00640AEF"/>
    <w:rsid w:val="00640BE7"/>
    <w:rsid w:val="00640CC0"/>
    <w:rsid w:val="00640E83"/>
    <w:rsid w:val="00640F13"/>
    <w:rsid w:val="00640FC9"/>
    <w:rsid w:val="00641010"/>
    <w:rsid w:val="00641148"/>
    <w:rsid w:val="006413D6"/>
    <w:rsid w:val="00641862"/>
    <w:rsid w:val="0064186C"/>
    <w:rsid w:val="00641B6F"/>
    <w:rsid w:val="00641B7F"/>
    <w:rsid w:val="00641DC4"/>
    <w:rsid w:val="00641DFF"/>
    <w:rsid w:val="00641E59"/>
    <w:rsid w:val="00641EA7"/>
    <w:rsid w:val="00642016"/>
    <w:rsid w:val="006423A4"/>
    <w:rsid w:val="00642449"/>
    <w:rsid w:val="006424DC"/>
    <w:rsid w:val="0064254D"/>
    <w:rsid w:val="006425BC"/>
    <w:rsid w:val="00642636"/>
    <w:rsid w:val="00642AD1"/>
    <w:rsid w:val="00642AD6"/>
    <w:rsid w:val="00642B85"/>
    <w:rsid w:val="00642DAB"/>
    <w:rsid w:val="00642E40"/>
    <w:rsid w:val="00642EB0"/>
    <w:rsid w:val="00642EFE"/>
    <w:rsid w:val="00642F7B"/>
    <w:rsid w:val="006430F6"/>
    <w:rsid w:val="006431C0"/>
    <w:rsid w:val="00643597"/>
    <w:rsid w:val="006438F1"/>
    <w:rsid w:val="00643B46"/>
    <w:rsid w:val="00643B48"/>
    <w:rsid w:val="00643E41"/>
    <w:rsid w:val="00643ED7"/>
    <w:rsid w:val="006441FF"/>
    <w:rsid w:val="00644202"/>
    <w:rsid w:val="006442D2"/>
    <w:rsid w:val="006446CC"/>
    <w:rsid w:val="00644892"/>
    <w:rsid w:val="006449D2"/>
    <w:rsid w:val="006449EE"/>
    <w:rsid w:val="006449FF"/>
    <w:rsid w:val="00644E3D"/>
    <w:rsid w:val="006450AA"/>
    <w:rsid w:val="006450B9"/>
    <w:rsid w:val="00645419"/>
    <w:rsid w:val="00645443"/>
    <w:rsid w:val="006454AC"/>
    <w:rsid w:val="0064560A"/>
    <w:rsid w:val="00645708"/>
    <w:rsid w:val="00645816"/>
    <w:rsid w:val="00645960"/>
    <w:rsid w:val="00645BBE"/>
    <w:rsid w:val="00645C11"/>
    <w:rsid w:val="00645DE5"/>
    <w:rsid w:val="00645E21"/>
    <w:rsid w:val="0064605C"/>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6D4"/>
    <w:rsid w:val="00647703"/>
    <w:rsid w:val="006479E3"/>
    <w:rsid w:val="00647A65"/>
    <w:rsid w:val="00647AA6"/>
    <w:rsid w:val="00647B0D"/>
    <w:rsid w:val="00647C0A"/>
    <w:rsid w:val="00647CD0"/>
    <w:rsid w:val="00647CF4"/>
    <w:rsid w:val="00647E41"/>
    <w:rsid w:val="00647F24"/>
    <w:rsid w:val="00647FD3"/>
    <w:rsid w:val="00647FF0"/>
    <w:rsid w:val="00650180"/>
    <w:rsid w:val="00650213"/>
    <w:rsid w:val="0065024E"/>
    <w:rsid w:val="00650519"/>
    <w:rsid w:val="006508C4"/>
    <w:rsid w:val="0065096A"/>
    <w:rsid w:val="00650A25"/>
    <w:rsid w:val="00650E04"/>
    <w:rsid w:val="00650F19"/>
    <w:rsid w:val="00650FF4"/>
    <w:rsid w:val="00651217"/>
    <w:rsid w:val="006512CB"/>
    <w:rsid w:val="00651391"/>
    <w:rsid w:val="006513C8"/>
    <w:rsid w:val="006514FE"/>
    <w:rsid w:val="006515A4"/>
    <w:rsid w:val="0065173B"/>
    <w:rsid w:val="00651AD5"/>
    <w:rsid w:val="00651ADA"/>
    <w:rsid w:val="00651B36"/>
    <w:rsid w:val="00651D37"/>
    <w:rsid w:val="00651D70"/>
    <w:rsid w:val="00651DF7"/>
    <w:rsid w:val="00651E53"/>
    <w:rsid w:val="00651E82"/>
    <w:rsid w:val="00651F0E"/>
    <w:rsid w:val="00652188"/>
    <w:rsid w:val="006521F1"/>
    <w:rsid w:val="00652469"/>
    <w:rsid w:val="00652489"/>
    <w:rsid w:val="00652496"/>
    <w:rsid w:val="006524EB"/>
    <w:rsid w:val="006525A5"/>
    <w:rsid w:val="006525CA"/>
    <w:rsid w:val="006526F9"/>
    <w:rsid w:val="00652B22"/>
    <w:rsid w:val="00652B2D"/>
    <w:rsid w:val="00652B30"/>
    <w:rsid w:val="00652C98"/>
    <w:rsid w:val="00652C9B"/>
    <w:rsid w:val="00652CDD"/>
    <w:rsid w:val="00652F3F"/>
    <w:rsid w:val="00653031"/>
    <w:rsid w:val="00653085"/>
    <w:rsid w:val="006530CF"/>
    <w:rsid w:val="00653158"/>
    <w:rsid w:val="006531FA"/>
    <w:rsid w:val="006532CB"/>
    <w:rsid w:val="0065336D"/>
    <w:rsid w:val="00653432"/>
    <w:rsid w:val="0065354C"/>
    <w:rsid w:val="0065361E"/>
    <w:rsid w:val="0065371B"/>
    <w:rsid w:val="006538B9"/>
    <w:rsid w:val="00653926"/>
    <w:rsid w:val="0065394C"/>
    <w:rsid w:val="0065399C"/>
    <w:rsid w:val="006539D9"/>
    <w:rsid w:val="00653CA6"/>
    <w:rsid w:val="00653E97"/>
    <w:rsid w:val="006541FC"/>
    <w:rsid w:val="006545C9"/>
    <w:rsid w:val="006545FB"/>
    <w:rsid w:val="0065463E"/>
    <w:rsid w:val="00654758"/>
    <w:rsid w:val="006549A1"/>
    <w:rsid w:val="00654A5B"/>
    <w:rsid w:val="00654B00"/>
    <w:rsid w:val="00654B35"/>
    <w:rsid w:val="00654BFA"/>
    <w:rsid w:val="00654BFD"/>
    <w:rsid w:val="00654D90"/>
    <w:rsid w:val="00654DFB"/>
    <w:rsid w:val="00654E65"/>
    <w:rsid w:val="00654EDF"/>
    <w:rsid w:val="00655229"/>
    <w:rsid w:val="0065532D"/>
    <w:rsid w:val="00655372"/>
    <w:rsid w:val="0065539B"/>
    <w:rsid w:val="006554BD"/>
    <w:rsid w:val="006554EF"/>
    <w:rsid w:val="006556FC"/>
    <w:rsid w:val="0065573A"/>
    <w:rsid w:val="006557F6"/>
    <w:rsid w:val="0065597B"/>
    <w:rsid w:val="0065598D"/>
    <w:rsid w:val="006559C5"/>
    <w:rsid w:val="00655A88"/>
    <w:rsid w:val="00655C73"/>
    <w:rsid w:val="00655CEA"/>
    <w:rsid w:val="00655D10"/>
    <w:rsid w:val="00655E46"/>
    <w:rsid w:val="00655E4E"/>
    <w:rsid w:val="00656224"/>
    <w:rsid w:val="0065623D"/>
    <w:rsid w:val="00656331"/>
    <w:rsid w:val="00656434"/>
    <w:rsid w:val="006565E4"/>
    <w:rsid w:val="00656776"/>
    <w:rsid w:val="00656833"/>
    <w:rsid w:val="00656918"/>
    <w:rsid w:val="00656AEC"/>
    <w:rsid w:val="00656B6D"/>
    <w:rsid w:val="00656C03"/>
    <w:rsid w:val="00656D2A"/>
    <w:rsid w:val="00656D41"/>
    <w:rsid w:val="00656D80"/>
    <w:rsid w:val="00656DA2"/>
    <w:rsid w:val="00656E1F"/>
    <w:rsid w:val="00656EB5"/>
    <w:rsid w:val="0065722F"/>
    <w:rsid w:val="00657291"/>
    <w:rsid w:val="0065756E"/>
    <w:rsid w:val="0065764E"/>
    <w:rsid w:val="00657A56"/>
    <w:rsid w:val="00657ADC"/>
    <w:rsid w:val="00657B19"/>
    <w:rsid w:val="00657C1D"/>
    <w:rsid w:val="00657C5C"/>
    <w:rsid w:val="00657D9E"/>
    <w:rsid w:val="00657DE5"/>
    <w:rsid w:val="00657EFE"/>
    <w:rsid w:val="006601BA"/>
    <w:rsid w:val="00660240"/>
    <w:rsid w:val="00660299"/>
    <w:rsid w:val="006604B0"/>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378"/>
    <w:rsid w:val="0066139C"/>
    <w:rsid w:val="006613FC"/>
    <w:rsid w:val="00661498"/>
    <w:rsid w:val="006614DD"/>
    <w:rsid w:val="006616C4"/>
    <w:rsid w:val="0066172D"/>
    <w:rsid w:val="00661814"/>
    <w:rsid w:val="00661A24"/>
    <w:rsid w:val="00661A40"/>
    <w:rsid w:val="00661A98"/>
    <w:rsid w:val="00661A9C"/>
    <w:rsid w:val="00661AE1"/>
    <w:rsid w:val="00661B4D"/>
    <w:rsid w:val="00661D17"/>
    <w:rsid w:val="00661E17"/>
    <w:rsid w:val="00662134"/>
    <w:rsid w:val="006624EB"/>
    <w:rsid w:val="006625E7"/>
    <w:rsid w:val="0066274D"/>
    <w:rsid w:val="00662949"/>
    <w:rsid w:val="00662970"/>
    <w:rsid w:val="00662A44"/>
    <w:rsid w:val="00662ADD"/>
    <w:rsid w:val="00662B90"/>
    <w:rsid w:val="00662E36"/>
    <w:rsid w:val="00663275"/>
    <w:rsid w:val="0066337B"/>
    <w:rsid w:val="00663581"/>
    <w:rsid w:val="006636FD"/>
    <w:rsid w:val="0066371E"/>
    <w:rsid w:val="00663762"/>
    <w:rsid w:val="00663942"/>
    <w:rsid w:val="00663998"/>
    <w:rsid w:val="00663A36"/>
    <w:rsid w:val="00663B5F"/>
    <w:rsid w:val="00663BA0"/>
    <w:rsid w:val="00663BB0"/>
    <w:rsid w:val="00663D9B"/>
    <w:rsid w:val="006640EA"/>
    <w:rsid w:val="0066427D"/>
    <w:rsid w:val="0066448A"/>
    <w:rsid w:val="0066466F"/>
    <w:rsid w:val="006646BB"/>
    <w:rsid w:val="00664A5F"/>
    <w:rsid w:val="00664B98"/>
    <w:rsid w:val="00664CA5"/>
    <w:rsid w:val="00664CDD"/>
    <w:rsid w:val="00664CF4"/>
    <w:rsid w:val="00664D50"/>
    <w:rsid w:val="00664D81"/>
    <w:rsid w:val="00664E1B"/>
    <w:rsid w:val="00664E41"/>
    <w:rsid w:val="00664F90"/>
    <w:rsid w:val="00664FFA"/>
    <w:rsid w:val="0066507B"/>
    <w:rsid w:val="0066537B"/>
    <w:rsid w:val="00665445"/>
    <w:rsid w:val="006654C8"/>
    <w:rsid w:val="006658D3"/>
    <w:rsid w:val="00665956"/>
    <w:rsid w:val="006659BA"/>
    <w:rsid w:val="00665A1E"/>
    <w:rsid w:val="00665A36"/>
    <w:rsid w:val="00665CDA"/>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ECC"/>
    <w:rsid w:val="00671318"/>
    <w:rsid w:val="006714EE"/>
    <w:rsid w:val="0067166A"/>
    <w:rsid w:val="006716A3"/>
    <w:rsid w:val="00671964"/>
    <w:rsid w:val="0067197F"/>
    <w:rsid w:val="00671AE8"/>
    <w:rsid w:val="00671B0A"/>
    <w:rsid w:val="00671D58"/>
    <w:rsid w:val="00671DA3"/>
    <w:rsid w:val="00671E39"/>
    <w:rsid w:val="00671E89"/>
    <w:rsid w:val="00671F53"/>
    <w:rsid w:val="00671F60"/>
    <w:rsid w:val="00672119"/>
    <w:rsid w:val="00672226"/>
    <w:rsid w:val="0067251A"/>
    <w:rsid w:val="0067285F"/>
    <w:rsid w:val="00672B53"/>
    <w:rsid w:val="00672DB5"/>
    <w:rsid w:val="00672E01"/>
    <w:rsid w:val="00673169"/>
    <w:rsid w:val="0067335D"/>
    <w:rsid w:val="006734C6"/>
    <w:rsid w:val="00673749"/>
    <w:rsid w:val="006737C9"/>
    <w:rsid w:val="00673881"/>
    <w:rsid w:val="00673A39"/>
    <w:rsid w:val="00673C88"/>
    <w:rsid w:val="00673D5F"/>
    <w:rsid w:val="00673E44"/>
    <w:rsid w:val="00673EF5"/>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7C"/>
    <w:rsid w:val="0067538F"/>
    <w:rsid w:val="00675716"/>
    <w:rsid w:val="00675729"/>
    <w:rsid w:val="00675851"/>
    <w:rsid w:val="00675982"/>
    <w:rsid w:val="00675A7A"/>
    <w:rsid w:val="00675A7F"/>
    <w:rsid w:val="00675AC8"/>
    <w:rsid w:val="00675AEB"/>
    <w:rsid w:val="00675B34"/>
    <w:rsid w:val="00675E4C"/>
    <w:rsid w:val="00675F06"/>
    <w:rsid w:val="00675FDE"/>
    <w:rsid w:val="00676012"/>
    <w:rsid w:val="006762DC"/>
    <w:rsid w:val="00676396"/>
    <w:rsid w:val="00676514"/>
    <w:rsid w:val="006767D6"/>
    <w:rsid w:val="00676B20"/>
    <w:rsid w:val="00676B4E"/>
    <w:rsid w:val="00676B84"/>
    <w:rsid w:val="006770C0"/>
    <w:rsid w:val="00677149"/>
    <w:rsid w:val="006772B1"/>
    <w:rsid w:val="00677346"/>
    <w:rsid w:val="006774B2"/>
    <w:rsid w:val="0067751B"/>
    <w:rsid w:val="006778B9"/>
    <w:rsid w:val="00677B47"/>
    <w:rsid w:val="00677B5F"/>
    <w:rsid w:val="00677BAD"/>
    <w:rsid w:val="00677E92"/>
    <w:rsid w:val="00677F0B"/>
    <w:rsid w:val="00677F92"/>
    <w:rsid w:val="006800E0"/>
    <w:rsid w:val="0068012D"/>
    <w:rsid w:val="006802B1"/>
    <w:rsid w:val="00680410"/>
    <w:rsid w:val="00680532"/>
    <w:rsid w:val="00680559"/>
    <w:rsid w:val="00680578"/>
    <w:rsid w:val="006805CE"/>
    <w:rsid w:val="006805E0"/>
    <w:rsid w:val="00680651"/>
    <w:rsid w:val="00680B71"/>
    <w:rsid w:val="00680E2D"/>
    <w:rsid w:val="00680E30"/>
    <w:rsid w:val="00680E4C"/>
    <w:rsid w:val="006810D8"/>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1FB"/>
    <w:rsid w:val="0068222F"/>
    <w:rsid w:val="0068227B"/>
    <w:rsid w:val="00682283"/>
    <w:rsid w:val="00682538"/>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792"/>
    <w:rsid w:val="006847C1"/>
    <w:rsid w:val="00684A1E"/>
    <w:rsid w:val="00684B12"/>
    <w:rsid w:val="00684C9A"/>
    <w:rsid w:val="00684FAC"/>
    <w:rsid w:val="006851AF"/>
    <w:rsid w:val="006851FC"/>
    <w:rsid w:val="00685242"/>
    <w:rsid w:val="0068527E"/>
    <w:rsid w:val="0068528D"/>
    <w:rsid w:val="00685353"/>
    <w:rsid w:val="006853E1"/>
    <w:rsid w:val="006854DF"/>
    <w:rsid w:val="0068554A"/>
    <w:rsid w:val="0068556E"/>
    <w:rsid w:val="00685615"/>
    <w:rsid w:val="0068561E"/>
    <w:rsid w:val="006856DC"/>
    <w:rsid w:val="006857BF"/>
    <w:rsid w:val="006858AB"/>
    <w:rsid w:val="0068590E"/>
    <w:rsid w:val="00685A38"/>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2A8"/>
    <w:rsid w:val="0068741F"/>
    <w:rsid w:val="00687673"/>
    <w:rsid w:val="0068773B"/>
    <w:rsid w:val="006878EB"/>
    <w:rsid w:val="00687CE8"/>
    <w:rsid w:val="00687D46"/>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BED"/>
    <w:rsid w:val="00692F65"/>
    <w:rsid w:val="00692FD5"/>
    <w:rsid w:val="00693431"/>
    <w:rsid w:val="0069358A"/>
    <w:rsid w:val="006935D2"/>
    <w:rsid w:val="0069366F"/>
    <w:rsid w:val="006936E9"/>
    <w:rsid w:val="00693802"/>
    <w:rsid w:val="00693812"/>
    <w:rsid w:val="00693B4A"/>
    <w:rsid w:val="00693C30"/>
    <w:rsid w:val="00693D6B"/>
    <w:rsid w:val="00693E71"/>
    <w:rsid w:val="006940D6"/>
    <w:rsid w:val="006941C7"/>
    <w:rsid w:val="006942E3"/>
    <w:rsid w:val="0069469A"/>
    <w:rsid w:val="006946C8"/>
    <w:rsid w:val="006946CB"/>
    <w:rsid w:val="00694737"/>
    <w:rsid w:val="0069474B"/>
    <w:rsid w:val="0069482E"/>
    <w:rsid w:val="006948C9"/>
    <w:rsid w:val="00694924"/>
    <w:rsid w:val="00694E5A"/>
    <w:rsid w:val="00694F64"/>
    <w:rsid w:val="00694F7B"/>
    <w:rsid w:val="006950CB"/>
    <w:rsid w:val="00695105"/>
    <w:rsid w:val="00695111"/>
    <w:rsid w:val="0069533B"/>
    <w:rsid w:val="006954AF"/>
    <w:rsid w:val="006955A7"/>
    <w:rsid w:val="0069579A"/>
    <w:rsid w:val="006958CB"/>
    <w:rsid w:val="00695973"/>
    <w:rsid w:val="0069598D"/>
    <w:rsid w:val="006959D7"/>
    <w:rsid w:val="00695A6C"/>
    <w:rsid w:val="00695BBB"/>
    <w:rsid w:val="00695E17"/>
    <w:rsid w:val="00695F95"/>
    <w:rsid w:val="00696006"/>
    <w:rsid w:val="006963D5"/>
    <w:rsid w:val="00696752"/>
    <w:rsid w:val="00696871"/>
    <w:rsid w:val="0069687F"/>
    <w:rsid w:val="00696A83"/>
    <w:rsid w:val="00696D41"/>
    <w:rsid w:val="00696D97"/>
    <w:rsid w:val="0069711F"/>
    <w:rsid w:val="006972FF"/>
    <w:rsid w:val="006976CD"/>
    <w:rsid w:val="00697795"/>
    <w:rsid w:val="00697841"/>
    <w:rsid w:val="00697933"/>
    <w:rsid w:val="0069799E"/>
    <w:rsid w:val="006979AF"/>
    <w:rsid w:val="00697D48"/>
    <w:rsid w:val="006A021D"/>
    <w:rsid w:val="006A0280"/>
    <w:rsid w:val="006A03A7"/>
    <w:rsid w:val="006A0490"/>
    <w:rsid w:val="006A04A2"/>
    <w:rsid w:val="006A0544"/>
    <w:rsid w:val="006A0577"/>
    <w:rsid w:val="006A06AA"/>
    <w:rsid w:val="006A0915"/>
    <w:rsid w:val="006A0926"/>
    <w:rsid w:val="006A093A"/>
    <w:rsid w:val="006A0A44"/>
    <w:rsid w:val="006A0B8C"/>
    <w:rsid w:val="006A0BC5"/>
    <w:rsid w:val="006A0CB6"/>
    <w:rsid w:val="006A0FE7"/>
    <w:rsid w:val="006A1072"/>
    <w:rsid w:val="006A1299"/>
    <w:rsid w:val="006A129E"/>
    <w:rsid w:val="006A1332"/>
    <w:rsid w:val="006A1566"/>
    <w:rsid w:val="006A16A1"/>
    <w:rsid w:val="006A16C4"/>
    <w:rsid w:val="006A18EC"/>
    <w:rsid w:val="006A1914"/>
    <w:rsid w:val="006A1C7D"/>
    <w:rsid w:val="006A1D66"/>
    <w:rsid w:val="006A1F31"/>
    <w:rsid w:val="006A2099"/>
    <w:rsid w:val="006A20AF"/>
    <w:rsid w:val="006A238C"/>
    <w:rsid w:val="006A255D"/>
    <w:rsid w:val="006A25AE"/>
    <w:rsid w:val="006A26E4"/>
    <w:rsid w:val="006A2EB9"/>
    <w:rsid w:val="006A2F20"/>
    <w:rsid w:val="006A2F9C"/>
    <w:rsid w:val="006A2F9D"/>
    <w:rsid w:val="006A302A"/>
    <w:rsid w:val="006A30D7"/>
    <w:rsid w:val="006A3159"/>
    <w:rsid w:val="006A3338"/>
    <w:rsid w:val="006A33A4"/>
    <w:rsid w:val="006A3419"/>
    <w:rsid w:val="006A37C4"/>
    <w:rsid w:val="006A38F3"/>
    <w:rsid w:val="006A38F5"/>
    <w:rsid w:val="006A39AB"/>
    <w:rsid w:val="006A3A0F"/>
    <w:rsid w:val="006A3CA0"/>
    <w:rsid w:val="006A3E63"/>
    <w:rsid w:val="006A3E9C"/>
    <w:rsid w:val="006A4022"/>
    <w:rsid w:val="006A41ED"/>
    <w:rsid w:val="006A4390"/>
    <w:rsid w:val="006A4693"/>
    <w:rsid w:val="006A4832"/>
    <w:rsid w:val="006A4846"/>
    <w:rsid w:val="006A4B7C"/>
    <w:rsid w:val="006A4C30"/>
    <w:rsid w:val="006A4D47"/>
    <w:rsid w:val="006A52BD"/>
    <w:rsid w:val="006A52E5"/>
    <w:rsid w:val="006A55EF"/>
    <w:rsid w:val="006A571F"/>
    <w:rsid w:val="006A5729"/>
    <w:rsid w:val="006A5787"/>
    <w:rsid w:val="006A5B24"/>
    <w:rsid w:val="006A5BD9"/>
    <w:rsid w:val="006A5D9A"/>
    <w:rsid w:val="006A5EDF"/>
    <w:rsid w:val="006A5FA2"/>
    <w:rsid w:val="006A602D"/>
    <w:rsid w:val="006A6175"/>
    <w:rsid w:val="006A61C0"/>
    <w:rsid w:val="006A6328"/>
    <w:rsid w:val="006A63B4"/>
    <w:rsid w:val="006A6517"/>
    <w:rsid w:val="006A65B9"/>
    <w:rsid w:val="006A6602"/>
    <w:rsid w:val="006A669E"/>
    <w:rsid w:val="006A6854"/>
    <w:rsid w:val="006A6986"/>
    <w:rsid w:val="006A6BED"/>
    <w:rsid w:val="006A6C85"/>
    <w:rsid w:val="006A6D3E"/>
    <w:rsid w:val="006A704A"/>
    <w:rsid w:val="006A704D"/>
    <w:rsid w:val="006A70D8"/>
    <w:rsid w:val="006A74E3"/>
    <w:rsid w:val="006A77D3"/>
    <w:rsid w:val="006A783E"/>
    <w:rsid w:val="006A793D"/>
    <w:rsid w:val="006A794B"/>
    <w:rsid w:val="006A79D4"/>
    <w:rsid w:val="006A7A52"/>
    <w:rsid w:val="006A7A97"/>
    <w:rsid w:val="006A7BAA"/>
    <w:rsid w:val="006A7C2A"/>
    <w:rsid w:val="006A7E04"/>
    <w:rsid w:val="006AF860"/>
    <w:rsid w:val="006B0018"/>
    <w:rsid w:val="006B0163"/>
    <w:rsid w:val="006B0238"/>
    <w:rsid w:val="006B0399"/>
    <w:rsid w:val="006B04FC"/>
    <w:rsid w:val="006B05A1"/>
    <w:rsid w:val="006B0784"/>
    <w:rsid w:val="006B095E"/>
    <w:rsid w:val="006B0A49"/>
    <w:rsid w:val="006B0B0A"/>
    <w:rsid w:val="006B0CF4"/>
    <w:rsid w:val="006B0EE0"/>
    <w:rsid w:val="006B0FF8"/>
    <w:rsid w:val="006B0FFF"/>
    <w:rsid w:val="006B114C"/>
    <w:rsid w:val="006B13AE"/>
    <w:rsid w:val="006B1628"/>
    <w:rsid w:val="006B1659"/>
    <w:rsid w:val="006B19BF"/>
    <w:rsid w:val="006B1A20"/>
    <w:rsid w:val="006B1A96"/>
    <w:rsid w:val="006B1B01"/>
    <w:rsid w:val="006B1C5E"/>
    <w:rsid w:val="006B1F29"/>
    <w:rsid w:val="006B1F4D"/>
    <w:rsid w:val="006B1F91"/>
    <w:rsid w:val="006B20F4"/>
    <w:rsid w:val="006B21FA"/>
    <w:rsid w:val="006B246F"/>
    <w:rsid w:val="006B24B8"/>
    <w:rsid w:val="006B2699"/>
    <w:rsid w:val="006B269E"/>
    <w:rsid w:val="006B2862"/>
    <w:rsid w:val="006B29B9"/>
    <w:rsid w:val="006B29C8"/>
    <w:rsid w:val="006B2B56"/>
    <w:rsid w:val="006B2D23"/>
    <w:rsid w:val="006B2D44"/>
    <w:rsid w:val="006B2DE1"/>
    <w:rsid w:val="006B2E65"/>
    <w:rsid w:val="006B2EE4"/>
    <w:rsid w:val="006B3067"/>
    <w:rsid w:val="006B30E1"/>
    <w:rsid w:val="006B3192"/>
    <w:rsid w:val="006B31F9"/>
    <w:rsid w:val="006B32D1"/>
    <w:rsid w:val="006B36AA"/>
    <w:rsid w:val="006B3763"/>
    <w:rsid w:val="006B3857"/>
    <w:rsid w:val="006B387D"/>
    <w:rsid w:val="006B3A8C"/>
    <w:rsid w:val="006B3E9B"/>
    <w:rsid w:val="006B4024"/>
    <w:rsid w:val="006B4098"/>
    <w:rsid w:val="006B4332"/>
    <w:rsid w:val="006B4370"/>
    <w:rsid w:val="006B438B"/>
    <w:rsid w:val="006B46F5"/>
    <w:rsid w:val="006B4710"/>
    <w:rsid w:val="006B4842"/>
    <w:rsid w:val="006B49D4"/>
    <w:rsid w:val="006B4AF5"/>
    <w:rsid w:val="006B4C2E"/>
    <w:rsid w:val="006B4CEE"/>
    <w:rsid w:val="006B4D4C"/>
    <w:rsid w:val="006B4DAD"/>
    <w:rsid w:val="006B4FDD"/>
    <w:rsid w:val="006B509B"/>
    <w:rsid w:val="006B51D7"/>
    <w:rsid w:val="006B5269"/>
    <w:rsid w:val="006B5322"/>
    <w:rsid w:val="006B5348"/>
    <w:rsid w:val="006B5360"/>
    <w:rsid w:val="006B58B0"/>
    <w:rsid w:val="006B5C86"/>
    <w:rsid w:val="006B5D66"/>
    <w:rsid w:val="006B5D89"/>
    <w:rsid w:val="006B5F55"/>
    <w:rsid w:val="006B602C"/>
    <w:rsid w:val="006B6127"/>
    <w:rsid w:val="006B62C4"/>
    <w:rsid w:val="006B63C8"/>
    <w:rsid w:val="006B63E2"/>
    <w:rsid w:val="006B6413"/>
    <w:rsid w:val="006B6597"/>
    <w:rsid w:val="006B65A4"/>
    <w:rsid w:val="006B66A6"/>
    <w:rsid w:val="006B6A87"/>
    <w:rsid w:val="006B6ABA"/>
    <w:rsid w:val="006B6ACD"/>
    <w:rsid w:val="006B6BFC"/>
    <w:rsid w:val="006B6CDC"/>
    <w:rsid w:val="006B6CED"/>
    <w:rsid w:val="006B6CEF"/>
    <w:rsid w:val="006B6DBE"/>
    <w:rsid w:val="006B6E95"/>
    <w:rsid w:val="006B7028"/>
    <w:rsid w:val="006B7059"/>
    <w:rsid w:val="006B709E"/>
    <w:rsid w:val="006B70C9"/>
    <w:rsid w:val="006B7138"/>
    <w:rsid w:val="006B713C"/>
    <w:rsid w:val="006B71B7"/>
    <w:rsid w:val="006B71C0"/>
    <w:rsid w:val="006B7482"/>
    <w:rsid w:val="006B7517"/>
    <w:rsid w:val="006B7521"/>
    <w:rsid w:val="006B7525"/>
    <w:rsid w:val="006B767F"/>
    <w:rsid w:val="006B7916"/>
    <w:rsid w:val="006B793A"/>
    <w:rsid w:val="006B7A9B"/>
    <w:rsid w:val="006B7B8E"/>
    <w:rsid w:val="006B7C2A"/>
    <w:rsid w:val="006B7C74"/>
    <w:rsid w:val="006B7E31"/>
    <w:rsid w:val="006C01EF"/>
    <w:rsid w:val="006C029F"/>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86"/>
    <w:rsid w:val="006C1AD4"/>
    <w:rsid w:val="006C1DC6"/>
    <w:rsid w:val="006C1EDD"/>
    <w:rsid w:val="006C1F6C"/>
    <w:rsid w:val="006C20B2"/>
    <w:rsid w:val="006C2127"/>
    <w:rsid w:val="006C2135"/>
    <w:rsid w:val="006C226C"/>
    <w:rsid w:val="006C2443"/>
    <w:rsid w:val="006C2643"/>
    <w:rsid w:val="006C29D1"/>
    <w:rsid w:val="006C2C65"/>
    <w:rsid w:val="006C2E20"/>
    <w:rsid w:val="006C31DB"/>
    <w:rsid w:val="006C3501"/>
    <w:rsid w:val="006C3793"/>
    <w:rsid w:val="006C3872"/>
    <w:rsid w:val="006C38D1"/>
    <w:rsid w:val="006C391B"/>
    <w:rsid w:val="006C39D2"/>
    <w:rsid w:val="006C3E6B"/>
    <w:rsid w:val="006C4490"/>
    <w:rsid w:val="006C4572"/>
    <w:rsid w:val="006C4881"/>
    <w:rsid w:val="006C4A66"/>
    <w:rsid w:val="006C4AAF"/>
    <w:rsid w:val="006C4B75"/>
    <w:rsid w:val="006C4B8C"/>
    <w:rsid w:val="006C4BFF"/>
    <w:rsid w:val="006C4D26"/>
    <w:rsid w:val="006C4F6F"/>
    <w:rsid w:val="006C5007"/>
    <w:rsid w:val="006C500A"/>
    <w:rsid w:val="006C5055"/>
    <w:rsid w:val="006C531D"/>
    <w:rsid w:val="006C5464"/>
    <w:rsid w:val="006C55FF"/>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96D"/>
    <w:rsid w:val="006C6AC0"/>
    <w:rsid w:val="006C6B7E"/>
    <w:rsid w:val="006C6C4D"/>
    <w:rsid w:val="006C6FF5"/>
    <w:rsid w:val="006C7017"/>
    <w:rsid w:val="006C70FF"/>
    <w:rsid w:val="006C7168"/>
    <w:rsid w:val="006C750A"/>
    <w:rsid w:val="006C751F"/>
    <w:rsid w:val="006C7725"/>
    <w:rsid w:val="006C7746"/>
    <w:rsid w:val="006C78B4"/>
    <w:rsid w:val="006C7981"/>
    <w:rsid w:val="006C79CA"/>
    <w:rsid w:val="006C7BFD"/>
    <w:rsid w:val="006C7C30"/>
    <w:rsid w:val="006C7E28"/>
    <w:rsid w:val="006C7F94"/>
    <w:rsid w:val="006D00B6"/>
    <w:rsid w:val="006D02A9"/>
    <w:rsid w:val="006D02B7"/>
    <w:rsid w:val="006D064C"/>
    <w:rsid w:val="006D0697"/>
    <w:rsid w:val="006D0BBF"/>
    <w:rsid w:val="006D0CBA"/>
    <w:rsid w:val="006D0DFE"/>
    <w:rsid w:val="006D0EC0"/>
    <w:rsid w:val="006D11F1"/>
    <w:rsid w:val="006D1205"/>
    <w:rsid w:val="006D1334"/>
    <w:rsid w:val="006D136F"/>
    <w:rsid w:val="006D174C"/>
    <w:rsid w:val="006D1811"/>
    <w:rsid w:val="006D190C"/>
    <w:rsid w:val="006D1B1B"/>
    <w:rsid w:val="006D1D24"/>
    <w:rsid w:val="006D1E85"/>
    <w:rsid w:val="006D2045"/>
    <w:rsid w:val="006D218F"/>
    <w:rsid w:val="006D23F2"/>
    <w:rsid w:val="006D251C"/>
    <w:rsid w:val="006D2718"/>
    <w:rsid w:val="006D2A7C"/>
    <w:rsid w:val="006D2A8B"/>
    <w:rsid w:val="006D2B10"/>
    <w:rsid w:val="006D2D41"/>
    <w:rsid w:val="006D2DF4"/>
    <w:rsid w:val="006D30A3"/>
    <w:rsid w:val="006D330B"/>
    <w:rsid w:val="006D347A"/>
    <w:rsid w:val="006D34BE"/>
    <w:rsid w:val="006D35D7"/>
    <w:rsid w:val="006D386E"/>
    <w:rsid w:val="006D3FAD"/>
    <w:rsid w:val="006D3FBD"/>
    <w:rsid w:val="006D40BA"/>
    <w:rsid w:val="006D418F"/>
    <w:rsid w:val="006D424B"/>
    <w:rsid w:val="006D4279"/>
    <w:rsid w:val="006D42E5"/>
    <w:rsid w:val="006D451E"/>
    <w:rsid w:val="006D458B"/>
    <w:rsid w:val="006D45E7"/>
    <w:rsid w:val="006D45F4"/>
    <w:rsid w:val="006D4644"/>
    <w:rsid w:val="006D46BE"/>
    <w:rsid w:val="006D4916"/>
    <w:rsid w:val="006D49DC"/>
    <w:rsid w:val="006D49EB"/>
    <w:rsid w:val="006D4A38"/>
    <w:rsid w:val="006D4A61"/>
    <w:rsid w:val="006D4AD2"/>
    <w:rsid w:val="006D4BD1"/>
    <w:rsid w:val="006D4CBF"/>
    <w:rsid w:val="006D54FA"/>
    <w:rsid w:val="006D55BE"/>
    <w:rsid w:val="006D58A8"/>
    <w:rsid w:val="006D5904"/>
    <w:rsid w:val="006D5A89"/>
    <w:rsid w:val="006D5B6A"/>
    <w:rsid w:val="006D606A"/>
    <w:rsid w:val="006D622E"/>
    <w:rsid w:val="006D6732"/>
    <w:rsid w:val="006D67DE"/>
    <w:rsid w:val="006D6887"/>
    <w:rsid w:val="006D689C"/>
    <w:rsid w:val="006D69B6"/>
    <w:rsid w:val="006D6B79"/>
    <w:rsid w:val="006D6B9E"/>
    <w:rsid w:val="006D6FAF"/>
    <w:rsid w:val="006D70D9"/>
    <w:rsid w:val="006D7204"/>
    <w:rsid w:val="006D734D"/>
    <w:rsid w:val="006D7513"/>
    <w:rsid w:val="006D780C"/>
    <w:rsid w:val="006D7912"/>
    <w:rsid w:val="006D794D"/>
    <w:rsid w:val="006D79D8"/>
    <w:rsid w:val="006D7C59"/>
    <w:rsid w:val="006D7F03"/>
    <w:rsid w:val="006D7F13"/>
    <w:rsid w:val="006D7F8F"/>
    <w:rsid w:val="006D7FD3"/>
    <w:rsid w:val="006E016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1072"/>
    <w:rsid w:val="006E1110"/>
    <w:rsid w:val="006E126E"/>
    <w:rsid w:val="006E1331"/>
    <w:rsid w:val="006E1413"/>
    <w:rsid w:val="006E1755"/>
    <w:rsid w:val="006E1854"/>
    <w:rsid w:val="006E199B"/>
    <w:rsid w:val="006E1B60"/>
    <w:rsid w:val="006E1C2A"/>
    <w:rsid w:val="006E1D76"/>
    <w:rsid w:val="006E1F3D"/>
    <w:rsid w:val="006E1FF3"/>
    <w:rsid w:val="006E202A"/>
    <w:rsid w:val="006E22A2"/>
    <w:rsid w:val="006E22F2"/>
    <w:rsid w:val="006E233B"/>
    <w:rsid w:val="006E23D1"/>
    <w:rsid w:val="006E24A8"/>
    <w:rsid w:val="006E254B"/>
    <w:rsid w:val="006E26C6"/>
    <w:rsid w:val="006E28C1"/>
    <w:rsid w:val="006E2A1C"/>
    <w:rsid w:val="006E2AD3"/>
    <w:rsid w:val="006E2B88"/>
    <w:rsid w:val="006E2CB4"/>
    <w:rsid w:val="006E2D1C"/>
    <w:rsid w:val="006E2D5E"/>
    <w:rsid w:val="006E2DFB"/>
    <w:rsid w:val="006E2EEC"/>
    <w:rsid w:val="006E31A7"/>
    <w:rsid w:val="006E34C8"/>
    <w:rsid w:val="006E34D5"/>
    <w:rsid w:val="006E3629"/>
    <w:rsid w:val="006E3640"/>
    <w:rsid w:val="006E36D9"/>
    <w:rsid w:val="006E36FD"/>
    <w:rsid w:val="006E371F"/>
    <w:rsid w:val="006E39CE"/>
    <w:rsid w:val="006E39DE"/>
    <w:rsid w:val="006E3AA3"/>
    <w:rsid w:val="006E3C94"/>
    <w:rsid w:val="006E3D57"/>
    <w:rsid w:val="006E3DD8"/>
    <w:rsid w:val="006E3DEA"/>
    <w:rsid w:val="006E3EE5"/>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51D"/>
    <w:rsid w:val="006E5574"/>
    <w:rsid w:val="006E597F"/>
    <w:rsid w:val="006E5AED"/>
    <w:rsid w:val="006E5BE3"/>
    <w:rsid w:val="006E5FB6"/>
    <w:rsid w:val="006E6066"/>
    <w:rsid w:val="006E60CD"/>
    <w:rsid w:val="006E627B"/>
    <w:rsid w:val="006E659B"/>
    <w:rsid w:val="006E66D9"/>
    <w:rsid w:val="006E672A"/>
    <w:rsid w:val="006E6752"/>
    <w:rsid w:val="006E6A60"/>
    <w:rsid w:val="006E6E49"/>
    <w:rsid w:val="006E7064"/>
    <w:rsid w:val="006E71E1"/>
    <w:rsid w:val="006E7207"/>
    <w:rsid w:val="006E722C"/>
    <w:rsid w:val="006E7235"/>
    <w:rsid w:val="006E743B"/>
    <w:rsid w:val="006E7454"/>
    <w:rsid w:val="006E78B3"/>
    <w:rsid w:val="006E7903"/>
    <w:rsid w:val="006E7AD8"/>
    <w:rsid w:val="006E7D28"/>
    <w:rsid w:val="006E7D2E"/>
    <w:rsid w:val="006E7D3F"/>
    <w:rsid w:val="006E7DCB"/>
    <w:rsid w:val="006F0056"/>
    <w:rsid w:val="006F00ED"/>
    <w:rsid w:val="006F032C"/>
    <w:rsid w:val="006F07C3"/>
    <w:rsid w:val="006F0854"/>
    <w:rsid w:val="006F0A9A"/>
    <w:rsid w:val="006F0BF7"/>
    <w:rsid w:val="006F0CCA"/>
    <w:rsid w:val="006F0EF0"/>
    <w:rsid w:val="006F1141"/>
    <w:rsid w:val="006F1192"/>
    <w:rsid w:val="006F1288"/>
    <w:rsid w:val="006F129B"/>
    <w:rsid w:val="006F12DC"/>
    <w:rsid w:val="006F12F4"/>
    <w:rsid w:val="006F154E"/>
    <w:rsid w:val="006F16B8"/>
    <w:rsid w:val="006F19EF"/>
    <w:rsid w:val="006F1F86"/>
    <w:rsid w:val="006F2011"/>
    <w:rsid w:val="006F23EB"/>
    <w:rsid w:val="006F2418"/>
    <w:rsid w:val="006F2519"/>
    <w:rsid w:val="006F2654"/>
    <w:rsid w:val="006F276D"/>
    <w:rsid w:val="006F2916"/>
    <w:rsid w:val="006F2946"/>
    <w:rsid w:val="006F2952"/>
    <w:rsid w:val="006F2A04"/>
    <w:rsid w:val="006F2AD3"/>
    <w:rsid w:val="006F2BB6"/>
    <w:rsid w:val="006F2D3B"/>
    <w:rsid w:val="006F2F85"/>
    <w:rsid w:val="006F33A0"/>
    <w:rsid w:val="006F33D3"/>
    <w:rsid w:val="006F34ED"/>
    <w:rsid w:val="006F363D"/>
    <w:rsid w:val="006F3666"/>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705"/>
    <w:rsid w:val="006F479C"/>
    <w:rsid w:val="006F47E4"/>
    <w:rsid w:val="006F481E"/>
    <w:rsid w:val="006F4861"/>
    <w:rsid w:val="006F4959"/>
    <w:rsid w:val="006F49C1"/>
    <w:rsid w:val="006F4ADC"/>
    <w:rsid w:val="006F4BC5"/>
    <w:rsid w:val="006F4CD7"/>
    <w:rsid w:val="006F4E10"/>
    <w:rsid w:val="006F4E26"/>
    <w:rsid w:val="006F5065"/>
    <w:rsid w:val="006F50F5"/>
    <w:rsid w:val="006F5291"/>
    <w:rsid w:val="006F54C5"/>
    <w:rsid w:val="006F57B0"/>
    <w:rsid w:val="006F586D"/>
    <w:rsid w:val="006F587C"/>
    <w:rsid w:val="006F59AA"/>
    <w:rsid w:val="006F5A20"/>
    <w:rsid w:val="006F5A39"/>
    <w:rsid w:val="006F5BCD"/>
    <w:rsid w:val="006F5EB5"/>
    <w:rsid w:val="006F5F17"/>
    <w:rsid w:val="006F604B"/>
    <w:rsid w:val="006F62ED"/>
    <w:rsid w:val="006F62FF"/>
    <w:rsid w:val="006F65E6"/>
    <w:rsid w:val="006F666F"/>
    <w:rsid w:val="006F66B2"/>
    <w:rsid w:val="006F6777"/>
    <w:rsid w:val="006F679A"/>
    <w:rsid w:val="006F67A8"/>
    <w:rsid w:val="006F67B4"/>
    <w:rsid w:val="006F6914"/>
    <w:rsid w:val="006F6A1F"/>
    <w:rsid w:val="006F6B92"/>
    <w:rsid w:val="006F6DA5"/>
    <w:rsid w:val="006F7007"/>
    <w:rsid w:val="006F7029"/>
    <w:rsid w:val="006F7229"/>
    <w:rsid w:val="006F73F1"/>
    <w:rsid w:val="006F74E4"/>
    <w:rsid w:val="006F764D"/>
    <w:rsid w:val="006F77EE"/>
    <w:rsid w:val="006F79E6"/>
    <w:rsid w:val="006F7BB1"/>
    <w:rsid w:val="006F7BB3"/>
    <w:rsid w:val="00700080"/>
    <w:rsid w:val="00700185"/>
    <w:rsid w:val="007001E1"/>
    <w:rsid w:val="0070030B"/>
    <w:rsid w:val="007003C4"/>
    <w:rsid w:val="007007AD"/>
    <w:rsid w:val="00700803"/>
    <w:rsid w:val="0070081E"/>
    <w:rsid w:val="0070085E"/>
    <w:rsid w:val="00700A65"/>
    <w:rsid w:val="00700BD3"/>
    <w:rsid w:val="00700D37"/>
    <w:rsid w:val="00700DCC"/>
    <w:rsid w:val="00700F3E"/>
    <w:rsid w:val="007010B0"/>
    <w:rsid w:val="0070129D"/>
    <w:rsid w:val="007018B0"/>
    <w:rsid w:val="0070192E"/>
    <w:rsid w:val="00701ED6"/>
    <w:rsid w:val="00701EE3"/>
    <w:rsid w:val="007020D1"/>
    <w:rsid w:val="00702115"/>
    <w:rsid w:val="007021BE"/>
    <w:rsid w:val="00702372"/>
    <w:rsid w:val="0070244A"/>
    <w:rsid w:val="00702489"/>
    <w:rsid w:val="00702655"/>
    <w:rsid w:val="007027DB"/>
    <w:rsid w:val="0070296C"/>
    <w:rsid w:val="007029E1"/>
    <w:rsid w:val="00702A08"/>
    <w:rsid w:val="00702A94"/>
    <w:rsid w:val="00702ADF"/>
    <w:rsid w:val="00702E65"/>
    <w:rsid w:val="00702F2F"/>
    <w:rsid w:val="00702FBD"/>
    <w:rsid w:val="00702FC0"/>
    <w:rsid w:val="0070328A"/>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3B"/>
    <w:rsid w:val="00704790"/>
    <w:rsid w:val="0070498E"/>
    <w:rsid w:val="00704DFC"/>
    <w:rsid w:val="00704E16"/>
    <w:rsid w:val="007050A8"/>
    <w:rsid w:val="0070510E"/>
    <w:rsid w:val="007055F3"/>
    <w:rsid w:val="0070586C"/>
    <w:rsid w:val="007058B5"/>
    <w:rsid w:val="007059F7"/>
    <w:rsid w:val="00705BB7"/>
    <w:rsid w:val="00705E2B"/>
    <w:rsid w:val="00705E6B"/>
    <w:rsid w:val="00705F7A"/>
    <w:rsid w:val="0070610C"/>
    <w:rsid w:val="007061F6"/>
    <w:rsid w:val="0070622C"/>
    <w:rsid w:val="00706764"/>
    <w:rsid w:val="007067D7"/>
    <w:rsid w:val="0070682D"/>
    <w:rsid w:val="007069CA"/>
    <w:rsid w:val="00706AA1"/>
    <w:rsid w:val="00706AED"/>
    <w:rsid w:val="00706E0E"/>
    <w:rsid w:val="007070AC"/>
    <w:rsid w:val="007072DE"/>
    <w:rsid w:val="0070733F"/>
    <w:rsid w:val="00707498"/>
    <w:rsid w:val="0070781F"/>
    <w:rsid w:val="00707A2C"/>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50"/>
    <w:rsid w:val="00711566"/>
    <w:rsid w:val="007115DE"/>
    <w:rsid w:val="007117B9"/>
    <w:rsid w:val="007117E8"/>
    <w:rsid w:val="00711C07"/>
    <w:rsid w:val="00711CA0"/>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A2"/>
    <w:rsid w:val="00714724"/>
    <w:rsid w:val="007147A2"/>
    <w:rsid w:val="007147B4"/>
    <w:rsid w:val="00714A66"/>
    <w:rsid w:val="00714A97"/>
    <w:rsid w:val="00714B0E"/>
    <w:rsid w:val="00714C1D"/>
    <w:rsid w:val="00714CC1"/>
    <w:rsid w:val="00714D71"/>
    <w:rsid w:val="00714EBB"/>
    <w:rsid w:val="007150E3"/>
    <w:rsid w:val="007150E8"/>
    <w:rsid w:val="007152BB"/>
    <w:rsid w:val="007152D6"/>
    <w:rsid w:val="007153A7"/>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CAB"/>
    <w:rsid w:val="00716E1B"/>
    <w:rsid w:val="00716ECC"/>
    <w:rsid w:val="00717139"/>
    <w:rsid w:val="0071714B"/>
    <w:rsid w:val="0071714E"/>
    <w:rsid w:val="007171E7"/>
    <w:rsid w:val="007172B2"/>
    <w:rsid w:val="00717329"/>
    <w:rsid w:val="0071755E"/>
    <w:rsid w:val="007176C5"/>
    <w:rsid w:val="007176E4"/>
    <w:rsid w:val="007177E4"/>
    <w:rsid w:val="00717811"/>
    <w:rsid w:val="00717AD5"/>
    <w:rsid w:val="00717AFE"/>
    <w:rsid w:val="00717DD9"/>
    <w:rsid w:val="00717EB6"/>
    <w:rsid w:val="007200E6"/>
    <w:rsid w:val="007203B2"/>
    <w:rsid w:val="007203B5"/>
    <w:rsid w:val="007205A0"/>
    <w:rsid w:val="0072069E"/>
    <w:rsid w:val="007206C6"/>
    <w:rsid w:val="00720705"/>
    <w:rsid w:val="007207EB"/>
    <w:rsid w:val="007208AE"/>
    <w:rsid w:val="00720B93"/>
    <w:rsid w:val="00720C0A"/>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D0"/>
    <w:rsid w:val="00722E1F"/>
    <w:rsid w:val="00722FA0"/>
    <w:rsid w:val="00722FAA"/>
    <w:rsid w:val="0072307C"/>
    <w:rsid w:val="007231CA"/>
    <w:rsid w:val="0072331D"/>
    <w:rsid w:val="0072346C"/>
    <w:rsid w:val="00723621"/>
    <w:rsid w:val="007236E1"/>
    <w:rsid w:val="0072388D"/>
    <w:rsid w:val="0072393C"/>
    <w:rsid w:val="007239C0"/>
    <w:rsid w:val="007239E2"/>
    <w:rsid w:val="00723AEA"/>
    <w:rsid w:val="00723BE8"/>
    <w:rsid w:val="00723E90"/>
    <w:rsid w:val="00724263"/>
    <w:rsid w:val="00724507"/>
    <w:rsid w:val="0072452C"/>
    <w:rsid w:val="007245E2"/>
    <w:rsid w:val="00724616"/>
    <w:rsid w:val="00724683"/>
    <w:rsid w:val="00724760"/>
    <w:rsid w:val="0072480D"/>
    <w:rsid w:val="00724B71"/>
    <w:rsid w:val="00724D7C"/>
    <w:rsid w:val="00725033"/>
    <w:rsid w:val="00725089"/>
    <w:rsid w:val="0072519C"/>
    <w:rsid w:val="007251A1"/>
    <w:rsid w:val="007253F8"/>
    <w:rsid w:val="0072555B"/>
    <w:rsid w:val="00725562"/>
    <w:rsid w:val="00725669"/>
    <w:rsid w:val="00725750"/>
    <w:rsid w:val="007257AF"/>
    <w:rsid w:val="00725815"/>
    <w:rsid w:val="007258C0"/>
    <w:rsid w:val="00725A86"/>
    <w:rsid w:val="00725A8B"/>
    <w:rsid w:val="00725B2F"/>
    <w:rsid w:val="00725CD8"/>
    <w:rsid w:val="00725CF0"/>
    <w:rsid w:val="00725D84"/>
    <w:rsid w:val="00725D89"/>
    <w:rsid w:val="00725E31"/>
    <w:rsid w:val="00725F5B"/>
    <w:rsid w:val="00725F80"/>
    <w:rsid w:val="0072607E"/>
    <w:rsid w:val="007260F5"/>
    <w:rsid w:val="0072611B"/>
    <w:rsid w:val="007263C2"/>
    <w:rsid w:val="007263C3"/>
    <w:rsid w:val="007265BB"/>
    <w:rsid w:val="007266AB"/>
    <w:rsid w:val="00726707"/>
    <w:rsid w:val="00726730"/>
    <w:rsid w:val="007267FC"/>
    <w:rsid w:val="0072684E"/>
    <w:rsid w:val="00726852"/>
    <w:rsid w:val="007269A5"/>
    <w:rsid w:val="00726A7A"/>
    <w:rsid w:val="00726AA2"/>
    <w:rsid w:val="00726C61"/>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AE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3A3"/>
    <w:rsid w:val="00731477"/>
    <w:rsid w:val="007317A4"/>
    <w:rsid w:val="007317AF"/>
    <w:rsid w:val="00731808"/>
    <w:rsid w:val="007319EA"/>
    <w:rsid w:val="00731B0C"/>
    <w:rsid w:val="00731DBF"/>
    <w:rsid w:val="00731DFD"/>
    <w:rsid w:val="0073207E"/>
    <w:rsid w:val="0073209D"/>
    <w:rsid w:val="00732115"/>
    <w:rsid w:val="00732290"/>
    <w:rsid w:val="007322F2"/>
    <w:rsid w:val="00732454"/>
    <w:rsid w:val="007326BA"/>
    <w:rsid w:val="007326C6"/>
    <w:rsid w:val="00732800"/>
    <w:rsid w:val="00732BDA"/>
    <w:rsid w:val="00732C0D"/>
    <w:rsid w:val="00732CBF"/>
    <w:rsid w:val="00732E4D"/>
    <w:rsid w:val="00732F90"/>
    <w:rsid w:val="007330AB"/>
    <w:rsid w:val="007330D5"/>
    <w:rsid w:val="0073318C"/>
    <w:rsid w:val="007334EB"/>
    <w:rsid w:val="00733502"/>
    <w:rsid w:val="0073358D"/>
    <w:rsid w:val="007335C8"/>
    <w:rsid w:val="007336BF"/>
    <w:rsid w:val="00733764"/>
    <w:rsid w:val="007337DC"/>
    <w:rsid w:val="007338AF"/>
    <w:rsid w:val="00733D48"/>
    <w:rsid w:val="00733D76"/>
    <w:rsid w:val="00733D8F"/>
    <w:rsid w:val="00734252"/>
    <w:rsid w:val="0073428D"/>
    <w:rsid w:val="0073429F"/>
    <w:rsid w:val="007342CF"/>
    <w:rsid w:val="0073436F"/>
    <w:rsid w:val="0073456B"/>
    <w:rsid w:val="007346FF"/>
    <w:rsid w:val="00734C07"/>
    <w:rsid w:val="00734D61"/>
    <w:rsid w:val="00734DFF"/>
    <w:rsid w:val="00734E23"/>
    <w:rsid w:val="00735044"/>
    <w:rsid w:val="00735215"/>
    <w:rsid w:val="007353A0"/>
    <w:rsid w:val="007353FF"/>
    <w:rsid w:val="00735479"/>
    <w:rsid w:val="007358CF"/>
    <w:rsid w:val="0073597A"/>
    <w:rsid w:val="00735993"/>
    <w:rsid w:val="00735997"/>
    <w:rsid w:val="00735AA9"/>
    <w:rsid w:val="00735BB8"/>
    <w:rsid w:val="00735C14"/>
    <w:rsid w:val="00735C4C"/>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E0"/>
    <w:rsid w:val="00736BF8"/>
    <w:rsid w:val="00736E15"/>
    <w:rsid w:val="007370A4"/>
    <w:rsid w:val="007376C7"/>
    <w:rsid w:val="00737799"/>
    <w:rsid w:val="0073788B"/>
    <w:rsid w:val="00737AC4"/>
    <w:rsid w:val="00737AD5"/>
    <w:rsid w:val="00737B35"/>
    <w:rsid w:val="00737F03"/>
    <w:rsid w:val="007400C9"/>
    <w:rsid w:val="007403A4"/>
    <w:rsid w:val="007403EA"/>
    <w:rsid w:val="00740622"/>
    <w:rsid w:val="0074080C"/>
    <w:rsid w:val="007408A1"/>
    <w:rsid w:val="00740A6C"/>
    <w:rsid w:val="00740A74"/>
    <w:rsid w:val="00740AD5"/>
    <w:rsid w:val="00740BC7"/>
    <w:rsid w:val="00740C0E"/>
    <w:rsid w:val="00740F25"/>
    <w:rsid w:val="0074107A"/>
    <w:rsid w:val="007411CA"/>
    <w:rsid w:val="007411CE"/>
    <w:rsid w:val="0074125D"/>
    <w:rsid w:val="0074127F"/>
    <w:rsid w:val="0074128D"/>
    <w:rsid w:val="00741312"/>
    <w:rsid w:val="00741417"/>
    <w:rsid w:val="00741498"/>
    <w:rsid w:val="00741522"/>
    <w:rsid w:val="007416EE"/>
    <w:rsid w:val="00741807"/>
    <w:rsid w:val="0074183C"/>
    <w:rsid w:val="0074185D"/>
    <w:rsid w:val="00741AAE"/>
    <w:rsid w:val="00741CEC"/>
    <w:rsid w:val="00741E45"/>
    <w:rsid w:val="00741FBE"/>
    <w:rsid w:val="00741FFD"/>
    <w:rsid w:val="00742135"/>
    <w:rsid w:val="00742273"/>
    <w:rsid w:val="0074228E"/>
    <w:rsid w:val="0074245B"/>
    <w:rsid w:val="00742650"/>
    <w:rsid w:val="00742883"/>
    <w:rsid w:val="00742D2B"/>
    <w:rsid w:val="0074323E"/>
    <w:rsid w:val="007432E6"/>
    <w:rsid w:val="0074333A"/>
    <w:rsid w:val="007433CC"/>
    <w:rsid w:val="00743568"/>
    <w:rsid w:val="00743753"/>
    <w:rsid w:val="007438BA"/>
    <w:rsid w:val="00743928"/>
    <w:rsid w:val="007439C5"/>
    <w:rsid w:val="00743A50"/>
    <w:rsid w:val="00743E29"/>
    <w:rsid w:val="00743EBD"/>
    <w:rsid w:val="00743EF7"/>
    <w:rsid w:val="00743F4B"/>
    <w:rsid w:val="00743FD2"/>
    <w:rsid w:val="007441EA"/>
    <w:rsid w:val="00744222"/>
    <w:rsid w:val="00744387"/>
    <w:rsid w:val="00744450"/>
    <w:rsid w:val="007445C4"/>
    <w:rsid w:val="0074471C"/>
    <w:rsid w:val="00744A2C"/>
    <w:rsid w:val="00744B90"/>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93B"/>
    <w:rsid w:val="007459D1"/>
    <w:rsid w:val="007459F2"/>
    <w:rsid w:val="00745C9B"/>
    <w:rsid w:val="00745DE6"/>
    <w:rsid w:val="00745E09"/>
    <w:rsid w:val="00745FA5"/>
    <w:rsid w:val="00746027"/>
    <w:rsid w:val="007462B0"/>
    <w:rsid w:val="00746386"/>
    <w:rsid w:val="007463C3"/>
    <w:rsid w:val="00746446"/>
    <w:rsid w:val="0074648F"/>
    <w:rsid w:val="00746599"/>
    <w:rsid w:val="00746860"/>
    <w:rsid w:val="00746A27"/>
    <w:rsid w:val="00746AC8"/>
    <w:rsid w:val="00746B9E"/>
    <w:rsid w:val="00746BBC"/>
    <w:rsid w:val="00746DA6"/>
    <w:rsid w:val="00746FE0"/>
    <w:rsid w:val="00747040"/>
    <w:rsid w:val="007471AD"/>
    <w:rsid w:val="00747334"/>
    <w:rsid w:val="0074742D"/>
    <w:rsid w:val="007474E7"/>
    <w:rsid w:val="007475A2"/>
    <w:rsid w:val="007475E7"/>
    <w:rsid w:val="00747675"/>
    <w:rsid w:val="007477D8"/>
    <w:rsid w:val="00747864"/>
    <w:rsid w:val="00747B78"/>
    <w:rsid w:val="00747E2B"/>
    <w:rsid w:val="00747F66"/>
    <w:rsid w:val="00750183"/>
    <w:rsid w:val="00750241"/>
    <w:rsid w:val="00750242"/>
    <w:rsid w:val="00750248"/>
    <w:rsid w:val="007502A8"/>
    <w:rsid w:val="00750367"/>
    <w:rsid w:val="00750424"/>
    <w:rsid w:val="007504DF"/>
    <w:rsid w:val="007504FA"/>
    <w:rsid w:val="00750614"/>
    <w:rsid w:val="007507A9"/>
    <w:rsid w:val="00750CDF"/>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864"/>
    <w:rsid w:val="007518DB"/>
    <w:rsid w:val="00751AC6"/>
    <w:rsid w:val="00751D4D"/>
    <w:rsid w:val="00751E7A"/>
    <w:rsid w:val="00751F18"/>
    <w:rsid w:val="00751FDC"/>
    <w:rsid w:val="00751FF0"/>
    <w:rsid w:val="00752194"/>
    <w:rsid w:val="007521D1"/>
    <w:rsid w:val="0075220A"/>
    <w:rsid w:val="00752363"/>
    <w:rsid w:val="00752425"/>
    <w:rsid w:val="007526CE"/>
    <w:rsid w:val="00752807"/>
    <w:rsid w:val="007528E3"/>
    <w:rsid w:val="00752AB7"/>
    <w:rsid w:val="00752AFF"/>
    <w:rsid w:val="00752C3F"/>
    <w:rsid w:val="00752D5E"/>
    <w:rsid w:val="00752D94"/>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C4A"/>
    <w:rsid w:val="00753FEC"/>
    <w:rsid w:val="007540A3"/>
    <w:rsid w:val="007541F8"/>
    <w:rsid w:val="00754397"/>
    <w:rsid w:val="0075444F"/>
    <w:rsid w:val="007544F7"/>
    <w:rsid w:val="00754558"/>
    <w:rsid w:val="00754865"/>
    <w:rsid w:val="00754D78"/>
    <w:rsid w:val="007550AF"/>
    <w:rsid w:val="007550B2"/>
    <w:rsid w:val="0075521E"/>
    <w:rsid w:val="007554D2"/>
    <w:rsid w:val="00755563"/>
    <w:rsid w:val="007556E7"/>
    <w:rsid w:val="00755783"/>
    <w:rsid w:val="007557E0"/>
    <w:rsid w:val="00755BD1"/>
    <w:rsid w:val="00755CC8"/>
    <w:rsid w:val="00755F12"/>
    <w:rsid w:val="00756247"/>
    <w:rsid w:val="00756288"/>
    <w:rsid w:val="007567DA"/>
    <w:rsid w:val="00756A91"/>
    <w:rsid w:val="00756AAD"/>
    <w:rsid w:val="00756B8C"/>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F61"/>
    <w:rsid w:val="00757FAB"/>
    <w:rsid w:val="007600BA"/>
    <w:rsid w:val="0076015E"/>
    <w:rsid w:val="0076016B"/>
    <w:rsid w:val="00760268"/>
    <w:rsid w:val="0076031B"/>
    <w:rsid w:val="007605B9"/>
    <w:rsid w:val="007607D0"/>
    <w:rsid w:val="007609A9"/>
    <w:rsid w:val="00760A70"/>
    <w:rsid w:val="00760A82"/>
    <w:rsid w:val="00760A94"/>
    <w:rsid w:val="00760C19"/>
    <w:rsid w:val="00760D20"/>
    <w:rsid w:val="00760F1A"/>
    <w:rsid w:val="00760FF0"/>
    <w:rsid w:val="00761115"/>
    <w:rsid w:val="007611DF"/>
    <w:rsid w:val="0076148F"/>
    <w:rsid w:val="007615D9"/>
    <w:rsid w:val="007616A0"/>
    <w:rsid w:val="00761A4D"/>
    <w:rsid w:val="00761BF3"/>
    <w:rsid w:val="00761C87"/>
    <w:rsid w:val="00761CA2"/>
    <w:rsid w:val="00761DB3"/>
    <w:rsid w:val="00761DCA"/>
    <w:rsid w:val="00761F1E"/>
    <w:rsid w:val="00761F4E"/>
    <w:rsid w:val="00762003"/>
    <w:rsid w:val="00762095"/>
    <w:rsid w:val="007621B4"/>
    <w:rsid w:val="0076223B"/>
    <w:rsid w:val="00762264"/>
    <w:rsid w:val="007623E2"/>
    <w:rsid w:val="0076242A"/>
    <w:rsid w:val="007624E6"/>
    <w:rsid w:val="0076256E"/>
    <w:rsid w:val="007625CD"/>
    <w:rsid w:val="00762815"/>
    <w:rsid w:val="00762955"/>
    <w:rsid w:val="0076295C"/>
    <w:rsid w:val="00762AAD"/>
    <w:rsid w:val="00762AFB"/>
    <w:rsid w:val="00762D10"/>
    <w:rsid w:val="00762D8C"/>
    <w:rsid w:val="00762DDF"/>
    <w:rsid w:val="00763033"/>
    <w:rsid w:val="00763649"/>
    <w:rsid w:val="007636A7"/>
    <w:rsid w:val="0076371C"/>
    <w:rsid w:val="007637C0"/>
    <w:rsid w:val="0076383F"/>
    <w:rsid w:val="007638EF"/>
    <w:rsid w:val="00763A09"/>
    <w:rsid w:val="00763A7F"/>
    <w:rsid w:val="00763D4B"/>
    <w:rsid w:val="007640CE"/>
    <w:rsid w:val="0076425C"/>
    <w:rsid w:val="007642F0"/>
    <w:rsid w:val="0076437E"/>
    <w:rsid w:val="0076468E"/>
    <w:rsid w:val="00764B38"/>
    <w:rsid w:val="00764B8A"/>
    <w:rsid w:val="00764C08"/>
    <w:rsid w:val="00764C16"/>
    <w:rsid w:val="00764CB9"/>
    <w:rsid w:val="007650B4"/>
    <w:rsid w:val="007650BC"/>
    <w:rsid w:val="00765148"/>
    <w:rsid w:val="007652F6"/>
    <w:rsid w:val="00765605"/>
    <w:rsid w:val="00765897"/>
    <w:rsid w:val="00765B1E"/>
    <w:rsid w:val="00765DE7"/>
    <w:rsid w:val="007660A5"/>
    <w:rsid w:val="0076619E"/>
    <w:rsid w:val="0076654E"/>
    <w:rsid w:val="00766583"/>
    <w:rsid w:val="00766697"/>
    <w:rsid w:val="00766B36"/>
    <w:rsid w:val="00766B90"/>
    <w:rsid w:val="00766CCF"/>
    <w:rsid w:val="00766E8F"/>
    <w:rsid w:val="00766EAF"/>
    <w:rsid w:val="00766F47"/>
    <w:rsid w:val="00766FE0"/>
    <w:rsid w:val="00767007"/>
    <w:rsid w:val="007670BC"/>
    <w:rsid w:val="007670F3"/>
    <w:rsid w:val="00767352"/>
    <w:rsid w:val="007673B0"/>
    <w:rsid w:val="00767702"/>
    <w:rsid w:val="007678E9"/>
    <w:rsid w:val="00767A92"/>
    <w:rsid w:val="00767AC3"/>
    <w:rsid w:val="00767CCF"/>
    <w:rsid w:val="00767FFD"/>
    <w:rsid w:val="00770107"/>
    <w:rsid w:val="00770250"/>
    <w:rsid w:val="00770260"/>
    <w:rsid w:val="00770564"/>
    <w:rsid w:val="007707CC"/>
    <w:rsid w:val="007707F0"/>
    <w:rsid w:val="0077084A"/>
    <w:rsid w:val="007708C2"/>
    <w:rsid w:val="00770AC0"/>
    <w:rsid w:val="00770D10"/>
    <w:rsid w:val="00770E09"/>
    <w:rsid w:val="00770E6A"/>
    <w:rsid w:val="00770F3D"/>
    <w:rsid w:val="007710FD"/>
    <w:rsid w:val="00771236"/>
    <w:rsid w:val="0077160D"/>
    <w:rsid w:val="00771AF8"/>
    <w:rsid w:val="00771B33"/>
    <w:rsid w:val="00771C30"/>
    <w:rsid w:val="00771D3A"/>
    <w:rsid w:val="0077206C"/>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7BD"/>
    <w:rsid w:val="00773883"/>
    <w:rsid w:val="007738E9"/>
    <w:rsid w:val="00773991"/>
    <w:rsid w:val="0077399E"/>
    <w:rsid w:val="00773DFC"/>
    <w:rsid w:val="00773E0E"/>
    <w:rsid w:val="00773EA9"/>
    <w:rsid w:val="0077401A"/>
    <w:rsid w:val="00774121"/>
    <w:rsid w:val="007742D6"/>
    <w:rsid w:val="00774493"/>
    <w:rsid w:val="0077457C"/>
    <w:rsid w:val="0077469D"/>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7F4"/>
    <w:rsid w:val="00775B9C"/>
    <w:rsid w:val="00775DE3"/>
    <w:rsid w:val="00775E83"/>
    <w:rsid w:val="0077600A"/>
    <w:rsid w:val="00776036"/>
    <w:rsid w:val="007760CD"/>
    <w:rsid w:val="00776167"/>
    <w:rsid w:val="0077616B"/>
    <w:rsid w:val="0077620B"/>
    <w:rsid w:val="007762F6"/>
    <w:rsid w:val="00776398"/>
    <w:rsid w:val="007763DD"/>
    <w:rsid w:val="00776458"/>
    <w:rsid w:val="007764B1"/>
    <w:rsid w:val="00776779"/>
    <w:rsid w:val="007767AE"/>
    <w:rsid w:val="00776998"/>
    <w:rsid w:val="00776BF7"/>
    <w:rsid w:val="00776C92"/>
    <w:rsid w:val="00776F77"/>
    <w:rsid w:val="00777184"/>
    <w:rsid w:val="0077733F"/>
    <w:rsid w:val="00777579"/>
    <w:rsid w:val="0077759B"/>
    <w:rsid w:val="007775E7"/>
    <w:rsid w:val="007778B5"/>
    <w:rsid w:val="00777980"/>
    <w:rsid w:val="00777A67"/>
    <w:rsid w:val="00777AD8"/>
    <w:rsid w:val="00777B54"/>
    <w:rsid w:val="00777B7F"/>
    <w:rsid w:val="00777D21"/>
    <w:rsid w:val="00777F04"/>
    <w:rsid w:val="00777F5C"/>
    <w:rsid w:val="00780131"/>
    <w:rsid w:val="00780164"/>
    <w:rsid w:val="007801B9"/>
    <w:rsid w:val="007802ED"/>
    <w:rsid w:val="00780569"/>
    <w:rsid w:val="007805D5"/>
    <w:rsid w:val="00780631"/>
    <w:rsid w:val="00780707"/>
    <w:rsid w:val="007809C5"/>
    <w:rsid w:val="00780A68"/>
    <w:rsid w:val="00780AB6"/>
    <w:rsid w:val="00780D0D"/>
    <w:rsid w:val="00780D4B"/>
    <w:rsid w:val="00780DB6"/>
    <w:rsid w:val="00780F91"/>
    <w:rsid w:val="00780FC0"/>
    <w:rsid w:val="007811FF"/>
    <w:rsid w:val="00781378"/>
    <w:rsid w:val="007814EC"/>
    <w:rsid w:val="0078157E"/>
    <w:rsid w:val="0078164B"/>
    <w:rsid w:val="0078174E"/>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153"/>
    <w:rsid w:val="0078255C"/>
    <w:rsid w:val="00782571"/>
    <w:rsid w:val="007825AD"/>
    <w:rsid w:val="007826DA"/>
    <w:rsid w:val="00782757"/>
    <w:rsid w:val="007827F7"/>
    <w:rsid w:val="0078288E"/>
    <w:rsid w:val="0078291E"/>
    <w:rsid w:val="00782A01"/>
    <w:rsid w:val="00782AC1"/>
    <w:rsid w:val="007830D0"/>
    <w:rsid w:val="007831D9"/>
    <w:rsid w:val="0078321E"/>
    <w:rsid w:val="007832B7"/>
    <w:rsid w:val="00783396"/>
    <w:rsid w:val="00783430"/>
    <w:rsid w:val="00783677"/>
    <w:rsid w:val="007836D7"/>
    <w:rsid w:val="00783A69"/>
    <w:rsid w:val="00783AB7"/>
    <w:rsid w:val="00783BE1"/>
    <w:rsid w:val="00783C5E"/>
    <w:rsid w:val="00783E21"/>
    <w:rsid w:val="00783FCE"/>
    <w:rsid w:val="00784086"/>
    <w:rsid w:val="007841E4"/>
    <w:rsid w:val="00784560"/>
    <w:rsid w:val="0078462F"/>
    <w:rsid w:val="007846C3"/>
    <w:rsid w:val="0078483F"/>
    <w:rsid w:val="00784889"/>
    <w:rsid w:val="0078495D"/>
    <w:rsid w:val="00784963"/>
    <w:rsid w:val="00784B69"/>
    <w:rsid w:val="00784DC0"/>
    <w:rsid w:val="00784E83"/>
    <w:rsid w:val="00784EF8"/>
    <w:rsid w:val="00784F1F"/>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5FAE"/>
    <w:rsid w:val="00786009"/>
    <w:rsid w:val="00786079"/>
    <w:rsid w:val="0078628C"/>
    <w:rsid w:val="00786383"/>
    <w:rsid w:val="00786434"/>
    <w:rsid w:val="0078676E"/>
    <w:rsid w:val="0078681F"/>
    <w:rsid w:val="00786954"/>
    <w:rsid w:val="007869F2"/>
    <w:rsid w:val="00786A69"/>
    <w:rsid w:val="00786AFD"/>
    <w:rsid w:val="00786B28"/>
    <w:rsid w:val="00786DF2"/>
    <w:rsid w:val="00786E2F"/>
    <w:rsid w:val="00786EBC"/>
    <w:rsid w:val="00786F08"/>
    <w:rsid w:val="00787558"/>
    <w:rsid w:val="007876CD"/>
    <w:rsid w:val="007876D5"/>
    <w:rsid w:val="00787B7D"/>
    <w:rsid w:val="00787C29"/>
    <w:rsid w:val="007900DF"/>
    <w:rsid w:val="0079017F"/>
    <w:rsid w:val="007903D5"/>
    <w:rsid w:val="00790448"/>
    <w:rsid w:val="0079049C"/>
    <w:rsid w:val="007907CC"/>
    <w:rsid w:val="007908C6"/>
    <w:rsid w:val="00790AA0"/>
    <w:rsid w:val="00790AF6"/>
    <w:rsid w:val="00790B4B"/>
    <w:rsid w:val="00790BC0"/>
    <w:rsid w:val="00790EF3"/>
    <w:rsid w:val="00790F17"/>
    <w:rsid w:val="007914D0"/>
    <w:rsid w:val="007914DC"/>
    <w:rsid w:val="00791889"/>
    <w:rsid w:val="00791BA0"/>
    <w:rsid w:val="00791C7B"/>
    <w:rsid w:val="00792056"/>
    <w:rsid w:val="00792107"/>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E45"/>
    <w:rsid w:val="00793005"/>
    <w:rsid w:val="00793017"/>
    <w:rsid w:val="0079309D"/>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4051"/>
    <w:rsid w:val="007940D2"/>
    <w:rsid w:val="007940E8"/>
    <w:rsid w:val="0079433E"/>
    <w:rsid w:val="0079438D"/>
    <w:rsid w:val="007943B4"/>
    <w:rsid w:val="0079445D"/>
    <w:rsid w:val="00794630"/>
    <w:rsid w:val="007946CC"/>
    <w:rsid w:val="00794773"/>
    <w:rsid w:val="0079485C"/>
    <w:rsid w:val="007948CA"/>
    <w:rsid w:val="007949A6"/>
    <w:rsid w:val="00794A93"/>
    <w:rsid w:val="00794AFB"/>
    <w:rsid w:val="00794B45"/>
    <w:rsid w:val="00794D2C"/>
    <w:rsid w:val="00794E81"/>
    <w:rsid w:val="00794F40"/>
    <w:rsid w:val="0079529E"/>
    <w:rsid w:val="00795532"/>
    <w:rsid w:val="00795615"/>
    <w:rsid w:val="00795714"/>
    <w:rsid w:val="00795865"/>
    <w:rsid w:val="00795A21"/>
    <w:rsid w:val="00795A67"/>
    <w:rsid w:val="00795DD4"/>
    <w:rsid w:val="00795DFD"/>
    <w:rsid w:val="00796054"/>
    <w:rsid w:val="007960F2"/>
    <w:rsid w:val="007963E7"/>
    <w:rsid w:val="0079657D"/>
    <w:rsid w:val="007966A9"/>
    <w:rsid w:val="007966DA"/>
    <w:rsid w:val="0079683F"/>
    <w:rsid w:val="00796883"/>
    <w:rsid w:val="00796D36"/>
    <w:rsid w:val="00797094"/>
    <w:rsid w:val="007970E3"/>
    <w:rsid w:val="00797107"/>
    <w:rsid w:val="00797472"/>
    <w:rsid w:val="00797747"/>
    <w:rsid w:val="007978DE"/>
    <w:rsid w:val="0079797C"/>
    <w:rsid w:val="00797988"/>
    <w:rsid w:val="00797E96"/>
    <w:rsid w:val="00797F5D"/>
    <w:rsid w:val="007A004B"/>
    <w:rsid w:val="007A0095"/>
    <w:rsid w:val="007A03A5"/>
    <w:rsid w:val="007A056B"/>
    <w:rsid w:val="007A0626"/>
    <w:rsid w:val="007A0721"/>
    <w:rsid w:val="007A08D6"/>
    <w:rsid w:val="007A098C"/>
    <w:rsid w:val="007A0D35"/>
    <w:rsid w:val="007A0E2E"/>
    <w:rsid w:val="007A0F64"/>
    <w:rsid w:val="007A0FDF"/>
    <w:rsid w:val="007A1148"/>
    <w:rsid w:val="007A11C1"/>
    <w:rsid w:val="007A1233"/>
    <w:rsid w:val="007A130D"/>
    <w:rsid w:val="007A13FB"/>
    <w:rsid w:val="007A14DC"/>
    <w:rsid w:val="007A15EF"/>
    <w:rsid w:val="007A17C3"/>
    <w:rsid w:val="007A17D8"/>
    <w:rsid w:val="007A18C4"/>
    <w:rsid w:val="007A19B5"/>
    <w:rsid w:val="007A1BA8"/>
    <w:rsid w:val="007A1C4C"/>
    <w:rsid w:val="007A1D7C"/>
    <w:rsid w:val="007A1DA5"/>
    <w:rsid w:val="007A1DCB"/>
    <w:rsid w:val="007A1EA6"/>
    <w:rsid w:val="007A201B"/>
    <w:rsid w:val="007A256C"/>
    <w:rsid w:val="007A2583"/>
    <w:rsid w:val="007A27B3"/>
    <w:rsid w:val="007A2901"/>
    <w:rsid w:val="007A2918"/>
    <w:rsid w:val="007A2A3E"/>
    <w:rsid w:val="007A2A6D"/>
    <w:rsid w:val="007A2CF0"/>
    <w:rsid w:val="007A2FAE"/>
    <w:rsid w:val="007A30D8"/>
    <w:rsid w:val="007A31DE"/>
    <w:rsid w:val="007A33AE"/>
    <w:rsid w:val="007A33F6"/>
    <w:rsid w:val="007A363C"/>
    <w:rsid w:val="007A365B"/>
    <w:rsid w:val="007A3877"/>
    <w:rsid w:val="007A3975"/>
    <w:rsid w:val="007A39C1"/>
    <w:rsid w:val="007A39D9"/>
    <w:rsid w:val="007A3A09"/>
    <w:rsid w:val="007A3A50"/>
    <w:rsid w:val="007A3AB7"/>
    <w:rsid w:val="007A3BD9"/>
    <w:rsid w:val="007A3D29"/>
    <w:rsid w:val="007A3D2F"/>
    <w:rsid w:val="007A3D6E"/>
    <w:rsid w:val="007A3DB0"/>
    <w:rsid w:val="007A4069"/>
    <w:rsid w:val="007A41CC"/>
    <w:rsid w:val="007A42CE"/>
    <w:rsid w:val="007A459E"/>
    <w:rsid w:val="007A4963"/>
    <w:rsid w:val="007A4979"/>
    <w:rsid w:val="007A4F13"/>
    <w:rsid w:val="007A4F2D"/>
    <w:rsid w:val="007A4F80"/>
    <w:rsid w:val="007A51C6"/>
    <w:rsid w:val="007A5354"/>
    <w:rsid w:val="007A5373"/>
    <w:rsid w:val="007A5494"/>
    <w:rsid w:val="007A5529"/>
    <w:rsid w:val="007A5604"/>
    <w:rsid w:val="007A5809"/>
    <w:rsid w:val="007A5955"/>
    <w:rsid w:val="007A5ACC"/>
    <w:rsid w:val="007A5BB7"/>
    <w:rsid w:val="007A6070"/>
    <w:rsid w:val="007A614A"/>
    <w:rsid w:val="007A65B8"/>
    <w:rsid w:val="007A67B6"/>
    <w:rsid w:val="007A6934"/>
    <w:rsid w:val="007A6BE3"/>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B00C2"/>
    <w:rsid w:val="007B0138"/>
    <w:rsid w:val="007B046F"/>
    <w:rsid w:val="007B0533"/>
    <w:rsid w:val="007B05BB"/>
    <w:rsid w:val="007B0652"/>
    <w:rsid w:val="007B06AA"/>
    <w:rsid w:val="007B06BF"/>
    <w:rsid w:val="007B0837"/>
    <w:rsid w:val="007B092E"/>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B9B"/>
    <w:rsid w:val="007B1CEE"/>
    <w:rsid w:val="007B1DFB"/>
    <w:rsid w:val="007B1E05"/>
    <w:rsid w:val="007B23CD"/>
    <w:rsid w:val="007B24B0"/>
    <w:rsid w:val="007B2659"/>
    <w:rsid w:val="007B2676"/>
    <w:rsid w:val="007B2682"/>
    <w:rsid w:val="007B293C"/>
    <w:rsid w:val="007B29E6"/>
    <w:rsid w:val="007B2B74"/>
    <w:rsid w:val="007B2D3A"/>
    <w:rsid w:val="007B2E45"/>
    <w:rsid w:val="007B2FA8"/>
    <w:rsid w:val="007B30E3"/>
    <w:rsid w:val="007B3168"/>
    <w:rsid w:val="007B31D3"/>
    <w:rsid w:val="007B3341"/>
    <w:rsid w:val="007B38C9"/>
    <w:rsid w:val="007B3BA7"/>
    <w:rsid w:val="007B3C01"/>
    <w:rsid w:val="007B3CB2"/>
    <w:rsid w:val="007B3D6C"/>
    <w:rsid w:val="007B3F57"/>
    <w:rsid w:val="007B3FED"/>
    <w:rsid w:val="007B4294"/>
    <w:rsid w:val="007B43A4"/>
    <w:rsid w:val="007B43BE"/>
    <w:rsid w:val="007B44C5"/>
    <w:rsid w:val="007B459E"/>
    <w:rsid w:val="007B462E"/>
    <w:rsid w:val="007B4738"/>
    <w:rsid w:val="007B4A14"/>
    <w:rsid w:val="007B4ACE"/>
    <w:rsid w:val="007B4B00"/>
    <w:rsid w:val="007B4B26"/>
    <w:rsid w:val="007B4B4C"/>
    <w:rsid w:val="007B4B5E"/>
    <w:rsid w:val="007B4BCC"/>
    <w:rsid w:val="007B4CB1"/>
    <w:rsid w:val="007B4D07"/>
    <w:rsid w:val="007B4E5B"/>
    <w:rsid w:val="007B4F61"/>
    <w:rsid w:val="007B52D4"/>
    <w:rsid w:val="007B5331"/>
    <w:rsid w:val="007B5413"/>
    <w:rsid w:val="007B54A4"/>
    <w:rsid w:val="007B56ED"/>
    <w:rsid w:val="007B57AC"/>
    <w:rsid w:val="007B5878"/>
    <w:rsid w:val="007B5BE6"/>
    <w:rsid w:val="007B5C05"/>
    <w:rsid w:val="007B5E62"/>
    <w:rsid w:val="007B624D"/>
    <w:rsid w:val="007B6407"/>
    <w:rsid w:val="007B6863"/>
    <w:rsid w:val="007B6BE1"/>
    <w:rsid w:val="007B6C49"/>
    <w:rsid w:val="007B6ED8"/>
    <w:rsid w:val="007B7028"/>
    <w:rsid w:val="007B704E"/>
    <w:rsid w:val="007B7109"/>
    <w:rsid w:val="007B7425"/>
    <w:rsid w:val="007B751D"/>
    <w:rsid w:val="007B76DC"/>
    <w:rsid w:val="007B7709"/>
    <w:rsid w:val="007B7866"/>
    <w:rsid w:val="007B787E"/>
    <w:rsid w:val="007B7C2C"/>
    <w:rsid w:val="007B7D1C"/>
    <w:rsid w:val="007B7F0E"/>
    <w:rsid w:val="007C0055"/>
    <w:rsid w:val="007C0180"/>
    <w:rsid w:val="007C03B6"/>
    <w:rsid w:val="007C04BB"/>
    <w:rsid w:val="007C04F4"/>
    <w:rsid w:val="007C0554"/>
    <w:rsid w:val="007C0798"/>
    <w:rsid w:val="007C091D"/>
    <w:rsid w:val="007C0999"/>
    <w:rsid w:val="007C0A36"/>
    <w:rsid w:val="007C0ACB"/>
    <w:rsid w:val="007C0AE4"/>
    <w:rsid w:val="007C0D15"/>
    <w:rsid w:val="007C0F59"/>
    <w:rsid w:val="007C118F"/>
    <w:rsid w:val="007C11A3"/>
    <w:rsid w:val="007C1348"/>
    <w:rsid w:val="007C15EF"/>
    <w:rsid w:val="007C1664"/>
    <w:rsid w:val="007C177F"/>
    <w:rsid w:val="007C17BB"/>
    <w:rsid w:val="007C1948"/>
    <w:rsid w:val="007C1B61"/>
    <w:rsid w:val="007C1CC9"/>
    <w:rsid w:val="007C1D48"/>
    <w:rsid w:val="007C1E42"/>
    <w:rsid w:val="007C1F60"/>
    <w:rsid w:val="007C2198"/>
    <w:rsid w:val="007C230A"/>
    <w:rsid w:val="007C2379"/>
    <w:rsid w:val="007C238E"/>
    <w:rsid w:val="007C23E8"/>
    <w:rsid w:val="007C2678"/>
    <w:rsid w:val="007C2867"/>
    <w:rsid w:val="007C28A4"/>
    <w:rsid w:val="007C2B7B"/>
    <w:rsid w:val="007C2C6B"/>
    <w:rsid w:val="007C2E4A"/>
    <w:rsid w:val="007C2E60"/>
    <w:rsid w:val="007C2E61"/>
    <w:rsid w:val="007C2E64"/>
    <w:rsid w:val="007C2FD1"/>
    <w:rsid w:val="007C2FE1"/>
    <w:rsid w:val="007C2FED"/>
    <w:rsid w:val="007C307B"/>
    <w:rsid w:val="007C3184"/>
    <w:rsid w:val="007C324B"/>
    <w:rsid w:val="007C34DE"/>
    <w:rsid w:val="007C3513"/>
    <w:rsid w:val="007C35C6"/>
    <w:rsid w:val="007C375E"/>
    <w:rsid w:val="007C3A25"/>
    <w:rsid w:val="007C3AF2"/>
    <w:rsid w:val="007C3C22"/>
    <w:rsid w:val="007C3C4B"/>
    <w:rsid w:val="007C3D9E"/>
    <w:rsid w:val="007C3DD7"/>
    <w:rsid w:val="007C4007"/>
    <w:rsid w:val="007C4020"/>
    <w:rsid w:val="007C4039"/>
    <w:rsid w:val="007C42BC"/>
    <w:rsid w:val="007C439F"/>
    <w:rsid w:val="007C4568"/>
    <w:rsid w:val="007C4588"/>
    <w:rsid w:val="007C4789"/>
    <w:rsid w:val="007C4964"/>
    <w:rsid w:val="007C4C76"/>
    <w:rsid w:val="007C4D58"/>
    <w:rsid w:val="007C4D6B"/>
    <w:rsid w:val="007C4D75"/>
    <w:rsid w:val="007C4EB5"/>
    <w:rsid w:val="007C4F3B"/>
    <w:rsid w:val="007C5017"/>
    <w:rsid w:val="007C5475"/>
    <w:rsid w:val="007C54C6"/>
    <w:rsid w:val="007C557B"/>
    <w:rsid w:val="007C5587"/>
    <w:rsid w:val="007C56DC"/>
    <w:rsid w:val="007C56E4"/>
    <w:rsid w:val="007C59DB"/>
    <w:rsid w:val="007C5D87"/>
    <w:rsid w:val="007C5EBD"/>
    <w:rsid w:val="007C6025"/>
    <w:rsid w:val="007C6048"/>
    <w:rsid w:val="007C6433"/>
    <w:rsid w:val="007C65AD"/>
    <w:rsid w:val="007C65F3"/>
    <w:rsid w:val="007C695E"/>
    <w:rsid w:val="007C69D9"/>
    <w:rsid w:val="007C6A48"/>
    <w:rsid w:val="007C6B13"/>
    <w:rsid w:val="007C6BC2"/>
    <w:rsid w:val="007C6E9E"/>
    <w:rsid w:val="007C6FCA"/>
    <w:rsid w:val="007C7129"/>
    <w:rsid w:val="007C715F"/>
    <w:rsid w:val="007C72D3"/>
    <w:rsid w:val="007C73E5"/>
    <w:rsid w:val="007C73ED"/>
    <w:rsid w:val="007C748D"/>
    <w:rsid w:val="007C74A1"/>
    <w:rsid w:val="007C77CF"/>
    <w:rsid w:val="007C7889"/>
    <w:rsid w:val="007C7A3A"/>
    <w:rsid w:val="007C7B48"/>
    <w:rsid w:val="007C7BF4"/>
    <w:rsid w:val="007C7C5D"/>
    <w:rsid w:val="007C7D18"/>
    <w:rsid w:val="007C7D1C"/>
    <w:rsid w:val="007C7D4C"/>
    <w:rsid w:val="007C7E4C"/>
    <w:rsid w:val="007C7F10"/>
    <w:rsid w:val="007C7F8A"/>
    <w:rsid w:val="007D00AF"/>
    <w:rsid w:val="007D00B1"/>
    <w:rsid w:val="007D0241"/>
    <w:rsid w:val="007D0248"/>
    <w:rsid w:val="007D029D"/>
    <w:rsid w:val="007D03A7"/>
    <w:rsid w:val="007D0699"/>
    <w:rsid w:val="007D07F7"/>
    <w:rsid w:val="007D0866"/>
    <w:rsid w:val="007D0868"/>
    <w:rsid w:val="007D0E12"/>
    <w:rsid w:val="007D0EA8"/>
    <w:rsid w:val="007D0ED7"/>
    <w:rsid w:val="007D0EED"/>
    <w:rsid w:val="007D0FDA"/>
    <w:rsid w:val="007D0FE9"/>
    <w:rsid w:val="007D10F3"/>
    <w:rsid w:val="007D1341"/>
    <w:rsid w:val="007D16FC"/>
    <w:rsid w:val="007D1795"/>
    <w:rsid w:val="007D1B1D"/>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46"/>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D8F"/>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BF5"/>
    <w:rsid w:val="007D4EB8"/>
    <w:rsid w:val="007D4FD3"/>
    <w:rsid w:val="007D5036"/>
    <w:rsid w:val="007D50A4"/>
    <w:rsid w:val="007D517D"/>
    <w:rsid w:val="007D5194"/>
    <w:rsid w:val="007D51E7"/>
    <w:rsid w:val="007D528B"/>
    <w:rsid w:val="007D52AC"/>
    <w:rsid w:val="007D53CC"/>
    <w:rsid w:val="007D53D2"/>
    <w:rsid w:val="007D553B"/>
    <w:rsid w:val="007D55EA"/>
    <w:rsid w:val="007D5762"/>
    <w:rsid w:val="007D5803"/>
    <w:rsid w:val="007D5843"/>
    <w:rsid w:val="007D5890"/>
    <w:rsid w:val="007D5C3E"/>
    <w:rsid w:val="007D5D81"/>
    <w:rsid w:val="007D6063"/>
    <w:rsid w:val="007D60EC"/>
    <w:rsid w:val="007D60F0"/>
    <w:rsid w:val="007D65A0"/>
    <w:rsid w:val="007D66B2"/>
    <w:rsid w:val="007D6975"/>
    <w:rsid w:val="007D6A9C"/>
    <w:rsid w:val="007D6BF3"/>
    <w:rsid w:val="007D6EDD"/>
    <w:rsid w:val="007D6F3A"/>
    <w:rsid w:val="007D73AC"/>
    <w:rsid w:val="007D740F"/>
    <w:rsid w:val="007D75B7"/>
    <w:rsid w:val="007D76FC"/>
    <w:rsid w:val="007D7849"/>
    <w:rsid w:val="007D7B03"/>
    <w:rsid w:val="007D7B59"/>
    <w:rsid w:val="007D7C7E"/>
    <w:rsid w:val="007D7D60"/>
    <w:rsid w:val="007D7E24"/>
    <w:rsid w:val="007E01D3"/>
    <w:rsid w:val="007E01D9"/>
    <w:rsid w:val="007E0314"/>
    <w:rsid w:val="007E057F"/>
    <w:rsid w:val="007E0666"/>
    <w:rsid w:val="007E07A6"/>
    <w:rsid w:val="007E083D"/>
    <w:rsid w:val="007E091D"/>
    <w:rsid w:val="007E0A5E"/>
    <w:rsid w:val="007E0C9E"/>
    <w:rsid w:val="007E0D48"/>
    <w:rsid w:val="007E0D76"/>
    <w:rsid w:val="007E0DE8"/>
    <w:rsid w:val="007E0DEE"/>
    <w:rsid w:val="007E0EDC"/>
    <w:rsid w:val="007E103A"/>
    <w:rsid w:val="007E13B8"/>
    <w:rsid w:val="007E1596"/>
    <w:rsid w:val="007E163C"/>
    <w:rsid w:val="007E1861"/>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0A8"/>
    <w:rsid w:val="007E4262"/>
    <w:rsid w:val="007E4276"/>
    <w:rsid w:val="007E428A"/>
    <w:rsid w:val="007E4343"/>
    <w:rsid w:val="007E4658"/>
    <w:rsid w:val="007E4708"/>
    <w:rsid w:val="007E473C"/>
    <w:rsid w:val="007E4A53"/>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46"/>
    <w:rsid w:val="007E6066"/>
    <w:rsid w:val="007E6185"/>
    <w:rsid w:val="007E6320"/>
    <w:rsid w:val="007E639C"/>
    <w:rsid w:val="007E64BC"/>
    <w:rsid w:val="007E6513"/>
    <w:rsid w:val="007E6526"/>
    <w:rsid w:val="007E655A"/>
    <w:rsid w:val="007E69F1"/>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131"/>
    <w:rsid w:val="007F0318"/>
    <w:rsid w:val="007F04DB"/>
    <w:rsid w:val="007F0538"/>
    <w:rsid w:val="007F0566"/>
    <w:rsid w:val="007F0760"/>
    <w:rsid w:val="007F094A"/>
    <w:rsid w:val="007F0DED"/>
    <w:rsid w:val="007F0DF7"/>
    <w:rsid w:val="007F0E56"/>
    <w:rsid w:val="007F0E81"/>
    <w:rsid w:val="007F1124"/>
    <w:rsid w:val="007F1359"/>
    <w:rsid w:val="007F166C"/>
    <w:rsid w:val="007F16FB"/>
    <w:rsid w:val="007F1786"/>
    <w:rsid w:val="007F1906"/>
    <w:rsid w:val="007F1995"/>
    <w:rsid w:val="007F1E26"/>
    <w:rsid w:val="007F1E93"/>
    <w:rsid w:val="007F1EC9"/>
    <w:rsid w:val="007F1F56"/>
    <w:rsid w:val="007F230C"/>
    <w:rsid w:val="007F236B"/>
    <w:rsid w:val="007F2520"/>
    <w:rsid w:val="007F258D"/>
    <w:rsid w:val="007F25EA"/>
    <w:rsid w:val="007F2760"/>
    <w:rsid w:val="007F28DA"/>
    <w:rsid w:val="007F2A0B"/>
    <w:rsid w:val="007F2A60"/>
    <w:rsid w:val="007F2AA1"/>
    <w:rsid w:val="007F2B17"/>
    <w:rsid w:val="007F2B40"/>
    <w:rsid w:val="007F2B90"/>
    <w:rsid w:val="007F2C88"/>
    <w:rsid w:val="007F2D79"/>
    <w:rsid w:val="007F2DE3"/>
    <w:rsid w:val="007F32B5"/>
    <w:rsid w:val="007F33F9"/>
    <w:rsid w:val="007F3566"/>
    <w:rsid w:val="007F3710"/>
    <w:rsid w:val="007F373B"/>
    <w:rsid w:val="007F3840"/>
    <w:rsid w:val="007F3973"/>
    <w:rsid w:val="007F3A27"/>
    <w:rsid w:val="007F3A8F"/>
    <w:rsid w:val="007F3B58"/>
    <w:rsid w:val="007F3BBF"/>
    <w:rsid w:val="007F3BEE"/>
    <w:rsid w:val="007F3D37"/>
    <w:rsid w:val="007F3D57"/>
    <w:rsid w:val="007F409F"/>
    <w:rsid w:val="007F40B2"/>
    <w:rsid w:val="007F414D"/>
    <w:rsid w:val="007F4324"/>
    <w:rsid w:val="007F463F"/>
    <w:rsid w:val="007F46DB"/>
    <w:rsid w:val="007F47F5"/>
    <w:rsid w:val="007F4860"/>
    <w:rsid w:val="007F48A9"/>
    <w:rsid w:val="007F4A13"/>
    <w:rsid w:val="007F4D9D"/>
    <w:rsid w:val="007F4DF0"/>
    <w:rsid w:val="007F4E04"/>
    <w:rsid w:val="007F5058"/>
    <w:rsid w:val="007F51A1"/>
    <w:rsid w:val="007F523A"/>
    <w:rsid w:val="007F55DE"/>
    <w:rsid w:val="007F5618"/>
    <w:rsid w:val="007F579F"/>
    <w:rsid w:val="007F5E42"/>
    <w:rsid w:val="007F5E50"/>
    <w:rsid w:val="007F5E8F"/>
    <w:rsid w:val="007F5F04"/>
    <w:rsid w:val="007F601F"/>
    <w:rsid w:val="007F605B"/>
    <w:rsid w:val="007F6105"/>
    <w:rsid w:val="007F650B"/>
    <w:rsid w:val="007F654E"/>
    <w:rsid w:val="007F6B85"/>
    <w:rsid w:val="007F6BEA"/>
    <w:rsid w:val="007F6C08"/>
    <w:rsid w:val="007F6C1D"/>
    <w:rsid w:val="007F6C2B"/>
    <w:rsid w:val="007F70F9"/>
    <w:rsid w:val="007F711D"/>
    <w:rsid w:val="007F7156"/>
    <w:rsid w:val="007F716E"/>
    <w:rsid w:val="007F720D"/>
    <w:rsid w:val="007F7576"/>
    <w:rsid w:val="007F7990"/>
    <w:rsid w:val="007F7E1E"/>
    <w:rsid w:val="007F7EE7"/>
    <w:rsid w:val="00800004"/>
    <w:rsid w:val="00800273"/>
    <w:rsid w:val="00800354"/>
    <w:rsid w:val="00800418"/>
    <w:rsid w:val="0080045A"/>
    <w:rsid w:val="008005D8"/>
    <w:rsid w:val="00800924"/>
    <w:rsid w:val="00800967"/>
    <w:rsid w:val="00800A1D"/>
    <w:rsid w:val="00800BED"/>
    <w:rsid w:val="00800C22"/>
    <w:rsid w:val="00800C5C"/>
    <w:rsid w:val="00800DF7"/>
    <w:rsid w:val="00800EB4"/>
    <w:rsid w:val="00800EB5"/>
    <w:rsid w:val="00801088"/>
    <w:rsid w:val="0080128E"/>
    <w:rsid w:val="008013B7"/>
    <w:rsid w:val="008014EC"/>
    <w:rsid w:val="008015DF"/>
    <w:rsid w:val="008016E7"/>
    <w:rsid w:val="008018FA"/>
    <w:rsid w:val="00801BAC"/>
    <w:rsid w:val="00801DE7"/>
    <w:rsid w:val="00801DF6"/>
    <w:rsid w:val="00802118"/>
    <w:rsid w:val="008023AE"/>
    <w:rsid w:val="00802720"/>
    <w:rsid w:val="0080273E"/>
    <w:rsid w:val="008028F5"/>
    <w:rsid w:val="00802954"/>
    <w:rsid w:val="00802AAD"/>
    <w:rsid w:val="00802B1D"/>
    <w:rsid w:val="00802E61"/>
    <w:rsid w:val="00802E6A"/>
    <w:rsid w:val="0080308C"/>
    <w:rsid w:val="0080317C"/>
    <w:rsid w:val="00803399"/>
    <w:rsid w:val="008035A6"/>
    <w:rsid w:val="00803645"/>
    <w:rsid w:val="00803656"/>
    <w:rsid w:val="008036CF"/>
    <w:rsid w:val="0080378B"/>
    <w:rsid w:val="008038C7"/>
    <w:rsid w:val="0080392B"/>
    <w:rsid w:val="00803A3C"/>
    <w:rsid w:val="00803AEB"/>
    <w:rsid w:val="00803B75"/>
    <w:rsid w:val="00803F19"/>
    <w:rsid w:val="00803F31"/>
    <w:rsid w:val="00803FFA"/>
    <w:rsid w:val="00804175"/>
    <w:rsid w:val="008041C3"/>
    <w:rsid w:val="008041F7"/>
    <w:rsid w:val="008042A2"/>
    <w:rsid w:val="008042CA"/>
    <w:rsid w:val="008042CF"/>
    <w:rsid w:val="008043B2"/>
    <w:rsid w:val="008045A6"/>
    <w:rsid w:val="008045F6"/>
    <w:rsid w:val="0080464B"/>
    <w:rsid w:val="0080490A"/>
    <w:rsid w:val="00804911"/>
    <w:rsid w:val="008049BD"/>
    <w:rsid w:val="008049F6"/>
    <w:rsid w:val="00804A1D"/>
    <w:rsid w:val="00804B0B"/>
    <w:rsid w:val="00804B9B"/>
    <w:rsid w:val="00804EF4"/>
    <w:rsid w:val="008050F4"/>
    <w:rsid w:val="00805298"/>
    <w:rsid w:val="008053AF"/>
    <w:rsid w:val="008054B2"/>
    <w:rsid w:val="0080553F"/>
    <w:rsid w:val="0080559D"/>
    <w:rsid w:val="008058E2"/>
    <w:rsid w:val="008058FD"/>
    <w:rsid w:val="00805B24"/>
    <w:rsid w:val="00805C9D"/>
    <w:rsid w:val="00805D31"/>
    <w:rsid w:val="00805E0F"/>
    <w:rsid w:val="00805FB7"/>
    <w:rsid w:val="0080610D"/>
    <w:rsid w:val="00806182"/>
    <w:rsid w:val="008061CB"/>
    <w:rsid w:val="00806450"/>
    <w:rsid w:val="008067AA"/>
    <w:rsid w:val="008069E1"/>
    <w:rsid w:val="00806A6E"/>
    <w:rsid w:val="00806AB6"/>
    <w:rsid w:val="00806EB7"/>
    <w:rsid w:val="00806F6C"/>
    <w:rsid w:val="00806FBF"/>
    <w:rsid w:val="00807096"/>
    <w:rsid w:val="008071E3"/>
    <w:rsid w:val="0080728A"/>
    <w:rsid w:val="008072AE"/>
    <w:rsid w:val="0080731A"/>
    <w:rsid w:val="008074F9"/>
    <w:rsid w:val="008076CA"/>
    <w:rsid w:val="00807AEF"/>
    <w:rsid w:val="00807C21"/>
    <w:rsid w:val="00807D78"/>
    <w:rsid w:val="00807DA9"/>
    <w:rsid w:val="00807E20"/>
    <w:rsid w:val="00807F0F"/>
    <w:rsid w:val="0081009B"/>
    <w:rsid w:val="008102ED"/>
    <w:rsid w:val="0081043F"/>
    <w:rsid w:val="00810594"/>
    <w:rsid w:val="00810792"/>
    <w:rsid w:val="0081085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AA"/>
    <w:rsid w:val="00813445"/>
    <w:rsid w:val="00813600"/>
    <w:rsid w:val="008136F8"/>
    <w:rsid w:val="008136FA"/>
    <w:rsid w:val="008137B7"/>
    <w:rsid w:val="00813BF0"/>
    <w:rsid w:val="00813E1E"/>
    <w:rsid w:val="00813E4A"/>
    <w:rsid w:val="00814016"/>
    <w:rsid w:val="00814329"/>
    <w:rsid w:val="00814330"/>
    <w:rsid w:val="00814383"/>
    <w:rsid w:val="008143DE"/>
    <w:rsid w:val="00814682"/>
    <w:rsid w:val="008146C0"/>
    <w:rsid w:val="008147DF"/>
    <w:rsid w:val="008147E7"/>
    <w:rsid w:val="00814834"/>
    <w:rsid w:val="00814A4C"/>
    <w:rsid w:val="00814B9B"/>
    <w:rsid w:val="00814CEC"/>
    <w:rsid w:val="00814D29"/>
    <w:rsid w:val="00814E22"/>
    <w:rsid w:val="00814EF5"/>
    <w:rsid w:val="00814F33"/>
    <w:rsid w:val="00814FE0"/>
    <w:rsid w:val="0081502D"/>
    <w:rsid w:val="0081509E"/>
    <w:rsid w:val="008151D3"/>
    <w:rsid w:val="0081521F"/>
    <w:rsid w:val="008153FB"/>
    <w:rsid w:val="00815456"/>
    <w:rsid w:val="008154A2"/>
    <w:rsid w:val="008154FD"/>
    <w:rsid w:val="00815500"/>
    <w:rsid w:val="00815513"/>
    <w:rsid w:val="0081576A"/>
    <w:rsid w:val="008157BE"/>
    <w:rsid w:val="00815844"/>
    <w:rsid w:val="008158B9"/>
    <w:rsid w:val="008158E2"/>
    <w:rsid w:val="00815AAC"/>
    <w:rsid w:val="00815DE5"/>
    <w:rsid w:val="0081617F"/>
    <w:rsid w:val="00816353"/>
    <w:rsid w:val="008164DC"/>
    <w:rsid w:val="0081667C"/>
    <w:rsid w:val="00816AE5"/>
    <w:rsid w:val="00816E97"/>
    <w:rsid w:val="00816FF5"/>
    <w:rsid w:val="0081715A"/>
    <w:rsid w:val="008174F8"/>
    <w:rsid w:val="008176CB"/>
    <w:rsid w:val="008176F0"/>
    <w:rsid w:val="008178E0"/>
    <w:rsid w:val="0081791A"/>
    <w:rsid w:val="008179C2"/>
    <w:rsid w:val="00817B69"/>
    <w:rsid w:val="00817BE6"/>
    <w:rsid w:val="00817D3F"/>
    <w:rsid w:val="00817DBF"/>
    <w:rsid w:val="00817E62"/>
    <w:rsid w:val="00817F1A"/>
    <w:rsid w:val="008201CC"/>
    <w:rsid w:val="0082020A"/>
    <w:rsid w:val="008202F4"/>
    <w:rsid w:val="008203E9"/>
    <w:rsid w:val="008204D4"/>
    <w:rsid w:val="008205B5"/>
    <w:rsid w:val="00820733"/>
    <w:rsid w:val="00820971"/>
    <w:rsid w:val="00820A80"/>
    <w:rsid w:val="00820AB1"/>
    <w:rsid w:val="00820EC9"/>
    <w:rsid w:val="00820F40"/>
    <w:rsid w:val="0082103B"/>
    <w:rsid w:val="00821042"/>
    <w:rsid w:val="00821095"/>
    <w:rsid w:val="008210A2"/>
    <w:rsid w:val="00821303"/>
    <w:rsid w:val="0082133C"/>
    <w:rsid w:val="0082134D"/>
    <w:rsid w:val="008213B9"/>
    <w:rsid w:val="00821470"/>
    <w:rsid w:val="0082149E"/>
    <w:rsid w:val="0082158F"/>
    <w:rsid w:val="00821744"/>
    <w:rsid w:val="00821B42"/>
    <w:rsid w:val="00821C21"/>
    <w:rsid w:val="00821CD6"/>
    <w:rsid w:val="00821D89"/>
    <w:rsid w:val="00822118"/>
    <w:rsid w:val="008222DC"/>
    <w:rsid w:val="0082236C"/>
    <w:rsid w:val="008223AB"/>
    <w:rsid w:val="008223F9"/>
    <w:rsid w:val="00822513"/>
    <w:rsid w:val="0082252A"/>
    <w:rsid w:val="00822551"/>
    <w:rsid w:val="008227A5"/>
    <w:rsid w:val="00822946"/>
    <w:rsid w:val="00822D17"/>
    <w:rsid w:val="00822D8C"/>
    <w:rsid w:val="00823177"/>
    <w:rsid w:val="0082329F"/>
    <w:rsid w:val="00823415"/>
    <w:rsid w:val="00823525"/>
    <w:rsid w:val="008239EE"/>
    <w:rsid w:val="008239F4"/>
    <w:rsid w:val="008239FA"/>
    <w:rsid w:val="00823A4F"/>
    <w:rsid w:val="00823A90"/>
    <w:rsid w:val="00823C42"/>
    <w:rsid w:val="00823CD8"/>
    <w:rsid w:val="00824001"/>
    <w:rsid w:val="00824036"/>
    <w:rsid w:val="0082405A"/>
    <w:rsid w:val="00824245"/>
    <w:rsid w:val="00824563"/>
    <w:rsid w:val="0082462A"/>
    <w:rsid w:val="00824683"/>
    <w:rsid w:val="008246D4"/>
    <w:rsid w:val="00824761"/>
    <w:rsid w:val="008247FD"/>
    <w:rsid w:val="008248D1"/>
    <w:rsid w:val="00824A4A"/>
    <w:rsid w:val="00824A6C"/>
    <w:rsid w:val="00824CA3"/>
    <w:rsid w:val="00824DB6"/>
    <w:rsid w:val="00824E0E"/>
    <w:rsid w:val="00825111"/>
    <w:rsid w:val="00825260"/>
    <w:rsid w:val="008252C0"/>
    <w:rsid w:val="0082588F"/>
    <w:rsid w:val="00825949"/>
    <w:rsid w:val="00825A37"/>
    <w:rsid w:val="00825C52"/>
    <w:rsid w:val="00825DA5"/>
    <w:rsid w:val="00825DA6"/>
    <w:rsid w:val="00825EE9"/>
    <w:rsid w:val="00826038"/>
    <w:rsid w:val="008261BB"/>
    <w:rsid w:val="00826269"/>
    <w:rsid w:val="008262C4"/>
    <w:rsid w:val="0082632A"/>
    <w:rsid w:val="008264F3"/>
    <w:rsid w:val="00826607"/>
    <w:rsid w:val="0082662C"/>
    <w:rsid w:val="0082672F"/>
    <w:rsid w:val="00826824"/>
    <w:rsid w:val="008268D8"/>
    <w:rsid w:val="008269CB"/>
    <w:rsid w:val="00826AFD"/>
    <w:rsid w:val="00826B77"/>
    <w:rsid w:val="00826C84"/>
    <w:rsid w:val="00826DBD"/>
    <w:rsid w:val="00826EA7"/>
    <w:rsid w:val="0082720D"/>
    <w:rsid w:val="00827239"/>
    <w:rsid w:val="0082764E"/>
    <w:rsid w:val="00827667"/>
    <w:rsid w:val="008277F2"/>
    <w:rsid w:val="00827805"/>
    <w:rsid w:val="00827812"/>
    <w:rsid w:val="00827D1D"/>
    <w:rsid w:val="00827D44"/>
    <w:rsid w:val="00827E9B"/>
    <w:rsid w:val="00830061"/>
    <w:rsid w:val="00830123"/>
    <w:rsid w:val="00830622"/>
    <w:rsid w:val="0083062F"/>
    <w:rsid w:val="00830748"/>
    <w:rsid w:val="008308A5"/>
    <w:rsid w:val="00830925"/>
    <w:rsid w:val="00830981"/>
    <w:rsid w:val="00830BD9"/>
    <w:rsid w:val="00830E52"/>
    <w:rsid w:val="00830E93"/>
    <w:rsid w:val="00830FA4"/>
    <w:rsid w:val="00831046"/>
    <w:rsid w:val="0083112B"/>
    <w:rsid w:val="00831391"/>
    <w:rsid w:val="008315D7"/>
    <w:rsid w:val="008315EA"/>
    <w:rsid w:val="008317CB"/>
    <w:rsid w:val="008317EA"/>
    <w:rsid w:val="008317F7"/>
    <w:rsid w:val="00831857"/>
    <w:rsid w:val="008319E8"/>
    <w:rsid w:val="00831C16"/>
    <w:rsid w:val="00831C7E"/>
    <w:rsid w:val="00831C7F"/>
    <w:rsid w:val="00831C83"/>
    <w:rsid w:val="00831C85"/>
    <w:rsid w:val="00831CFF"/>
    <w:rsid w:val="00831D06"/>
    <w:rsid w:val="00831D2F"/>
    <w:rsid w:val="00831D48"/>
    <w:rsid w:val="00831D78"/>
    <w:rsid w:val="00831D9E"/>
    <w:rsid w:val="00832020"/>
    <w:rsid w:val="0083205C"/>
    <w:rsid w:val="00832153"/>
    <w:rsid w:val="00832187"/>
    <w:rsid w:val="008322D5"/>
    <w:rsid w:val="00832496"/>
    <w:rsid w:val="00832522"/>
    <w:rsid w:val="00832649"/>
    <w:rsid w:val="00832982"/>
    <w:rsid w:val="00832A69"/>
    <w:rsid w:val="00832C86"/>
    <w:rsid w:val="00832D8C"/>
    <w:rsid w:val="00832E49"/>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67D"/>
    <w:rsid w:val="008368F7"/>
    <w:rsid w:val="0083694E"/>
    <w:rsid w:val="00836A25"/>
    <w:rsid w:val="00836BC4"/>
    <w:rsid w:val="00836CC1"/>
    <w:rsid w:val="00836E57"/>
    <w:rsid w:val="00836F4E"/>
    <w:rsid w:val="00836FCE"/>
    <w:rsid w:val="00837177"/>
    <w:rsid w:val="008374B9"/>
    <w:rsid w:val="008376D7"/>
    <w:rsid w:val="008376EA"/>
    <w:rsid w:val="00837800"/>
    <w:rsid w:val="008378D9"/>
    <w:rsid w:val="008378F1"/>
    <w:rsid w:val="00837938"/>
    <w:rsid w:val="00837AB3"/>
    <w:rsid w:val="00837BD7"/>
    <w:rsid w:val="00837CAD"/>
    <w:rsid w:val="00837E96"/>
    <w:rsid w:val="00837F61"/>
    <w:rsid w:val="0084005E"/>
    <w:rsid w:val="00840101"/>
    <w:rsid w:val="00840501"/>
    <w:rsid w:val="00840540"/>
    <w:rsid w:val="00840AA2"/>
    <w:rsid w:val="00840B11"/>
    <w:rsid w:val="00840B23"/>
    <w:rsid w:val="00840BD0"/>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C5"/>
    <w:rsid w:val="00841B86"/>
    <w:rsid w:val="00841BA4"/>
    <w:rsid w:val="00841BB8"/>
    <w:rsid w:val="00841CB7"/>
    <w:rsid w:val="00841CCD"/>
    <w:rsid w:val="00841D7D"/>
    <w:rsid w:val="00841E41"/>
    <w:rsid w:val="00841F1B"/>
    <w:rsid w:val="008421B2"/>
    <w:rsid w:val="00842261"/>
    <w:rsid w:val="008425AF"/>
    <w:rsid w:val="00842601"/>
    <w:rsid w:val="00842700"/>
    <w:rsid w:val="0084291D"/>
    <w:rsid w:val="00842A25"/>
    <w:rsid w:val="00842AE4"/>
    <w:rsid w:val="00842C7B"/>
    <w:rsid w:val="00842D50"/>
    <w:rsid w:val="008431D1"/>
    <w:rsid w:val="008431DD"/>
    <w:rsid w:val="0084322D"/>
    <w:rsid w:val="008434FA"/>
    <w:rsid w:val="00843532"/>
    <w:rsid w:val="0084375C"/>
    <w:rsid w:val="008437BE"/>
    <w:rsid w:val="008438FE"/>
    <w:rsid w:val="00843A9D"/>
    <w:rsid w:val="00843C68"/>
    <w:rsid w:val="00843CC5"/>
    <w:rsid w:val="00843E3C"/>
    <w:rsid w:val="00843F7A"/>
    <w:rsid w:val="00844192"/>
    <w:rsid w:val="0084430B"/>
    <w:rsid w:val="00844358"/>
    <w:rsid w:val="008443FA"/>
    <w:rsid w:val="008444E6"/>
    <w:rsid w:val="008447DF"/>
    <w:rsid w:val="008448A9"/>
    <w:rsid w:val="00844936"/>
    <w:rsid w:val="00844A74"/>
    <w:rsid w:val="00844ADE"/>
    <w:rsid w:val="00844B16"/>
    <w:rsid w:val="00844C6F"/>
    <w:rsid w:val="00844EE7"/>
    <w:rsid w:val="00845063"/>
    <w:rsid w:val="00845387"/>
    <w:rsid w:val="0084544E"/>
    <w:rsid w:val="0084559C"/>
    <w:rsid w:val="008459F2"/>
    <w:rsid w:val="00845A55"/>
    <w:rsid w:val="00845A84"/>
    <w:rsid w:val="00845CC4"/>
    <w:rsid w:val="00845CC7"/>
    <w:rsid w:val="00845CD0"/>
    <w:rsid w:val="00845D6F"/>
    <w:rsid w:val="00845F91"/>
    <w:rsid w:val="00846046"/>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D9"/>
    <w:rsid w:val="00850E06"/>
    <w:rsid w:val="00851064"/>
    <w:rsid w:val="0085118A"/>
    <w:rsid w:val="00851195"/>
    <w:rsid w:val="008512B4"/>
    <w:rsid w:val="008513CB"/>
    <w:rsid w:val="0085172F"/>
    <w:rsid w:val="008518F5"/>
    <w:rsid w:val="008519D2"/>
    <w:rsid w:val="00851CF4"/>
    <w:rsid w:val="00851E3E"/>
    <w:rsid w:val="00851E6D"/>
    <w:rsid w:val="008521C7"/>
    <w:rsid w:val="008521FC"/>
    <w:rsid w:val="0085220E"/>
    <w:rsid w:val="0085232E"/>
    <w:rsid w:val="0085236D"/>
    <w:rsid w:val="00852523"/>
    <w:rsid w:val="0085254A"/>
    <w:rsid w:val="00852569"/>
    <w:rsid w:val="008526EA"/>
    <w:rsid w:val="0085286D"/>
    <w:rsid w:val="00852AF7"/>
    <w:rsid w:val="00852C40"/>
    <w:rsid w:val="00852E7F"/>
    <w:rsid w:val="00852EE3"/>
    <w:rsid w:val="00852F91"/>
    <w:rsid w:val="008530BF"/>
    <w:rsid w:val="00853280"/>
    <w:rsid w:val="0085330F"/>
    <w:rsid w:val="00853366"/>
    <w:rsid w:val="008533C0"/>
    <w:rsid w:val="00853491"/>
    <w:rsid w:val="00853526"/>
    <w:rsid w:val="00853585"/>
    <w:rsid w:val="00853688"/>
    <w:rsid w:val="008537DC"/>
    <w:rsid w:val="0085389C"/>
    <w:rsid w:val="008538B5"/>
    <w:rsid w:val="00853931"/>
    <w:rsid w:val="00853A5A"/>
    <w:rsid w:val="00853D94"/>
    <w:rsid w:val="008542F3"/>
    <w:rsid w:val="0085432C"/>
    <w:rsid w:val="00854415"/>
    <w:rsid w:val="00854581"/>
    <w:rsid w:val="008545C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7D5"/>
    <w:rsid w:val="00855840"/>
    <w:rsid w:val="008559D5"/>
    <w:rsid w:val="00855AB1"/>
    <w:rsid w:val="00855ACF"/>
    <w:rsid w:val="00855B56"/>
    <w:rsid w:val="00855C06"/>
    <w:rsid w:val="00855D87"/>
    <w:rsid w:val="00855DAA"/>
    <w:rsid w:val="00855E5C"/>
    <w:rsid w:val="00855E5E"/>
    <w:rsid w:val="00855FE5"/>
    <w:rsid w:val="008563AF"/>
    <w:rsid w:val="008565BC"/>
    <w:rsid w:val="00856624"/>
    <w:rsid w:val="0085663B"/>
    <w:rsid w:val="008566F3"/>
    <w:rsid w:val="00856713"/>
    <w:rsid w:val="00856814"/>
    <w:rsid w:val="00856DD0"/>
    <w:rsid w:val="00856E59"/>
    <w:rsid w:val="0085733B"/>
    <w:rsid w:val="00857545"/>
    <w:rsid w:val="008575C5"/>
    <w:rsid w:val="00857888"/>
    <w:rsid w:val="00857B0B"/>
    <w:rsid w:val="0086007A"/>
    <w:rsid w:val="008600D7"/>
    <w:rsid w:val="008603E3"/>
    <w:rsid w:val="00860646"/>
    <w:rsid w:val="00860677"/>
    <w:rsid w:val="00860686"/>
    <w:rsid w:val="0086092F"/>
    <w:rsid w:val="00860969"/>
    <w:rsid w:val="00860A63"/>
    <w:rsid w:val="00860D0E"/>
    <w:rsid w:val="00860D39"/>
    <w:rsid w:val="00860FF6"/>
    <w:rsid w:val="00861045"/>
    <w:rsid w:val="0086117C"/>
    <w:rsid w:val="0086146E"/>
    <w:rsid w:val="00861494"/>
    <w:rsid w:val="008614B2"/>
    <w:rsid w:val="0086155C"/>
    <w:rsid w:val="008617D2"/>
    <w:rsid w:val="0086186F"/>
    <w:rsid w:val="0086188C"/>
    <w:rsid w:val="00861A85"/>
    <w:rsid w:val="00861C58"/>
    <w:rsid w:val="00862058"/>
    <w:rsid w:val="0086207C"/>
    <w:rsid w:val="008620D4"/>
    <w:rsid w:val="008620E9"/>
    <w:rsid w:val="00862345"/>
    <w:rsid w:val="00862586"/>
    <w:rsid w:val="00862724"/>
    <w:rsid w:val="0086283C"/>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75D"/>
    <w:rsid w:val="00863827"/>
    <w:rsid w:val="00863862"/>
    <w:rsid w:val="008638A0"/>
    <w:rsid w:val="00863A92"/>
    <w:rsid w:val="00863C26"/>
    <w:rsid w:val="00863DB9"/>
    <w:rsid w:val="00863DEA"/>
    <w:rsid w:val="00863E91"/>
    <w:rsid w:val="00864156"/>
    <w:rsid w:val="0086415D"/>
    <w:rsid w:val="008643F7"/>
    <w:rsid w:val="00864404"/>
    <w:rsid w:val="0086441C"/>
    <w:rsid w:val="0086447F"/>
    <w:rsid w:val="00864666"/>
    <w:rsid w:val="0086468E"/>
    <w:rsid w:val="0086482C"/>
    <w:rsid w:val="00864901"/>
    <w:rsid w:val="00864A03"/>
    <w:rsid w:val="00864B22"/>
    <w:rsid w:val="00864D55"/>
    <w:rsid w:val="00864E04"/>
    <w:rsid w:val="008651BC"/>
    <w:rsid w:val="008652C7"/>
    <w:rsid w:val="0086547E"/>
    <w:rsid w:val="008655EB"/>
    <w:rsid w:val="008657CF"/>
    <w:rsid w:val="00865813"/>
    <w:rsid w:val="0086583B"/>
    <w:rsid w:val="00865901"/>
    <w:rsid w:val="00865A54"/>
    <w:rsid w:val="00865C53"/>
    <w:rsid w:val="00865D77"/>
    <w:rsid w:val="00865DD3"/>
    <w:rsid w:val="00865DD5"/>
    <w:rsid w:val="00865E8D"/>
    <w:rsid w:val="00865EBD"/>
    <w:rsid w:val="00865FE2"/>
    <w:rsid w:val="008660BD"/>
    <w:rsid w:val="0086617D"/>
    <w:rsid w:val="0086625E"/>
    <w:rsid w:val="00866371"/>
    <w:rsid w:val="008663AB"/>
    <w:rsid w:val="00866830"/>
    <w:rsid w:val="0086683D"/>
    <w:rsid w:val="008669B7"/>
    <w:rsid w:val="008669DC"/>
    <w:rsid w:val="00866A57"/>
    <w:rsid w:val="00866BFE"/>
    <w:rsid w:val="00866E5D"/>
    <w:rsid w:val="00867222"/>
    <w:rsid w:val="0086732A"/>
    <w:rsid w:val="00867494"/>
    <w:rsid w:val="00867730"/>
    <w:rsid w:val="008677C1"/>
    <w:rsid w:val="008677FF"/>
    <w:rsid w:val="0086784E"/>
    <w:rsid w:val="00867893"/>
    <w:rsid w:val="008678D3"/>
    <w:rsid w:val="00867935"/>
    <w:rsid w:val="008679EF"/>
    <w:rsid w:val="008679F7"/>
    <w:rsid w:val="00867A00"/>
    <w:rsid w:val="00867A34"/>
    <w:rsid w:val="00867DE2"/>
    <w:rsid w:val="00867E2F"/>
    <w:rsid w:val="00870182"/>
    <w:rsid w:val="0087029F"/>
    <w:rsid w:val="008702B6"/>
    <w:rsid w:val="00870388"/>
    <w:rsid w:val="008703EF"/>
    <w:rsid w:val="00870599"/>
    <w:rsid w:val="008705A7"/>
    <w:rsid w:val="0087061A"/>
    <w:rsid w:val="00870703"/>
    <w:rsid w:val="00870B34"/>
    <w:rsid w:val="00870C52"/>
    <w:rsid w:val="00870CD4"/>
    <w:rsid w:val="00870DBA"/>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203F"/>
    <w:rsid w:val="008720AA"/>
    <w:rsid w:val="0087220E"/>
    <w:rsid w:val="0087232B"/>
    <w:rsid w:val="0087233A"/>
    <w:rsid w:val="00872477"/>
    <w:rsid w:val="00872554"/>
    <w:rsid w:val="008725A4"/>
    <w:rsid w:val="00872710"/>
    <w:rsid w:val="008728E3"/>
    <w:rsid w:val="008728F2"/>
    <w:rsid w:val="00872B13"/>
    <w:rsid w:val="00872C6F"/>
    <w:rsid w:val="00872F77"/>
    <w:rsid w:val="00872F87"/>
    <w:rsid w:val="0087307E"/>
    <w:rsid w:val="00873152"/>
    <w:rsid w:val="00873194"/>
    <w:rsid w:val="00873317"/>
    <w:rsid w:val="00873437"/>
    <w:rsid w:val="0087364D"/>
    <w:rsid w:val="008738B5"/>
    <w:rsid w:val="008739EF"/>
    <w:rsid w:val="00873C39"/>
    <w:rsid w:val="00873E4A"/>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5FF"/>
    <w:rsid w:val="00876750"/>
    <w:rsid w:val="008767BE"/>
    <w:rsid w:val="00876893"/>
    <w:rsid w:val="0087695F"/>
    <w:rsid w:val="00876986"/>
    <w:rsid w:val="00876CD8"/>
    <w:rsid w:val="00876D69"/>
    <w:rsid w:val="00876EC2"/>
    <w:rsid w:val="00877177"/>
    <w:rsid w:val="008774B6"/>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72"/>
    <w:rsid w:val="008803BC"/>
    <w:rsid w:val="008803DB"/>
    <w:rsid w:val="0088044A"/>
    <w:rsid w:val="008804A0"/>
    <w:rsid w:val="008806AF"/>
    <w:rsid w:val="00880A96"/>
    <w:rsid w:val="00880B30"/>
    <w:rsid w:val="00880BA0"/>
    <w:rsid w:val="00880C63"/>
    <w:rsid w:val="00880D06"/>
    <w:rsid w:val="00880EC9"/>
    <w:rsid w:val="0088102E"/>
    <w:rsid w:val="0088121F"/>
    <w:rsid w:val="008813C7"/>
    <w:rsid w:val="00881535"/>
    <w:rsid w:val="008816E1"/>
    <w:rsid w:val="0088192C"/>
    <w:rsid w:val="00881A23"/>
    <w:rsid w:val="00881A81"/>
    <w:rsid w:val="00881AE1"/>
    <w:rsid w:val="00881B36"/>
    <w:rsid w:val="00881D91"/>
    <w:rsid w:val="00881F48"/>
    <w:rsid w:val="00881FDD"/>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821"/>
    <w:rsid w:val="008838A1"/>
    <w:rsid w:val="00883ACC"/>
    <w:rsid w:val="00883C21"/>
    <w:rsid w:val="00883CDD"/>
    <w:rsid w:val="00883DAB"/>
    <w:rsid w:val="00883DC8"/>
    <w:rsid w:val="00883E1F"/>
    <w:rsid w:val="00883E59"/>
    <w:rsid w:val="00883EF2"/>
    <w:rsid w:val="00884099"/>
    <w:rsid w:val="008840FE"/>
    <w:rsid w:val="008841A4"/>
    <w:rsid w:val="00884200"/>
    <w:rsid w:val="00884284"/>
    <w:rsid w:val="00884881"/>
    <w:rsid w:val="00884A57"/>
    <w:rsid w:val="00884C3B"/>
    <w:rsid w:val="00884E44"/>
    <w:rsid w:val="0088508C"/>
    <w:rsid w:val="0088511F"/>
    <w:rsid w:val="0088525E"/>
    <w:rsid w:val="00885282"/>
    <w:rsid w:val="00885335"/>
    <w:rsid w:val="00885368"/>
    <w:rsid w:val="00885430"/>
    <w:rsid w:val="0088545E"/>
    <w:rsid w:val="008855C1"/>
    <w:rsid w:val="008856B1"/>
    <w:rsid w:val="0088571E"/>
    <w:rsid w:val="008858F9"/>
    <w:rsid w:val="00885AD0"/>
    <w:rsid w:val="00885AD2"/>
    <w:rsid w:val="00885BB9"/>
    <w:rsid w:val="00885C67"/>
    <w:rsid w:val="00885CAD"/>
    <w:rsid w:val="00885E63"/>
    <w:rsid w:val="00885FE5"/>
    <w:rsid w:val="0088602F"/>
    <w:rsid w:val="00886276"/>
    <w:rsid w:val="00886359"/>
    <w:rsid w:val="00886449"/>
    <w:rsid w:val="00886491"/>
    <w:rsid w:val="00886532"/>
    <w:rsid w:val="00886AE7"/>
    <w:rsid w:val="00886B59"/>
    <w:rsid w:val="00886DB2"/>
    <w:rsid w:val="008870EA"/>
    <w:rsid w:val="008870F6"/>
    <w:rsid w:val="0088716F"/>
    <w:rsid w:val="0088732B"/>
    <w:rsid w:val="008874EB"/>
    <w:rsid w:val="00887665"/>
    <w:rsid w:val="008876DD"/>
    <w:rsid w:val="00887751"/>
    <w:rsid w:val="00887853"/>
    <w:rsid w:val="00887AD0"/>
    <w:rsid w:val="00887C7C"/>
    <w:rsid w:val="00887EF5"/>
    <w:rsid w:val="00887F1C"/>
    <w:rsid w:val="0089000B"/>
    <w:rsid w:val="00890228"/>
    <w:rsid w:val="0089037F"/>
    <w:rsid w:val="00890487"/>
    <w:rsid w:val="0089049B"/>
    <w:rsid w:val="00890568"/>
    <w:rsid w:val="008905A1"/>
    <w:rsid w:val="008909B7"/>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EA1"/>
    <w:rsid w:val="00891FCB"/>
    <w:rsid w:val="00891FE1"/>
    <w:rsid w:val="008920E4"/>
    <w:rsid w:val="008921FB"/>
    <w:rsid w:val="0089229E"/>
    <w:rsid w:val="00892357"/>
    <w:rsid w:val="0089246F"/>
    <w:rsid w:val="008925FD"/>
    <w:rsid w:val="00892694"/>
    <w:rsid w:val="00892B52"/>
    <w:rsid w:val="00892D4E"/>
    <w:rsid w:val="00892F7A"/>
    <w:rsid w:val="00892F8F"/>
    <w:rsid w:val="00892FC8"/>
    <w:rsid w:val="00893014"/>
    <w:rsid w:val="00893293"/>
    <w:rsid w:val="00893342"/>
    <w:rsid w:val="00893365"/>
    <w:rsid w:val="008933FB"/>
    <w:rsid w:val="008934A9"/>
    <w:rsid w:val="008935B7"/>
    <w:rsid w:val="008938AE"/>
    <w:rsid w:val="008938C4"/>
    <w:rsid w:val="00893A1D"/>
    <w:rsid w:val="00893A50"/>
    <w:rsid w:val="00893CD0"/>
    <w:rsid w:val="00893E47"/>
    <w:rsid w:val="00893F47"/>
    <w:rsid w:val="008941DA"/>
    <w:rsid w:val="00894769"/>
    <w:rsid w:val="00894883"/>
    <w:rsid w:val="00894958"/>
    <w:rsid w:val="00894AF8"/>
    <w:rsid w:val="00894C17"/>
    <w:rsid w:val="00894CCE"/>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5FEC"/>
    <w:rsid w:val="008960EC"/>
    <w:rsid w:val="00896176"/>
    <w:rsid w:val="008962B0"/>
    <w:rsid w:val="00896312"/>
    <w:rsid w:val="00896376"/>
    <w:rsid w:val="008963D2"/>
    <w:rsid w:val="008964B5"/>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787"/>
    <w:rsid w:val="008A0C74"/>
    <w:rsid w:val="008A0DEC"/>
    <w:rsid w:val="008A0E50"/>
    <w:rsid w:val="008A0E91"/>
    <w:rsid w:val="008A1124"/>
    <w:rsid w:val="008A135C"/>
    <w:rsid w:val="008A13A3"/>
    <w:rsid w:val="008A1408"/>
    <w:rsid w:val="008A140E"/>
    <w:rsid w:val="008A1467"/>
    <w:rsid w:val="008A14D5"/>
    <w:rsid w:val="008A1705"/>
    <w:rsid w:val="008A17FF"/>
    <w:rsid w:val="008A183A"/>
    <w:rsid w:val="008A1A08"/>
    <w:rsid w:val="008A1C59"/>
    <w:rsid w:val="008A20D0"/>
    <w:rsid w:val="008A21CA"/>
    <w:rsid w:val="008A2334"/>
    <w:rsid w:val="008A242D"/>
    <w:rsid w:val="008A25A1"/>
    <w:rsid w:val="008A27DA"/>
    <w:rsid w:val="008A27FF"/>
    <w:rsid w:val="008A297B"/>
    <w:rsid w:val="008A2A17"/>
    <w:rsid w:val="008A2A40"/>
    <w:rsid w:val="008A2A8D"/>
    <w:rsid w:val="008A2B32"/>
    <w:rsid w:val="008A2B77"/>
    <w:rsid w:val="008A2FDC"/>
    <w:rsid w:val="008A312F"/>
    <w:rsid w:val="008A327C"/>
    <w:rsid w:val="008A3325"/>
    <w:rsid w:val="008A3381"/>
    <w:rsid w:val="008A34C5"/>
    <w:rsid w:val="008A3660"/>
    <w:rsid w:val="008A37BA"/>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F32"/>
    <w:rsid w:val="008A5022"/>
    <w:rsid w:val="008A54D9"/>
    <w:rsid w:val="008A5804"/>
    <w:rsid w:val="008A5959"/>
    <w:rsid w:val="008A5A65"/>
    <w:rsid w:val="008A5B5A"/>
    <w:rsid w:val="008A5BA1"/>
    <w:rsid w:val="008A5E07"/>
    <w:rsid w:val="008A5F1F"/>
    <w:rsid w:val="008A5F48"/>
    <w:rsid w:val="008A6105"/>
    <w:rsid w:val="008A631D"/>
    <w:rsid w:val="008A63DF"/>
    <w:rsid w:val="008A6793"/>
    <w:rsid w:val="008A6C8F"/>
    <w:rsid w:val="008A6DAA"/>
    <w:rsid w:val="008A6FCA"/>
    <w:rsid w:val="008A7010"/>
    <w:rsid w:val="008A72BA"/>
    <w:rsid w:val="008A7423"/>
    <w:rsid w:val="008A7498"/>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24"/>
    <w:rsid w:val="008B0349"/>
    <w:rsid w:val="008B0444"/>
    <w:rsid w:val="008B04EB"/>
    <w:rsid w:val="008B05DF"/>
    <w:rsid w:val="008B06C7"/>
    <w:rsid w:val="008B06EA"/>
    <w:rsid w:val="008B0743"/>
    <w:rsid w:val="008B09EB"/>
    <w:rsid w:val="008B0CA9"/>
    <w:rsid w:val="008B10C0"/>
    <w:rsid w:val="008B10F0"/>
    <w:rsid w:val="008B1219"/>
    <w:rsid w:val="008B13E1"/>
    <w:rsid w:val="008B1415"/>
    <w:rsid w:val="008B1524"/>
    <w:rsid w:val="008B1830"/>
    <w:rsid w:val="008B1B75"/>
    <w:rsid w:val="008B1D3A"/>
    <w:rsid w:val="008B1E5F"/>
    <w:rsid w:val="008B2071"/>
    <w:rsid w:val="008B2074"/>
    <w:rsid w:val="008B20CB"/>
    <w:rsid w:val="008B284F"/>
    <w:rsid w:val="008B2985"/>
    <w:rsid w:val="008B2A08"/>
    <w:rsid w:val="008B2C36"/>
    <w:rsid w:val="008B2CDA"/>
    <w:rsid w:val="008B2DCB"/>
    <w:rsid w:val="008B2EFC"/>
    <w:rsid w:val="008B3078"/>
    <w:rsid w:val="008B3205"/>
    <w:rsid w:val="008B3222"/>
    <w:rsid w:val="008B330D"/>
    <w:rsid w:val="008B331E"/>
    <w:rsid w:val="008B3407"/>
    <w:rsid w:val="008B34BC"/>
    <w:rsid w:val="008B36BB"/>
    <w:rsid w:val="008B383A"/>
    <w:rsid w:val="008B390B"/>
    <w:rsid w:val="008B39C9"/>
    <w:rsid w:val="008B3B3C"/>
    <w:rsid w:val="008B3BF6"/>
    <w:rsid w:val="008B3C64"/>
    <w:rsid w:val="008B3E98"/>
    <w:rsid w:val="008B3FC2"/>
    <w:rsid w:val="008B3FFA"/>
    <w:rsid w:val="008B407C"/>
    <w:rsid w:val="008B40BB"/>
    <w:rsid w:val="008B41B5"/>
    <w:rsid w:val="008B421C"/>
    <w:rsid w:val="008B423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6E3"/>
    <w:rsid w:val="008B5714"/>
    <w:rsid w:val="008B5809"/>
    <w:rsid w:val="008B5814"/>
    <w:rsid w:val="008B585E"/>
    <w:rsid w:val="008B5A61"/>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1A"/>
    <w:rsid w:val="008B7455"/>
    <w:rsid w:val="008B7462"/>
    <w:rsid w:val="008B74AF"/>
    <w:rsid w:val="008B74EF"/>
    <w:rsid w:val="008B74FF"/>
    <w:rsid w:val="008B77C4"/>
    <w:rsid w:val="008B7802"/>
    <w:rsid w:val="008B79A0"/>
    <w:rsid w:val="008B79CC"/>
    <w:rsid w:val="008B7A39"/>
    <w:rsid w:val="008B7C13"/>
    <w:rsid w:val="008B7CFE"/>
    <w:rsid w:val="008C0073"/>
    <w:rsid w:val="008C00B2"/>
    <w:rsid w:val="008C00F3"/>
    <w:rsid w:val="008C015C"/>
    <w:rsid w:val="008C0167"/>
    <w:rsid w:val="008C028D"/>
    <w:rsid w:val="008C038D"/>
    <w:rsid w:val="008C03C5"/>
    <w:rsid w:val="008C040C"/>
    <w:rsid w:val="008C060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F05"/>
    <w:rsid w:val="008C2FE7"/>
    <w:rsid w:val="008C3091"/>
    <w:rsid w:val="008C30E2"/>
    <w:rsid w:val="008C31B7"/>
    <w:rsid w:val="008C3666"/>
    <w:rsid w:val="008C3826"/>
    <w:rsid w:val="008C3A2E"/>
    <w:rsid w:val="008C3A3E"/>
    <w:rsid w:val="008C3B7F"/>
    <w:rsid w:val="008C3D85"/>
    <w:rsid w:val="008C3ED4"/>
    <w:rsid w:val="008C3EF5"/>
    <w:rsid w:val="008C4483"/>
    <w:rsid w:val="008C44FC"/>
    <w:rsid w:val="008C46B4"/>
    <w:rsid w:val="008C4782"/>
    <w:rsid w:val="008C4995"/>
    <w:rsid w:val="008C4A19"/>
    <w:rsid w:val="008C4BB5"/>
    <w:rsid w:val="008C4C16"/>
    <w:rsid w:val="008C4F3A"/>
    <w:rsid w:val="008C4F45"/>
    <w:rsid w:val="008C5095"/>
    <w:rsid w:val="008C5100"/>
    <w:rsid w:val="008C5258"/>
    <w:rsid w:val="008C5719"/>
    <w:rsid w:val="008C5889"/>
    <w:rsid w:val="008C5960"/>
    <w:rsid w:val="008C5C62"/>
    <w:rsid w:val="008C5CDC"/>
    <w:rsid w:val="008C5D98"/>
    <w:rsid w:val="008C5E25"/>
    <w:rsid w:val="008C5EAD"/>
    <w:rsid w:val="008C5EDA"/>
    <w:rsid w:val="008C5F3C"/>
    <w:rsid w:val="008C6059"/>
    <w:rsid w:val="008C6197"/>
    <w:rsid w:val="008C64ED"/>
    <w:rsid w:val="008C64F5"/>
    <w:rsid w:val="008C6536"/>
    <w:rsid w:val="008C65AA"/>
    <w:rsid w:val="008C67CA"/>
    <w:rsid w:val="008C6B2F"/>
    <w:rsid w:val="008C6BAD"/>
    <w:rsid w:val="008C6BEA"/>
    <w:rsid w:val="008C6C59"/>
    <w:rsid w:val="008C6C90"/>
    <w:rsid w:val="008C6DEE"/>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307"/>
    <w:rsid w:val="008D04FE"/>
    <w:rsid w:val="008D0772"/>
    <w:rsid w:val="008D078E"/>
    <w:rsid w:val="008D08FA"/>
    <w:rsid w:val="008D0973"/>
    <w:rsid w:val="008D0B69"/>
    <w:rsid w:val="008D0F9A"/>
    <w:rsid w:val="008D1036"/>
    <w:rsid w:val="008D1182"/>
    <w:rsid w:val="008D12C7"/>
    <w:rsid w:val="008D161F"/>
    <w:rsid w:val="008D17E8"/>
    <w:rsid w:val="008D18B0"/>
    <w:rsid w:val="008D198B"/>
    <w:rsid w:val="008D1AAC"/>
    <w:rsid w:val="008D1D0C"/>
    <w:rsid w:val="008D1EA0"/>
    <w:rsid w:val="008D1F37"/>
    <w:rsid w:val="008D21B6"/>
    <w:rsid w:val="008D2241"/>
    <w:rsid w:val="008D22E1"/>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216"/>
    <w:rsid w:val="008D4366"/>
    <w:rsid w:val="008D451C"/>
    <w:rsid w:val="008D474C"/>
    <w:rsid w:val="008D484B"/>
    <w:rsid w:val="008D4A62"/>
    <w:rsid w:val="008D4C1F"/>
    <w:rsid w:val="008D500F"/>
    <w:rsid w:val="008D5250"/>
    <w:rsid w:val="008D546C"/>
    <w:rsid w:val="008D55E7"/>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DD7"/>
    <w:rsid w:val="008D6E7F"/>
    <w:rsid w:val="008D6E90"/>
    <w:rsid w:val="008D7030"/>
    <w:rsid w:val="008D7096"/>
    <w:rsid w:val="008D72D3"/>
    <w:rsid w:val="008D7396"/>
    <w:rsid w:val="008D7550"/>
    <w:rsid w:val="008D7582"/>
    <w:rsid w:val="008D7705"/>
    <w:rsid w:val="008D776F"/>
    <w:rsid w:val="008D77A4"/>
    <w:rsid w:val="008D7891"/>
    <w:rsid w:val="008D7B22"/>
    <w:rsid w:val="008D7C7B"/>
    <w:rsid w:val="008D7E89"/>
    <w:rsid w:val="008E03FD"/>
    <w:rsid w:val="008E05D7"/>
    <w:rsid w:val="008E05D9"/>
    <w:rsid w:val="008E0666"/>
    <w:rsid w:val="008E0814"/>
    <w:rsid w:val="008E087A"/>
    <w:rsid w:val="008E0AB0"/>
    <w:rsid w:val="008E0AE4"/>
    <w:rsid w:val="008E0C79"/>
    <w:rsid w:val="008E0C9A"/>
    <w:rsid w:val="008E0D2F"/>
    <w:rsid w:val="008E12DC"/>
    <w:rsid w:val="008E1332"/>
    <w:rsid w:val="008E155C"/>
    <w:rsid w:val="008E165E"/>
    <w:rsid w:val="008E17A5"/>
    <w:rsid w:val="008E1828"/>
    <w:rsid w:val="008E182E"/>
    <w:rsid w:val="008E1BC5"/>
    <w:rsid w:val="008E1CC3"/>
    <w:rsid w:val="008E1FEA"/>
    <w:rsid w:val="008E2139"/>
    <w:rsid w:val="008E219A"/>
    <w:rsid w:val="008E23BD"/>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E6"/>
    <w:rsid w:val="008E3C0C"/>
    <w:rsid w:val="008E3C0E"/>
    <w:rsid w:val="008E4058"/>
    <w:rsid w:val="008E40D1"/>
    <w:rsid w:val="008E41F8"/>
    <w:rsid w:val="008E4224"/>
    <w:rsid w:val="008E43E0"/>
    <w:rsid w:val="008E44AA"/>
    <w:rsid w:val="008E453C"/>
    <w:rsid w:val="008E4583"/>
    <w:rsid w:val="008E45B2"/>
    <w:rsid w:val="008E45F6"/>
    <w:rsid w:val="008E4630"/>
    <w:rsid w:val="008E46E8"/>
    <w:rsid w:val="008E4726"/>
    <w:rsid w:val="008E48DD"/>
    <w:rsid w:val="008E4B50"/>
    <w:rsid w:val="008E4B71"/>
    <w:rsid w:val="008E4BB8"/>
    <w:rsid w:val="008E4CEE"/>
    <w:rsid w:val="008E4FC6"/>
    <w:rsid w:val="008E5049"/>
    <w:rsid w:val="008E5164"/>
    <w:rsid w:val="008E51CB"/>
    <w:rsid w:val="008E51D3"/>
    <w:rsid w:val="008E51EE"/>
    <w:rsid w:val="008E56B5"/>
    <w:rsid w:val="008E597F"/>
    <w:rsid w:val="008E5AE9"/>
    <w:rsid w:val="008E5AFD"/>
    <w:rsid w:val="008E5B1B"/>
    <w:rsid w:val="008E5BC3"/>
    <w:rsid w:val="008E5CE1"/>
    <w:rsid w:val="008E62DD"/>
    <w:rsid w:val="008E647A"/>
    <w:rsid w:val="008E64AD"/>
    <w:rsid w:val="008E64E5"/>
    <w:rsid w:val="008E653E"/>
    <w:rsid w:val="008E6583"/>
    <w:rsid w:val="008E6617"/>
    <w:rsid w:val="008E664F"/>
    <w:rsid w:val="008E67CE"/>
    <w:rsid w:val="008E690B"/>
    <w:rsid w:val="008E6959"/>
    <w:rsid w:val="008E6BFC"/>
    <w:rsid w:val="008E6F34"/>
    <w:rsid w:val="008E72DA"/>
    <w:rsid w:val="008E7344"/>
    <w:rsid w:val="008E7374"/>
    <w:rsid w:val="008E7393"/>
    <w:rsid w:val="008E74E9"/>
    <w:rsid w:val="008E7581"/>
    <w:rsid w:val="008E7640"/>
    <w:rsid w:val="008E7660"/>
    <w:rsid w:val="008E7664"/>
    <w:rsid w:val="008E768A"/>
    <w:rsid w:val="008E7765"/>
    <w:rsid w:val="008E7A8B"/>
    <w:rsid w:val="008E7AA6"/>
    <w:rsid w:val="008E7DF9"/>
    <w:rsid w:val="008E7EE1"/>
    <w:rsid w:val="008E7F26"/>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36F"/>
    <w:rsid w:val="008F248C"/>
    <w:rsid w:val="008F2748"/>
    <w:rsid w:val="008F2975"/>
    <w:rsid w:val="008F29C9"/>
    <w:rsid w:val="008F2A2F"/>
    <w:rsid w:val="008F2A87"/>
    <w:rsid w:val="008F2D97"/>
    <w:rsid w:val="008F2F04"/>
    <w:rsid w:val="008F319B"/>
    <w:rsid w:val="008F3225"/>
    <w:rsid w:val="008F32AA"/>
    <w:rsid w:val="008F34B3"/>
    <w:rsid w:val="008F366E"/>
    <w:rsid w:val="008F3877"/>
    <w:rsid w:val="008F3A36"/>
    <w:rsid w:val="008F3A6C"/>
    <w:rsid w:val="008F3A76"/>
    <w:rsid w:val="008F3CB3"/>
    <w:rsid w:val="008F3D55"/>
    <w:rsid w:val="008F3D64"/>
    <w:rsid w:val="008F3D88"/>
    <w:rsid w:val="008F409B"/>
    <w:rsid w:val="008F43E5"/>
    <w:rsid w:val="008F44E2"/>
    <w:rsid w:val="008F44FC"/>
    <w:rsid w:val="008F48B1"/>
    <w:rsid w:val="008F4997"/>
    <w:rsid w:val="008F4B1B"/>
    <w:rsid w:val="008F4C52"/>
    <w:rsid w:val="008F4CE1"/>
    <w:rsid w:val="008F4CED"/>
    <w:rsid w:val="008F4E46"/>
    <w:rsid w:val="008F4E83"/>
    <w:rsid w:val="008F4F1E"/>
    <w:rsid w:val="008F5195"/>
    <w:rsid w:val="008F520E"/>
    <w:rsid w:val="008F5406"/>
    <w:rsid w:val="008F54C7"/>
    <w:rsid w:val="008F5707"/>
    <w:rsid w:val="008F5839"/>
    <w:rsid w:val="008F58A3"/>
    <w:rsid w:val="008F5A55"/>
    <w:rsid w:val="008F5B7C"/>
    <w:rsid w:val="008F5BAF"/>
    <w:rsid w:val="008F5DDF"/>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33E"/>
    <w:rsid w:val="00900453"/>
    <w:rsid w:val="009007A3"/>
    <w:rsid w:val="009008EE"/>
    <w:rsid w:val="009009CC"/>
    <w:rsid w:val="009009F5"/>
    <w:rsid w:val="00900A83"/>
    <w:rsid w:val="00900A94"/>
    <w:rsid w:val="00900BC0"/>
    <w:rsid w:val="00900D99"/>
    <w:rsid w:val="00900EA7"/>
    <w:rsid w:val="00901274"/>
    <w:rsid w:val="009013DA"/>
    <w:rsid w:val="009014A1"/>
    <w:rsid w:val="009014E0"/>
    <w:rsid w:val="009015A6"/>
    <w:rsid w:val="00901832"/>
    <w:rsid w:val="00901975"/>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32B5"/>
    <w:rsid w:val="009034F3"/>
    <w:rsid w:val="00903813"/>
    <w:rsid w:val="00903819"/>
    <w:rsid w:val="009039F3"/>
    <w:rsid w:val="00903A2C"/>
    <w:rsid w:val="00903C6B"/>
    <w:rsid w:val="00903E4C"/>
    <w:rsid w:val="00903E5F"/>
    <w:rsid w:val="00904068"/>
    <w:rsid w:val="00904100"/>
    <w:rsid w:val="00904280"/>
    <w:rsid w:val="009042F5"/>
    <w:rsid w:val="00904302"/>
    <w:rsid w:val="0090454B"/>
    <w:rsid w:val="009045FE"/>
    <w:rsid w:val="00904761"/>
    <w:rsid w:val="009047EC"/>
    <w:rsid w:val="0090496E"/>
    <w:rsid w:val="00904A9E"/>
    <w:rsid w:val="00904CA7"/>
    <w:rsid w:val="00904FB3"/>
    <w:rsid w:val="00905104"/>
    <w:rsid w:val="0090553E"/>
    <w:rsid w:val="00905765"/>
    <w:rsid w:val="0090591B"/>
    <w:rsid w:val="00905AAE"/>
    <w:rsid w:val="00905B24"/>
    <w:rsid w:val="00905D27"/>
    <w:rsid w:val="00905E91"/>
    <w:rsid w:val="00905EB7"/>
    <w:rsid w:val="00906071"/>
    <w:rsid w:val="009061B9"/>
    <w:rsid w:val="009062C7"/>
    <w:rsid w:val="0090639D"/>
    <w:rsid w:val="00906535"/>
    <w:rsid w:val="0090656E"/>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A0"/>
    <w:rsid w:val="00907C40"/>
    <w:rsid w:val="00907C77"/>
    <w:rsid w:val="00907CA7"/>
    <w:rsid w:val="00907DC2"/>
    <w:rsid w:val="00907E73"/>
    <w:rsid w:val="00907EEF"/>
    <w:rsid w:val="00907F78"/>
    <w:rsid w:val="00907FE9"/>
    <w:rsid w:val="0091002C"/>
    <w:rsid w:val="00910247"/>
    <w:rsid w:val="009102DF"/>
    <w:rsid w:val="0091035A"/>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A5A"/>
    <w:rsid w:val="00911A8C"/>
    <w:rsid w:val="00911ABC"/>
    <w:rsid w:val="00911CAF"/>
    <w:rsid w:val="00911CF6"/>
    <w:rsid w:val="00911E2D"/>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DAB"/>
    <w:rsid w:val="00913DD0"/>
    <w:rsid w:val="00913F1E"/>
    <w:rsid w:val="009140B9"/>
    <w:rsid w:val="00914399"/>
    <w:rsid w:val="00914445"/>
    <w:rsid w:val="0091459D"/>
    <w:rsid w:val="00914632"/>
    <w:rsid w:val="00914906"/>
    <w:rsid w:val="00914AAD"/>
    <w:rsid w:val="00914E31"/>
    <w:rsid w:val="00914EB4"/>
    <w:rsid w:val="00914F13"/>
    <w:rsid w:val="00914FB3"/>
    <w:rsid w:val="00915192"/>
    <w:rsid w:val="009151C7"/>
    <w:rsid w:val="009151F3"/>
    <w:rsid w:val="0091520A"/>
    <w:rsid w:val="0091543B"/>
    <w:rsid w:val="00915482"/>
    <w:rsid w:val="00915550"/>
    <w:rsid w:val="00915647"/>
    <w:rsid w:val="009157CC"/>
    <w:rsid w:val="00915C30"/>
    <w:rsid w:val="00915CB2"/>
    <w:rsid w:val="00915D01"/>
    <w:rsid w:val="00915DA6"/>
    <w:rsid w:val="00915EEE"/>
    <w:rsid w:val="00916016"/>
    <w:rsid w:val="00916030"/>
    <w:rsid w:val="009160FF"/>
    <w:rsid w:val="0091622A"/>
    <w:rsid w:val="009162AE"/>
    <w:rsid w:val="009162C9"/>
    <w:rsid w:val="00916462"/>
    <w:rsid w:val="0091678E"/>
    <w:rsid w:val="009169AB"/>
    <w:rsid w:val="00916A3F"/>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8A4"/>
    <w:rsid w:val="00917905"/>
    <w:rsid w:val="009179FA"/>
    <w:rsid w:val="00917A1A"/>
    <w:rsid w:val="00917B69"/>
    <w:rsid w:val="00917B6C"/>
    <w:rsid w:val="00917BB2"/>
    <w:rsid w:val="00917D5C"/>
    <w:rsid w:val="00917F57"/>
    <w:rsid w:val="00920136"/>
    <w:rsid w:val="0092024E"/>
    <w:rsid w:val="0092028F"/>
    <w:rsid w:val="009202DE"/>
    <w:rsid w:val="009204FB"/>
    <w:rsid w:val="00920610"/>
    <w:rsid w:val="00920667"/>
    <w:rsid w:val="009208E0"/>
    <w:rsid w:val="0092098C"/>
    <w:rsid w:val="009209DF"/>
    <w:rsid w:val="009209EC"/>
    <w:rsid w:val="00920B43"/>
    <w:rsid w:val="00920D02"/>
    <w:rsid w:val="00920D7A"/>
    <w:rsid w:val="00920F43"/>
    <w:rsid w:val="0092109D"/>
    <w:rsid w:val="00921775"/>
    <w:rsid w:val="009217A0"/>
    <w:rsid w:val="00921862"/>
    <w:rsid w:val="00921940"/>
    <w:rsid w:val="00921BC2"/>
    <w:rsid w:val="00921E13"/>
    <w:rsid w:val="00922078"/>
    <w:rsid w:val="009221C3"/>
    <w:rsid w:val="009221CD"/>
    <w:rsid w:val="0092248E"/>
    <w:rsid w:val="009224C8"/>
    <w:rsid w:val="00922760"/>
    <w:rsid w:val="0092283D"/>
    <w:rsid w:val="00922904"/>
    <w:rsid w:val="00922B56"/>
    <w:rsid w:val="00922BCE"/>
    <w:rsid w:val="00922C70"/>
    <w:rsid w:val="00922D20"/>
    <w:rsid w:val="00922D53"/>
    <w:rsid w:val="00922FA1"/>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40A8"/>
    <w:rsid w:val="00924327"/>
    <w:rsid w:val="0092464E"/>
    <w:rsid w:val="00924773"/>
    <w:rsid w:val="0092477D"/>
    <w:rsid w:val="009248E0"/>
    <w:rsid w:val="00924936"/>
    <w:rsid w:val="00924992"/>
    <w:rsid w:val="009249EE"/>
    <w:rsid w:val="00924BEB"/>
    <w:rsid w:val="00924CD0"/>
    <w:rsid w:val="00924DBA"/>
    <w:rsid w:val="00924E02"/>
    <w:rsid w:val="00924EEF"/>
    <w:rsid w:val="009251EC"/>
    <w:rsid w:val="00925214"/>
    <w:rsid w:val="00925279"/>
    <w:rsid w:val="00925349"/>
    <w:rsid w:val="0092539C"/>
    <w:rsid w:val="009253A4"/>
    <w:rsid w:val="00925592"/>
    <w:rsid w:val="00925630"/>
    <w:rsid w:val="009256EA"/>
    <w:rsid w:val="0092581F"/>
    <w:rsid w:val="0092587B"/>
    <w:rsid w:val="00925AFB"/>
    <w:rsid w:val="00925B62"/>
    <w:rsid w:val="00925C69"/>
    <w:rsid w:val="00925E52"/>
    <w:rsid w:val="00925FCB"/>
    <w:rsid w:val="00925FD8"/>
    <w:rsid w:val="00925FDD"/>
    <w:rsid w:val="009261E6"/>
    <w:rsid w:val="0092626F"/>
    <w:rsid w:val="00926538"/>
    <w:rsid w:val="00926760"/>
    <w:rsid w:val="00926BF2"/>
    <w:rsid w:val="00926C07"/>
    <w:rsid w:val="00926D3B"/>
    <w:rsid w:val="00927310"/>
    <w:rsid w:val="0092740A"/>
    <w:rsid w:val="0092791D"/>
    <w:rsid w:val="00927B0E"/>
    <w:rsid w:val="00927BFF"/>
    <w:rsid w:val="00927D2F"/>
    <w:rsid w:val="00927D82"/>
    <w:rsid w:val="00927E65"/>
    <w:rsid w:val="00927F1D"/>
    <w:rsid w:val="00930199"/>
    <w:rsid w:val="009302AE"/>
    <w:rsid w:val="0093052F"/>
    <w:rsid w:val="009305FE"/>
    <w:rsid w:val="00930777"/>
    <w:rsid w:val="009307CF"/>
    <w:rsid w:val="009307DA"/>
    <w:rsid w:val="009307F2"/>
    <w:rsid w:val="0093091C"/>
    <w:rsid w:val="00930C38"/>
    <w:rsid w:val="00930D07"/>
    <w:rsid w:val="00931293"/>
    <w:rsid w:val="009312AB"/>
    <w:rsid w:val="009312FD"/>
    <w:rsid w:val="0093144A"/>
    <w:rsid w:val="0093149B"/>
    <w:rsid w:val="0093187F"/>
    <w:rsid w:val="009318B9"/>
    <w:rsid w:val="009318D0"/>
    <w:rsid w:val="009319FE"/>
    <w:rsid w:val="00931A2E"/>
    <w:rsid w:val="00931A94"/>
    <w:rsid w:val="00931B2B"/>
    <w:rsid w:val="00931C62"/>
    <w:rsid w:val="00931CC3"/>
    <w:rsid w:val="00931D3D"/>
    <w:rsid w:val="00931DFC"/>
    <w:rsid w:val="00931E1C"/>
    <w:rsid w:val="00932069"/>
    <w:rsid w:val="009320D0"/>
    <w:rsid w:val="00932205"/>
    <w:rsid w:val="00932334"/>
    <w:rsid w:val="00932419"/>
    <w:rsid w:val="009324C0"/>
    <w:rsid w:val="0093259C"/>
    <w:rsid w:val="009326E8"/>
    <w:rsid w:val="0093288E"/>
    <w:rsid w:val="009329A8"/>
    <w:rsid w:val="00932BD4"/>
    <w:rsid w:val="00932C68"/>
    <w:rsid w:val="00932D4F"/>
    <w:rsid w:val="009330A2"/>
    <w:rsid w:val="00933236"/>
    <w:rsid w:val="0093337A"/>
    <w:rsid w:val="009333BB"/>
    <w:rsid w:val="00933525"/>
    <w:rsid w:val="00933619"/>
    <w:rsid w:val="0093380E"/>
    <w:rsid w:val="00933931"/>
    <w:rsid w:val="00933A39"/>
    <w:rsid w:val="00933ABA"/>
    <w:rsid w:val="00933BDD"/>
    <w:rsid w:val="00933C4B"/>
    <w:rsid w:val="00933CEB"/>
    <w:rsid w:val="00934138"/>
    <w:rsid w:val="00934153"/>
    <w:rsid w:val="00934164"/>
    <w:rsid w:val="009342F0"/>
    <w:rsid w:val="0093449F"/>
    <w:rsid w:val="00934523"/>
    <w:rsid w:val="0093470C"/>
    <w:rsid w:val="0093483A"/>
    <w:rsid w:val="009348AA"/>
    <w:rsid w:val="009348F3"/>
    <w:rsid w:val="0093496C"/>
    <w:rsid w:val="00934B10"/>
    <w:rsid w:val="00934B84"/>
    <w:rsid w:val="00934C70"/>
    <w:rsid w:val="00934DE4"/>
    <w:rsid w:val="00935007"/>
    <w:rsid w:val="0093508E"/>
    <w:rsid w:val="00935193"/>
    <w:rsid w:val="00935279"/>
    <w:rsid w:val="00935337"/>
    <w:rsid w:val="0093539F"/>
    <w:rsid w:val="00935551"/>
    <w:rsid w:val="0093581C"/>
    <w:rsid w:val="00935923"/>
    <w:rsid w:val="00935A54"/>
    <w:rsid w:val="00935BD1"/>
    <w:rsid w:val="00935CA5"/>
    <w:rsid w:val="00935DA8"/>
    <w:rsid w:val="00935E97"/>
    <w:rsid w:val="0093600F"/>
    <w:rsid w:val="009360EA"/>
    <w:rsid w:val="00936173"/>
    <w:rsid w:val="009362FB"/>
    <w:rsid w:val="0093638C"/>
    <w:rsid w:val="009364B4"/>
    <w:rsid w:val="009364F2"/>
    <w:rsid w:val="00936595"/>
    <w:rsid w:val="00936656"/>
    <w:rsid w:val="00936664"/>
    <w:rsid w:val="00936685"/>
    <w:rsid w:val="00936702"/>
    <w:rsid w:val="00936870"/>
    <w:rsid w:val="009368C1"/>
    <w:rsid w:val="00936917"/>
    <w:rsid w:val="00936944"/>
    <w:rsid w:val="00936B49"/>
    <w:rsid w:val="00936DCF"/>
    <w:rsid w:val="00936E51"/>
    <w:rsid w:val="00937016"/>
    <w:rsid w:val="0093713E"/>
    <w:rsid w:val="00937165"/>
    <w:rsid w:val="009373E0"/>
    <w:rsid w:val="009374EE"/>
    <w:rsid w:val="0093751C"/>
    <w:rsid w:val="00937755"/>
    <w:rsid w:val="00937807"/>
    <w:rsid w:val="0093780A"/>
    <w:rsid w:val="00937826"/>
    <w:rsid w:val="009378D6"/>
    <w:rsid w:val="00937AA0"/>
    <w:rsid w:val="00937CC3"/>
    <w:rsid w:val="00937D06"/>
    <w:rsid w:val="00937F08"/>
    <w:rsid w:val="00937F20"/>
    <w:rsid w:val="009402F2"/>
    <w:rsid w:val="009404CE"/>
    <w:rsid w:val="00940590"/>
    <w:rsid w:val="00940841"/>
    <w:rsid w:val="00940E74"/>
    <w:rsid w:val="00940FDB"/>
    <w:rsid w:val="009410B2"/>
    <w:rsid w:val="00941231"/>
    <w:rsid w:val="00941468"/>
    <w:rsid w:val="00941517"/>
    <w:rsid w:val="00941589"/>
    <w:rsid w:val="009416A0"/>
    <w:rsid w:val="00941962"/>
    <w:rsid w:val="00941ABD"/>
    <w:rsid w:val="00941C2A"/>
    <w:rsid w:val="00941E2A"/>
    <w:rsid w:val="0094216D"/>
    <w:rsid w:val="009421D2"/>
    <w:rsid w:val="00942257"/>
    <w:rsid w:val="0094237A"/>
    <w:rsid w:val="0094244E"/>
    <w:rsid w:val="009428A9"/>
    <w:rsid w:val="0094293F"/>
    <w:rsid w:val="00942965"/>
    <w:rsid w:val="00942984"/>
    <w:rsid w:val="009429E9"/>
    <w:rsid w:val="009430DA"/>
    <w:rsid w:val="009433EE"/>
    <w:rsid w:val="00943635"/>
    <w:rsid w:val="00943794"/>
    <w:rsid w:val="00943814"/>
    <w:rsid w:val="0094397A"/>
    <w:rsid w:val="00943A07"/>
    <w:rsid w:val="00943A82"/>
    <w:rsid w:val="00943C14"/>
    <w:rsid w:val="00943CAD"/>
    <w:rsid w:val="00943E48"/>
    <w:rsid w:val="00943E9E"/>
    <w:rsid w:val="00943F1D"/>
    <w:rsid w:val="00944000"/>
    <w:rsid w:val="00944068"/>
    <w:rsid w:val="00944521"/>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6CA"/>
    <w:rsid w:val="00946753"/>
    <w:rsid w:val="009467A7"/>
    <w:rsid w:val="00946813"/>
    <w:rsid w:val="00946935"/>
    <w:rsid w:val="0094693A"/>
    <w:rsid w:val="00946A7C"/>
    <w:rsid w:val="00946AF6"/>
    <w:rsid w:val="00946BE0"/>
    <w:rsid w:val="00946CD0"/>
    <w:rsid w:val="00946E3E"/>
    <w:rsid w:val="00946EAA"/>
    <w:rsid w:val="00946EE9"/>
    <w:rsid w:val="00946F67"/>
    <w:rsid w:val="00947010"/>
    <w:rsid w:val="0094706D"/>
    <w:rsid w:val="00947159"/>
    <w:rsid w:val="00947248"/>
    <w:rsid w:val="009472C9"/>
    <w:rsid w:val="009474B5"/>
    <w:rsid w:val="009476C6"/>
    <w:rsid w:val="00947744"/>
    <w:rsid w:val="00947773"/>
    <w:rsid w:val="009477C2"/>
    <w:rsid w:val="009477CD"/>
    <w:rsid w:val="009477D7"/>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73D"/>
    <w:rsid w:val="0095074D"/>
    <w:rsid w:val="00950805"/>
    <w:rsid w:val="009508C1"/>
    <w:rsid w:val="00950A1D"/>
    <w:rsid w:val="00950B7D"/>
    <w:rsid w:val="00950C81"/>
    <w:rsid w:val="00950DD8"/>
    <w:rsid w:val="00950E3B"/>
    <w:rsid w:val="00950EC4"/>
    <w:rsid w:val="00951098"/>
    <w:rsid w:val="0095112F"/>
    <w:rsid w:val="009512A3"/>
    <w:rsid w:val="0095136F"/>
    <w:rsid w:val="00951770"/>
    <w:rsid w:val="00951841"/>
    <w:rsid w:val="009518FC"/>
    <w:rsid w:val="00951BA2"/>
    <w:rsid w:val="00951BD6"/>
    <w:rsid w:val="00951DB2"/>
    <w:rsid w:val="00951DF8"/>
    <w:rsid w:val="00951FD0"/>
    <w:rsid w:val="00952024"/>
    <w:rsid w:val="009520D1"/>
    <w:rsid w:val="00952152"/>
    <w:rsid w:val="009521AD"/>
    <w:rsid w:val="00952604"/>
    <w:rsid w:val="00952959"/>
    <w:rsid w:val="00952A34"/>
    <w:rsid w:val="00952B3C"/>
    <w:rsid w:val="00952E09"/>
    <w:rsid w:val="00952F53"/>
    <w:rsid w:val="00953006"/>
    <w:rsid w:val="0095306D"/>
    <w:rsid w:val="00953271"/>
    <w:rsid w:val="0095332E"/>
    <w:rsid w:val="009533C2"/>
    <w:rsid w:val="00953924"/>
    <w:rsid w:val="00953ADC"/>
    <w:rsid w:val="00953AFE"/>
    <w:rsid w:val="00953E18"/>
    <w:rsid w:val="00953F0D"/>
    <w:rsid w:val="00953FAD"/>
    <w:rsid w:val="0095421D"/>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670"/>
    <w:rsid w:val="009557B7"/>
    <w:rsid w:val="00955A28"/>
    <w:rsid w:val="00955A76"/>
    <w:rsid w:val="00955A81"/>
    <w:rsid w:val="00955A95"/>
    <w:rsid w:val="00955B27"/>
    <w:rsid w:val="00955F45"/>
    <w:rsid w:val="00956084"/>
    <w:rsid w:val="00956434"/>
    <w:rsid w:val="00956852"/>
    <w:rsid w:val="009568E8"/>
    <w:rsid w:val="00956972"/>
    <w:rsid w:val="00956D59"/>
    <w:rsid w:val="00956DF0"/>
    <w:rsid w:val="00956E25"/>
    <w:rsid w:val="00956F25"/>
    <w:rsid w:val="00956FAB"/>
    <w:rsid w:val="0095704D"/>
    <w:rsid w:val="00957073"/>
    <w:rsid w:val="009571E6"/>
    <w:rsid w:val="009573DA"/>
    <w:rsid w:val="009573DE"/>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A83"/>
    <w:rsid w:val="00960ED0"/>
    <w:rsid w:val="00960F9E"/>
    <w:rsid w:val="0096103A"/>
    <w:rsid w:val="00961076"/>
    <w:rsid w:val="00961324"/>
    <w:rsid w:val="0096152F"/>
    <w:rsid w:val="009615DF"/>
    <w:rsid w:val="0096166C"/>
    <w:rsid w:val="00961A2F"/>
    <w:rsid w:val="00961A4D"/>
    <w:rsid w:val="00961A5B"/>
    <w:rsid w:val="00961B9E"/>
    <w:rsid w:val="00961E1E"/>
    <w:rsid w:val="00961EB1"/>
    <w:rsid w:val="00961FC9"/>
    <w:rsid w:val="00962074"/>
    <w:rsid w:val="00962616"/>
    <w:rsid w:val="009627C0"/>
    <w:rsid w:val="00962804"/>
    <w:rsid w:val="009628CC"/>
    <w:rsid w:val="00962963"/>
    <w:rsid w:val="00962BB6"/>
    <w:rsid w:val="00962C32"/>
    <w:rsid w:val="00962C8D"/>
    <w:rsid w:val="00962C9D"/>
    <w:rsid w:val="00962FF5"/>
    <w:rsid w:val="0096330F"/>
    <w:rsid w:val="00963320"/>
    <w:rsid w:val="009634E8"/>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A5E"/>
    <w:rsid w:val="00965AC5"/>
    <w:rsid w:val="00965C34"/>
    <w:rsid w:val="00965CD7"/>
    <w:rsid w:val="00965E37"/>
    <w:rsid w:val="00965E5F"/>
    <w:rsid w:val="00965F2D"/>
    <w:rsid w:val="0096602A"/>
    <w:rsid w:val="00966095"/>
    <w:rsid w:val="009661E3"/>
    <w:rsid w:val="009662A4"/>
    <w:rsid w:val="0096630A"/>
    <w:rsid w:val="0096646C"/>
    <w:rsid w:val="00966486"/>
    <w:rsid w:val="00966546"/>
    <w:rsid w:val="00966898"/>
    <w:rsid w:val="00966920"/>
    <w:rsid w:val="0096695A"/>
    <w:rsid w:val="00966D31"/>
    <w:rsid w:val="00966E96"/>
    <w:rsid w:val="00966EDA"/>
    <w:rsid w:val="00966FE2"/>
    <w:rsid w:val="0096702D"/>
    <w:rsid w:val="009670C1"/>
    <w:rsid w:val="00967219"/>
    <w:rsid w:val="009674C0"/>
    <w:rsid w:val="009674CA"/>
    <w:rsid w:val="009674E6"/>
    <w:rsid w:val="0096754D"/>
    <w:rsid w:val="009675D7"/>
    <w:rsid w:val="009675EC"/>
    <w:rsid w:val="0096780A"/>
    <w:rsid w:val="0096789F"/>
    <w:rsid w:val="00967BCE"/>
    <w:rsid w:val="00967BDB"/>
    <w:rsid w:val="00967CF4"/>
    <w:rsid w:val="00967E38"/>
    <w:rsid w:val="00967E52"/>
    <w:rsid w:val="0096ECC4"/>
    <w:rsid w:val="0097029C"/>
    <w:rsid w:val="0097037F"/>
    <w:rsid w:val="00970475"/>
    <w:rsid w:val="00970574"/>
    <w:rsid w:val="009705BA"/>
    <w:rsid w:val="0097068E"/>
    <w:rsid w:val="0097090A"/>
    <w:rsid w:val="00970935"/>
    <w:rsid w:val="00970961"/>
    <w:rsid w:val="00970965"/>
    <w:rsid w:val="00970BCF"/>
    <w:rsid w:val="00970CC1"/>
    <w:rsid w:val="00970E06"/>
    <w:rsid w:val="00970E21"/>
    <w:rsid w:val="00970F75"/>
    <w:rsid w:val="00971116"/>
    <w:rsid w:val="009716E3"/>
    <w:rsid w:val="00971962"/>
    <w:rsid w:val="009719A8"/>
    <w:rsid w:val="00971A4F"/>
    <w:rsid w:val="00971B64"/>
    <w:rsid w:val="00971F82"/>
    <w:rsid w:val="009725D9"/>
    <w:rsid w:val="009725EF"/>
    <w:rsid w:val="009729D7"/>
    <w:rsid w:val="00972B0A"/>
    <w:rsid w:val="00972CA7"/>
    <w:rsid w:val="00972CBE"/>
    <w:rsid w:val="00972D04"/>
    <w:rsid w:val="00972E7E"/>
    <w:rsid w:val="00972F0A"/>
    <w:rsid w:val="0097316F"/>
    <w:rsid w:val="009731B0"/>
    <w:rsid w:val="009732CA"/>
    <w:rsid w:val="0097388E"/>
    <w:rsid w:val="009738AF"/>
    <w:rsid w:val="009738F3"/>
    <w:rsid w:val="00973993"/>
    <w:rsid w:val="009739BA"/>
    <w:rsid w:val="00973BB7"/>
    <w:rsid w:val="00973BE7"/>
    <w:rsid w:val="00974142"/>
    <w:rsid w:val="00974231"/>
    <w:rsid w:val="009742E7"/>
    <w:rsid w:val="0097476F"/>
    <w:rsid w:val="00974A2D"/>
    <w:rsid w:val="00974AAD"/>
    <w:rsid w:val="00974AED"/>
    <w:rsid w:val="00974B0F"/>
    <w:rsid w:val="00974BC2"/>
    <w:rsid w:val="00974C14"/>
    <w:rsid w:val="00974C68"/>
    <w:rsid w:val="00974D1A"/>
    <w:rsid w:val="00974D25"/>
    <w:rsid w:val="00974D5C"/>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C5"/>
    <w:rsid w:val="009759D6"/>
    <w:rsid w:val="009759F6"/>
    <w:rsid w:val="00975A54"/>
    <w:rsid w:val="00975BB4"/>
    <w:rsid w:val="00975BE9"/>
    <w:rsid w:val="00975C52"/>
    <w:rsid w:val="00975DA1"/>
    <w:rsid w:val="00975DEC"/>
    <w:rsid w:val="00975E47"/>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D22"/>
    <w:rsid w:val="00976D86"/>
    <w:rsid w:val="00976E5C"/>
    <w:rsid w:val="00976F4B"/>
    <w:rsid w:val="00977214"/>
    <w:rsid w:val="00977217"/>
    <w:rsid w:val="00977364"/>
    <w:rsid w:val="00977493"/>
    <w:rsid w:val="009775E2"/>
    <w:rsid w:val="009776A2"/>
    <w:rsid w:val="00977746"/>
    <w:rsid w:val="00977890"/>
    <w:rsid w:val="00977896"/>
    <w:rsid w:val="00977AC7"/>
    <w:rsid w:val="00977B00"/>
    <w:rsid w:val="00977D19"/>
    <w:rsid w:val="00977E1B"/>
    <w:rsid w:val="00977E33"/>
    <w:rsid w:val="00977E39"/>
    <w:rsid w:val="00977F84"/>
    <w:rsid w:val="00977FD6"/>
    <w:rsid w:val="009803D4"/>
    <w:rsid w:val="009803D8"/>
    <w:rsid w:val="00980492"/>
    <w:rsid w:val="00980708"/>
    <w:rsid w:val="009808E1"/>
    <w:rsid w:val="009808E4"/>
    <w:rsid w:val="00980988"/>
    <w:rsid w:val="00980E19"/>
    <w:rsid w:val="0098122B"/>
    <w:rsid w:val="00981719"/>
    <w:rsid w:val="00981A56"/>
    <w:rsid w:val="00981BD1"/>
    <w:rsid w:val="00981DA8"/>
    <w:rsid w:val="00981F85"/>
    <w:rsid w:val="009820B8"/>
    <w:rsid w:val="009821BD"/>
    <w:rsid w:val="009822FD"/>
    <w:rsid w:val="0098236B"/>
    <w:rsid w:val="00982866"/>
    <w:rsid w:val="00982890"/>
    <w:rsid w:val="00982940"/>
    <w:rsid w:val="00982961"/>
    <w:rsid w:val="009829B0"/>
    <w:rsid w:val="00982A2D"/>
    <w:rsid w:val="00982A47"/>
    <w:rsid w:val="00982A5B"/>
    <w:rsid w:val="00982B7C"/>
    <w:rsid w:val="00982BCE"/>
    <w:rsid w:val="00982DCD"/>
    <w:rsid w:val="00982F8A"/>
    <w:rsid w:val="009830D6"/>
    <w:rsid w:val="009832D7"/>
    <w:rsid w:val="0098340F"/>
    <w:rsid w:val="009834C9"/>
    <w:rsid w:val="00983695"/>
    <w:rsid w:val="00983770"/>
    <w:rsid w:val="00983851"/>
    <w:rsid w:val="00983875"/>
    <w:rsid w:val="0098397C"/>
    <w:rsid w:val="009839A9"/>
    <w:rsid w:val="00983D4F"/>
    <w:rsid w:val="009840A6"/>
    <w:rsid w:val="0098419C"/>
    <w:rsid w:val="009842A4"/>
    <w:rsid w:val="0098457A"/>
    <w:rsid w:val="0098488F"/>
    <w:rsid w:val="00984929"/>
    <w:rsid w:val="00984A0D"/>
    <w:rsid w:val="00984B9F"/>
    <w:rsid w:val="00984D27"/>
    <w:rsid w:val="00984EAE"/>
    <w:rsid w:val="00984EE8"/>
    <w:rsid w:val="0098513B"/>
    <w:rsid w:val="009853FE"/>
    <w:rsid w:val="00985450"/>
    <w:rsid w:val="009856B5"/>
    <w:rsid w:val="009856BF"/>
    <w:rsid w:val="009856F9"/>
    <w:rsid w:val="00985705"/>
    <w:rsid w:val="009859B3"/>
    <w:rsid w:val="00985C19"/>
    <w:rsid w:val="00985C90"/>
    <w:rsid w:val="00985CE6"/>
    <w:rsid w:val="00985D77"/>
    <w:rsid w:val="00985F5D"/>
    <w:rsid w:val="00985FB5"/>
    <w:rsid w:val="0098601C"/>
    <w:rsid w:val="0098634E"/>
    <w:rsid w:val="00986435"/>
    <w:rsid w:val="00986454"/>
    <w:rsid w:val="0098672E"/>
    <w:rsid w:val="00986768"/>
    <w:rsid w:val="00986B80"/>
    <w:rsid w:val="00986BAA"/>
    <w:rsid w:val="00986C1B"/>
    <w:rsid w:val="00986CB8"/>
    <w:rsid w:val="00986E63"/>
    <w:rsid w:val="00986F95"/>
    <w:rsid w:val="00986FBE"/>
    <w:rsid w:val="00986FF1"/>
    <w:rsid w:val="00987009"/>
    <w:rsid w:val="00987123"/>
    <w:rsid w:val="00987147"/>
    <w:rsid w:val="009873E1"/>
    <w:rsid w:val="00987A12"/>
    <w:rsid w:val="00987AA0"/>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9"/>
    <w:rsid w:val="009910A7"/>
    <w:rsid w:val="00991281"/>
    <w:rsid w:val="00991401"/>
    <w:rsid w:val="00991844"/>
    <w:rsid w:val="009919F2"/>
    <w:rsid w:val="00991CC4"/>
    <w:rsid w:val="00991DD7"/>
    <w:rsid w:val="00991DE8"/>
    <w:rsid w:val="00991F3A"/>
    <w:rsid w:val="00991F8C"/>
    <w:rsid w:val="00991F9C"/>
    <w:rsid w:val="00992082"/>
    <w:rsid w:val="00992096"/>
    <w:rsid w:val="009923F7"/>
    <w:rsid w:val="009924EB"/>
    <w:rsid w:val="0099267F"/>
    <w:rsid w:val="00992897"/>
    <w:rsid w:val="009928C9"/>
    <w:rsid w:val="0099293C"/>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C44"/>
    <w:rsid w:val="00993CEA"/>
    <w:rsid w:val="00993E0B"/>
    <w:rsid w:val="00993E7E"/>
    <w:rsid w:val="00993F2F"/>
    <w:rsid w:val="00993F4A"/>
    <w:rsid w:val="00993F6D"/>
    <w:rsid w:val="00993FE6"/>
    <w:rsid w:val="00994019"/>
    <w:rsid w:val="009941C3"/>
    <w:rsid w:val="00994319"/>
    <w:rsid w:val="009943F3"/>
    <w:rsid w:val="00994638"/>
    <w:rsid w:val="009946B8"/>
    <w:rsid w:val="0099474B"/>
    <w:rsid w:val="0099486F"/>
    <w:rsid w:val="00994893"/>
    <w:rsid w:val="0099492C"/>
    <w:rsid w:val="00994A3A"/>
    <w:rsid w:val="00994FF6"/>
    <w:rsid w:val="00995080"/>
    <w:rsid w:val="009951C8"/>
    <w:rsid w:val="009951FE"/>
    <w:rsid w:val="00995232"/>
    <w:rsid w:val="009952DF"/>
    <w:rsid w:val="00995305"/>
    <w:rsid w:val="00995388"/>
    <w:rsid w:val="009958AC"/>
    <w:rsid w:val="009958FF"/>
    <w:rsid w:val="00995947"/>
    <w:rsid w:val="00995B2A"/>
    <w:rsid w:val="00995B7D"/>
    <w:rsid w:val="00995B96"/>
    <w:rsid w:val="00995C01"/>
    <w:rsid w:val="00995CE7"/>
    <w:rsid w:val="00996093"/>
    <w:rsid w:val="00996324"/>
    <w:rsid w:val="00996390"/>
    <w:rsid w:val="00996415"/>
    <w:rsid w:val="00996603"/>
    <w:rsid w:val="00996791"/>
    <w:rsid w:val="00996C77"/>
    <w:rsid w:val="00997043"/>
    <w:rsid w:val="00997217"/>
    <w:rsid w:val="0099738E"/>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0EAD"/>
    <w:rsid w:val="009A1083"/>
    <w:rsid w:val="009A115F"/>
    <w:rsid w:val="009A11B3"/>
    <w:rsid w:val="009A11E7"/>
    <w:rsid w:val="009A1220"/>
    <w:rsid w:val="009A13BA"/>
    <w:rsid w:val="009A166A"/>
    <w:rsid w:val="009A189F"/>
    <w:rsid w:val="009A1A87"/>
    <w:rsid w:val="009A1AA6"/>
    <w:rsid w:val="009A1B63"/>
    <w:rsid w:val="009A1CBB"/>
    <w:rsid w:val="009A1E37"/>
    <w:rsid w:val="009A1EAF"/>
    <w:rsid w:val="009A1EBB"/>
    <w:rsid w:val="009A2013"/>
    <w:rsid w:val="009A207B"/>
    <w:rsid w:val="009A247C"/>
    <w:rsid w:val="009A24BB"/>
    <w:rsid w:val="009A2766"/>
    <w:rsid w:val="009A27BC"/>
    <w:rsid w:val="009A2803"/>
    <w:rsid w:val="009A2CBC"/>
    <w:rsid w:val="009A2D5C"/>
    <w:rsid w:val="009A2D6B"/>
    <w:rsid w:val="009A2E00"/>
    <w:rsid w:val="009A2ECB"/>
    <w:rsid w:val="009A2ED8"/>
    <w:rsid w:val="009A2F3B"/>
    <w:rsid w:val="009A2FA5"/>
    <w:rsid w:val="009A3133"/>
    <w:rsid w:val="009A31E6"/>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EEB"/>
    <w:rsid w:val="009A4009"/>
    <w:rsid w:val="009A4261"/>
    <w:rsid w:val="009A44BD"/>
    <w:rsid w:val="009A4551"/>
    <w:rsid w:val="009A45EC"/>
    <w:rsid w:val="009A4636"/>
    <w:rsid w:val="009A4701"/>
    <w:rsid w:val="009A4731"/>
    <w:rsid w:val="009A474A"/>
    <w:rsid w:val="009A4802"/>
    <w:rsid w:val="009A4824"/>
    <w:rsid w:val="009A483A"/>
    <w:rsid w:val="009A493A"/>
    <w:rsid w:val="009A4961"/>
    <w:rsid w:val="009A4A8E"/>
    <w:rsid w:val="009A4A94"/>
    <w:rsid w:val="009A4AB0"/>
    <w:rsid w:val="009A4CF5"/>
    <w:rsid w:val="009A508E"/>
    <w:rsid w:val="009A51DC"/>
    <w:rsid w:val="009A5314"/>
    <w:rsid w:val="009A5360"/>
    <w:rsid w:val="009A54C8"/>
    <w:rsid w:val="009A54DD"/>
    <w:rsid w:val="009A5600"/>
    <w:rsid w:val="009A5751"/>
    <w:rsid w:val="009A57D1"/>
    <w:rsid w:val="009A58B7"/>
    <w:rsid w:val="009A5994"/>
    <w:rsid w:val="009A59D8"/>
    <w:rsid w:val="009A5AE1"/>
    <w:rsid w:val="009A5CAD"/>
    <w:rsid w:val="009A5EC2"/>
    <w:rsid w:val="009A624D"/>
    <w:rsid w:val="009A6263"/>
    <w:rsid w:val="009A6266"/>
    <w:rsid w:val="009A629E"/>
    <w:rsid w:val="009A63E6"/>
    <w:rsid w:val="009A6591"/>
    <w:rsid w:val="009A65AE"/>
    <w:rsid w:val="009A66FC"/>
    <w:rsid w:val="009A6713"/>
    <w:rsid w:val="009A67DE"/>
    <w:rsid w:val="009A6819"/>
    <w:rsid w:val="009A69B5"/>
    <w:rsid w:val="009A6C28"/>
    <w:rsid w:val="009A6DA8"/>
    <w:rsid w:val="009A6EBC"/>
    <w:rsid w:val="009A6EDB"/>
    <w:rsid w:val="009A6EE3"/>
    <w:rsid w:val="009A6FBE"/>
    <w:rsid w:val="009A7169"/>
    <w:rsid w:val="009A724F"/>
    <w:rsid w:val="009A73C7"/>
    <w:rsid w:val="009A7425"/>
    <w:rsid w:val="009A7523"/>
    <w:rsid w:val="009A75DD"/>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114"/>
    <w:rsid w:val="009B160E"/>
    <w:rsid w:val="009B167B"/>
    <w:rsid w:val="009B1744"/>
    <w:rsid w:val="009B179D"/>
    <w:rsid w:val="009B191A"/>
    <w:rsid w:val="009B194A"/>
    <w:rsid w:val="009B1963"/>
    <w:rsid w:val="009B19B6"/>
    <w:rsid w:val="009B1B8F"/>
    <w:rsid w:val="009B1CD3"/>
    <w:rsid w:val="009B1D46"/>
    <w:rsid w:val="009B1D68"/>
    <w:rsid w:val="009B1D86"/>
    <w:rsid w:val="009B1E56"/>
    <w:rsid w:val="009B1EB1"/>
    <w:rsid w:val="009B2096"/>
    <w:rsid w:val="009B2128"/>
    <w:rsid w:val="009B221B"/>
    <w:rsid w:val="009B225A"/>
    <w:rsid w:val="009B2322"/>
    <w:rsid w:val="009B239E"/>
    <w:rsid w:val="009B23B6"/>
    <w:rsid w:val="009B2540"/>
    <w:rsid w:val="009B2593"/>
    <w:rsid w:val="009B25B0"/>
    <w:rsid w:val="009B27B8"/>
    <w:rsid w:val="009B28D8"/>
    <w:rsid w:val="009B28DE"/>
    <w:rsid w:val="009B299B"/>
    <w:rsid w:val="009B29E4"/>
    <w:rsid w:val="009B2A0F"/>
    <w:rsid w:val="009B2AA3"/>
    <w:rsid w:val="009B2B5F"/>
    <w:rsid w:val="009B2C8A"/>
    <w:rsid w:val="009B2CC5"/>
    <w:rsid w:val="009B2FB4"/>
    <w:rsid w:val="009B3130"/>
    <w:rsid w:val="009B3308"/>
    <w:rsid w:val="009B3565"/>
    <w:rsid w:val="009B364D"/>
    <w:rsid w:val="009B3A65"/>
    <w:rsid w:val="009B3C6B"/>
    <w:rsid w:val="009B3D94"/>
    <w:rsid w:val="009B3DF2"/>
    <w:rsid w:val="009B422A"/>
    <w:rsid w:val="009B427B"/>
    <w:rsid w:val="009B4296"/>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39F"/>
    <w:rsid w:val="009B5446"/>
    <w:rsid w:val="009B562E"/>
    <w:rsid w:val="009B573F"/>
    <w:rsid w:val="009B575F"/>
    <w:rsid w:val="009B5804"/>
    <w:rsid w:val="009B588B"/>
    <w:rsid w:val="009B58CF"/>
    <w:rsid w:val="009B5988"/>
    <w:rsid w:val="009B59C0"/>
    <w:rsid w:val="009B5BE9"/>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1B"/>
    <w:rsid w:val="009B6C56"/>
    <w:rsid w:val="009B7139"/>
    <w:rsid w:val="009B7145"/>
    <w:rsid w:val="009B72A3"/>
    <w:rsid w:val="009B73F5"/>
    <w:rsid w:val="009B7579"/>
    <w:rsid w:val="009B75EE"/>
    <w:rsid w:val="009B772D"/>
    <w:rsid w:val="009B7955"/>
    <w:rsid w:val="009B795F"/>
    <w:rsid w:val="009B7C1E"/>
    <w:rsid w:val="009B7D81"/>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89B"/>
    <w:rsid w:val="009C2A1D"/>
    <w:rsid w:val="009C2C37"/>
    <w:rsid w:val="009C2D9E"/>
    <w:rsid w:val="009C2E02"/>
    <w:rsid w:val="009C2E05"/>
    <w:rsid w:val="009C2E4E"/>
    <w:rsid w:val="009C2F72"/>
    <w:rsid w:val="009C3066"/>
    <w:rsid w:val="009C31CE"/>
    <w:rsid w:val="009C32DD"/>
    <w:rsid w:val="009C34BE"/>
    <w:rsid w:val="009C37C4"/>
    <w:rsid w:val="009C3B7C"/>
    <w:rsid w:val="009C3CCB"/>
    <w:rsid w:val="009C3CCD"/>
    <w:rsid w:val="009C3E8D"/>
    <w:rsid w:val="009C4041"/>
    <w:rsid w:val="009C46EC"/>
    <w:rsid w:val="009C488C"/>
    <w:rsid w:val="009C4983"/>
    <w:rsid w:val="009C49B3"/>
    <w:rsid w:val="009C4DA4"/>
    <w:rsid w:val="009C4DFB"/>
    <w:rsid w:val="009C4F32"/>
    <w:rsid w:val="009C4FCA"/>
    <w:rsid w:val="009C5101"/>
    <w:rsid w:val="009C5232"/>
    <w:rsid w:val="009C5757"/>
    <w:rsid w:val="009C589C"/>
    <w:rsid w:val="009C58D2"/>
    <w:rsid w:val="009C59C8"/>
    <w:rsid w:val="009C5B21"/>
    <w:rsid w:val="009C5D78"/>
    <w:rsid w:val="009C6069"/>
    <w:rsid w:val="009C619D"/>
    <w:rsid w:val="009C61AA"/>
    <w:rsid w:val="009C61E8"/>
    <w:rsid w:val="009C628C"/>
    <w:rsid w:val="009C63A4"/>
    <w:rsid w:val="009C647A"/>
    <w:rsid w:val="009C64AF"/>
    <w:rsid w:val="009C6571"/>
    <w:rsid w:val="009C65EB"/>
    <w:rsid w:val="009C665C"/>
    <w:rsid w:val="009C66FC"/>
    <w:rsid w:val="009C67EE"/>
    <w:rsid w:val="009C6A0D"/>
    <w:rsid w:val="009C6BEA"/>
    <w:rsid w:val="009C6C88"/>
    <w:rsid w:val="009C6D77"/>
    <w:rsid w:val="009C6F88"/>
    <w:rsid w:val="009C72B3"/>
    <w:rsid w:val="009C7437"/>
    <w:rsid w:val="009C74FF"/>
    <w:rsid w:val="009C75DF"/>
    <w:rsid w:val="009C75F4"/>
    <w:rsid w:val="009C7666"/>
    <w:rsid w:val="009C782D"/>
    <w:rsid w:val="009C786D"/>
    <w:rsid w:val="009C78E8"/>
    <w:rsid w:val="009C7A05"/>
    <w:rsid w:val="009C7B34"/>
    <w:rsid w:val="009C7BD3"/>
    <w:rsid w:val="009C7D75"/>
    <w:rsid w:val="009C7E3E"/>
    <w:rsid w:val="009C7ECA"/>
    <w:rsid w:val="009D005D"/>
    <w:rsid w:val="009D00D8"/>
    <w:rsid w:val="009D00E3"/>
    <w:rsid w:val="009D01AD"/>
    <w:rsid w:val="009D01BE"/>
    <w:rsid w:val="009D022B"/>
    <w:rsid w:val="009D028E"/>
    <w:rsid w:val="009D0426"/>
    <w:rsid w:val="009D053F"/>
    <w:rsid w:val="009D0574"/>
    <w:rsid w:val="009D0692"/>
    <w:rsid w:val="009D07CB"/>
    <w:rsid w:val="009D0976"/>
    <w:rsid w:val="009D0A2C"/>
    <w:rsid w:val="009D0A91"/>
    <w:rsid w:val="009D0C3B"/>
    <w:rsid w:val="009D0CD6"/>
    <w:rsid w:val="009D0E15"/>
    <w:rsid w:val="009D0F64"/>
    <w:rsid w:val="009D1194"/>
    <w:rsid w:val="009D11EC"/>
    <w:rsid w:val="009D1471"/>
    <w:rsid w:val="009D14A5"/>
    <w:rsid w:val="009D14C1"/>
    <w:rsid w:val="009D1695"/>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89"/>
    <w:rsid w:val="009D2BD0"/>
    <w:rsid w:val="009D2BE7"/>
    <w:rsid w:val="009D2C52"/>
    <w:rsid w:val="009D2C96"/>
    <w:rsid w:val="009D2CBE"/>
    <w:rsid w:val="009D2D41"/>
    <w:rsid w:val="009D2D5B"/>
    <w:rsid w:val="009D311F"/>
    <w:rsid w:val="009D315F"/>
    <w:rsid w:val="009D32D6"/>
    <w:rsid w:val="009D36FF"/>
    <w:rsid w:val="009D3749"/>
    <w:rsid w:val="009D39C4"/>
    <w:rsid w:val="009D3AC0"/>
    <w:rsid w:val="009D3CDD"/>
    <w:rsid w:val="009D3E7C"/>
    <w:rsid w:val="009D4161"/>
    <w:rsid w:val="009D41BD"/>
    <w:rsid w:val="009D423B"/>
    <w:rsid w:val="009D43A8"/>
    <w:rsid w:val="009D4421"/>
    <w:rsid w:val="009D44BD"/>
    <w:rsid w:val="009D4509"/>
    <w:rsid w:val="009D474C"/>
    <w:rsid w:val="009D4ABC"/>
    <w:rsid w:val="009D4B3C"/>
    <w:rsid w:val="009D4B46"/>
    <w:rsid w:val="009D4ED9"/>
    <w:rsid w:val="009D4EE7"/>
    <w:rsid w:val="009D4F20"/>
    <w:rsid w:val="009D50D2"/>
    <w:rsid w:val="009D5158"/>
    <w:rsid w:val="009D5399"/>
    <w:rsid w:val="009D543F"/>
    <w:rsid w:val="009D5516"/>
    <w:rsid w:val="009D5584"/>
    <w:rsid w:val="009D56BC"/>
    <w:rsid w:val="009D56FB"/>
    <w:rsid w:val="009D59D3"/>
    <w:rsid w:val="009D5A07"/>
    <w:rsid w:val="009D5BBA"/>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9"/>
    <w:rsid w:val="009D6F34"/>
    <w:rsid w:val="009D70B9"/>
    <w:rsid w:val="009D7141"/>
    <w:rsid w:val="009D745B"/>
    <w:rsid w:val="009D75B3"/>
    <w:rsid w:val="009D75DB"/>
    <w:rsid w:val="009D7615"/>
    <w:rsid w:val="009D76A6"/>
    <w:rsid w:val="009D7740"/>
    <w:rsid w:val="009D7869"/>
    <w:rsid w:val="009D7898"/>
    <w:rsid w:val="009D7B4A"/>
    <w:rsid w:val="009D7C46"/>
    <w:rsid w:val="009E0316"/>
    <w:rsid w:val="009E035F"/>
    <w:rsid w:val="009E03DD"/>
    <w:rsid w:val="009E0512"/>
    <w:rsid w:val="009E079A"/>
    <w:rsid w:val="009E0862"/>
    <w:rsid w:val="009E0B81"/>
    <w:rsid w:val="009E0C54"/>
    <w:rsid w:val="009E0EC3"/>
    <w:rsid w:val="009E134F"/>
    <w:rsid w:val="009E1480"/>
    <w:rsid w:val="009E14F1"/>
    <w:rsid w:val="009E15AD"/>
    <w:rsid w:val="009E15CF"/>
    <w:rsid w:val="009E15FF"/>
    <w:rsid w:val="009E17E9"/>
    <w:rsid w:val="009E1896"/>
    <w:rsid w:val="009E1996"/>
    <w:rsid w:val="009E1AE7"/>
    <w:rsid w:val="009E2039"/>
    <w:rsid w:val="009E20AA"/>
    <w:rsid w:val="009E2117"/>
    <w:rsid w:val="009E2152"/>
    <w:rsid w:val="009E2159"/>
    <w:rsid w:val="009E243B"/>
    <w:rsid w:val="009E24B8"/>
    <w:rsid w:val="009E2743"/>
    <w:rsid w:val="009E28E7"/>
    <w:rsid w:val="009E294A"/>
    <w:rsid w:val="009E2AD4"/>
    <w:rsid w:val="009E2CCA"/>
    <w:rsid w:val="009E2E49"/>
    <w:rsid w:val="009E2F25"/>
    <w:rsid w:val="009E3157"/>
    <w:rsid w:val="009E3201"/>
    <w:rsid w:val="009E3284"/>
    <w:rsid w:val="009E3394"/>
    <w:rsid w:val="009E3398"/>
    <w:rsid w:val="009E366C"/>
    <w:rsid w:val="009E38C4"/>
    <w:rsid w:val="009E3972"/>
    <w:rsid w:val="009E39E0"/>
    <w:rsid w:val="009E3AE7"/>
    <w:rsid w:val="009E3B08"/>
    <w:rsid w:val="009E3E36"/>
    <w:rsid w:val="009E3EB7"/>
    <w:rsid w:val="009E40E3"/>
    <w:rsid w:val="009E4310"/>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565"/>
    <w:rsid w:val="009E5576"/>
    <w:rsid w:val="009E5901"/>
    <w:rsid w:val="009E5B74"/>
    <w:rsid w:val="009E5C30"/>
    <w:rsid w:val="009E5C31"/>
    <w:rsid w:val="009E5D12"/>
    <w:rsid w:val="009E5F1B"/>
    <w:rsid w:val="009E5FDE"/>
    <w:rsid w:val="009E6208"/>
    <w:rsid w:val="009E6301"/>
    <w:rsid w:val="009E6336"/>
    <w:rsid w:val="009E6445"/>
    <w:rsid w:val="009E66C0"/>
    <w:rsid w:val="009E671F"/>
    <w:rsid w:val="009E6978"/>
    <w:rsid w:val="009E6983"/>
    <w:rsid w:val="009E6B3B"/>
    <w:rsid w:val="009E6D33"/>
    <w:rsid w:val="009E6F87"/>
    <w:rsid w:val="009E74E0"/>
    <w:rsid w:val="009E7552"/>
    <w:rsid w:val="009E761C"/>
    <w:rsid w:val="009E792B"/>
    <w:rsid w:val="009E7B32"/>
    <w:rsid w:val="009E7CA0"/>
    <w:rsid w:val="009E7D61"/>
    <w:rsid w:val="009E7F9E"/>
    <w:rsid w:val="009F00D1"/>
    <w:rsid w:val="009F0248"/>
    <w:rsid w:val="009F0416"/>
    <w:rsid w:val="009F04F6"/>
    <w:rsid w:val="009F0574"/>
    <w:rsid w:val="009F0649"/>
    <w:rsid w:val="009F0654"/>
    <w:rsid w:val="009F0681"/>
    <w:rsid w:val="009F0913"/>
    <w:rsid w:val="009F0ABD"/>
    <w:rsid w:val="009F0C22"/>
    <w:rsid w:val="009F0F0A"/>
    <w:rsid w:val="009F0F23"/>
    <w:rsid w:val="009F0F33"/>
    <w:rsid w:val="009F107A"/>
    <w:rsid w:val="009F10D0"/>
    <w:rsid w:val="009F164F"/>
    <w:rsid w:val="009F1705"/>
    <w:rsid w:val="009F1B74"/>
    <w:rsid w:val="009F1B7D"/>
    <w:rsid w:val="009F1BDA"/>
    <w:rsid w:val="009F1C9C"/>
    <w:rsid w:val="009F1DAE"/>
    <w:rsid w:val="009F2076"/>
    <w:rsid w:val="009F2143"/>
    <w:rsid w:val="009F219E"/>
    <w:rsid w:val="009F23EE"/>
    <w:rsid w:val="009F2491"/>
    <w:rsid w:val="009F24F7"/>
    <w:rsid w:val="009F2501"/>
    <w:rsid w:val="009F263B"/>
    <w:rsid w:val="009F2775"/>
    <w:rsid w:val="009F277F"/>
    <w:rsid w:val="009F2843"/>
    <w:rsid w:val="009F2A8A"/>
    <w:rsid w:val="009F2B05"/>
    <w:rsid w:val="009F2B58"/>
    <w:rsid w:val="009F2B5C"/>
    <w:rsid w:val="009F2CB3"/>
    <w:rsid w:val="009F2D49"/>
    <w:rsid w:val="009F2D55"/>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DBB"/>
    <w:rsid w:val="009F5FD8"/>
    <w:rsid w:val="009F60BE"/>
    <w:rsid w:val="009F60D8"/>
    <w:rsid w:val="009F6473"/>
    <w:rsid w:val="009F647E"/>
    <w:rsid w:val="009F6483"/>
    <w:rsid w:val="009F64A5"/>
    <w:rsid w:val="009F64D8"/>
    <w:rsid w:val="009F66C1"/>
    <w:rsid w:val="009F67B0"/>
    <w:rsid w:val="009F6CB9"/>
    <w:rsid w:val="009F6CE7"/>
    <w:rsid w:val="009F6E01"/>
    <w:rsid w:val="009F6E80"/>
    <w:rsid w:val="009F6FAE"/>
    <w:rsid w:val="009F71F2"/>
    <w:rsid w:val="009F72BE"/>
    <w:rsid w:val="009F72D8"/>
    <w:rsid w:val="009F763D"/>
    <w:rsid w:val="009F76F6"/>
    <w:rsid w:val="009F7849"/>
    <w:rsid w:val="009F788D"/>
    <w:rsid w:val="009F7D29"/>
    <w:rsid w:val="009F7D7B"/>
    <w:rsid w:val="009F7DFB"/>
    <w:rsid w:val="009F7EF4"/>
    <w:rsid w:val="00A0000C"/>
    <w:rsid w:val="00A001E7"/>
    <w:rsid w:val="00A00531"/>
    <w:rsid w:val="00A0070E"/>
    <w:rsid w:val="00A00ACC"/>
    <w:rsid w:val="00A00BC0"/>
    <w:rsid w:val="00A00C4E"/>
    <w:rsid w:val="00A00D79"/>
    <w:rsid w:val="00A00EE8"/>
    <w:rsid w:val="00A011EE"/>
    <w:rsid w:val="00A01288"/>
    <w:rsid w:val="00A01349"/>
    <w:rsid w:val="00A01357"/>
    <w:rsid w:val="00A0137A"/>
    <w:rsid w:val="00A014BA"/>
    <w:rsid w:val="00A014C2"/>
    <w:rsid w:val="00A016E7"/>
    <w:rsid w:val="00A017A2"/>
    <w:rsid w:val="00A017D7"/>
    <w:rsid w:val="00A01A12"/>
    <w:rsid w:val="00A01A74"/>
    <w:rsid w:val="00A01B04"/>
    <w:rsid w:val="00A01B58"/>
    <w:rsid w:val="00A01B83"/>
    <w:rsid w:val="00A01C95"/>
    <w:rsid w:val="00A01F09"/>
    <w:rsid w:val="00A022D0"/>
    <w:rsid w:val="00A023A1"/>
    <w:rsid w:val="00A0249C"/>
    <w:rsid w:val="00A024A6"/>
    <w:rsid w:val="00A02550"/>
    <w:rsid w:val="00A026E9"/>
    <w:rsid w:val="00A02729"/>
    <w:rsid w:val="00A0278E"/>
    <w:rsid w:val="00A02890"/>
    <w:rsid w:val="00A028B4"/>
    <w:rsid w:val="00A028D0"/>
    <w:rsid w:val="00A02926"/>
    <w:rsid w:val="00A029E5"/>
    <w:rsid w:val="00A02AE8"/>
    <w:rsid w:val="00A02B3E"/>
    <w:rsid w:val="00A02D63"/>
    <w:rsid w:val="00A02E1B"/>
    <w:rsid w:val="00A02E3F"/>
    <w:rsid w:val="00A02EA8"/>
    <w:rsid w:val="00A03004"/>
    <w:rsid w:val="00A03093"/>
    <w:rsid w:val="00A0309A"/>
    <w:rsid w:val="00A03105"/>
    <w:rsid w:val="00A03221"/>
    <w:rsid w:val="00A03435"/>
    <w:rsid w:val="00A035A9"/>
    <w:rsid w:val="00A03828"/>
    <w:rsid w:val="00A038E2"/>
    <w:rsid w:val="00A03972"/>
    <w:rsid w:val="00A039FD"/>
    <w:rsid w:val="00A03BB4"/>
    <w:rsid w:val="00A041D2"/>
    <w:rsid w:val="00A044DC"/>
    <w:rsid w:val="00A0461F"/>
    <w:rsid w:val="00A046C7"/>
    <w:rsid w:val="00A046E6"/>
    <w:rsid w:val="00A0477E"/>
    <w:rsid w:val="00A04B63"/>
    <w:rsid w:val="00A04EA9"/>
    <w:rsid w:val="00A04EBE"/>
    <w:rsid w:val="00A05250"/>
    <w:rsid w:val="00A05301"/>
    <w:rsid w:val="00A053BD"/>
    <w:rsid w:val="00A05421"/>
    <w:rsid w:val="00A05715"/>
    <w:rsid w:val="00A05788"/>
    <w:rsid w:val="00A0596A"/>
    <w:rsid w:val="00A05AFB"/>
    <w:rsid w:val="00A05B29"/>
    <w:rsid w:val="00A05D32"/>
    <w:rsid w:val="00A05E57"/>
    <w:rsid w:val="00A05E97"/>
    <w:rsid w:val="00A06344"/>
    <w:rsid w:val="00A063AC"/>
    <w:rsid w:val="00A06481"/>
    <w:rsid w:val="00A067B7"/>
    <w:rsid w:val="00A068E7"/>
    <w:rsid w:val="00A06933"/>
    <w:rsid w:val="00A06BF1"/>
    <w:rsid w:val="00A06C58"/>
    <w:rsid w:val="00A06DEE"/>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992"/>
    <w:rsid w:val="00A10BBE"/>
    <w:rsid w:val="00A10D1B"/>
    <w:rsid w:val="00A10F25"/>
    <w:rsid w:val="00A110FD"/>
    <w:rsid w:val="00A11167"/>
    <w:rsid w:val="00A1123D"/>
    <w:rsid w:val="00A1139B"/>
    <w:rsid w:val="00A113E3"/>
    <w:rsid w:val="00A114B9"/>
    <w:rsid w:val="00A115C5"/>
    <w:rsid w:val="00A11944"/>
    <w:rsid w:val="00A1196F"/>
    <w:rsid w:val="00A11A76"/>
    <w:rsid w:val="00A11BC2"/>
    <w:rsid w:val="00A11C92"/>
    <w:rsid w:val="00A11D9B"/>
    <w:rsid w:val="00A11E41"/>
    <w:rsid w:val="00A11E48"/>
    <w:rsid w:val="00A11E68"/>
    <w:rsid w:val="00A12124"/>
    <w:rsid w:val="00A1223D"/>
    <w:rsid w:val="00A1232C"/>
    <w:rsid w:val="00A1265E"/>
    <w:rsid w:val="00A127D7"/>
    <w:rsid w:val="00A12848"/>
    <w:rsid w:val="00A12C1E"/>
    <w:rsid w:val="00A12F51"/>
    <w:rsid w:val="00A131B9"/>
    <w:rsid w:val="00A134D1"/>
    <w:rsid w:val="00A134E5"/>
    <w:rsid w:val="00A1355E"/>
    <w:rsid w:val="00A13566"/>
    <w:rsid w:val="00A136A3"/>
    <w:rsid w:val="00A137B2"/>
    <w:rsid w:val="00A137B4"/>
    <w:rsid w:val="00A13BAF"/>
    <w:rsid w:val="00A13DDE"/>
    <w:rsid w:val="00A13EAE"/>
    <w:rsid w:val="00A13FB0"/>
    <w:rsid w:val="00A14135"/>
    <w:rsid w:val="00A14280"/>
    <w:rsid w:val="00A147C3"/>
    <w:rsid w:val="00A14985"/>
    <w:rsid w:val="00A14B65"/>
    <w:rsid w:val="00A14B8A"/>
    <w:rsid w:val="00A14BD9"/>
    <w:rsid w:val="00A14BFE"/>
    <w:rsid w:val="00A1511C"/>
    <w:rsid w:val="00A15480"/>
    <w:rsid w:val="00A1553B"/>
    <w:rsid w:val="00A155EC"/>
    <w:rsid w:val="00A15B62"/>
    <w:rsid w:val="00A15B64"/>
    <w:rsid w:val="00A15BFD"/>
    <w:rsid w:val="00A15CAC"/>
    <w:rsid w:val="00A15CEE"/>
    <w:rsid w:val="00A15CFA"/>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69"/>
    <w:rsid w:val="00A1779E"/>
    <w:rsid w:val="00A178F3"/>
    <w:rsid w:val="00A17AC2"/>
    <w:rsid w:val="00A17B86"/>
    <w:rsid w:val="00A17B8A"/>
    <w:rsid w:val="00A17BCF"/>
    <w:rsid w:val="00A17C4E"/>
    <w:rsid w:val="00A17D99"/>
    <w:rsid w:val="00A17DEA"/>
    <w:rsid w:val="00A201E1"/>
    <w:rsid w:val="00A202F4"/>
    <w:rsid w:val="00A2037E"/>
    <w:rsid w:val="00A205EB"/>
    <w:rsid w:val="00A20657"/>
    <w:rsid w:val="00A2082D"/>
    <w:rsid w:val="00A20885"/>
    <w:rsid w:val="00A208DF"/>
    <w:rsid w:val="00A2098B"/>
    <w:rsid w:val="00A20BC3"/>
    <w:rsid w:val="00A20C99"/>
    <w:rsid w:val="00A20D0A"/>
    <w:rsid w:val="00A20DF0"/>
    <w:rsid w:val="00A20DF1"/>
    <w:rsid w:val="00A20F9A"/>
    <w:rsid w:val="00A20FCF"/>
    <w:rsid w:val="00A21149"/>
    <w:rsid w:val="00A212DF"/>
    <w:rsid w:val="00A216F3"/>
    <w:rsid w:val="00A21B44"/>
    <w:rsid w:val="00A21C14"/>
    <w:rsid w:val="00A21D3F"/>
    <w:rsid w:val="00A21DCD"/>
    <w:rsid w:val="00A22019"/>
    <w:rsid w:val="00A2207B"/>
    <w:rsid w:val="00A22154"/>
    <w:rsid w:val="00A2237D"/>
    <w:rsid w:val="00A2258E"/>
    <w:rsid w:val="00A225F1"/>
    <w:rsid w:val="00A22642"/>
    <w:rsid w:val="00A2277C"/>
    <w:rsid w:val="00A22A51"/>
    <w:rsid w:val="00A22D02"/>
    <w:rsid w:val="00A22F1F"/>
    <w:rsid w:val="00A23569"/>
    <w:rsid w:val="00A2378C"/>
    <w:rsid w:val="00A238C1"/>
    <w:rsid w:val="00A239EB"/>
    <w:rsid w:val="00A23AD1"/>
    <w:rsid w:val="00A23B45"/>
    <w:rsid w:val="00A23BD9"/>
    <w:rsid w:val="00A23CDB"/>
    <w:rsid w:val="00A23CF8"/>
    <w:rsid w:val="00A23D4F"/>
    <w:rsid w:val="00A23F56"/>
    <w:rsid w:val="00A2412F"/>
    <w:rsid w:val="00A24243"/>
    <w:rsid w:val="00A243B7"/>
    <w:rsid w:val="00A2453D"/>
    <w:rsid w:val="00A24652"/>
    <w:rsid w:val="00A246D4"/>
    <w:rsid w:val="00A248AE"/>
    <w:rsid w:val="00A24B2B"/>
    <w:rsid w:val="00A24D16"/>
    <w:rsid w:val="00A24D7B"/>
    <w:rsid w:val="00A24E2D"/>
    <w:rsid w:val="00A24F20"/>
    <w:rsid w:val="00A24F49"/>
    <w:rsid w:val="00A24F55"/>
    <w:rsid w:val="00A25074"/>
    <w:rsid w:val="00A251A6"/>
    <w:rsid w:val="00A251FF"/>
    <w:rsid w:val="00A25408"/>
    <w:rsid w:val="00A254F6"/>
    <w:rsid w:val="00A2566D"/>
    <w:rsid w:val="00A25751"/>
    <w:rsid w:val="00A259C3"/>
    <w:rsid w:val="00A25B22"/>
    <w:rsid w:val="00A25CA3"/>
    <w:rsid w:val="00A25CF9"/>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B9D"/>
    <w:rsid w:val="00A26D4F"/>
    <w:rsid w:val="00A26D92"/>
    <w:rsid w:val="00A26D95"/>
    <w:rsid w:val="00A26E40"/>
    <w:rsid w:val="00A26E4B"/>
    <w:rsid w:val="00A26FFC"/>
    <w:rsid w:val="00A2709C"/>
    <w:rsid w:val="00A270BC"/>
    <w:rsid w:val="00A2724A"/>
    <w:rsid w:val="00A272B0"/>
    <w:rsid w:val="00A2732A"/>
    <w:rsid w:val="00A274DE"/>
    <w:rsid w:val="00A27583"/>
    <w:rsid w:val="00A278B1"/>
    <w:rsid w:val="00A279AA"/>
    <w:rsid w:val="00A279F2"/>
    <w:rsid w:val="00A27B09"/>
    <w:rsid w:val="00A27B4D"/>
    <w:rsid w:val="00A27BC6"/>
    <w:rsid w:val="00A27D4B"/>
    <w:rsid w:val="00A27F00"/>
    <w:rsid w:val="00A27FFA"/>
    <w:rsid w:val="00A30255"/>
    <w:rsid w:val="00A30608"/>
    <w:rsid w:val="00A3076D"/>
    <w:rsid w:val="00A308E0"/>
    <w:rsid w:val="00A3094E"/>
    <w:rsid w:val="00A30C14"/>
    <w:rsid w:val="00A30C61"/>
    <w:rsid w:val="00A31096"/>
    <w:rsid w:val="00A3115B"/>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C7E"/>
    <w:rsid w:val="00A32DF3"/>
    <w:rsid w:val="00A32FD6"/>
    <w:rsid w:val="00A3318D"/>
    <w:rsid w:val="00A332D7"/>
    <w:rsid w:val="00A332ED"/>
    <w:rsid w:val="00A33523"/>
    <w:rsid w:val="00A33525"/>
    <w:rsid w:val="00A336FB"/>
    <w:rsid w:val="00A3375F"/>
    <w:rsid w:val="00A338C4"/>
    <w:rsid w:val="00A33970"/>
    <w:rsid w:val="00A339A2"/>
    <w:rsid w:val="00A33A4E"/>
    <w:rsid w:val="00A33D7F"/>
    <w:rsid w:val="00A33D8F"/>
    <w:rsid w:val="00A340CB"/>
    <w:rsid w:val="00A34189"/>
    <w:rsid w:val="00A341BD"/>
    <w:rsid w:val="00A342F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31"/>
    <w:rsid w:val="00A35232"/>
    <w:rsid w:val="00A35270"/>
    <w:rsid w:val="00A352B3"/>
    <w:rsid w:val="00A35466"/>
    <w:rsid w:val="00A3549A"/>
    <w:rsid w:val="00A354C9"/>
    <w:rsid w:val="00A35512"/>
    <w:rsid w:val="00A35548"/>
    <w:rsid w:val="00A35664"/>
    <w:rsid w:val="00A35768"/>
    <w:rsid w:val="00A35845"/>
    <w:rsid w:val="00A35920"/>
    <w:rsid w:val="00A35BE8"/>
    <w:rsid w:val="00A35D4F"/>
    <w:rsid w:val="00A35DAC"/>
    <w:rsid w:val="00A35DF4"/>
    <w:rsid w:val="00A35FC3"/>
    <w:rsid w:val="00A360FE"/>
    <w:rsid w:val="00A36113"/>
    <w:rsid w:val="00A361C0"/>
    <w:rsid w:val="00A362CC"/>
    <w:rsid w:val="00A36389"/>
    <w:rsid w:val="00A363F1"/>
    <w:rsid w:val="00A3649F"/>
    <w:rsid w:val="00A3651C"/>
    <w:rsid w:val="00A3674F"/>
    <w:rsid w:val="00A3685B"/>
    <w:rsid w:val="00A3692E"/>
    <w:rsid w:val="00A36941"/>
    <w:rsid w:val="00A36D8A"/>
    <w:rsid w:val="00A36EAA"/>
    <w:rsid w:val="00A36FC3"/>
    <w:rsid w:val="00A3714E"/>
    <w:rsid w:val="00A37234"/>
    <w:rsid w:val="00A37257"/>
    <w:rsid w:val="00A37481"/>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DD"/>
    <w:rsid w:val="00A40845"/>
    <w:rsid w:val="00A408AB"/>
    <w:rsid w:val="00A4099C"/>
    <w:rsid w:val="00A40A76"/>
    <w:rsid w:val="00A40BA5"/>
    <w:rsid w:val="00A40E4E"/>
    <w:rsid w:val="00A40E86"/>
    <w:rsid w:val="00A40F64"/>
    <w:rsid w:val="00A41327"/>
    <w:rsid w:val="00A4139C"/>
    <w:rsid w:val="00A414CA"/>
    <w:rsid w:val="00A41525"/>
    <w:rsid w:val="00A415C1"/>
    <w:rsid w:val="00A4164A"/>
    <w:rsid w:val="00A41A66"/>
    <w:rsid w:val="00A41AE2"/>
    <w:rsid w:val="00A41B5E"/>
    <w:rsid w:val="00A41C26"/>
    <w:rsid w:val="00A41DFD"/>
    <w:rsid w:val="00A41E57"/>
    <w:rsid w:val="00A41EEF"/>
    <w:rsid w:val="00A42048"/>
    <w:rsid w:val="00A4206A"/>
    <w:rsid w:val="00A42221"/>
    <w:rsid w:val="00A42252"/>
    <w:rsid w:val="00A42517"/>
    <w:rsid w:val="00A427AD"/>
    <w:rsid w:val="00A42B63"/>
    <w:rsid w:val="00A42BDD"/>
    <w:rsid w:val="00A42D83"/>
    <w:rsid w:val="00A42EC5"/>
    <w:rsid w:val="00A430BA"/>
    <w:rsid w:val="00A43220"/>
    <w:rsid w:val="00A432C5"/>
    <w:rsid w:val="00A43300"/>
    <w:rsid w:val="00A43413"/>
    <w:rsid w:val="00A43421"/>
    <w:rsid w:val="00A434A1"/>
    <w:rsid w:val="00A434CC"/>
    <w:rsid w:val="00A43525"/>
    <w:rsid w:val="00A436B2"/>
    <w:rsid w:val="00A437A8"/>
    <w:rsid w:val="00A4389E"/>
    <w:rsid w:val="00A43CAE"/>
    <w:rsid w:val="00A43DCE"/>
    <w:rsid w:val="00A4437C"/>
    <w:rsid w:val="00A444A8"/>
    <w:rsid w:val="00A445DF"/>
    <w:rsid w:val="00A44824"/>
    <w:rsid w:val="00A44954"/>
    <w:rsid w:val="00A44A08"/>
    <w:rsid w:val="00A44A2F"/>
    <w:rsid w:val="00A44C8C"/>
    <w:rsid w:val="00A44F72"/>
    <w:rsid w:val="00A44FF8"/>
    <w:rsid w:val="00A450AA"/>
    <w:rsid w:val="00A45147"/>
    <w:rsid w:val="00A4520C"/>
    <w:rsid w:val="00A4541A"/>
    <w:rsid w:val="00A45507"/>
    <w:rsid w:val="00A4561D"/>
    <w:rsid w:val="00A45814"/>
    <w:rsid w:val="00A4586C"/>
    <w:rsid w:val="00A458EC"/>
    <w:rsid w:val="00A45A4A"/>
    <w:rsid w:val="00A45B4A"/>
    <w:rsid w:val="00A45B4F"/>
    <w:rsid w:val="00A45EC8"/>
    <w:rsid w:val="00A45F43"/>
    <w:rsid w:val="00A460B3"/>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1A3"/>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173"/>
    <w:rsid w:val="00A513AB"/>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4E2"/>
    <w:rsid w:val="00A5257D"/>
    <w:rsid w:val="00A5266C"/>
    <w:rsid w:val="00A52815"/>
    <w:rsid w:val="00A528F5"/>
    <w:rsid w:val="00A5293A"/>
    <w:rsid w:val="00A529E2"/>
    <w:rsid w:val="00A52A1C"/>
    <w:rsid w:val="00A52C06"/>
    <w:rsid w:val="00A52D37"/>
    <w:rsid w:val="00A53049"/>
    <w:rsid w:val="00A5313E"/>
    <w:rsid w:val="00A5315E"/>
    <w:rsid w:val="00A531DF"/>
    <w:rsid w:val="00A5324D"/>
    <w:rsid w:val="00A53332"/>
    <w:rsid w:val="00A53425"/>
    <w:rsid w:val="00A53532"/>
    <w:rsid w:val="00A53794"/>
    <w:rsid w:val="00A537A4"/>
    <w:rsid w:val="00A537FB"/>
    <w:rsid w:val="00A53856"/>
    <w:rsid w:val="00A5390D"/>
    <w:rsid w:val="00A539D7"/>
    <w:rsid w:val="00A53AB0"/>
    <w:rsid w:val="00A53ABE"/>
    <w:rsid w:val="00A53C3E"/>
    <w:rsid w:val="00A53E65"/>
    <w:rsid w:val="00A53F23"/>
    <w:rsid w:val="00A541E0"/>
    <w:rsid w:val="00A54253"/>
    <w:rsid w:val="00A54277"/>
    <w:rsid w:val="00A54352"/>
    <w:rsid w:val="00A54576"/>
    <w:rsid w:val="00A546B5"/>
    <w:rsid w:val="00A54705"/>
    <w:rsid w:val="00A54866"/>
    <w:rsid w:val="00A54A27"/>
    <w:rsid w:val="00A54A6D"/>
    <w:rsid w:val="00A54AA9"/>
    <w:rsid w:val="00A54BE0"/>
    <w:rsid w:val="00A54C86"/>
    <w:rsid w:val="00A54D4C"/>
    <w:rsid w:val="00A55012"/>
    <w:rsid w:val="00A55167"/>
    <w:rsid w:val="00A55239"/>
    <w:rsid w:val="00A55381"/>
    <w:rsid w:val="00A554FA"/>
    <w:rsid w:val="00A555BE"/>
    <w:rsid w:val="00A55626"/>
    <w:rsid w:val="00A55647"/>
    <w:rsid w:val="00A5574C"/>
    <w:rsid w:val="00A557A3"/>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C64"/>
    <w:rsid w:val="00A60D45"/>
    <w:rsid w:val="00A60E72"/>
    <w:rsid w:val="00A60F94"/>
    <w:rsid w:val="00A6141B"/>
    <w:rsid w:val="00A61467"/>
    <w:rsid w:val="00A619F3"/>
    <w:rsid w:val="00A61BA6"/>
    <w:rsid w:val="00A61F43"/>
    <w:rsid w:val="00A61F71"/>
    <w:rsid w:val="00A61F75"/>
    <w:rsid w:val="00A61F83"/>
    <w:rsid w:val="00A61FD9"/>
    <w:rsid w:val="00A61FE7"/>
    <w:rsid w:val="00A62542"/>
    <w:rsid w:val="00A625E3"/>
    <w:rsid w:val="00A62605"/>
    <w:rsid w:val="00A62653"/>
    <w:rsid w:val="00A6299B"/>
    <w:rsid w:val="00A62BDB"/>
    <w:rsid w:val="00A62CA1"/>
    <w:rsid w:val="00A62E47"/>
    <w:rsid w:val="00A630D8"/>
    <w:rsid w:val="00A630F1"/>
    <w:rsid w:val="00A6317A"/>
    <w:rsid w:val="00A6334F"/>
    <w:rsid w:val="00A63736"/>
    <w:rsid w:val="00A63759"/>
    <w:rsid w:val="00A6382D"/>
    <w:rsid w:val="00A638EC"/>
    <w:rsid w:val="00A63AC9"/>
    <w:rsid w:val="00A63B5F"/>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D08"/>
    <w:rsid w:val="00A6502F"/>
    <w:rsid w:val="00A65125"/>
    <w:rsid w:val="00A65195"/>
    <w:rsid w:val="00A65199"/>
    <w:rsid w:val="00A652B4"/>
    <w:rsid w:val="00A65314"/>
    <w:rsid w:val="00A65374"/>
    <w:rsid w:val="00A6559D"/>
    <w:rsid w:val="00A655B5"/>
    <w:rsid w:val="00A65667"/>
    <w:rsid w:val="00A65684"/>
    <w:rsid w:val="00A659F0"/>
    <w:rsid w:val="00A65C09"/>
    <w:rsid w:val="00A65D23"/>
    <w:rsid w:val="00A66166"/>
    <w:rsid w:val="00A661A0"/>
    <w:rsid w:val="00A66383"/>
    <w:rsid w:val="00A665FC"/>
    <w:rsid w:val="00A66873"/>
    <w:rsid w:val="00A6688A"/>
    <w:rsid w:val="00A6696F"/>
    <w:rsid w:val="00A669AB"/>
    <w:rsid w:val="00A66BE5"/>
    <w:rsid w:val="00A66D97"/>
    <w:rsid w:val="00A66E5D"/>
    <w:rsid w:val="00A66FD6"/>
    <w:rsid w:val="00A67067"/>
    <w:rsid w:val="00A670CA"/>
    <w:rsid w:val="00A670E4"/>
    <w:rsid w:val="00A6746B"/>
    <w:rsid w:val="00A67629"/>
    <w:rsid w:val="00A677D4"/>
    <w:rsid w:val="00A677E2"/>
    <w:rsid w:val="00A67804"/>
    <w:rsid w:val="00A6784E"/>
    <w:rsid w:val="00A678E8"/>
    <w:rsid w:val="00A678ED"/>
    <w:rsid w:val="00A679DC"/>
    <w:rsid w:val="00A67C81"/>
    <w:rsid w:val="00A67C8D"/>
    <w:rsid w:val="00A67D32"/>
    <w:rsid w:val="00A70190"/>
    <w:rsid w:val="00A706EF"/>
    <w:rsid w:val="00A7098C"/>
    <w:rsid w:val="00A70A39"/>
    <w:rsid w:val="00A70B8D"/>
    <w:rsid w:val="00A70BD5"/>
    <w:rsid w:val="00A70CFC"/>
    <w:rsid w:val="00A70D11"/>
    <w:rsid w:val="00A70D86"/>
    <w:rsid w:val="00A70ECF"/>
    <w:rsid w:val="00A70F41"/>
    <w:rsid w:val="00A70F8F"/>
    <w:rsid w:val="00A712BD"/>
    <w:rsid w:val="00A716DB"/>
    <w:rsid w:val="00A719B8"/>
    <w:rsid w:val="00A71B4A"/>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AE0"/>
    <w:rsid w:val="00A72DC5"/>
    <w:rsid w:val="00A72EA8"/>
    <w:rsid w:val="00A72F51"/>
    <w:rsid w:val="00A73555"/>
    <w:rsid w:val="00A73684"/>
    <w:rsid w:val="00A736D7"/>
    <w:rsid w:val="00A73BFA"/>
    <w:rsid w:val="00A74472"/>
    <w:rsid w:val="00A745FF"/>
    <w:rsid w:val="00A747D3"/>
    <w:rsid w:val="00A748FC"/>
    <w:rsid w:val="00A749F0"/>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D30"/>
    <w:rsid w:val="00A75F08"/>
    <w:rsid w:val="00A75F50"/>
    <w:rsid w:val="00A76044"/>
    <w:rsid w:val="00A760CB"/>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A54"/>
    <w:rsid w:val="00A77C8C"/>
    <w:rsid w:val="00A77CB2"/>
    <w:rsid w:val="00A80000"/>
    <w:rsid w:val="00A8009D"/>
    <w:rsid w:val="00A8026C"/>
    <w:rsid w:val="00A80312"/>
    <w:rsid w:val="00A8044E"/>
    <w:rsid w:val="00A8062E"/>
    <w:rsid w:val="00A80913"/>
    <w:rsid w:val="00A80ABC"/>
    <w:rsid w:val="00A80C6F"/>
    <w:rsid w:val="00A80D4D"/>
    <w:rsid w:val="00A81014"/>
    <w:rsid w:val="00A8112C"/>
    <w:rsid w:val="00A811FA"/>
    <w:rsid w:val="00A812B3"/>
    <w:rsid w:val="00A814B5"/>
    <w:rsid w:val="00A814F1"/>
    <w:rsid w:val="00A81744"/>
    <w:rsid w:val="00A817D5"/>
    <w:rsid w:val="00A818E0"/>
    <w:rsid w:val="00A8198A"/>
    <w:rsid w:val="00A81B80"/>
    <w:rsid w:val="00A81D5E"/>
    <w:rsid w:val="00A8204E"/>
    <w:rsid w:val="00A82066"/>
    <w:rsid w:val="00A8221D"/>
    <w:rsid w:val="00A8232E"/>
    <w:rsid w:val="00A823EC"/>
    <w:rsid w:val="00A828FD"/>
    <w:rsid w:val="00A82AAD"/>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0A2"/>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905"/>
    <w:rsid w:val="00A85A0C"/>
    <w:rsid w:val="00A85A20"/>
    <w:rsid w:val="00A85BB3"/>
    <w:rsid w:val="00A85C41"/>
    <w:rsid w:val="00A85CA2"/>
    <w:rsid w:val="00A85DF8"/>
    <w:rsid w:val="00A85ECE"/>
    <w:rsid w:val="00A85FBD"/>
    <w:rsid w:val="00A86620"/>
    <w:rsid w:val="00A8673F"/>
    <w:rsid w:val="00A8689A"/>
    <w:rsid w:val="00A8691B"/>
    <w:rsid w:val="00A86996"/>
    <w:rsid w:val="00A86C3D"/>
    <w:rsid w:val="00A86C76"/>
    <w:rsid w:val="00A86EB8"/>
    <w:rsid w:val="00A8704C"/>
    <w:rsid w:val="00A8718E"/>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87E02"/>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6F"/>
    <w:rsid w:val="00A90BBB"/>
    <w:rsid w:val="00A90BD5"/>
    <w:rsid w:val="00A90DCE"/>
    <w:rsid w:val="00A90E1E"/>
    <w:rsid w:val="00A91029"/>
    <w:rsid w:val="00A914AE"/>
    <w:rsid w:val="00A9150E"/>
    <w:rsid w:val="00A915AD"/>
    <w:rsid w:val="00A915C8"/>
    <w:rsid w:val="00A91808"/>
    <w:rsid w:val="00A91C28"/>
    <w:rsid w:val="00A91C93"/>
    <w:rsid w:val="00A91CB3"/>
    <w:rsid w:val="00A91D42"/>
    <w:rsid w:val="00A91DE2"/>
    <w:rsid w:val="00A91F88"/>
    <w:rsid w:val="00A920DF"/>
    <w:rsid w:val="00A923C6"/>
    <w:rsid w:val="00A92409"/>
    <w:rsid w:val="00A92548"/>
    <w:rsid w:val="00A925C6"/>
    <w:rsid w:val="00A925FD"/>
    <w:rsid w:val="00A927B0"/>
    <w:rsid w:val="00A92B00"/>
    <w:rsid w:val="00A92EFF"/>
    <w:rsid w:val="00A92F04"/>
    <w:rsid w:val="00A93021"/>
    <w:rsid w:val="00A93096"/>
    <w:rsid w:val="00A93303"/>
    <w:rsid w:val="00A935C9"/>
    <w:rsid w:val="00A93913"/>
    <w:rsid w:val="00A93AE0"/>
    <w:rsid w:val="00A93AF8"/>
    <w:rsid w:val="00A93B64"/>
    <w:rsid w:val="00A93B88"/>
    <w:rsid w:val="00A93D7A"/>
    <w:rsid w:val="00A9401C"/>
    <w:rsid w:val="00A94143"/>
    <w:rsid w:val="00A94169"/>
    <w:rsid w:val="00A942E4"/>
    <w:rsid w:val="00A94441"/>
    <w:rsid w:val="00A945D9"/>
    <w:rsid w:val="00A94616"/>
    <w:rsid w:val="00A948BA"/>
    <w:rsid w:val="00A948F9"/>
    <w:rsid w:val="00A94B3A"/>
    <w:rsid w:val="00A9516D"/>
    <w:rsid w:val="00A956B0"/>
    <w:rsid w:val="00A95719"/>
    <w:rsid w:val="00A95869"/>
    <w:rsid w:val="00A95879"/>
    <w:rsid w:val="00A959AD"/>
    <w:rsid w:val="00A95ABA"/>
    <w:rsid w:val="00A95AD2"/>
    <w:rsid w:val="00A95C31"/>
    <w:rsid w:val="00A95F39"/>
    <w:rsid w:val="00A96097"/>
    <w:rsid w:val="00A9633B"/>
    <w:rsid w:val="00A9644F"/>
    <w:rsid w:val="00A96491"/>
    <w:rsid w:val="00A964AA"/>
    <w:rsid w:val="00A966C6"/>
    <w:rsid w:val="00A96779"/>
    <w:rsid w:val="00A967C8"/>
    <w:rsid w:val="00A96802"/>
    <w:rsid w:val="00A96A3F"/>
    <w:rsid w:val="00A96A77"/>
    <w:rsid w:val="00A96BFA"/>
    <w:rsid w:val="00A96D92"/>
    <w:rsid w:val="00A971D9"/>
    <w:rsid w:val="00A974FD"/>
    <w:rsid w:val="00A9770E"/>
    <w:rsid w:val="00A97877"/>
    <w:rsid w:val="00A978F7"/>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1001"/>
    <w:rsid w:val="00AA10BB"/>
    <w:rsid w:val="00AA1263"/>
    <w:rsid w:val="00AA1398"/>
    <w:rsid w:val="00AA145D"/>
    <w:rsid w:val="00AA1499"/>
    <w:rsid w:val="00AA14F1"/>
    <w:rsid w:val="00AA1679"/>
    <w:rsid w:val="00AA1731"/>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A00"/>
    <w:rsid w:val="00AA2BCB"/>
    <w:rsid w:val="00AA2C79"/>
    <w:rsid w:val="00AA2EB3"/>
    <w:rsid w:val="00AA2F18"/>
    <w:rsid w:val="00AA303E"/>
    <w:rsid w:val="00AA31DB"/>
    <w:rsid w:val="00AA322D"/>
    <w:rsid w:val="00AA335D"/>
    <w:rsid w:val="00AA33AE"/>
    <w:rsid w:val="00AA364D"/>
    <w:rsid w:val="00AA36F3"/>
    <w:rsid w:val="00AA395C"/>
    <w:rsid w:val="00AA3A06"/>
    <w:rsid w:val="00AA3AD8"/>
    <w:rsid w:val="00AA3C75"/>
    <w:rsid w:val="00AA3F6D"/>
    <w:rsid w:val="00AA4023"/>
    <w:rsid w:val="00AA403A"/>
    <w:rsid w:val="00AA4603"/>
    <w:rsid w:val="00AA461F"/>
    <w:rsid w:val="00AA467B"/>
    <w:rsid w:val="00AA46AE"/>
    <w:rsid w:val="00AA498A"/>
    <w:rsid w:val="00AA4A20"/>
    <w:rsid w:val="00AA4C9B"/>
    <w:rsid w:val="00AA4CEE"/>
    <w:rsid w:val="00AA4DE5"/>
    <w:rsid w:val="00AA4DEA"/>
    <w:rsid w:val="00AA4E46"/>
    <w:rsid w:val="00AA4E61"/>
    <w:rsid w:val="00AA5005"/>
    <w:rsid w:val="00AA5483"/>
    <w:rsid w:val="00AA55B6"/>
    <w:rsid w:val="00AA55B7"/>
    <w:rsid w:val="00AA5662"/>
    <w:rsid w:val="00AA5AB9"/>
    <w:rsid w:val="00AA5ABC"/>
    <w:rsid w:val="00AA5AD9"/>
    <w:rsid w:val="00AA5B45"/>
    <w:rsid w:val="00AA5BDD"/>
    <w:rsid w:val="00AA5CD9"/>
    <w:rsid w:val="00AA5F29"/>
    <w:rsid w:val="00AA5FFF"/>
    <w:rsid w:val="00AA636C"/>
    <w:rsid w:val="00AA6475"/>
    <w:rsid w:val="00AA64A2"/>
    <w:rsid w:val="00AA64A7"/>
    <w:rsid w:val="00AA66A6"/>
    <w:rsid w:val="00AA67CE"/>
    <w:rsid w:val="00AA67DD"/>
    <w:rsid w:val="00AA6974"/>
    <w:rsid w:val="00AA6D51"/>
    <w:rsid w:val="00AA6F7A"/>
    <w:rsid w:val="00AA6FAE"/>
    <w:rsid w:val="00AA6FD8"/>
    <w:rsid w:val="00AA7110"/>
    <w:rsid w:val="00AA72B3"/>
    <w:rsid w:val="00AA73AA"/>
    <w:rsid w:val="00AA7502"/>
    <w:rsid w:val="00AA755B"/>
    <w:rsid w:val="00AA760F"/>
    <w:rsid w:val="00AA7670"/>
    <w:rsid w:val="00AA797B"/>
    <w:rsid w:val="00AA79FF"/>
    <w:rsid w:val="00AA7A99"/>
    <w:rsid w:val="00AA7BB2"/>
    <w:rsid w:val="00AA7E2F"/>
    <w:rsid w:val="00AA7F99"/>
    <w:rsid w:val="00AB00CC"/>
    <w:rsid w:val="00AB00CE"/>
    <w:rsid w:val="00AB0146"/>
    <w:rsid w:val="00AB0527"/>
    <w:rsid w:val="00AB0555"/>
    <w:rsid w:val="00AB0731"/>
    <w:rsid w:val="00AB087F"/>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D24"/>
    <w:rsid w:val="00AB2F75"/>
    <w:rsid w:val="00AB3119"/>
    <w:rsid w:val="00AB321F"/>
    <w:rsid w:val="00AB3A17"/>
    <w:rsid w:val="00AB3A8B"/>
    <w:rsid w:val="00AB3B8D"/>
    <w:rsid w:val="00AB3BF3"/>
    <w:rsid w:val="00AB3F24"/>
    <w:rsid w:val="00AB4099"/>
    <w:rsid w:val="00AB411D"/>
    <w:rsid w:val="00AB4493"/>
    <w:rsid w:val="00AB44E6"/>
    <w:rsid w:val="00AB4517"/>
    <w:rsid w:val="00AB4547"/>
    <w:rsid w:val="00AB472B"/>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C11"/>
    <w:rsid w:val="00AB5C56"/>
    <w:rsid w:val="00AB5CF6"/>
    <w:rsid w:val="00AB5D11"/>
    <w:rsid w:val="00AB5E1C"/>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273"/>
    <w:rsid w:val="00AB7414"/>
    <w:rsid w:val="00AB76D5"/>
    <w:rsid w:val="00AB778D"/>
    <w:rsid w:val="00AB77D6"/>
    <w:rsid w:val="00AB7907"/>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178"/>
    <w:rsid w:val="00AC1353"/>
    <w:rsid w:val="00AC1499"/>
    <w:rsid w:val="00AC19BE"/>
    <w:rsid w:val="00AC1C69"/>
    <w:rsid w:val="00AC1D5E"/>
    <w:rsid w:val="00AC1EB1"/>
    <w:rsid w:val="00AC2156"/>
    <w:rsid w:val="00AC224D"/>
    <w:rsid w:val="00AC25A0"/>
    <w:rsid w:val="00AC264A"/>
    <w:rsid w:val="00AC2733"/>
    <w:rsid w:val="00AC278A"/>
    <w:rsid w:val="00AC2878"/>
    <w:rsid w:val="00AC290A"/>
    <w:rsid w:val="00AC2A67"/>
    <w:rsid w:val="00AC2C15"/>
    <w:rsid w:val="00AC2CF9"/>
    <w:rsid w:val="00AC2E89"/>
    <w:rsid w:val="00AC2FEE"/>
    <w:rsid w:val="00AC3136"/>
    <w:rsid w:val="00AC3158"/>
    <w:rsid w:val="00AC3492"/>
    <w:rsid w:val="00AC3674"/>
    <w:rsid w:val="00AC374A"/>
    <w:rsid w:val="00AC374C"/>
    <w:rsid w:val="00AC3894"/>
    <w:rsid w:val="00AC3AE7"/>
    <w:rsid w:val="00AC3B1E"/>
    <w:rsid w:val="00AC3BB2"/>
    <w:rsid w:val="00AC3D0D"/>
    <w:rsid w:val="00AC3ECC"/>
    <w:rsid w:val="00AC4052"/>
    <w:rsid w:val="00AC41C8"/>
    <w:rsid w:val="00AC43F1"/>
    <w:rsid w:val="00AC44BC"/>
    <w:rsid w:val="00AC45D9"/>
    <w:rsid w:val="00AC4705"/>
    <w:rsid w:val="00AC4830"/>
    <w:rsid w:val="00AC49C4"/>
    <w:rsid w:val="00AC4A81"/>
    <w:rsid w:val="00AC4B97"/>
    <w:rsid w:val="00AC4C55"/>
    <w:rsid w:val="00AC4CBC"/>
    <w:rsid w:val="00AC4D5F"/>
    <w:rsid w:val="00AC4DCF"/>
    <w:rsid w:val="00AC4E52"/>
    <w:rsid w:val="00AC4FE7"/>
    <w:rsid w:val="00AC4FF5"/>
    <w:rsid w:val="00AC5385"/>
    <w:rsid w:val="00AC5397"/>
    <w:rsid w:val="00AC54A0"/>
    <w:rsid w:val="00AC565D"/>
    <w:rsid w:val="00AC57CE"/>
    <w:rsid w:val="00AC57F9"/>
    <w:rsid w:val="00AC59B1"/>
    <w:rsid w:val="00AC5BD8"/>
    <w:rsid w:val="00AC5E4F"/>
    <w:rsid w:val="00AC607C"/>
    <w:rsid w:val="00AC6432"/>
    <w:rsid w:val="00AC64E9"/>
    <w:rsid w:val="00AC6501"/>
    <w:rsid w:val="00AC652D"/>
    <w:rsid w:val="00AC6810"/>
    <w:rsid w:val="00AC6854"/>
    <w:rsid w:val="00AC6A73"/>
    <w:rsid w:val="00AC6B48"/>
    <w:rsid w:val="00AC6B5A"/>
    <w:rsid w:val="00AC6D6B"/>
    <w:rsid w:val="00AC6EAF"/>
    <w:rsid w:val="00AC710D"/>
    <w:rsid w:val="00AC7169"/>
    <w:rsid w:val="00AC717A"/>
    <w:rsid w:val="00AC736C"/>
    <w:rsid w:val="00AC7696"/>
    <w:rsid w:val="00AC79B4"/>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541"/>
    <w:rsid w:val="00AD054F"/>
    <w:rsid w:val="00AD0596"/>
    <w:rsid w:val="00AD0AA8"/>
    <w:rsid w:val="00AD0C6A"/>
    <w:rsid w:val="00AD0CDE"/>
    <w:rsid w:val="00AD0DBD"/>
    <w:rsid w:val="00AD0DF1"/>
    <w:rsid w:val="00AD0EA7"/>
    <w:rsid w:val="00AD0EED"/>
    <w:rsid w:val="00AD0F8A"/>
    <w:rsid w:val="00AD0FDC"/>
    <w:rsid w:val="00AD1224"/>
    <w:rsid w:val="00AD12C6"/>
    <w:rsid w:val="00AD1300"/>
    <w:rsid w:val="00AD1412"/>
    <w:rsid w:val="00AD1464"/>
    <w:rsid w:val="00AD1517"/>
    <w:rsid w:val="00AD156F"/>
    <w:rsid w:val="00AD16F1"/>
    <w:rsid w:val="00AD19A1"/>
    <w:rsid w:val="00AD1C80"/>
    <w:rsid w:val="00AD1CED"/>
    <w:rsid w:val="00AD1E6C"/>
    <w:rsid w:val="00AD1F32"/>
    <w:rsid w:val="00AD202F"/>
    <w:rsid w:val="00AD2323"/>
    <w:rsid w:val="00AD241F"/>
    <w:rsid w:val="00AD25D5"/>
    <w:rsid w:val="00AD25E3"/>
    <w:rsid w:val="00AD260E"/>
    <w:rsid w:val="00AD27CF"/>
    <w:rsid w:val="00AD2B48"/>
    <w:rsid w:val="00AD2C76"/>
    <w:rsid w:val="00AD2CAE"/>
    <w:rsid w:val="00AD2F80"/>
    <w:rsid w:val="00AD301B"/>
    <w:rsid w:val="00AD30A6"/>
    <w:rsid w:val="00AD30F0"/>
    <w:rsid w:val="00AD31B5"/>
    <w:rsid w:val="00AD3248"/>
    <w:rsid w:val="00AD3264"/>
    <w:rsid w:val="00AD3539"/>
    <w:rsid w:val="00AD3742"/>
    <w:rsid w:val="00AD3743"/>
    <w:rsid w:val="00AD3762"/>
    <w:rsid w:val="00AD37A6"/>
    <w:rsid w:val="00AD3988"/>
    <w:rsid w:val="00AD39E9"/>
    <w:rsid w:val="00AD3AB7"/>
    <w:rsid w:val="00AD3B95"/>
    <w:rsid w:val="00AD3C03"/>
    <w:rsid w:val="00AD3D38"/>
    <w:rsid w:val="00AD3D50"/>
    <w:rsid w:val="00AD3F35"/>
    <w:rsid w:val="00AD3F68"/>
    <w:rsid w:val="00AD3FED"/>
    <w:rsid w:val="00AD401A"/>
    <w:rsid w:val="00AD4082"/>
    <w:rsid w:val="00AD4141"/>
    <w:rsid w:val="00AD4180"/>
    <w:rsid w:val="00AD41CA"/>
    <w:rsid w:val="00AD4329"/>
    <w:rsid w:val="00AD4345"/>
    <w:rsid w:val="00AD4485"/>
    <w:rsid w:val="00AD4629"/>
    <w:rsid w:val="00AD475F"/>
    <w:rsid w:val="00AD47A1"/>
    <w:rsid w:val="00AD48ED"/>
    <w:rsid w:val="00AD4916"/>
    <w:rsid w:val="00AD49E9"/>
    <w:rsid w:val="00AD4A82"/>
    <w:rsid w:val="00AD4B78"/>
    <w:rsid w:val="00AD4BBB"/>
    <w:rsid w:val="00AD4C15"/>
    <w:rsid w:val="00AD5046"/>
    <w:rsid w:val="00AD5180"/>
    <w:rsid w:val="00AD52F9"/>
    <w:rsid w:val="00AD5317"/>
    <w:rsid w:val="00AD55C2"/>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6DC"/>
    <w:rsid w:val="00AD78FF"/>
    <w:rsid w:val="00AD7A1A"/>
    <w:rsid w:val="00AD7B92"/>
    <w:rsid w:val="00AD7CD5"/>
    <w:rsid w:val="00AD7D8E"/>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10AB"/>
    <w:rsid w:val="00AE11E9"/>
    <w:rsid w:val="00AE1525"/>
    <w:rsid w:val="00AE1556"/>
    <w:rsid w:val="00AE16C5"/>
    <w:rsid w:val="00AE1770"/>
    <w:rsid w:val="00AE1920"/>
    <w:rsid w:val="00AE1A6B"/>
    <w:rsid w:val="00AE1A89"/>
    <w:rsid w:val="00AE1D04"/>
    <w:rsid w:val="00AE1D43"/>
    <w:rsid w:val="00AE1DBB"/>
    <w:rsid w:val="00AE1F01"/>
    <w:rsid w:val="00AE204F"/>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5B6"/>
    <w:rsid w:val="00AE3719"/>
    <w:rsid w:val="00AE374C"/>
    <w:rsid w:val="00AE37BA"/>
    <w:rsid w:val="00AE399F"/>
    <w:rsid w:val="00AE3B83"/>
    <w:rsid w:val="00AE3CC1"/>
    <w:rsid w:val="00AE3D15"/>
    <w:rsid w:val="00AE4576"/>
    <w:rsid w:val="00AE45FB"/>
    <w:rsid w:val="00AE4608"/>
    <w:rsid w:val="00AE4640"/>
    <w:rsid w:val="00AE47AA"/>
    <w:rsid w:val="00AE47F1"/>
    <w:rsid w:val="00AE484F"/>
    <w:rsid w:val="00AE4C3A"/>
    <w:rsid w:val="00AE4EA2"/>
    <w:rsid w:val="00AE4F5D"/>
    <w:rsid w:val="00AE5047"/>
    <w:rsid w:val="00AE50DC"/>
    <w:rsid w:val="00AE51D3"/>
    <w:rsid w:val="00AE52AD"/>
    <w:rsid w:val="00AE5312"/>
    <w:rsid w:val="00AE56AF"/>
    <w:rsid w:val="00AE5A0F"/>
    <w:rsid w:val="00AE5A5C"/>
    <w:rsid w:val="00AE5AA6"/>
    <w:rsid w:val="00AE5AAB"/>
    <w:rsid w:val="00AE5ABD"/>
    <w:rsid w:val="00AE5C67"/>
    <w:rsid w:val="00AE5C7E"/>
    <w:rsid w:val="00AE5D73"/>
    <w:rsid w:val="00AE5DFA"/>
    <w:rsid w:val="00AE5E07"/>
    <w:rsid w:val="00AE5FAB"/>
    <w:rsid w:val="00AE5FF9"/>
    <w:rsid w:val="00AE63AC"/>
    <w:rsid w:val="00AE63B5"/>
    <w:rsid w:val="00AE64BE"/>
    <w:rsid w:val="00AE65E3"/>
    <w:rsid w:val="00AE661F"/>
    <w:rsid w:val="00AE67AB"/>
    <w:rsid w:val="00AE694C"/>
    <w:rsid w:val="00AE6987"/>
    <w:rsid w:val="00AE6C15"/>
    <w:rsid w:val="00AE6C59"/>
    <w:rsid w:val="00AE7107"/>
    <w:rsid w:val="00AE7241"/>
    <w:rsid w:val="00AE7296"/>
    <w:rsid w:val="00AE7338"/>
    <w:rsid w:val="00AE74BA"/>
    <w:rsid w:val="00AE74F6"/>
    <w:rsid w:val="00AE7535"/>
    <w:rsid w:val="00AE7B90"/>
    <w:rsid w:val="00AE7C8E"/>
    <w:rsid w:val="00AE7DDE"/>
    <w:rsid w:val="00AE7FAB"/>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AF1"/>
    <w:rsid w:val="00AF1B31"/>
    <w:rsid w:val="00AF1E23"/>
    <w:rsid w:val="00AF1EA5"/>
    <w:rsid w:val="00AF1FF4"/>
    <w:rsid w:val="00AF20C5"/>
    <w:rsid w:val="00AF20F6"/>
    <w:rsid w:val="00AF21A7"/>
    <w:rsid w:val="00AF22C2"/>
    <w:rsid w:val="00AF22CA"/>
    <w:rsid w:val="00AF2322"/>
    <w:rsid w:val="00AF2406"/>
    <w:rsid w:val="00AF26B5"/>
    <w:rsid w:val="00AF2857"/>
    <w:rsid w:val="00AF2D96"/>
    <w:rsid w:val="00AF2E0E"/>
    <w:rsid w:val="00AF2E60"/>
    <w:rsid w:val="00AF2E8A"/>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6E9"/>
    <w:rsid w:val="00AF59B6"/>
    <w:rsid w:val="00AF59DF"/>
    <w:rsid w:val="00AF5CC6"/>
    <w:rsid w:val="00AF5F06"/>
    <w:rsid w:val="00AF602D"/>
    <w:rsid w:val="00AF60D6"/>
    <w:rsid w:val="00AF62A3"/>
    <w:rsid w:val="00AF6436"/>
    <w:rsid w:val="00AF67FE"/>
    <w:rsid w:val="00AF695D"/>
    <w:rsid w:val="00AF6C37"/>
    <w:rsid w:val="00AF6CCA"/>
    <w:rsid w:val="00AF6D30"/>
    <w:rsid w:val="00AF70BB"/>
    <w:rsid w:val="00AF733D"/>
    <w:rsid w:val="00AF75A3"/>
    <w:rsid w:val="00AF762B"/>
    <w:rsid w:val="00AF7695"/>
    <w:rsid w:val="00AF78FA"/>
    <w:rsid w:val="00AF78FE"/>
    <w:rsid w:val="00AF7A70"/>
    <w:rsid w:val="00AF7AEF"/>
    <w:rsid w:val="00AF7BCA"/>
    <w:rsid w:val="00B0004B"/>
    <w:rsid w:val="00B00151"/>
    <w:rsid w:val="00B002A7"/>
    <w:rsid w:val="00B0050D"/>
    <w:rsid w:val="00B00642"/>
    <w:rsid w:val="00B00870"/>
    <w:rsid w:val="00B008A3"/>
    <w:rsid w:val="00B008E7"/>
    <w:rsid w:val="00B00BA0"/>
    <w:rsid w:val="00B00DB5"/>
    <w:rsid w:val="00B00E99"/>
    <w:rsid w:val="00B01215"/>
    <w:rsid w:val="00B0130D"/>
    <w:rsid w:val="00B0152B"/>
    <w:rsid w:val="00B0160B"/>
    <w:rsid w:val="00B01671"/>
    <w:rsid w:val="00B019DE"/>
    <w:rsid w:val="00B01AB2"/>
    <w:rsid w:val="00B01B21"/>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A8A"/>
    <w:rsid w:val="00B02F09"/>
    <w:rsid w:val="00B03134"/>
    <w:rsid w:val="00B033B3"/>
    <w:rsid w:val="00B035C4"/>
    <w:rsid w:val="00B036CE"/>
    <w:rsid w:val="00B03893"/>
    <w:rsid w:val="00B03B70"/>
    <w:rsid w:val="00B03C0D"/>
    <w:rsid w:val="00B03FB6"/>
    <w:rsid w:val="00B040B7"/>
    <w:rsid w:val="00B04140"/>
    <w:rsid w:val="00B04490"/>
    <w:rsid w:val="00B0469E"/>
    <w:rsid w:val="00B0470E"/>
    <w:rsid w:val="00B04817"/>
    <w:rsid w:val="00B049FA"/>
    <w:rsid w:val="00B04D08"/>
    <w:rsid w:val="00B04DBE"/>
    <w:rsid w:val="00B04DD1"/>
    <w:rsid w:val="00B0512B"/>
    <w:rsid w:val="00B0515D"/>
    <w:rsid w:val="00B051A6"/>
    <w:rsid w:val="00B0556D"/>
    <w:rsid w:val="00B05663"/>
    <w:rsid w:val="00B0572C"/>
    <w:rsid w:val="00B05803"/>
    <w:rsid w:val="00B058D4"/>
    <w:rsid w:val="00B0597B"/>
    <w:rsid w:val="00B059F8"/>
    <w:rsid w:val="00B05BAC"/>
    <w:rsid w:val="00B05D00"/>
    <w:rsid w:val="00B060D3"/>
    <w:rsid w:val="00B06165"/>
    <w:rsid w:val="00B062E3"/>
    <w:rsid w:val="00B0635F"/>
    <w:rsid w:val="00B063B5"/>
    <w:rsid w:val="00B065BD"/>
    <w:rsid w:val="00B067C8"/>
    <w:rsid w:val="00B06B60"/>
    <w:rsid w:val="00B06BB1"/>
    <w:rsid w:val="00B06D3C"/>
    <w:rsid w:val="00B06FBB"/>
    <w:rsid w:val="00B07070"/>
    <w:rsid w:val="00B07289"/>
    <w:rsid w:val="00B07295"/>
    <w:rsid w:val="00B073FC"/>
    <w:rsid w:val="00B0753B"/>
    <w:rsid w:val="00B0769E"/>
    <w:rsid w:val="00B077C5"/>
    <w:rsid w:val="00B07B7F"/>
    <w:rsid w:val="00B07C12"/>
    <w:rsid w:val="00B07C2D"/>
    <w:rsid w:val="00B07F4F"/>
    <w:rsid w:val="00B07FDE"/>
    <w:rsid w:val="00B10216"/>
    <w:rsid w:val="00B102CB"/>
    <w:rsid w:val="00B1033B"/>
    <w:rsid w:val="00B103AD"/>
    <w:rsid w:val="00B104E6"/>
    <w:rsid w:val="00B1050B"/>
    <w:rsid w:val="00B105F9"/>
    <w:rsid w:val="00B10660"/>
    <w:rsid w:val="00B106AB"/>
    <w:rsid w:val="00B107AE"/>
    <w:rsid w:val="00B10B55"/>
    <w:rsid w:val="00B10DA8"/>
    <w:rsid w:val="00B10DDE"/>
    <w:rsid w:val="00B1116D"/>
    <w:rsid w:val="00B11190"/>
    <w:rsid w:val="00B111BA"/>
    <w:rsid w:val="00B1123F"/>
    <w:rsid w:val="00B112AB"/>
    <w:rsid w:val="00B112BB"/>
    <w:rsid w:val="00B1131E"/>
    <w:rsid w:val="00B113CE"/>
    <w:rsid w:val="00B11540"/>
    <w:rsid w:val="00B117A6"/>
    <w:rsid w:val="00B11995"/>
    <w:rsid w:val="00B119D7"/>
    <w:rsid w:val="00B11ADE"/>
    <w:rsid w:val="00B11E21"/>
    <w:rsid w:val="00B11ED0"/>
    <w:rsid w:val="00B11FA5"/>
    <w:rsid w:val="00B11FC0"/>
    <w:rsid w:val="00B1209C"/>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B5"/>
    <w:rsid w:val="00B13F73"/>
    <w:rsid w:val="00B13F9C"/>
    <w:rsid w:val="00B1407E"/>
    <w:rsid w:val="00B140D2"/>
    <w:rsid w:val="00B14108"/>
    <w:rsid w:val="00B14170"/>
    <w:rsid w:val="00B141C4"/>
    <w:rsid w:val="00B141C8"/>
    <w:rsid w:val="00B141F2"/>
    <w:rsid w:val="00B14298"/>
    <w:rsid w:val="00B1447F"/>
    <w:rsid w:val="00B1455F"/>
    <w:rsid w:val="00B14611"/>
    <w:rsid w:val="00B1464B"/>
    <w:rsid w:val="00B14819"/>
    <w:rsid w:val="00B14824"/>
    <w:rsid w:val="00B14858"/>
    <w:rsid w:val="00B1498D"/>
    <w:rsid w:val="00B14A95"/>
    <w:rsid w:val="00B15213"/>
    <w:rsid w:val="00B152AC"/>
    <w:rsid w:val="00B15502"/>
    <w:rsid w:val="00B156D6"/>
    <w:rsid w:val="00B1576A"/>
    <w:rsid w:val="00B157F6"/>
    <w:rsid w:val="00B15885"/>
    <w:rsid w:val="00B15A81"/>
    <w:rsid w:val="00B15A8B"/>
    <w:rsid w:val="00B15B63"/>
    <w:rsid w:val="00B15C9F"/>
    <w:rsid w:val="00B15F93"/>
    <w:rsid w:val="00B16275"/>
    <w:rsid w:val="00B1634B"/>
    <w:rsid w:val="00B1639C"/>
    <w:rsid w:val="00B163B4"/>
    <w:rsid w:val="00B16450"/>
    <w:rsid w:val="00B16780"/>
    <w:rsid w:val="00B168C7"/>
    <w:rsid w:val="00B168CE"/>
    <w:rsid w:val="00B169E2"/>
    <w:rsid w:val="00B16FB4"/>
    <w:rsid w:val="00B1721B"/>
    <w:rsid w:val="00B1738A"/>
    <w:rsid w:val="00B173B2"/>
    <w:rsid w:val="00B173E1"/>
    <w:rsid w:val="00B1760B"/>
    <w:rsid w:val="00B176A0"/>
    <w:rsid w:val="00B1795C"/>
    <w:rsid w:val="00B179E6"/>
    <w:rsid w:val="00B17C97"/>
    <w:rsid w:val="00B17C99"/>
    <w:rsid w:val="00B17C9C"/>
    <w:rsid w:val="00B17CBC"/>
    <w:rsid w:val="00B17D44"/>
    <w:rsid w:val="00B17E03"/>
    <w:rsid w:val="00B17FC7"/>
    <w:rsid w:val="00B200FF"/>
    <w:rsid w:val="00B20311"/>
    <w:rsid w:val="00B2049A"/>
    <w:rsid w:val="00B20896"/>
    <w:rsid w:val="00B20AC0"/>
    <w:rsid w:val="00B20D1D"/>
    <w:rsid w:val="00B20D29"/>
    <w:rsid w:val="00B20F9F"/>
    <w:rsid w:val="00B212D8"/>
    <w:rsid w:val="00B2137C"/>
    <w:rsid w:val="00B214C5"/>
    <w:rsid w:val="00B21567"/>
    <w:rsid w:val="00B215F1"/>
    <w:rsid w:val="00B216B1"/>
    <w:rsid w:val="00B21766"/>
    <w:rsid w:val="00B21787"/>
    <w:rsid w:val="00B21793"/>
    <w:rsid w:val="00B21827"/>
    <w:rsid w:val="00B2183D"/>
    <w:rsid w:val="00B2187D"/>
    <w:rsid w:val="00B21A84"/>
    <w:rsid w:val="00B21AD3"/>
    <w:rsid w:val="00B21C34"/>
    <w:rsid w:val="00B21D78"/>
    <w:rsid w:val="00B21F10"/>
    <w:rsid w:val="00B21FB6"/>
    <w:rsid w:val="00B2206E"/>
    <w:rsid w:val="00B22136"/>
    <w:rsid w:val="00B22622"/>
    <w:rsid w:val="00B22913"/>
    <w:rsid w:val="00B2299C"/>
    <w:rsid w:val="00B22B49"/>
    <w:rsid w:val="00B22D45"/>
    <w:rsid w:val="00B22D4D"/>
    <w:rsid w:val="00B22DE3"/>
    <w:rsid w:val="00B22F49"/>
    <w:rsid w:val="00B23007"/>
    <w:rsid w:val="00B23420"/>
    <w:rsid w:val="00B23497"/>
    <w:rsid w:val="00B23822"/>
    <w:rsid w:val="00B23BDA"/>
    <w:rsid w:val="00B23BED"/>
    <w:rsid w:val="00B23D46"/>
    <w:rsid w:val="00B23F3D"/>
    <w:rsid w:val="00B23F6E"/>
    <w:rsid w:val="00B23F8B"/>
    <w:rsid w:val="00B241A9"/>
    <w:rsid w:val="00B241F7"/>
    <w:rsid w:val="00B24242"/>
    <w:rsid w:val="00B243A3"/>
    <w:rsid w:val="00B243C2"/>
    <w:rsid w:val="00B24543"/>
    <w:rsid w:val="00B2457F"/>
    <w:rsid w:val="00B245C2"/>
    <w:rsid w:val="00B2487E"/>
    <w:rsid w:val="00B248EF"/>
    <w:rsid w:val="00B24B1E"/>
    <w:rsid w:val="00B24BD2"/>
    <w:rsid w:val="00B24DF1"/>
    <w:rsid w:val="00B24EA7"/>
    <w:rsid w:val="00B24F2F"/>
    <w:rsid w:val="00B24F4B"/>
    <w:rsid w:val="00B24FB3"/>
    <w:rsid w:val="00B25055"/>
    <w:rsid w:val="00B25262"/>
    <w:rsid w:val="00B25269"/>
    <w:rsid w:val="00B253B8"/>
    <w:rsid w:val="00B253CD"/>
    <w:rsid w:val="00B25880"/>
    <w:rsid w:val="00B258A8"/>
    <w:rsid w:val="00B25A21"/>
    <w:rsid w:val="00B25BF4"/>
    <w:rsid w:val="00B25C3F"/>
    <w:rsid w:val="00B25D75"/>
    <w:rsid w:val="00B25F1C"/>
    <w:rsid w:val="00B25F60"/>
    <w:rsid w:val="00B260B3"/>
    <w:rsid w:val="00B2619B"/>
    <w:rsid w:val="00B26236"/>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AF"/>
    <w:rsid w:val="00B279D7"/>
    <w:rsid w:val="00B27B19"/>
    <w:rsid w:val="00B27C14"/>
    <w:rsid w:val="00B27E00"/>
    <w:rsid w:val="00B301A2"/>
    <w:rsid w:val="00B301E5"/>
    <w:rsid w:val="00B3023F"/>
    <w:rsid w:val="00B304D0"/>
    <w:rsid w:val="00B304D3"/>
    <w:rsid w:val="00B3059B"/>
    <w:rsid w:val="00B305C3"/>
    <w:rsid w:val="00B305C7"/>
    <w:rsid w:val="00B30863"/>
    <w:rsid w:val="00B30953"/>
    <w:rsid w:val="00B3096D"/>
    <w:rsid w:val="00B30C0D"/>
    <w:rsid w:val="00B30DF3"/>
    <w:rsid w:val="00B30E3B"/>
    <w:rsid w:val="00B30F2D"/>
    <w:rsid w:val="00B30F2F"/>
    <w:rsid w:val="00B31035"/>
    <w:rsid w:val="00B31115"/>
    <w:rsid w:val="00B31491"/>
    <w:rsid w:val="00B31595"/>
    <w:rsid w:val="00B315C8"/>
    <w:rsid w:val="00B317E7"/>
    <w:rsid w:val="00B31F24"/>
    <w:rsid w:val="00B322F2"/>
    <w:rsid w:val="00B32355"/>
    <w:rsid w:val="00B324C3"/>
    <w:rsid w:val="00B32778"/>
    <w:rsid w:val="00B327BC"/>
    <w:rsid w:val="00B3280B"/>
    <w:rsid w:val="00B32945"/>
    <w:rsid w:val="00B32A96"/>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F31"/>
    <w:rsid w:val="00B3407F"/>
    <w:rsid w:val="00B3437E"/>
    <w:rsid w:val="00B343BA"/>
    <w:rsid w:val="00B3444B"/>
    <w:rsid w:val="00B34471"/>
    <w:rsid w:val="00B3463B"/>
    <w:rsid w:val="00B3473C"/>
    <w:rsid w:val="00B347FA"/>
    <w:rsid w:val="00B34A49"/>
    <w:rsid w:val="00B34B70"/>
    <w:rsid w:val="00B34BD0"/>
    <w:rsid w:val="00B34D4B"/>
    <w:rsid w:val="00B34DAA"/>
    <w:rsid w:val="00B34E2A"/>
    <w:rsid w:val="00B350A8"/>
    <w:rsid w:val="00B35160"/>
    <w:rsid w:val="00B351C4"/>
    <w:rsid w:val="00B35377"/>
    <w:rsid w:val="00B3542D"/>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423"/>
    <w:rsid w:val="00B3745B"/>
    <w:rsid w:val="00B37478"/>
    <w:rsid w:val="00B37597"/>
    <w:rsid w:val="00B377C1"/>
    <w:rsid w:val="00B37A87"/>
    <w:rsid w:val="00B37AA6"/>
    <w:rsid w:val="00B37DEC"/>
    <w:rsid w:val="00B37F4D"/>
    <w:rsid w:val="00B37F72"/>
    <w:rsid w:val="00B4004E"/>
    <w:rsid w:val="00B40077"/>
    <w:rsid w:val="00B400E4"/>
    <w:rsid w:val="00B40112"/>
    <w:rsid w:val="00B40127"/>
    <w:rsid w:val="00B403BC"/>
    <w:rsid w:val="00B40410"/>
    <w:rsid w:val="00B40478"/>
    <w:rsid w:val="00B40731"/>
    <w:rsid w:val="00B407A0"/>
    <w:rsid w:val="00B4088B"/>
    <w:rsid w:val="00B4095D"/>
    <w:rsid w:val="00B409D9"/>
    <w:rsid w:val="00B409F4"/>
    <w:rsid w:val="00B40AAF"/>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898"/>
    <w:rsid w:val="00B43914"/>
    <w:rsid w:val="00B4397D"/>
    <w:rsid w:val="00B43C16"/>
    <w:rsid w:val="00B43CF3"/>
    <w:rsid w:val="00B43CFC"/>
    <w:rsid w:val="00B43DAE"/>
    <w:rsid w:val="00B43DD0"/>
    <w:rsid w:val="00B43E1C"/>
    <w:rsid w:val="00B43E46"/>
    <w:rsid w:val="00B43FA7"/>
    <w:rsid w:val="00B44244"/>
    <w:rsid w:val="00B445ED"/>
    <w:rsid w:val="00B44A20"/>
    <w:rsid w:val="00B44A6D"/>
    <w:rsid w:val="00B44AF9"/>
    <w:rsid w:val="00B44BA7"/>
    <w:rsid w:val="00B44CAD"/>
    <w:rsid w:val="00B44CD3"/>
    <w:rsid w:val="00B44EE4"/>
    <w:rsid w:val="00B44F24"/>
    <w:rsid w:val="00B4508F"/>
    <w:rsid w:val="00B45348"/>
    <w:rsid w:val="00B45450"/>
    <w:rsid w:val="00B4562B"/>
    <w:rsid w:val="00B456BC"/>
    <w:rsid w:val="00B459D6"/>
    <w:rsid w:val="00B45A5A"/>
    <w:rsid w:val="00B45C77"/>
    <w:rsid w:val="00B45CE4"/>
    <w:rsid w:val="00B45CF4"/>
    <w:rsid w:val="00B45F74"/>
    <w:rsid w:val="00B4601B"/>
    <w:rsid w:val="00B4605E"/>
    <w:rsid w:val="00B4609E"/>
    <w:rsid w:val="00B464BF"/>
    <w:rsid w:val="00B467C2"/>
    <w:rsid w:val="00B46952"/>
    <w:rsid w:val="00B46979"/>
    <w:rsid w:val="00B469F5"/>
    <w:rsid w:val="00B46A03"/>
    <w:rsid w:val="00B46AAB"/>
    <w:rsid w:val="00B46B48"/>
    <w:rsid w:val="00B46C83"/>
    <w:rsid w:val="00B46CDC"/>
    <w:rsid w:val="00B46E6D"/>
    <w:rsid w:val="00B46F8D"/>
    <w:rsid w:val="00B46F96"/>
    <w:rsid w:val="00B4747C"/>
    <w:rsid w:val="00B476A1"/>
    <w:rsid w:val="00B47995"/>
    <w:rsid w:val="00B47A85"/>
    <w:rsid w:val="00B47DEB"/>
    <w:rsid w:val="00B47F21"/>
    <w:rsid w:val="00B47F6D"/>
    <w:rsid w:val="00B5032B"/>
    <w:rsid w:val="00B50408"/>
    <w:rsid w:val="00B507C7"/>
    <w:rsid w:val="00B507CC"/>
    <w:rsid w:val="00B508E9"/>
    <w:rsid w:val="00B50A34"/>
    <w:rsid w:val="00B50BA9"/>
    <w:rsid w:val="00B50C05"/>
    <w:rsid w:val="00B50CDE"/>
    <w:rsid w:val="00B50DA7"/>
    <w:rsid w:val="00B50E33"/>
    <w:rsid w:val="00B510CA"/>
    <w:rsid w:val="00B511D9"/>
    <w:rsid w:val="00B512FD"/>
    <w:rsid w:val="00B5138F"/>
    <w:rsid w:val="00B514DA"/>
    <w:rsid w:val="00B5155D"/>
    <w:rsid w:val="00B516E0"/>
    <w:rsid w:val="00B5180E"/>
    <w:rsid w:val="00B519F8"/>
    <w:rsid w:val="00B51AFF"/>
    <w:rsid w:val="00B51B9D"/>
    <w:rsid w:val="00B51C95"/>
    <w:rsid w:val="00B51D2C"/>
    <w:rsid w:val="00B51DBF"/>
    <w:rsid w:val="00B51F3C"/>
    <w:rsid w:val="00B51F65"/>
    <w:rsid w:val="00B5202D"/>
    <w:rsid w:val="00B52067"/>
    <w:rsid w:val="00B522CF"/>
    <w:rsid w:val="00B522D6"/>
    <w:rsid w:val="00B52376"/>
    <w:rsid w:val="00B523F0"/>
    <w:rsid w:val="00B52482"/>
    <w:rsid w:val="00B52686"/>
    <w:rsid w:val="00B527B7"/>
    <w:rsid w:val="00B527F0"/>
    <w:rsid w:val="00B52845"/>
    <w:rsid w:val="00B529A9"/>
    <w:rsid w:val="00B529C5"/>
    <w:rsid w:val="00B52A13"/>
    <w:rsid w:val="00B52B64"/>
    <w:rsid w:val="00B52BBE"/>
    <w:rsid w:val="00B52BF3"/>
    <w:rsid w:val="00B52D53"/>
    <w:rsid w:val="00B52D64"/>
    <w:rsid w:val="00B52E6B"/>
    <w:rsid w:val="00B53544"/>
    <w:rsid w:val="00B53ACE"/>
    <w:rsid w:val="00B53AFF"/>
    <w:rsid w:val="00B53C26"/>
    <w:rsid w:val="00B53D1B"/>
    <w:rsid w:val="00B53D9E"/>
    <w:rsid w:val="00B53DC5"/>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490"/>
    <w:rsid w:val="00B555D2"/>
    <w:rsid w:val="00B55640"/>
    <w:rsid w:val="00B55893"/>
    <w:rsid w:val="00B55895"/>
    <w:rsid w:val="00B558EF"/>
    <w:rsid w:val="00B55938"/>
    <w:rsid w:val="00B55B57"/>
    <w:rsid w:val="00B55E5C"/>
    <w:rsid w:val="00B55E6C"/>
    <w:rsid w:val="00B56018"/>
    <w:rsid w:val="00B560F8"/>
    <w:rsid w:val="00B56245"/>
    <w:rsid w:val="00B5632A"/>
    <w:rsid w:val="00B567A7"/>
    <w:rsid w:val="00B5694E"/>
    <w:rsid w:val="00B569F6"/>
    <w:rsid w:val="00B56C3E"/>
    <w:rsid w:val="00B56C8C"/>
    <w:rsid w:val="00B56D34"/>
    <w:rsid w:val="00B56D5C"/>
    <w:rsid w:val="00B56D8B"/>
    <w:rsid w:val="00B56DDF"/>
    <w:rsid w:val="00B56F74"/>
    <w:rsid w:val="00B5711E"/>
    <w:rsid w:val="00B57314"/>
    <w:rsid w:val="00B57328"/>
    <w:rsid w:val="00B57433"/>
    <w:rsid w:val="00B57451"/>
    <w:rsid w:val="00B575B7"/>
    <w:rsid w:val="00B576DE"/>
    <w:rsid w:val="00B5772F"/>
    <w:rsid w:val="00B5783C"/>
    <w:rsid w:val="00B57841"/>
    <w:rsid w:val="00B57865"/>
    <w:rsid w:val="00B57884"/>
    <w:rsid w:val="00B578B9"/>
    <w:rsid w:val="00B57E2E"/>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153"/>
    <w:rsid w:val="00B62337"/>
    <w:rsid w:val="00B62493"/>
    <w:rsid w:val="00B626EC"/>
    <w:rsid w:val="00B627A9"/>
    <w:rsid w:val="00B62A29"/>
    <w:rsid w:val="00B62B16"/>
    <w:rsid w:val="00B6307D"/>
    <w:rsid w:val="00B6316C"/>
    <w:rsid w:val="00B632E5"/>
    <w:rsid w:val="00B633C6"/>
    <w:rsid w:val="00B63874"/>
    <w:rsid w:val="00B638D1"/>
    <w:rsid w:val="00B6393F"/>
    <w:rsid w:val="00B63B14"/>
    <w:rsid w:val="00B63B48"/>
    <w:rsid w:val="00B64174"/>
    <w:rsid w:val="00B64296"/>
    <w:rsid w:val="00B6438B"/>
    <w:rsid w:val="00B6464F"/>
    <w:rsid w:val="00B64974"/>
    <w:rsid w:val="00B64A2C"/>
    <w:rsid w:val="00B64A42"/>
    <w:rsid w:val="00B64ABF"/>
    <w:rsid w:val="00B64B6D"/>
    <w:rsid w:val="00B64CBF"/>
    <w:rsid w:val="00B64DBD"/>
    <w:rsid w:val="00B64DE9"/>
    <w:rsid w:val="00B64E26"/>
    <w:rsid w:val="00B65258"/>
    <w:rsid w:val="00B652D3"/>
    <w:rsid w:val="00B65492"/>
    <w:rsid w:val="00B65599"/>
    <w:rsid w:val="00B656B7"/>
    <w:rsid w:val="00B65941"/>
    <w:rsid w:val="00B659CE"/>
    <w:rsid w:val="00B65A56"/>
    <w:rsid w:val="00B65ADD"/>
    <w:rsid w:val="00B65B13"/>
    <w:rsid w:val="00B65BAF"/>
    <w:rsid w:val="00B65DEE"/>
    <w:rsid w:val="00B65F3E"/>
    <w:rsid w:val="00B65FBD"/>
    <w:rsid w:val="00B6605D"/>
    <w:rsid w:val="00B66080"/>
    <w:rsid w:val="00B66117"/>
    <w:rsid w:val="00B6676A"/>
    <w:rsid w:val="00B66A12"/>
    <w:rsid w:val="00B66C89"/>
    <w:rsid w:val="00B66E46"/>
    <w:rsid w:val="00B670DD"/>
    <w:rsid w:val="00B671FD"/>
    <w:rsid w:val="00B672C1"/>
    <w:rsid w:val="00B67561"/>
    <w:rsid w:val="00B67586"/>
    <w:rsid w:val="00B67CAE"/>
    <w:rsid w:val="00B67EC3"/>
    <w:rsid w:val="00B67EEF"/>
    <w:rsid w:val="00B67FA9"/>
    <w:rsid w:val="00B67FAF"/>
    <w:rsid w:val="00B67FD2"/>
    <w:rsid w:val="00B67FE9"/>
    <w:rsid w:val="00B7009B"/>
    <w:rsid w:val="00B700E7"/>
    <w:rsid w:val="00B702DB"/>
    <w:rsid w:val="00B70343"/>
    <w:rsid w:val="00B7038A"/>
    <w:rsid w:val="00B7042D"/>
    <w:rsid w:val="00B704EF"/>
    <w:rsid w:val="00B7058F"/>
    <w:rsid w:val="00B70888"/>
    <w:rsid w:val="00B709B6"/>
    <w:rsid w:val="00B70A33"/>
    <w:rsid w:val="00B70B8D"/>
    <w:rsid w:val="00B70C85"/>
    <w:rsid w:val="00B7114B"/>
    <w:rsid w:val="00B71202"/>
    <w:rsid w:val="00B7120C"/>
    <w:rsid w:val="00B7150B"/>
    <w:rsid w:val="00B716B0"/>
    <w:rsid w:val="00B716C8"/>
    <w:rsid w:val="00B716E4"/>
    <w:rsid w:val="00B716F7"/>
    <w:rsid w:val="00B7195F"/>
    <w:rsid w:val="00B71971"/>
    <w:rsid w:val="00B719B2"/>
    <w:rsid w:val="00B71A33"/>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43B"/>
    <w:rsid w:val="00B7354C"/>
    <w:rsid w:val="00B73761"/>
    <w:rsid w:val="00B737CB"/>
    <w:rsid w:val="00B738A1"/>
    <w:rsid w:val="00B73A1E"/>
    <w:rsid w:val="00B73BC0"/>
    <w:rsid w:val="00B73C70"/>
    <w:rsid w:val="00B73CDC"/>
    <w:rsid w:val="00B73DFF"/>
    <w:rsid w:val="00B73E59"/>
    <w:rsid w:val="00B73E93"/>
    <w:rsid w:val="00B73F14"/>
    <w:rsid w:val="00B741C2"/>
    <w:rsid w:val="00B74A1E"/>
    <w:rsid w:val="00B74B24"/>
    <w:rsid w:val="00B74BE3"/>
    <w:rsid w:val="00B74D71"/>
    <w:rsid w:val="00B74DC0"/>
    <w:rsid w:val="00B74E5A"/>
    <w:rsid w:val="00B74EA4"/>
    <w:rsid w:val="00B74EDC"/>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21"/>
    <w:rsid w:val="00B75DE4"/>
    <w:rsid w:val="00B75E3E"/>
    <w:rsid w:val="00B76185"/>
    <w:rsid w:val="00B762F8"/>
    <w:rsid w:val="00B763E2"/>
    <w:rsid w:val="00B76457"/>
    <w:rsid w:val="00B765FC"/>
    <w:rsid w:val="00B7669A"/>
    <w:rsid w:val="00B767B7"/>
    <w:rsid w:val="00B767BE"/>
    <w:rsid w:val="00B76B67"/>
    <w:rsid w:val="00B76B96"/>
    <w:rsid w:val="00B76DDA"/>
    <w:rsid w:val="00B76EB7"/>
    <w:rsid w:val="00B76EF9"/>
    <w:rsid w:val="00B7704D"/>
    <w:rsid w:val="00B7712A"/>
    <w:rsid w:val="00B771AE"/>
    <w:rsid w:val="00B7732F"/>
    <w:rsid w:val="00B77673"/>
    <w:rsid w:val="00B77808"/>
    <w:rsid w:val="00B77BC8"/>
    <w:rsid w:val="00B77DAF"/>
    <w:rsid w:val="00B77EBF"/>
    <w:rsid w:val="00B8010C"/>
    <w:rsid w:val="00B8022E"/>
    <w:rsid w:val="00B8047B"/>
    <w:rsid w:val="00B804C9"/>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52"/>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350"/>
    <w:rsid w:val="00B83378"/>
    <w:rsid w:val="00B833DF"/>
    <w:rsid w:val="00B834CA"/>
    <w:rsid w:val="00B834FC"/>
    <w:rsid w:val="00B835CF"/>
    <w:rsid w:val="00B836B4"/>
    <w:rsid w:val="00B83843"/>
    <w:rsid w:val="00B83858"/>
    <w:rsid w:val="00B83A6E"/>
    <w:rsid w:val="00B83A80"/>
    <w:rsid w:val="00B83AC9"/>
    <w:rsid w:val="00B83B27"/>
    <w:rsid w:val="00B83D78"/>
    <w:rsid w:val="00B83D85"/>
    <w:rsid w:val="00B83ED2"/>
    <w:rsid w:val="00B83F4E"/>
    <w:rsid w:val="00B83FA1"/>
    <w:rsid w:val="00B840A6"/>
    <w:rsid w:val="00B84200"/>
    <w:rsid w:val="00B8429F"/>
    <w:rsid w:val="00B8436C"/>
    <w:rsid w:val="00B84431"/>
    <w:rsid w:val="00B8447C"/>
    <w:rsid w:val="00B84488"/>
    <w:rsid w:val="00B84694"/>
    <w:rsid w:val="00B847D9"/>
    <w:rsid w:val="00B84DEF"/>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9F7"/>
    <w:rsid w:val="00B85A07"/>
    <w:rsid w:val="00B85B09"/>
    <w:rsid w:val="00B85C82"/>
    <w:rsid w:val="00B85F9F"/>
    <w:rsid w:val="00B85FEA"/>
    <w:rsid w:val="00B86063"/>
    <w:rsid w:val="00B86195"/>
    <w:rsid w:val="00B86229"/>
    <w:rsid w:val="00B86432"/>
    <w:rsid w:val="00B86539"/>
    <w:rsid w:val="00B86668"/>
    <w:rsid w:val="00B8666C"/>
    <w:rsid w:val="00B86705"/>
    <w:rsid w:val="00B867C8"/>
    <w:rsid w:val="00B867DA"/>
    <w:rsid w:val="00B86911"/>
    <w:rsid w:val="00B86A32"/>
    <w:rsid w:val="00B86A4C"/>
    <w:rsid w:val="00B86A58"/>
    <w:rsid w:val="00B86A90"/>
    <w:rsid w:val="00B86D26"/>
    <w:rsid w:val="00B86D7F"/>
    <w:rsid w:val="00B86DA9"/>
    <w:rsid w:val="00B86F80"/>
    <w:rsid w:val="00B86F98"/>
    <w:rsid w:val="00B87206"/>
    <w:rsid w:val="00B87300"/>
    <w:rsid w:val="00B87423"/>
    <w:rsid w:val="00B875ED"/>
    <w:rsid w:val="00B876CF"/>
    <w:rsid w:val="00B8775F"/>
    <w:rsid w:val="00B878B0"/>
    <w:rsid w:val="00B87B1F"/>
    <w:rsid w:val="00B87C81"/>
    <w:rsid w:val="00B87F67"/>
    <w:rsid w:val="00B902D1"/>
    <w:rsid w:val="00B90786"/>
    <w:rsid w:val="00B90941"/>
    <w:rsid w:val="00B90B33"/>
    <w:rsid w:val="00B90B88"/>
    <w:rsid w:val="00B90C03"/>
    <w:rsid w:val="00B90C87"/>
    <w:rsid w:val="00B90E12"/>
    <w:rsid w:val="00B90FA1"/>
    <w:rsid w:val="00B91000"/>
    <w:rsid w:val="00B910EB"/>
    <w:rsid w:val="00B9142A"/>
    <w:rsid w:val="00B914C6"/>
    <w:rsid w:val="00B914DD"/>
    <w:rsid w:val="00B9152C"/>
    <w:rsid w:val="00B916A6"/>
    <w:rsid w:val="00B916D0"/>
    <w:rsid w:val="00B917A3"/>
    <w:rsid w:val="00B91803"/>
    <w:rsid w:val="00B91A1F"/>
    <w:rsid w:val="00B91C06"/>
    <w:rsid w:val="00B91D9C"/>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85F"/>
    <w:rsid w:val="00B939BA"/>
    <w:rsid w:val="00B93AD8"/>
    <w:rsid w:val="00B93B62"/>
    <w:rsid w:val="00B93B67"/>
    <w:rsid w:val="00B93D0C"/>
    <w:rsid w:val="00B93FDD"/>
    <w:rsid w:val="00B94081"/>
    <w:rsid w:val="00B9414A"/>
    <w:rsid w:val="00B94374"/>
    <w:rsid w:val="00B9445A"/>
    <w:rsid w:val="00B94627"/>
    <w:rsid w:val="00B94766"/>
    <w:rsid w:val="00B949E9"/>
    <w:rsid w:val="00B94A4A"/>
    <w:rsid w:val="00B94AFC"/>
    <w:rsid w:val="00B94F82"/>
    <w:rsid w:val="00B951ED"/>
    <w:rsid w:val="00B9532B"/>
    <w:rsid w:val="00B95557"/>
    <w:rsid w:val="00B955CA"/>
    <w:rsid w:val="00B957EC"/>
    <w:rsid w:val="00B95C8F"/>
    <w:rsid w:val="00B95D1D"/>
    <w:rsid w:val="00B95D64"/>
    <w:rsid w:val="00B95EA4"/>
    <w:rsid w:val="00B95F24"/>
    <w:rsid w:val="00B95F4C"/>
    <w:rsid w:val="00B96028"/>
    <w:rsid w:val="00B96123"/>
    <w:rsid w:val="00B9619F"/>
    <w:rsid w:val="00B961A1"/>
    <w:rsid w:val="00B96308"/>
    <w:rsid w:val="00B96375"/>
    <w:rsid w:val="00B963EA"/>
    <w:rsid w:val="00B96465"/>
    <w:rsid w:val="00B96502"/>
    <w:rsid w:val="00B96578"/>
    <w:rsid w:val="00B966DD"/>
    <w:rsid w:val="00B967ED"/>
    <w:rsid w:val="00B96998"/>
    <w:rsid w:val="00B96A89"/>
    <w:rsid w:val="00B96BCF"/>
    <w:rsid w:val="00B96DE6"/>
    <w:rsid w:val="00B96DEF"/>
    <w:rsid w:val="00B96FFD"/>
    <w:rsid w:val="00B970D4"/>
    <w:rsid w:val="00B9711D"/>
    <w:rsid w:val="00B97253"/>
    <w:rsid w:val="00B9771E"/>
    <w:rsid w:val="00B97964"/>
    <w:rsid w:val="00B97A74"/>
    <w:rsid w:val="00B97B9B"/>
    <w:rsid w:val="00B97D07"/>
    <w:rsid w:val="00B97E2C"/>
    <w:rsid w:val="00B97F23"/>
    <w:rsid w:val="00B97F38"/>
    <w:rsid w:val="00BA00BA"/>
    <w:rsid w:val="00BA0167"/>
    <w:rsid w:val="00BA01C0"/>
    <w:rsid w:val="00BA0381"/>
    <w:rsid w:val="00BA0585"/>
    <w:rsid w:val="00BA05E5"/>
    <w:rsid w:val="00BA0618"/>
    <w:rsid w:val="00BA0953"/>
    <w:rsid w:val="00BA09E9"/>
    <w:rsid w:val="00BA0A34"/>
    <w:rsid w:val="00BA0A91"/>
    <w:rsid w:val="00BA0B38"/>
    <w:rsid w:val="00BA0BAB"/>
    <w:rsid w:val="00BA0CE2"/>
    <w:rsid w:val="00BA0CEB"/>
    <w:rsid w:val="00BA0D09"/>
    <w:rsid w:val="00BA0D78"/>
    <w:rsid w:val="00BA1042"/>
    <w:rsid w:val="00BA11CA"/>
    <w:rsid w:val="00BA1214"/>
    <w:rsid w:val="00BA129D"/>
    <w:rsid w:val="00BA134C"/>
    <w:rsid w:val="00BA134D"/>
    <w:rsid w:val="00BA13A0"/>
    <w:rsid w:val="00BA13C5"/>
    <w:rsid w:val="00BA1438"/>
    <w:rsid w:val="00BA14AF"/>
    <w:rsid w:val="00BA164A"/>
    <w:rsid w:val="00BA168B"/>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90"/>
    <w:rsid w:val="00BA22D3"/>
    <w:rsid w:val="00BA22D5"/>
    <w:rsid w:val="00BA26D2"/>
    <w:rsid w:val="00BA26E4"/>
    <w:rsid w:val="00BA272F"/>
    <w:rsid w:val="00BA27C3"/>
    <w:rsid w:val="00BA27DD"/>
    <w:rsid w:val="00BA2D02"/>
    <w:rsid w:val="00BA2DA9"/>
    <w:rsid w:val="00BA2E2C"/>
    <w:rsid w:val="00BA2E39"/>
    <w:rsid w:val="00BA2E44"/>
    <w:rsid w:val="00BA2F8F"/>
    <w:rsid w:val="00BA3080"/>
    <w:rsid w:val="00BA3102"/>
    <w:rsid w:val="00BA3640"/>
    <w:rsid w:val="00BA3649"/>
    <w:rsid w:val="00BA3809"/>
    <w:rsid w:val="00BA3874"/>
    <w:rsid w:val="00BA3BB9"/>
    <w:rsid w:val="00BA3C2A"/>
    <w:rsid w:val="00BA3D43"/>
    <w:rsid w:val="00BA4141"/>
    <w:rsid w:val="00BA41DE"/>
    <w:rsid w:val="00BA41F2"/>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3A"/>
    <w:rsid w:val="00BA6E63"/>
    <w:rsid w:val="00BA7001"/>
    <w:rsid w:val="00BA7267"/>
    <w:rsid w:val="00BA739D"/>
    <w:rsid w:val="00BA73C6"/>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021"/>
    <w:rsid w:val="00BB135C"/>
    <w:rsid w:val="00BB1457"/>
    <w:rsid w:val="00BB145D"/>
    <w:rsid w:val="00BB147F"/>
    <w:rsid w:val="00BB15ED"/>
    <w:rsid w:val="00BB168F"/>
    <w:rsid w:val="00BB16DE"/>
    <w:rsid w:val="00BB187A"/>
    <w:rsid w:val="00BB1B60"/>
    <w:rsid w:val="00BB1C96"/>
    <w:rsid w:val="00BB1CB4"/>
    <w:rsid w:val="00BB1DC4"/>
    <w:rsid w:val="00BB1F14"/>
    <w:rsid w:val="00BB1FF8"/>
    <w:rsid w:val="00BB2003"/>
    <w:rsid w:val="00BB210E"/>
    <w:rsid w:val="00BB21FB"/>
    <w:rsid w:val="00BB2354"/>
    <w:rsid w:val="00BB2411"/>
    <w:rsid w:val="00BB247D"/>
    <w:rsid w:val="00BB2601"/>
    <w:rsid w:val="00BB2632"/>
    <w:rsid w:val="00BB26A3"/>
    <w:rsid w:val="00BB27A5"/>
    <w:rsid w:val="00BB2812"/>
    <w:rsid w:val="00BB2A38"/>
    <w:rsid w:val="00BB2A97"/>
    <w:rsid w:val="00BB2D98"/>
    <w:rsid w:val="00BB2E4D"/>
    <w:rsid w:val="00BB3020"/>
    <w:rsid w:val="00BB302F"/>
    <w:rsid w:val="00BB3088"/>
    <w:rsid w:val="00BB3093"/>
    <w:rsid w:val="00BB30A2"/>
    <w:rsid w:val="00BB30AF"/>
    <w:rsid w:val="00BB30B9"/>
    <w:rsid w:val="00BB30C0"/>
    <w:rsid w:val="00BB31AC"/>
    <w:rsid w:val="00BB32A4"/>
    <w:rsid w:val="00BB3418"/>
    <w:rsid w:val="00BB371B"/>
    <w:rsid w:val="00BB37B5"/>
    <w:rsid w:val="00BB37E6"/>
    <w:rsid w:val="00BB3A3B"/>
    <w:rsid w:val="00BB3B7D"/>
    <w:rsid w:val="00BB3BEC"/>
    <w:rsid w:val="00BB3CA1"/>
    <w:rsid w:val="00BB3D3D"/>
    <w:rsid w:val="00BB3E7A"/>
    <w:rsid w:val="00BB3F6C"/>
    <w:rsid w:val="00BB407F"/>
    <w:rsid w:val="00BB42E8"/>
    <w:rsid w:val="00BB454B"/>
    <w:rsid w:val="00BB46D2"/>
    <w:rsid w:val="00BB4857"/>
    <w:rsid w:val="00BB487E"/>
    <w:rsid w:val="00BB48DD"/>
    <w:rsid w:val="00BB49DC"/>
    <w:rsid w:val="00BB4A4B"/>
    <w:rsid w:val="00BB4ABA"/>
    <w:rsid w:val="00BB4D2E"/>
    <w:rsid w:val="00BB4F1C"/>
    <w:rsid w:val="00BB5154"/>
    <w:rsid w:val="00BB51BE"/>
    <w:rsid w:val="00BB524A"/>
    <w:rsid w:val="00BB5256"/>
    <w:rsid w:val="00BB5331"/>
    <w:rsid w:val="00BB557F"/>
    <w:rsid w:val="00BB5593"/>
    <w:rsid w:val="00BB559D"/>
    <w:rsid w:val="00BB59F8"/>
    <w:rsid w:val="00BB5A0E"/>
    <w:rsid w:val="00BB5CAC"/>
    <w:rsid w:val="00BB5CAE"/>
    <w:rsid w:val="00BB5CB5"/>
    <w:rsid w:val="00BB5D20"/>
    <w:rsid w:val="00BB5E2E"/>
    <w:rsid w:val="00BB5F35"/>
    <w:rsid w:val="00BB5FD1"/>
    <w:rsid w:val="00BB614C"/>
    <w:rsid w:val="00BB615F"/>
    <w:rsid w:val="00BB639D"/>
    <w:rsid w:val="00BB63A0"/>
    <w:rsid w:val="00BB642E"/>
    <w:rsid w:val="00BB66EB"/>
    <w:rsid w:val="00BB694E"/>
    <w:rsid w:val="00BB6ABE"/>
    <w:rsid w:val="00BB6C54"/>
    <w:rsid w:val="00BB6C57"/>
    <w:rsid w:val="00BB6DD0"/>
    <w:rsid w:val="00BB6FDD"/>
    <w:rsid w:val="00BB7791"/>
    <w:rsid w:val="00BB7824"/>
    <w:rsid w:val="00BB7917"/>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C86"/>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2A"/>
    <w:rsid w:val="00BC2FC3"/>
    <w:rsid w:val="00BC32DF"/>
    <w:rsid w:val="00BC33D1"/>
    <w:rsid w:val="00BC33EE"/>
    <w:rsid w:val="00BC352B"/>
    <w:rsid w:val="00BC3843"/>
    <w:rsid w:val="00BC39F8"/>
    <w:rsid w:val="00BC3A0D"/>
    <w:rsid w:val="00BC3A3A"/>
    <w:rsid w:val="00BC3A7B"/>
    <w:rsid w:val="00BC3E16"/>
    <w:rsid w:val="00BC3E59"/>
    <w:rsid w:val="00BC3EC7"/>
    <w:rsid w:val="00BC4088"/>
    <w:rsid w:val="00BC440F"/>
    <w:rsid w:val="00BC44D6"/>
    <w:rsid w:val="00BC46C0"/>
    <w:rsid w:val="00BC46C1"/>
    <w:rsid w:val="00BC47CE"/>
    <w:rsid w:val="00BC4956"/>
    <w:rsid w:val="00BC4A10"/>
    <w:rsid w:val="00BC4AD8"/>
    <w:rsid w:val="00BC4C2A"/>
    <w:rsid w:val="00BC4C46"/>
    <w:rsid w:val="00BC4D7D"/>
    <w:rsid w:val="00BC4DEC"/>
    <w:rsid w:val="00BC4E1F"/>
    <w:rsid w:val="00BC4EC4"/>
    <w:rsid w:val="00BC4ECE"/>
    <w:rsid w:val="00BC4ED2"/>
    <w:rsid w:val="00BC5247"/>
    <w:rsid w:val="00BC52B6"/>
    <w:rsid w:val="00BC54FD"/>
    <w:rsid w:val="00BC566E"/>
    <w:rsid w:val="00BC569A"/>
    <w:rsid w:val="00BC5841"/>
    <w:rsid w:val="00BC585A"/>
    <w:rsid w:val="00BC5861"/>
    <w:rsid w:val="00BC59BD"/>
    <w:rsid w:val="00BC5E5C"/>
    <w:rsid w:val="00BC5EA0"/>
    <w:rsid w:val="00BC6053"/>
    <w:rsid w:val="00BC60C4"/>
    <w:rsid w:val="00BC6124"/>
    <w:rsid w:val="00BC6686"/>
    <w:rsid w:val="00BC6AAC"/>
    <w:rsid w:val="00BC6D1A"/>
    <w:rsid w:val="00BC6EBB"/>
    <w:rsid w:val="00BC71BA"/>
    <w:rsid w:val="00BC73A4"/>
    <w:rsid w:val="00BC73B8"/>
    <w:rsid w:val="00BC74EA"/>
    <w:rsid w:val="00BC75EC"/>
    <w:rsid w:val="00BC7718"/>
    <w:rsid w:val="00BC7BE1"/>
    <w:rsid w:val="00BC7D4B"/>
    <w:rsid w:val="00BC7E8B"/>
    <w:rsid w:val="00BC7FDB"/>
    <w:rsid w:val="00BD00DD"/>
    <w:rsid w:val="00BD0192"/>
    <w:rsid w:val="00BD01A6"/>
    <w:rsid w:val="00BD022E"/>
    <w:rsid w:val="00BD0359"/>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3E9"/>
    <w:rsid w:val="00BD146A"/>
    <w:rsid w:val="00BD146B"/>
    <w:rsid w:val="00BD1851"/>
    <w:rsid w:val="00BD1887"/>
    <w:rsid w:val="00BD18DC"/>
    <w:rsid w:val="00BD1914"/>
    <w:rsid w:val="00BD19C8"/>
    <w:rsid w:val="00BD1D40"/>
    <w:rsid w:val="00BD1EE1"/>
    <w:rsid w:val="00BD1F84"/>
    <w:rsid w:val="00BD20DD"/>
    <w:rsid w:val="00BD2619"/>
    <w:rsid w:val="00BD265A"/>
    <w:rsid w:val="00BD28E8"/>
    <w:rsid w:val="00BD29D7"/>
    <w:rsid w:val="00BD2A8F"/>
    <w:rsid w:val="00BD2DBB"/>
    <w:rsid w:val="00BD2FB9"/>
    <w:rsid w:val="00BD3088"/>
    <w:rsid w:val="00BD30F7"/>
    <w:rsid w:val="00BD33C2"/>
    <w:rsid w:val="00BD3531"/>
    <w:rsid w:val="00BD356C"/>
    <w:rsid w:val="00BD367C"/>
    <w:rsid w:val="00BD39F0"/>
    <w:rsid w:val="00BD3DF8"/>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C8C"/>
    <w:rsid w:val="00BD5F8A"/>
    <w:rsid w:val="00BD5FA4"/>
    <w:rsid w:val="00BD60BE"/>
    <w:rsid w:val="00BD60DA"/>
    <w:rsid w:val="00BD60E5"/>
    <w:rsid w:val="00BD611E"/>
    <w:rsid w:val="00BD61AB"/>
    <w:rsid w:val="00BD62CC"/>
    <w:rsid w:val="00BD63A2"/>
    <w:rsid w:val="00BD6483"/>
    <w:rsid w:val="00BD6649"/>
    <w:rsid w:val="00BD6773"/>
    <w:rsid w:val="00BD6987"/>
    <w:rsid w:val="00BD69F7"/>
    <w:rsid w:val="00BD6CED"/>
    <w:rsid w:val="00BD6DFE"/>
    <w:rsid w:val="00BD704E"/>
    <w:rsid w:val="00BD709E"/>
    <w:rsid w:val="00BD7122"/>
    <w:rsid w:val="00BD71F5"/>
    <w:rsid w:val="00BD7227"/>
    <w:rsid w:val="00BD7241"/>
    <w:rsid w:val="00BD72D8"/>
    <w:rsid w:val="00BD73BC"/>
    <w:rsid w:val="00BD74AD"/>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705"/>
    <w:rsid w:val="00BE173A"/>
    <w:rsid w:val="00BE1779"/>
    <w:rsid w:val="00BE197A"/>
    <w:rsid w:val="00BE199D"/>
    <w:rsid w:val="00BE1ADB"/>
    <w:rsid w:val="00BE1C1B"/>
    <w:rsid w:val="00BE1EF0"/>
    <w:rsid w:val="00BE1F3F"/>
    <w:rsid w:val="00BE23CB"/>
    <w:rsid w:val="00BE26FF"/>
    <w:rsid w:val="00BE2BD4"/>
    <w:rsid w:val="00BE2CA4"/>
    <w:rsid w:val="00BE2E14"/>
    <w:rsid w:val="00BE2FA5"/>
    <w:rsid w:val="00BE30DA"/>
    <w:rsid w:val="00BE30E7"/>
    <w:rsid w:val="00BE3173"/>
    <w:rsid w:val="00BE3613"/>
    <w:rsid w:val="00BE393F"/>
    <w:rsid w:val="00BE3963"/>
    <w:rsid w:val="00BE3A23"/>
    <w:rsid w:val="00BE3ABD"/>
    <w:rsid w:val="00BE3BAE"/>
    <w:rsid w:val="00BE3CC4"/>
    <w:rsid w:val="00BE3CE3"/>
    <w:rsid w:val="00BE3CE9"/>
    <w:rsid w:val="00BE3E24"/>
    <w:rsid w:val="00BE3EC5"/>
    <w:rsid w:val="00BE3FAC"/>
    <w:rsid w:val="00BE4350"/>
    <w:rsid w:val="00BE4762"/>
    <w:rsid w:val="00BE4830"/>
    <w:rsid w:val="00BE4999"/>
    <w:rsid w:val="00BE49C9"/>
    <w:rsid w:val="00BE4A67"/>
    <w:rsid w:val="00BE4D81"/>
    <w:rsid w:val="00BE4F88"/>
    <w:rsid w:val="00BE5008"/>
    <w:rsid w:val="00BE504E"/>
    <w:rsid w:val="00BE511A"/>
    <w:rsid w:val="00BE5145"/>
    <w:rsid w:val="00BE5322"/>
    <w:rsid w:val="00BE5562"/>
    <w:rsid w:val="00BE55A5"/>
    <w:rsid w:val="00BE596C"/>
    <w:rsid w:val="00BE5BA4"/>
    <w:rsid w:val="00BE5BBB"/>
    <w:rsid w:val="00BE5C4E"/>
    <w:rsid w:val="00BE5CE8"/>
    <w:rsid w:val="00BE630C"/>
    <w:rsid w:val="00BE637C"/>
    <w:rsid w:val="00BE6394"/>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6FC0"/>
    <w:rsid w:val="00BE7055"/>
    <w:rsid w:val="00BE7364"/>
    <w:rsid w:val="00BE7483"/>
    <w:rsid w:val="00BE75A5"/>
    <w:rsid w:val="00BE778B"/>
    <w:rsid w:val="00BE78D3"/>
    <w:rsid w:val="00BE7B09"/>
    <w:rsid w:val="00BE7BF7"/>
    <w:rsid w:val="00BE7ED2"/>
    <w:rsid w:val="00BE7F75"/>
    <w:rsid w:val="00BF0178"/>
    <w:rsid w:val="00BF0648"/>
    <w:rsid w:val="00BF0665"/>
    <w:rsid w:val="00BF073D"/>
    <w:rsid w:val="00BF0749"/>
    <w:rsid w:val="00BF0785"/>
    <w:rsid w:val="00BF0855"/>
    <w:rsid w:val="00BF0C33"/>
    <w:rsid w:val="00BF0C63"/>
    <w:rsid w:val="00BF0DAB"/>
    <w:rsid w:val="00BF0E03"/>
    <w:rsid w:val="00BF0E5B"/>
    <w:rsid w:val="00BF0EE5"/>
    <w:rsid w:val="00BF11C1"/>
    <w:rsid w:val="00BF1291"/>
    <w:rsid w:val="00BF137A"/>
    <w:rsid w:val="00BF143A"/>
    <w:rsid w:val="00BF16A7"/>
    <w:rsid w:val="00BF1744"/>
    <w:rsid w:val="00BF178B"/>
    <w:rsid w:val="00BF1931"/>
    <w:rsid w:val="00BF19B3"/>
    <w:rsid w:val="00BF19B8"/>
    <w:rsid w:val="00BF1AD0"/>
    <w:rsid w:val="00BF1AF0"/>
    <w:rsid w:val="00BF1B45"/>
    <w:rsid w:val="00BF1C08"/>
    <w:rsid w:val="00BF1E33"/>
    <w:rsid w:val="00BF1F40"/>
    <w:rsid w:val="00BF1F76"/>
    <w:rsid w:val="00BF2049"/>
    <w:rsid w:val="00BF2137"/>
    <w:rsid w:val="00BF215F"/>
    <w:rsid w:val="00BF231F"/>
    <w:rsid w:val="00BF2483"/>
    <w:rsid w:val="00BF24C8"/>
    <w:rsid w:val="00BF2554"/>
    <w:rsid w:val="00BF25E3"/>
    <w:rsid w:val="00BF2C8B"/>
    <w:rsid w:val="00BF2E98"/>
    <w:rsid w:val="00BF2F2B"/>
    <w:rsid w:val="00BF2F72"/>
    <w:rsid w:val="00BF2FC4"/>
    <w:rsid w:val="00BF3052"/>
    <w:rsid w:val="00BF311A"/>
    <w:rsid w:val="00BF35B7"/>
    <w:rsid w:val="00BF3700"/>
    <w:rsid w:val="00BF38E8"/>
    <w:rsid w:val="00BF3936"/>
    <w:rsid w:val="00BF396A"/>
    <w:rsid w:val="00BF3B0D"/>
    <w:rsid w:val="00BF3C82"/>
    <w:rsid w:val="00BF3E0D"/>
    <w:rsid w:val="00BF3E25"/>
    <w:rsid w:val="00BF3E5A"/>
    <w:rsid w:val="00BF3F9C"/>
    <w:rsid w:val="00BF3FE4"/>
    <w:rsid w:val="00BF4024"/>
    <w:rsid w:val="00BF43AE"/>
    <w:rsid w:val="00BF44FD"/>
    <w:rsid w:val="00BF4521"/>
    <w:rsid w:val="00BF4876"/>
    <w:rsid w:val="00BF4C5E"/>
    <w:rsid w:val="00BF4E68"/>
    <w:rsid w:val="00BF504F"/>
    <w:rsid w:val="00BF5061"/>
    <w:rsid w:val="00BF50A3"/>
    <w:rsid w:val="00BF516A"/>
    <w:rsid w:val="00BF518A"/>
    <w:rsid w:val="00BF52A4"/>
    <w:rsid w:val="00BF52B1"/>
    <w:rsid w:val="00BF53D5"/>
    <w:rsid w:val="00BF560D"/>
    <w:rsid w:val="00BF5904"/>
    <w:rsid w:val="00BF5AE9"/>
    <w:rsid w:val="00BF5AF9"/>
    <w:rsid w:val="00BF5CCC"/>
    <w:rsid w:val="00BF658B"/>
    <w:rsid w:val="00BF6669"/>
    <w:rsid w:val="00BF698A"/>
    <w:rsid w:val="00BF6CCD"/>
    <w:rsid w:val="00BF6D52"/>
    <w:rsid w:val="00BF6E68"/>
    <w:rsid w:val="00BF6EA7"/>
    <w:rsid w:val="00BF6EA9"/>
    <w:rsid w:val="00BF723B"/>
    <w:rsid w:val="00BF7449"/>
    <w:rsid w:val="00BF757D"/>
    <w:rsid w:val="00BF75B2"/>
    <w:rsid w:val="00BF75CB"/>
    <w:rsid w:val="00BF783B"/>
    <w:rsid w:val="00BF79BE"/>
    <w:rsid w:val="00BF7A6C"/>
    <w:rsid w:val="00BF7CEC"/>
    <w:rsid w:val="00BF7D81"/>
    <w:rsid w:val="00C000FD"/>
    <w:rsid w:val="00C003A3"/>
    <w:rsid w:val="00C004B6"/>
    <w:rsid w:val="00C00763"/>
    <w:rsid w:val="00C0084E"/>
    <w:rsid w:val="00C00976"/>
    <w:rsid w:val="00C00D6C"/>
    <w:rsid w:val="00C00D76"/>
    <w:rsid w:val="00C00ECF"/>
    <w:rsid w:val="00C01065"/>
    <w:rsid w:val="00C013C0"/>
    <w:rsid w:val="00C014BE"/>
    <w:rsid w:val="00C0155F"/>
    <w:rsid w:val="00C01563"/>
    <w:rsid w:val="00C0161A"/>
    <w:rsid w:val="00C0162F"/>
    <w:rsid w:val="00C01CA2"/>
    <w:rsid w:val="00C01D41"/>
    <w:rsid w:val="00C01DD8"/>
    <w:rsid w:val="00C01E11"/>
    <w:rsid w:val="00C01E91"/>
    <w:rsid w:val="00C01F71"/>
    <w:rsid w:val="00C01F8B"/>
    <w:rsid w:val="00C020F7"/>
    <w:rsid w:val="00C0216E"/>
    <w:rsid w:val="00C021EA"/>
    <w:rsid w:val="00C02338"/>
    <w:rsid w:val="00C02455"/>
    <w:rsid w:val="00C024C4"/>
    <w:rsid w:val="00C02500"/>
    <w:rsid w:val="00C0274F"/>
    <w:rsid w:val="00C0283A"/>
    <w:rsid w:val="00C02858"/>
    <w:rsid w:val="00C0285B"/>
    <w:rsid w:val="00C0294E"/>
    <w:rsid w:val="00C02A7E"/>
    <w:rsid w:val="00C02FA9"/>
    <w:rsid w:val="00C030A4"/>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67"/>
    <w:rsid w:val="00C0448F"/>
    <w:rsid w:val="00C04714"/>
    <w:rsid w:val="00C04844"/>
    <w:rsid w:val="00C048B3"/>
    <w:rsid w:val="00C04922"/>
    <w:rsid w:val="00C04A5F"/>
    <w:rsid w:val="00C04C05"/>
    <w:rsid w:val="00C04C39"/>
    <w:rsid w:val="00C05A74"/>
    <w:rsid w:val="00C05C0E"/>
    <w:rsid w:val="00C05C73"/>
    <w:rsid w:val="00C05D24"/>
    <w:rsid w:val="00C05DAD"/>
    <w:rsid w:val="00C05FE9"/>
    <w:rsid w:val="00C061FD"/>
    <w:rsid w:val="00C0626D"/>
    <w:rsid w:val="00C0628E"/>
    <w:rsid w:val="00C063C8"/>
    <w:rsid w:val="00C0650C"/>
    <w:rsid w:val="00C065AB"/>
    <w:rsid w:val="00C065D0"/>
    <w:rsid w:val="00C0667F"/>
    <w:rsid w:val="00C0692E"/>
    <w:rsid w:val="00C06977"/>
    <w:rsid w:val="00C0697C"/>
    <w:rsid w:val="00C06A82"/>
    <w:rsid w:val="00C06BEA"/>
    <w:rsid w:val="00C06C60"/>
    <w:rsid w:val="00C06EA0"/>
    <w:rsid w:val="00C07004"/>
    <w:rsid w:val="00C070F4"/>
    <w:rsid w:val="00C071A4"/>
    <w:rsid w:val="00C0744F"/>
    <w:rsid w:val="00C074D7"/>
    <w:rsid w:val="00C0758B"/>
    <w:rsid w:val="00C07601"/>
    <w:rsid w:val="00C0777E"/>
    <w:rsid w:val="00C07A00"/>
    <w:rsid w:val="00C07A79"/>
    <w:rsid w:val="00C07BE7"/>
    <w:rsid w:val="00C07C8B"/>
    <w:rsid w:val="00C07D70"/>
    <w:rsid w:val="00C07E07"/>
    <w:rsid w:val="00C07E50"/>
    <w:rsid w:val="00C07EA6"/>
    <w:rsid w:val="00C07F9C"/>
    <w:rsid w:val="00C10030"/>
    <w:rsid w:val="00C10095"/>
    <w:rsid w:val="00C101F3"/>
    <w:rsid w:val="00C10384"/>
    <w:rsid w:val="00C10706"/>
    <w:rsid w:val="00C10823"/>
    <w:rsid w:val="00C10CBF"/>
    <w:rsid w:val="00C10D40"/>
    <w:rsid w:val="00C10D99"/>
    <w:rsid w:val="00C10DD3"/>
    <w:rsid w:val="00C10F7E"/>
    <w:rsid w:val="00C10FFF"/>
    <w:rsid w:val="00C1107D"/>
    <w:rsid w:val="00C112C3"/>
    <w:rsid w:val="00C1148B"/>
    <w:rsid w:val="00C114DB"/>
    <w:rsid w:val="00C115AF"/>
    <w:rsid w:val="00C1165E"/>
    <w:rsid w:val="00C11726"/>
    <w:rsid w:val="00C11789"/>
    <w:rsid w:val="00C1187A"/>
    <w:rsid w:val="00C11A2D"/>
    <w:rsid w:val="00C11B44"/>
    <w:rsid w:val="00C11B75"/>
    <w:rsid w:val="00C11B85"/>
    <w:rsid w:val="00C11B95"/>
    <w:rsid w:val="00C11D6E"/>
    <w:rsid w:val="00C11DA7"/>
    <w:rsid w:val="00C11E92"/>
    <w:rsid w:val="00C1204E"/>
    <w:rsid w:val="00C120F0"/>
    <w:rsid w:val="00C12170"/>
    <w:rsid w:val="00C1220F"/>
    <w:rsid w:val="00C122E4"/>
    <w:rsid w:val="00C123A6"/>
    <w:rsid w:val="00C124B2"/>
    <w:rsid w:val="00C12567"/>
    <w:rsid w:val="00C1284C"/>
    <w:rsid w:val="00C12874"/>
    <w:rsid w:val="00C128B5"/>
    <w:rsid w:val="00C12968"/>
    <w:rsid w:val="00C12979"/>
    <w:rsid w:val="00C12B37"/>
    <w:rsid w:val="00C12B97"/>
    <w:rsid w:val="00C12D23"/>
    <w:rsid w:val="00C12D43"/>
    <w:rsid w:val="00C12EB9"/>
    <w:rsid w:val="00C12EC7"/>
    <w:rsid w:val="00C12F01"/>
    <w:rsid w:val="00C12F50"/>
    <w:rsid w:val="00C13128"/>
    <w:rsid w:val="00C13635"/>
    <w:rsid w:val="00C13757"/>
    <w:rsid w:val="00C137CB"/>
    <w:rsid w:val="00C13A9A"/>
    <w:rsid w:val="00C13BC5"/>
    <w:rsid w:val="00C13BC7"/>
    <w:rsid w:val="00C13C03"/>
    <w:rsid w:val="00C13C94"/>
    <w:rsid w:val="00C13CCC"/>
    <w:rsid w:val="00C13E46"/>
    <w:rsid w:val="00C142B2"/>
    <w:rsid w:val="00C143E3"/>
    <w:rsid w:val="00C1440D"/>
    <w:rsid w:val="00C14442"/>
    <w:rsid w:val="00C14517"/>
    <w:rsid w:val="00C145F8"/>
    <w:rsid w:val="00C1478D"/>
    <w:rsid w:val="00C1489A"/>
    <w:rsid w:val="00C14963"/>
    <w:rsid w:val="00C1498D"/>
    <w:rsid w:val="00C149EE"/>
    <w:rsid w:val="00C149F8"/>
    <w:rsid w:val="00C14B60"/>
    <w:rsid w:val="00C14CB3"/>
    <w:rsid w:val="00C14D96"/>
    <w:rsid w:val="00C14F8D"/>
    <w:rsid w:val="00C15028"/>
    <w:rsid w:val="00C15071"/>
    <w:rsid w:val="00C150AF"/>
    <w:rsid w:val="00C15177"/>
    <w:rsid w:val="00C1517F"/>
    <w:rsid w:val="00C15228"/>
    <w:rsid w:val="00C1522E"/>
    <w:rsid w:val="00C152F5"/>
    <w:rsid w:val="00C15309"/>
    <w:rsid w:val="00C15471"/>
    <w:rsid w:val="00C1548C"/>
    <w:rsid w:val="00C154AE"/>
    <w:rsid w:val="00C15664"/>
    <w:rsid w:val="00C156A5"/>
    <w:rsid w:val="00C15744"/>
    <w:rsid w:val="00C158BB"/>
    <w:rsid w:val="00C15A7F"/>
    <w:rsid w:val="00C15A90"/>
    <w:rsid w:val="00C15E27"/>
    <w:rsid w:val="00C15F6C"/>
    <w:rsid w:val="00C15FDA"/>
    <w:rsid w:val="00C15FE2"/>
    <w:rsid w:val="00C16202"/>
    <w:rsid w:val="00C16268"/>
    <w:rsid w:val="00C163B3"/>
    <w:rsid w:val="00C16863"/>
    <w:rsid w:val="00C16A84"/>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90"/>
    <w:rsid w:val="00C20398"/>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89B"/>
    <w:rsid w:val="00C21A0B"/>
    <w:rsid w:val="00C21CE4"/>
    <w:rsid w:val="00C21D3C"/>
    <w:rsid w:val="00C21E41"/>
    <w:rsid w:val="00C222CF"/>
    <w:rsid w:val="00C224E2"/>
    <w:rsid w:val="00C224F1"/>
    <w:rsid w:val="00C22549"/>
    <w:rsid w:val="00C2272A"/>
    <w:rsid w:val="00C22AB0"/>
    <w:rsid w:val="00C22B1C"/>
    <w:rsid w:val="00C22B87"/>
    <w:rsid w:val="00C22C4C"/>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34E"/>
    <w:rsid w:val="00C24509"/>
    <w:rsid w:val="00C245A0"/>
    <w:rsid w:val="00C245A2"/>
    <w:rsid w:val="00C2468C"/>
    <w:rsid w:val="00C246CF"/>
    <w:rsid w:val="00C248D7"/>
    <w:rsid w:val="00C24A1E"/>
    <w:rsid w:val="00C24AF8"/>
    <w:rsid w:val="00C24B91"/>
    <w:rsid w:val="00C24C50"/>
    <w:rsid w:val="00C24D8E"/>
    <w:rsid w:val="00C25015"/>
    <w:rsid w:val="00C25033"/>
    <w:rsid w:val="00C2534E"/>
    <w:rsid w:val="00C25367"/>
    <w:rsid w:val="00C25670"/>
    <w:rsid w:val="00C257A1"/>
    <w:rsid w:val="00C25840"/>
    <w:rsid w:val="00C2590C"/>
    <w:rsid w:val="00C25B25"/>
    <w:rsid w:val="00C25E8A"/>
    <w:rsid w:val="00C25F1E"/>
    <w:rsid w:val="00C25F45"/>
    <w:rsid w:val="00C260BC"/>
    <w:rsid w:val="00C261F5"/>
    <w:rsid w:val="00C262AD"/>
    <w:rsid w:val="00C2650F"/>
    <w:rsid w:val="00C265AB"/>
    <w:rsid w:val="00C26687"/>
    <w:rsid w:val="00C26699"/>
    <w:rsid w:val="00C266B0"/>
    <w:rsid w:val="00C266F2"/>
    <w:rsid w:val="00C267F1"/>
    <w:rsid w:val="00C2690F"/>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11B"/>
    <w:rsid w:val="00C3021F"/>
    <w:rsid w:val="00C30344"/>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9F9"/>
    <w:rsid w:val="00C32A32"/>
    <w:rsid w:val="00C32BCA"/>
    <w:rsid w:val="00C32BDB"/>
    <w:rsid w:val="00C32CD5"/>
    <w:rsid w:val="00C32DCB"/>
    <w:rsid w:val="00C32E05"/>
    <w:rsid w:val="00C330A9"/>
    <w:rsid w:val="00C335FE"/>
    <w:rsid w:val="00C3360F"/>
    <w:rsid w:val="00C33850"/>
    <w:rsid w:val="00C3387B"/>
    <w:rsid w:val="00C338C2"/>
    <w:rsid w:val="00C339B8"/>
    <w:rsid w:val="00C33C96"/>
    <w:rsid w:val="00C33E1E"/>
    <w:rsid w:val="00C33EE6"/>
    <w:rsid w:val="00C34037"/>
    <w:rsid w:val="00C341D3"/>
    <w:rsid w:val="00C3424B"/>
    <w:rsid w:val="00C3446D"/>
    <w:rsid w:val="00C344AE"/>
    <w:rsid w:val="00C34946"/>
    <w:rsid w:val="00C34C31"/>
    <w:rsid w:val="00C34D6E"/>
    <w:rsid w:val="00C34FAD"/>
    <w:rsid w:val="00C35127"/>
    <w:rsid w:val="00C3518C"/>
    <w:rsid w:val="00C354D7"/>
    <w:rsid w:val="00C35536"/>
    <w:rsid w:val="00C35557"/>
    <w:rsid w:val="00C3560F"/>
    <w:rsid w:val="00C356BC"/>
    <w:rsid w:val="00C3586C"/>
    <w:rsid w:val="00C359A4"/>
    <w:rsid w:val="00C35D7E"/>
    <w:rsid w:val="00C3601F"/>
    <w:rsid w:val="00C36087"/>
    <w:rsid w:val="00C362F6"/>
    <w:rsid w:val="00C363A7"/>
    <w:rsid w:val="00C3678E"/>
    <w:rsid w:val="00C36887"/>
    <w:rsid w:val="00C369AE"/>
    <w:rsid w:val="00C36BB3"/>
    <w:rsid w:val="00C37027"/>
    <w:rsid w:val="00C3704D"/>
    <w:rsid w:val="00C37055"/>
    <w:rsid w:val="00C37094"/>
    <w:rsid w:val="00C37129"/>
    <w:rsid w:val="00C375BB"/>
    <w:rsid w:val="00C3765C"/>
    <w:rsid w:val="00C37728"/>
    <w:rsid w:val="00C3780C"/>
    <w:rsid w:val="00C37820"/>
    <w:rsid w:val="00C37FA3"/>
    <w:rsid w:val="00C400DA"/>
    <w:rsid w:val="00C40186"/>
    <w:rsid w:val="00C40213"/>
    <w:rsid w:val="00C4048D"/>
    <w:rsid w:val="00C405D8"/>
    <w:rsid w:val="00C40717"/>
    <w:rsid w:val="00C40795"/>
    <w:rsid w:val="00C407E2"/>
    <w:rsid w:val="00C409E2"/>
    <w:rsid w:val="00C40B0C"/>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ED"/>
    <w:rsid w:val="00C41A6D"/>
    <w:rsid w:val="00C41A78"/>
    <w:rsid w:val="00C41C54"/>
    <w:rsid w:val="00C41D8D"/>
    <w:rsid w:val="00C41E7C"/>
    <w:rsid w:val="00C41F4F"/>
    <w:rsid w:val="00C422B2"/>
    <w:rsid w:val="00C422FA"/>
    <w:rsid w:val="00C425EB"/>
    <w:rsid w:val="00C42602"/>
    <w:rsid w:val="00C427DE"/>
    <w:rsid w:val="00C427FB"/>
    <w:rsid w:val="00C42A59"/>
    <w:rsid w:val="00C42C8E"/>
    <w:rsid w:val="00C42EA4"/>
    <w:rsid w:val="00C43182"/>
    <w:rsid w:val="00C4333C"/>
    <w:rsid w:val="00C433FF"/>
    <w:rsid w:val="00C437D9"/>
    <w:rsid w:val="00C439DF"/>
    <w:rsid w:val="00C43B04"/>
    <w:rsid w:val="00C43C8A"/>
    <w:rsid w:val="00C43EC1"/>
    <w:rsid w:val="00C43FE9"/>
    <w:rsid w:val="00C44093"/>
    <w:rsid w:val="00C441A3"/>
    <w:rsid w:val="00C441E1"/>
    <w:rsid w:val="00C4423A"/>
    <w:rsid w:val="00C4456D"/>
    <w:rsid w:val="00C44799"/>
    <w:rsid w:val="00C44A00"/>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6274"/>
    <w:rsid w:val="00C46288"/>
    <w:rsid w:val="00C4651C"/>
    <w:rsid w:val="00C46559"/>
    <w:rsid w:val="00C465E4"/>
    <w:rsid w:val="00C46651"/>
    <w:rsid w:val="00C46EBC"/>
    <w:rsid w:val="00C47008"/>
    <w:rsid w:val="00C470A9"/>
    <w:rsid w:val="00C472BE"/>
    <w:rsid w:val="00C4759F"/>
    <w:rsid w:val="00C475A8"/>
    <w:rsid w:val="00C476CD"/>
    <w:rsid w:val="00C47755"/>
    <w:rsid w:val="00C47828"/>
    <w:rsid w:val="00C47869"/>
    <w:rsid w:val="00C478D5"/>
    <w:rsid w:val="00C47915"/>
    <w:rsid w:val="00C47A25"/>
    <w:rsid w:val="00C47AB3"/>
    <w:rsid w:val="00C47C66"/>
    <w:rsid w:val="00C47E8C"/>
    <w:rsid w:val="00C5000D"/>
    <w:rsid w:val="00C502BA"/>
    <w:rsid w:val="00C5039E"/>
    <w:rsid w:val="00C50507"/>
    <w:rsid w:val="00C50723"/>
    <w:rsid w:val="00C50A4F"/>
    <w:rsid w:val="00C50AC5"/>
    <w:rsid w:val="00C50B58"/>
    <w:rsid w:val="00C50BE3"/>
    <w:rsid w:val="00C50C44"/>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823"/>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BA1"/>
    <w:rsid w:val="00C54DCA"/>
    <w:rsid w:val="00C54F89"/>
    <w:rsid w:val="00C54FA3"/>
    <w:rsid w:val="00C5508A"/>
    <w:rsid w:val="00C55A29"/>
    <w:rsid w:val="00C55E47"/>
    <w:rsid w:val="00C55F14"/>
    <w:rsid w:val="00C55FAF"/>
    <w:rsid w:val="00C56156"/>
    <w:rsid w:val="00C563D3"/>
    <w:rsid w:val="00C565E2"/>
    <w:rsid w:val="00C567BA"/>
    <w:rsid w:val="00C56C56"/>
    <w:rsid w:val="00C56E21"/>
    <w:rsid w:val="00C56E4E"/>
    <w:rsid w:val="00C56EBE"/>
    <w:rsid w:val="00C56EEB"/>
    <w:rsid w:val="00C56EED"/>
    <w:rsid w:val="00C56F92"/>
    <w:rsid w:val="00C57082"/>
    <w:rsid w:val="00C5709C"/>
    <w:rsid w:val="00C57105"/>
    <w:rsid w:val="00C571CB"/>
    <w:rsid w:val="00C57351"/>
    <w:rsid w:val="00C5739F"/>
    <w:rsid w:val="00C574BF"/>
    <w:rsid w:val="00C574D2"/>
    <w:rsid w:val="00C57573"/>
    <w:rsid w:val="00C576E3"/>
    <w:rsid w:val="00C57709"/>
    <w:rsid w:val="00C57AC6"/>
    <w:rsid w:val="00C57BE0"/>
    <w:rsid w:val="00C57CB4"/>
    <w:rsid w:val="00C57D12"/>
    <w:rsid w:val="00C57DE1"/>
    <w:rsid w:val="00C57FCE"/>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27D"/>
    <w:rsid w:val="00C62296"/>
    <w:rsid w:val="00C6232F"/>
    <w:rsid w:val="00C62499"/>
    <w:rsid w:val="00C62588"/>
    <w:rsid w:val="00C627B1"/>
    <w:rsid w:val="00C62860"/>
    <w:rsid w:val="00C6294C"/>
    <w:rsid w:val="00C62951"/>
    <w:rsid w:val="00C62A25"/>
    <w:rsid w:val="00C62F6D"/>
    <w:rsid w:val="00C63218"/>
    <w:rsid w:val="00C63379"/>
    <w:rsid w:val="00C633D3"/>
    <w:rsid w:val="00C63478"/>
    <w:rsid w:val="00C634C1"/>
    <w:rsid w:val="00C63567"/>
    <w:rsid w:val="00C6364A"/>
    <w:rsid w:val="00C63687"/>
    <w:rsid w:val="00C636DD"/>
    <w:rsid w:val="00C63765"/>
    <w:rsid w:val="00C63834"/>
    <w:rsid w:val="00C63980"/>
    <w:rsid w:val="00C63983"/>
    <w:rsid w:val="00C639F0"/>
    <w:rsid w:val="00C63B50"/>
    <w:rsid w:val="00C63D37"/>
    <w:rsid w:val="00C63EC4"/>
    <w:rsid w:val="00C6427C"/>
    <w:rsid w:val="00C64365"/>
    <w:rsid w:val="00C643C1"/>
    <w:rsid w:val="00C6442E"/>
    <w:rsid w:val="00C64470"/>
    <w:rsid w:val="00C64506"/>
    <w:rsid w:val="00C6455D"/>
    <w:rsid w:val="00C64608"/>
    <w:rsid w:val="00C64703"/>
    <w:rsid w:val="00C6471A"/>
    <w:rsid w:val="00C647EB"/>
    <w:rsid w:val="00C64926"/>
    <w:rsid w:val="00C64986"/>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C7"/>
    <w:rsid w:val="00C66DA4"/>
    <w:rsid w:val="00C6716D"/>
    <w:rsid w:val="00C672C0"/>
    <w:rsid w:val="00C67343"/>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52B"/>
    <w:rsid w:val="00C70AEA"/>
    <w:rsid w:val="00C70B60"/>
    <w:rsid w:val="00C70C94"/>
    <w:rsid w:val="00C70CDA"/>
    <w:rsid w:val="00C70D9B"/>
    <w:rsid w:val="00C70DBB"/>
    <w:rsid w:val="00C70E2A"/>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F"/>
    <w:rsid w:val="00C71E9F"/>
    <w:rsid w:val="00C720F5"/>
    <w:rsid w:val="00C72205"/>
    <w:rsid w:val="00C7238C"/>
    <w:rsid w:val="00C72391"/>
    <w:rsid w:val="00C7265E"/>
    <w:rsid w:val="00C7295D"/>
    <w:rsid w:val="00C72A07"/>
    <w:rsid w:val="00C72A73"/>
    <w:rsid w:val="00C72C00"/>
    <w:rsid w:val="00C72D7A"/>
    <w:rsid w:val="00C72F95"/>
    <w:rsid w:val="00C72FA2"/>
    <w:rsid w:val="00C72FF6"/>
    <w:rsid w:val="00C730F2"/>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B33"/>
    <w:rsid w:val="00C74C00"/>
    <w:rsid w:val="00C74DF8"/>
    <w:rsid w:val="00C7518C"/>
    <w:rsid w:val="00C7518F"/>
    <w:rsid w:val="00C75215"/>
    <w:rsid w:val="00C752A4"/>
    <w:rsid w:val="00C7532F"/>
    <w:rsid w:val="00C7533C"/>
    <w:rsid w:val="00C753B8"/>
    <w:rsid w:val="00C75567"/>
    <w:rsid w:val="00C75660"/>
    <w:rsid w:val="00C756EC"/>
    <w:rsid w:val="00C7572E"/>
    <w:rsid w:val="00C75C57"/>
    <w:rsid w:val="00C75D17"/>
    <w:rsid w:val="00C75D5C"/>
    <w:rsid w:val="00C75DF9"/>
    <w:rsid w:val="00C75E89"/>
    <w:rsid w:val="00C7609D"/>
    <w:rsid w:val="00C761CE"/>
    <w:rsid w:val="00C761EE"/>
    <w:rsid w:val="00C764A3"/>
    <w:rsid w:val="00C766CD"/>
    <w:rsid w:val="00C7676A"/>
    <w:rsid w:val="00C76859"/>
    <w:rsid w:val="00C76928"/>
    <w:rsid w:val="00C76ABA"/>
    <w:rsid w:val="00C76B7E"/>
    <w:rsid w:val="00C76B9C"/>
    <w:rsid w:val="00C76D50"/>
    <w:rsid w:val="00C76EA5"/>
    <w:rsid w:val="00C76F98"/>
    <w:rsid w:val="00C77228"/>
    <w:rsid w:val="00C77257"/>
    <w:rsid w:val="00C772BD"/>
    <w:rsid w:val="00C77403"/>
    <w:rsid w:val="00C7746D"/>
    <w:rsid w:val="00C77603"/>
    <w:rsid w:val="00C7775B"/>
    <w:rsid w:val="00C778B4"/>
    <w:rsid w:val="00C778E7"/>
    <w:rsid w:val="00C779A5"/>
    <w:rsid w:val="00C77C00"/>
    <w:rsid w:val="00C77C89"/>
    <w:rsid w:val="00C77D74"/>
    <w:rsid w:val="00C77DB1"/>
    <w:rsid w:val="00C77E6E"/>
    <w:rsid w:val="00C77E95"/>
    <w:rsid w:val="00C77EE4"/>
    <w:rsid w:val="00C77F2E"/>
    <w:rsid w:val="00C8021C"/>
    <w:rsid w:val="00C80644"/>
    <w:rsid w:val="00C80942"/>
    <w:rsid w:val="00C8096F"/>
    <w:rsid w:val="00C809E4"/>
    <w:rsid w:val="00C80ABA"/>
    <w:rsid w:val="00C80C05"/>
    <w:rsid w:val="00C80DDE"/>
    <w:rsid w:val="00C80F08"/>
    <w:rsid w:val="00C80F35"/>
    <w:rsid w:val="00C81039"/>
    <w:rsid w:val="00C810DF"/>
    <w:rsid w:val="00C8127D"/>
    <w:rsid w:val="00C815DE"/>
    <w:rsid w:val="00C81735"/>
    <w:rsid w:val="00C817B3"/>
    <w:rsid w:val="00C817DB"/>
    <w:rsid w:val="00C81907"/>
    <w:rsid w:val="00C8193A"/>
    <w:rsid w:val="00C81A02"/>
    <w:rsid w:val="00C81B89"/>
    <w:rsid w:val="00C81C72"/>
    <w:rsid w:val="00C82068"/>
    <w:rsid w:val="00C823A4"/>
    <w:rsid w:val="00C8252D"/>
    <w:rsid w:val="00C82533"/>
    <w:rsid w:val="00C82562"/>
    <w:rsid w:val="00C825F9"/>
    <w:rsid w:val="00C827FB"/>
    <w:rsid w:val="00C82899"/>
    <w:rsid w:val="00C82AD8"/>
    <w:rsid w:val="00C82C1A"/>
    <w:rsid w:val="00C82E86"/>
    <w:rsid w:val="00C82EF6"/>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1C"/>
    <w:rsid w:val="00C85145"/>
    <w:rsid w:val="00C85206"/>
    <w:rsid w:val="00C85248"/>
    <w:rsid w:val="00C85287"/>
    <w:rsid w:val="00C85725"/>
    <w:rsid w:val="00C85952"/>
    <w:rsid w:val="00C85982"/>
    <w:rsid w:val="00C859D4"/>
    <w:rsid w:val="00C85A3A"/>
    <w:rsid w:val="00C85B7A"/>
    <w:rsid w:val="00C85C38"/>
    <w:rsid w:val="00C85D4D"/>
    <w:rsid w:val="00C85DBA"/>
    <w:rsid w:val="00C85FA6"/>
    <w:rsid w:val="00C861B0"/>
    <w:rsid w:val="00C86394"/>
    <w:rsid w:val="00C866CF"/>
    <w:rsid w:val="00C86852"/>
    <w:rsid w:val="00C86BE5"/>
    <w:rsid w:val="00C86C6A"/>
    <w:rsid w:val="00C86CD6"/>
    <w:rsid w:val="00C86E01"/>
    <w:rsid w:val="00C86EE0"/>
    <w:rsid w:val="00C86FC1"/>
    <w:rsid w:val="00C870A0"/>
    <w:rsid w:val="00C871D9"/>
    <w:rsid w:val="00C87350"/>
    <w:rsid w:val="00C873E4"/>
    <w:rsid w:val="00C874C6"/>
    <w:rsid w:val="00C876B4"/>
    <w:rsid w:val="00C87809"/>
    <w:rsid w:val="00C879A7"/>
    <w:rsid w:val="00C87A7F"/>
    <w:rsid w:val="00C87B1A"/>
    <w:rsid w:val="00C87BEF"/>
    <w:rsid w:val="00C87CAE"/>
    <w:rsid w:val="00C87E88"/>
    <w:rsid w:val="00C87F30"/>
    <w:rsid w:val="00C90030"/>
    <w:rsid w:val="00C901CA"/>
    <w:rsid w:val="00C902A6"/>
    <w:rsid w:val="00C90352"/>
    <w:rsid w:val="00C9040F"/>
    <w:rsid w:val="00C90489"/>
    <w:rsid w:val="00C90582"/>
    <w:rsid w:val="00C90889"/>
    <w:rsid w:val="00C90BD7"/>
    <w:rsid w:val="00C90BE7"/>
    <w:rsid w:val="00C90C81"/>
    <w:rsid w:val="00C90DB3"/>
    <w:rsid w:val="00C90E5B"/>
    <w:rsid w:val="00C90F9C"/>
    <w:rsid w:val="00C9108C"/>
    <w:rsid w:val="00C91095"/>
    <w:rsid w:val="00C913D5"/>
    <w:rsid w:val="00C914D0"/>
    <w:rsid w:val="00C914DD"/>
    <w:rsid w:val="00C9163B"/>
    <w:rsid w:val="00C91769"/>
    <w:rsid w:val="00C917BE"/>
    <w:rsid w:val="00C917ED"/>
    <w:rsid w:val="00C918F7"/>
    <w:rsid w:val="00C91942"/>
    <w:rsid w:val="00C91954"/>
    <w:rsid w:val="00C91A2F"/>
    <w:rsid w:val="00C91A6A"/>
    <w:rsid w:val="00C91C03"/>
    <w:rsid w:val="00C91C04"/>
    <w:rsid w:val="00C91CFA"/>
    <w:rsid w:val="00C91DC6"/>
    <w:rsid w:val="00C91E35"/>
    <w:rsid w:val="00C92101"/>
    <w:rsid w:val="00C92594"/>
    <w:rsid w:val="00C92659"/>
    <w:rsid w:val="00C926AE"/>
    <w:rsid w:val="00C926D4"/>
    <w:rsid w:val="00C92733"/>
    <w:rsid w:val="00C928F7"/>
    <w:rsid w:val="00C92A09"/>
    <w:rsid w:val="00C92B9C"/>
    <w:rsid w:val="00C92BA2"/>
    <w:rsid w:val="00C92BDD"/>
    <w:rsid w:val="00C92C84"/>
    <w:rsid w:val="00C92D93"/>
    <w:rsid w:val="00C92E0E"/>
    <w:rsid w:val="00C92E2A"/>
    <w:rsid w:val="00C930F2"/>
    <w:rsid w:val="00C93375"/>
    <w:rsid w:val="00C93427"/>
    <w:rsid w:val="00C935D9"/>
    <w:rsid w:val="00C9362A"/>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669"/>
    <w:rsid w:val="00C9471C"/>
    <w:rsid w:val="00C94798"/>
    <w:rsid w:val="00C948A8"/>
    <w:rsid w:val="00C94983"/>
    <w:rsid w:val="00C949AD"/>
    <w:rsid w:val="00C94A12"/>
    <w:rsid w:val="00C94B66"/>
    <w:rsid w:val="00C94C9F"/>
    <w:rsid w:val="00C94DF5"/>
    <w:rsid w:val="00C94F29"/>
    <w:rsid w:val="00C94FA9"/>
    <w:rsid w:val="00C95261"/>
    <w:rsid w:val="00C95298"/>
    <w:rsid w:val="00C95350"/>
    <w:rsid w:val="00C953E2"/>
    <w:rsid w:val="00C954FA"/>
    <w:rsid w:val="00C955F2"/>
    <w:rsid w:val="00C9563C"/>
    <w:rsid w:val="00C95857"/>
    <w:rsid w:val="00C9599A"/>
    <w:rsid w:val="00C95B06"/>
    <w:rsid w:val="00C95CDF"/>
    <w:rsid w:val="00C95E14"/>
    <w:rsid w:val="00C95E3D"/>
    <w:rsid w:val="00C95F3A"/>
    <w:rsid w:val="00C95FEE"/>
    <w:rsid w:val="00C95FF3"/>
    <w:rsid w:val="00C964FF"/>
    <w:rsid w:val="00C96561"/>
    <w:rsid w:val="00C965B3"/>
    <w:rsid w:val="00C965E9"/>
    <w:rsid w:val="00C96858"/>
    <w:rsid w:val="00C968EF"/>
    <w:rsid w:val="00C96AB6"/>
    <w:rsid w:val="00C96ACF"/>
    <w:rsid w:val="00C96B1D"/>
    <w:rsid w:val="00C96C43"/>
    <w:rsid w:val="00C96EB4"/>
    <w:rsid w:val="00C97138"/>
    <w:rsid w:val="00C972D6"/>
    <w:rsid w:val="00C9766B"/>
    <w:rsid w:val="00C976FF"/>
    <w:rsid w:val="00C9792F"/>
    <w:rsid w:val="00C97B61"/>
    <w:rsid w:val="00C97C3F"/>
    <w:rsid w:val="00C97F1E"/>
    <w:rsid w:val="00C97FD1"/>
    <w:rsid w:val="00C97FD3"/>
    <w:rsid w:val="00CA01F6"/>
    <w:rsid w:val="00CA023E"/>
    <w:rsid w:val="00CA0267"/>
    <w:rsid w:val="00CA0324"/>
    <w:rsid w:val="00CA056C"/>
    <w:rsid w:val="00CA0584"/>
    <w:rsid w:val="00CA0591"/>
    <w:rsid w:val="00CA05A0"/>
    <w:rsid w:val="00CA05B8"/>
    <w:rsid w:val="00CA06AB"/>
    <w:rsid w:val="00CA0CDB"/>
    <w:rsid w:val="00CA109B"/>
    <w:rsid w:val="00CA1213"/>
    <w:rsid w:val="00CA1369"/>
    <w:rsid w:val="00CA1668"/>
    <w:rsid w:val="00CA179B"/>
    <w:rsid w:val="00CA187E"/>
    <w:rsid w:val="00CA1997"/>
    <w:rsid w:val="00CA1B0A"/>
    <w:rsid w:val="00CA1FAA"/>
    <w:rsid w:val="00CA1FF8"/>
    <w:rsid w:val="00CA2022"/>
    <w:rsid w:val="00CA20A6"/>
    <w:rsid w:val="00CA212B"/>
    <w:rsid w:val="00CA2139"/>
    <w:rsid w:val="00CA243B"/>
    <w:rsid w:val="00CA25FA"/>
    <w:rsid w:val="00CA273E"/>
    <w:rsid w:val="00CA2BEF"/>
    <w:rsid w:val="00CA2C18"/>
    <w:rsid w:val="00CA2E8E"/>
    <w:rsid w:val="00CA2F91"/>
    <w:rsid w:val="00CA2FA3"/>
    <w:rsid w:val="00CA2FD6"/>
    <w:rsid w:val="00CA3078"/>
    <w:rsid w:val="00CA30BE"/>
    <w:rsid w:val="00CA31CE"/>
    <w:rsid w:val="00CA32A2"/>
    <w:rsid w:val="00CA32E5"/>
    <w:rsid w:val="00CA339B"/>
    <w:rsid w:val="00CA351E"/>
    <w:rsid w:val="00CA3651"/>
    <w:rsid w:val="00CA36FC"/>
    <w:rsid w:val="00CA383E"/>
    <w:rsid w:val="00CA3950"/>
    <w:rsid w:val="00CA3AC2"/>
    <w:rsid w:val="00CA3AC7"/>
    <w:rsid w:val="00CA3C24"/>
    <w:rsid w:val="00CA3CEA"/>
    <w:rsid w:val="00CA3D09"/>
    <w:rsid w:val="00CA3DCB"/>
    <w:rsid w:val="00CA424D"/>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964"/>
    <w:rsid w:val="00CA5A75"/>
    <w:rsid w:val="00CA5BD0"/>
    <w:rsid w:val="00CA5CA1"/>
    <w:rsid w:val="00CA5E59"/>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CD1"/>
    <w:rsid w:val="00CA6CF2"/>
    <w:rsid w:val="00CA6D2E"/>
    <w:rsid w:val="00CA6DA5"/>
    <w:rsid w:val="00CA6DBE"/>
    <w:rsid w:val="00CA6E5A"/>
    <w:rsid w:val="00CA733D"/>
    <w:rsid w:val="00CA760A"/>
    <w:rsid w:val="00CA7748"/>
    <w:rsid w:val="00CA777E"/>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2E"/>
    <w:rsid w:val="00CB0062"/>
    <w:rsid w:val="00CB0161"/>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21B"/>
    <w:rsid w:val="00CB12D8"/>
    <w:rsid w:val="00CB153A"/>
    <w:rsid w:val="00CB163C"/>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BA4"/>
    <w:rsid w:val="00CB2E40"/>
    <w:rsid w:val="00CB31AB"/>
    <w:rsid w:val="00CB38A9"/>
    <w:rsid w:val="00CB3936"/>
    <w:rsid w:val="00CB393C"/>
    <w:rsid w:val="00CB3942"/>
    <w:rsid w:val="00CB39A9"/>
    <w:rsid w:val="00CB3A50"/>
    <w:rsid w:val="00CB3C8E"/>
    <w:rsid w:val="00CB3CF5"/>
    <w:rsid w:val="00CB3D4A"/>
    <w:rsid w:val="00CB3D74"/>
    <w:rsid w:val="00CB3E9B"/>
    <w:rsid w:val="00CB4000"/>
    <w:rsid w:val="00CB400C"/>
    <w:rsid w:val="00CB4167"/>
    <w:rsid w:val="00CB4472"/>
    <w:rsid w:val="00CB4474"/>
    <w:rsid w:val="00CB4497"/>
    <w:rsid w:val="00CB45DD"/>
    <w:rsid w:val="00CB47CA"/>
    <w:rsid w:val="00CB48E0"/>
    <w:rsid w:val="00CB49CB"/>
    <w:rsid w:val="00CB4CE8"/>
    <w:rsid w:val="00CB4E95"/>
    <w:rsid w:val="00CB4ED9"/>
    <w:rsid w:val="00CB4EDD"/>
    <w:rsid w:val="00CB4F39"/>
    <w:rsid w:val="00CB4F5D"/>
    <w:rsid w:val="00CB5013"/>
    <w:rsid w:val="00CB5439"/>
    <w:rsid w:val="00CB55A3"/>
    <w:rsid w:val="00CB565A"/>
    <w:rsid w:val="00CB5879"/>
    <w:rsid w:val="00CB5A51"/>
    <w:rsid w:val="00CB5B68"/>
    <w:rsid w:val="00CB5C17"/>
    <w:rsid w:val="00CB5DC6"/>
    <w:rsid w:val="00CB6059"/>
    <w:rsid w:val="00CB6454"/>
    <w:rsid w:val="00CB653A"/>
    <w:rsid w:val="00CB65B5"/>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A1A"/>
    <w:rsid w:val="00CB7AEC"/>
    <w:rsid w:val="00CB7C39"/>
    <w:rsid w:val="00CB7FD0"/>
    <w:rsid w:val="00CC004B"/>
    <w:rsid w:val="00CC022A"/>
    <w:rsid w:val="00CC0396"/>
    <w:rsid w:val="00CC03B0"/>
    <w:rsid w:val="00CC041E"/>
    <w:rsid w:val="00CC04B7"/>
    <w:rsid w:val="00CC0618"/>
    <w:rsid w:val="00CC08DD"/>
    <w:rsid w:val="00CC0A23"/>
    <w:rsid w:val="00CC0C12"/>
    <w:rsid w:val="00CC0CB6"/>
    <w:rsid w:val="00CC0DC4"/>
    <w:rsid w:val="00CC0DD8"/>
    <w:rsid w:val="00CC0DF1"/>
    <w:rsid w:val="00CC0E3B"/>
    <w:rsid w:val="00CC0FD5"/>
    <w:rsid w:val="00CC1041"/>
    <w:rsid w:val="00CC165D"/>
    <w:rsid w:val="00CC16A7"/>
    <w:rsid w:val="00CC18B2"/>
    <w:rsid w:val="00CC1928"/>
    <w:rsid w:val="00CC194A"/>
    <w:rsid w:val="00CC1BDA"/>
    <w:rsid w:val="00CC1C23"/>
    <w:rsid w:val="00CC1C2C"/>
    <w:rsid w:val="00CC1CCD"/>
    <w:rsid w:val="00CC1E0C"/>
    <w:rsid w:val="00CC1E62"/>
    <w:rsid w:val="00CC1E84"/>
    <w:rsid w:val="00CC1EAB"/>
    <w:rsid w:val="00CC20E6"/>
    <w:rsid w:val="00CC2171"/>
    <w:rsid w:val="00CC2339"/>
    <w:rsid w:val="00CC234F"/>
    <w:rsid w:val="00CC23FA"/>
    <w:rsid w:val="00CC2633"/>
    <w:rsid w:val="00CC27CC"/>
    <w:rsid w:val="00CC2823"/>
    <w:rsid w:val="00CC288D"/>
    <w:rsid w:val="00CC29CE"/>
    <w:rsid w:val="00CC2B48"/>
    <w:rsid w:val="00CC2F7F"/>
    <w:rsid w:val="00CC3065"/>
    <w:rsid w:val="00CC314C"/>
    <w:rsid w:val="00CC32B5"/>
    <w:rsid w:val="00CC33C0"/>
    <w:rsid w:val="00CC3488"/>
    <w:rsid w:val="00CC382F"/>
    <w:rsid w:val="00CC3A6E"/>
    <w:rsid w:val="00CC3AAC"/>
    <w:rsid w:val="00CC3BDC"/>
    <w:rsid w:val="00CC3C83"/>
    <w:rsid w:val="00CC3E07"/>
    <w:rsid w:val="00CC3E27"/>
    <w:rsid w:val="00CC3F3D"/>
    <w:rsid w:val="00CC3FFF"/>
    <w:rsid w:val="00CC41AF"/>
    <w:rsid w:val="00CC41CE"/>
    <w:rsid w:val="00CC427F"/>
    <w:rsid w:val="00CC4291"/>
    <w:rsid w:val="00CC43E7"/>
    <w:rsid w:val="00CC4425"/>
    <w:rsid w:val="00CC4475"/>
    <w:rsid w:val="00CC44A6"/>
    <w:rsid w:val="00CC44D2"/>
    <w:rsid w:val="00CC467C"/>
    <w:rsid w:val="00CC468C"/>
    <w:rsid w:val="00CC46A6"/>
    <w:rsid w:val="00CC47A5"/>
    <w:rsid w:val="00CC47E5"/>
    <w:rsid w:val="00CC48B9"/>
    <w:rsid w:val="00CC4975"/>
    <w:rsid w:val="00CC4ACC"/>
    <w:rsid w:val="00CC4E1E"/>
    <w:rsid w:val="00CC4E21"/>
    <w:rsid w:val="00CC50FC"/>
    <w:rsid w:val="00CC53F4"/>
    <w:rsid w:val="00CC5591"/>
    <w:rsid w:val="00CC570E"/>
    <w:rsid w:val="00CC5854"/>
    <w:rsid w:val="00CC586B"/>
    <w:rsid w:val="00CC5D36"/>
    <w:rsid w:val="00CC63A7"/>
    <w:rsid w:val="00CC6900"/>
    <w:rsid w:val="00CC6B5B"/>
    <w:rsid w:val="00CC6B97"/>
    <w:rsid w:val="00CC6C73"/>
    <w:rsid w:val="00CC6D3F"/>
    <w:rsid w:val="00CC6E6C"/>
    <w:rsid w:val="00CC6EC3"/>
    <w:rsid w:val="00CC70EB"/>
    <w:rsid w:val="00CC7185"/>
    <w:rsid w:val="00CC7248"/>
    <w:rsid w:val="00CC7271"/>
    <w:rsid w:val="00CC738F"/>
    <w:rsid w:val="00CC73AC"/>
    <w:rsid w:val="00CC73D3"/>
    <w:rsid w:val="00CC7411"/>
    <w:rsid w:val="00CC74A5"/>
    <w:rsid w:val="00CC757F"/>
    <w:rsid w:val="00CC767A"/>
    <w:rsid w:val="00CC76AB"/>
    <w:rsid w:val="00CC778F"/>
    <w:rsid w:val="00CC78A2"/>
    <w:rsid w:val="00CC7D3D"/>
    <w:rsid w:val="00CC7EC5"/>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32F"/>
    <w:rsid w:val="00CD23DF"/>
    <w:rsid w:val="00CD2509"/>
    <w:rsid w:val="00CD26AC"/>
    <w:rsid w:val="00CD2B85"/>
    <w:rsid w:val="00CD2BF6"/>
    <w:rsid w:val="00CD2D2A"/>
    <w:rsid w:val="00CD2E08"/>
    <w:rsid w:val="00CD2FAB"/>
    <w:rsid w:val="00CD301C"/>
    <w:rsid w:val="00CD30ED"/>
    <w:rsid w:val="00CD31AF"/>
    <w:rsid w:val="00CD3462"/>
    <w:rsid w:val="00CD3491"/>
    <w:rsid w:val="00CD37EA"/>
    <w:rsid w:val="00CD3893"/>
    <w:rsid w:val="00CD39AE"/>
    <w:rsid w:val="00CD3A82"/>
    <w:rsid w:val="00CD3D28"/>
    <w:rsid w:val="00CD3DFD"/>
    <w:rsid w:val="00CD3E99"/>
    <w:rsid w:val="00CD41D3"/>
    <w:rsid w:val="00CD4287"/>
    <w:rsid w:val="00CD485B"/>
    <w:rsid w:val="00CD492B"/>
    <w:rsid w:val="00CD4AAE"/>
    <w:rsid w:val="00CD4C9C"/>
    <w:rsid w:val="00CD4CBA"/>
    <w:rsid w:val="00CD4DF8"/>
    <w:rsid w:val="00CD4F54"/>
    <w:rsid w:val="00CD5039"/>
    <w:rsid w:val="00CD51FB"/>
    <w:rsid w:val="00CD5500"/>
    <w:rsid w:val="00CD550E"/>
    <w:rsid w:val="00CD565E"/>
    <w:rsid w:val="00CD56D0"/>
    <w:rsid w:val="00CD5739"/>
    <w:rsid w:val="00CD5898"/>
    <w:rsid w:val="00CD5932"/>
    <w:rsid w:val="00CD5A84"/>
    <w:rsid w:val="00CD5C2F"/>
    <w:rsid w:val="00CD5CB7"/>
    <w:rsid w:val="00CD5E9A"/>
    <w:rsid w:val="00CD63AE"/>
    <w:rsid w:val="00CD651E"/>
    <w:rsid w:val="00CD6652"/>
    <w:rsid w:val="00CD670A"/>
    <w:rsid w:val="00CD6B0B"/>
    <w:rsid w:val="00CD6B39"/>
    <w:rsid w:val="00CD6DE7"/>
    <w:rsid w:val="00CD6F55"/>
    <w:rsid w:val="00CD6FA2"/>
    <w:rsid w:val="00CD6FA8"/>
    <w:rsid w:val="00CD7105"/>
    <w:rsid w:val="00CD7116"/>
    <w:rsid w:val="00CD7139"/>
    <w:rsid w:val="00CD721B"/>
    <w:rsid w:val="00CD730F"/>
    <w:rsid w:val="00CD7408"/>
    <w:rsid w:val="00CD741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C0"/>
    <w:rsid w:val="00CE01EB"/>
    <w:rsid w:val="00CE036B"/>
    <w:rsid w:val="00CE0734"/>
    <w:rsid w:val="00CE07BB"/>
    <w:rsid w:val="00CE08C4"/>
    <w:rsid w:val="00CE0C40"/>
    <w:rsid w:val="00CE0D2C"/>
    <w:rsid w:val="00CE0D93"/>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CF"/>
    <w:rsid w:val="00CE22E5"/>
    <w:rsid w:val="00CE2613"/>
    <w:rsid w:val="00CE2775"/>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BD"/>
    <w:rsid w:val="00CE403E"/>
    <w:rsid w:val="00CE4091"/>
    <w:rsid w:val="00CE428A"/>
    <w:rsid w:val="00CE42DE"/>
    <w:rsid w:val="00CE4378"/>
    <w:rsid w:val="00CE44DD"/>
    <w:rsid w:val="00CE46AD"/>
    <w:rsid w:val="00CE476D"/>
    <w:rsid w:val="00CE47C5"/>
    <w:rsid w:val="00CE4B97"/>
    <w:rsid w:val="00CE4BF7"/>
    <w:rsid w:val="00CE4D0D"/>
    <w:rsid w:val="00CE4D58"/>
    <w:rsid w:val="00CE4F8F"/>
    <w:rsid w:val="00CE5045"/>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3BD"/>
    <w:rsid w:val="00CE74D0"/>
    <w:rsid w:val="00CE752F"/>
    <w:rsid w:val="00CE7589"/>
    <w:rsid w:val="00CE778E"/>
    <w:rsid w:val="00CE77E3"/>
    <w:rsid w:val="00CE799D"/>
    <w:rsid w:val="00CE7C0D"/>
    <w:rsid w:val="00CE7F93"/>
    <w:rsid w:val="00CF004C"/>
    <w:rsid w:val="00CF0243"/>
    <w:rsid w:val="00CF05B8"/>
    <w:rsid w:val="00CF05C8"/>
    <w:rsid w:val="00CF0636"/>
    <w:rsid w:val="00CF069D"/>
    <w:rsid w:val="00CF0746"/>
    <w:rsid w:val="00CF08B5"/>
    <w:rsid w:val="00CF092C"/>
    <w:rsid w:val="00CF0937"/>
    <w:rsid w:val="00CF0A1F"/>
    <w:rsid w:val="00CF0C6C"/>
    <w:rsid w:val="00CF0CD8"/>
    <w:rsid w:val="00CF0E0D"/>
    <w:rsid w:val="00CF0FDA"/>
    <w:rsid w:val="00CF111B"/>
    <w:rsid w:val="00CF14E0"/>
    <w:rsid w:val="00CF1753"/>
    <w:rsid w:val="00CF1A43"/>
    <w:rsid w:val="00CF1DFF"/>
    <w:rsid w:val="00CF1F06"/>
    <w:rsid w:val="00CF2384"/>
    <w:rsid w:val="00CF24E0"/>
    <w:rsid w:val="00CF2553"/>
    <w:rsid w:val="00CF2712"/>
    <w:rsid w:val="00CF282D"/>
    <w:rsid w:val="00CF2AA5"/>
    <w:rsid w:val="00CF303C"/>
    <w:rsid w:val="00CF3192"/>
    <w:rsid w:val="00CF31F8"/>
    <w:rsid w:val="00CF333C"/>
    <w:rsid w:val="00CF33F7"/>
    <w:rsid w:val="00CF3428"/>
    <w:rsid w:val="00CF34DC"/>
    <w:rsid w:val="00CF358F"/>
    <w:rsid w:val="00CF3600"/>
    <w:rsid w:val="00CF3710"/>
    <w:rsid w:val="00CF3CF2"/>
    <w:rsid w:val="00CF3FC4"/>
    <w:rsid w:val="00CF3FEF"/>
    <w:rsid w:val="00CF4062"/>
    <w:rsid w:val="00CF4338"/>
    <w:rsid w:val="00CF4341"/>
    <w:rsid w:val="00CF44C1"/>
    <w:rsid w:val="00CF4668"/>
    <w:rsid w:val="00CF4735"/>
    <w:rsid w:val="00CF4838"/>
    <w:rsid w:val="00CF490F"/>
    <w:rsid w:val="00CF4946"/>
    <w:rsid w:val="00CF4D1C"/>
    <w:rsid w:val="00CF4FD5"/>
    <w:rsid w:val="00CF5034"/>
    <w:rsid w:val="00CF51BB"/>
    <w:rsid w:val="00CF5220"/>
    <w:rsid w:val="00CF54E5"/>
    <w:rsid w:val="00CF5524"/>
    <w:rsid w:val="00CF572E"/>
    <w:rsid w:val="00CF594B"/>
    <w:rsid w:val="00CF5D07"/>
    <w:rsid w:val="00CF5D51"/>
    <w:rsid w:val="00CF5D8F"/>
    <w:rsid w:val="00CF5DF8"/>
    <w:rsid w:val="00CF5E32"/>
    <w:rsid w:val="00CF5E6E"/>
    <w:rsid w:val="00CF5EE7"/>
    <w:rsid w:val="00CF60CB"/>
    <w:rsid w:val="00CF60E0"/>
    <w:rsid w:val="00CF6263"/>
    <w:rsid w:val="00CF6301"/>
    <w:rsid w:val="00CF6421"/>
    <w:rsid w:val="00CF65AB"/>
    <w:rsid w:val="00CF6982"/>
    <w:rsid w:val="00CF6A9D"/>
    <w:rsid w:val="00CF6C0A"/>
    <w:rsid w:val="00CF6C10"/>
    <w:rsid w:val="00CF6D0D"/>
    <w:rsid w:val="00CF6E1B"/>
    <w:rsid w:val="00CF6FEA"/>
    <w:rsid w:val="00CF7042"/>
    <w:rsid w:val="00CF7047"/>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A78"/>
    <w:rsid w:val="00D00AAE"/>
    <w:rsid w:val="00D00E5B"/>
    <w:rsid w:val="00D011BB"/>
    <w:rsid w:val="00D012F4"/>
    <w:rsid w:val="00D014AB"/>
    <w:rsid w:val="00D01758"/>
    <w:rsid w:val="00D0195A"/>
    <w:rsid w:val="00D01B08"/>
    <w:rsid w:val="00D01CD2"/>
    <w:rsid w:val="00D01EB0"/>
    <w:rsid w:val="00D01F6B"/>
    <w:rsid w:val="00D01FE0"/>
    <w:rsid w:val="00D0206C"/>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46"/>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825"/>
    <w:rsid w:val="00D039A6"/>
    <w:rsid w:val="00D03B7A"/>
    <w:rsid w:val="00D03C6E"/>
    <w:rsid w:val="00D03C86"/>
    <w:rsid w:val="00D03C90"/>
    <w:rsid w:val="00D03D23"/>
    <w:rsid w:val="00D03DCF"/>
    <w:rsid w:val="00D03FE0"/>
    <w:rsid w:val="00D03FE7"/>
    <w:rsid w:val="00D0418D"/>
    <w:rsid w:val="00D04455"/>
    <w:rsid w:val="00D045C5"/>
    <w:rsid w:val="00D046B3"/>
    <w:rsid w:val="00D046BF"/>
    <w:rsid w:val="00D04938"/>
    <w:rsid w:val="00D04A0E"/>
    <w:rsid w:val="00D04BB8"/>
    <w:rsid w:val="00D04D0D"/>
    <w:rsid w:val="00D04E42"/>
    <w:rsid w:val="00D051D5"/>
    <w:rsid w:val="00D05301"/>
    <w:rsid w:val="00D0551A"/>
    <w:rsid w:val="00D05769"/>
    <w:rsid w:val="00D0584E"/>
    <w:rsid w:val="00D05A6D"/>
    <w:rsid w:val="00D05A90"/>
    <w:rsid w:val="00D05BE9"/>
    <w:rsid w:val="00D05DF7"/>
    <w:rsid w:val="00D05EA3"/>
    <w:rsid w:val="00D06133"/>
    <w:rsid w:val="00D062F2"/>
    <w:rsid w:val="00D06379"/>
    <w:rsid w:val="00D06427"/>
    <w:rsid w:val="00D06462"/>
    <w:rsid w:val="00D0694B"/>
    <w:rsid w:val="00D06A64"/>
    <w:rsid w:val="00D06CBF"/>
    <w:rsid w:val="00D06D0B"/>
    <w:rsid w:val="00D06F5F"/>
    <w:rsid w:val="00D0725D"/>
    <w:rsid w:val="00D073A0"/>
    <w:rsid w:val="00D073FF"/>
    <w:rsid w:val="00D074A8"/>
    <w:rsid w:val="00D074E3"/>
    <w:rsid w:val="00D07634"/>
    <w:rsid w:val="00D07923"/>
    <w:rsid w:val="00D07B9B"/>
    <w:rsid w:val="00D07E61"/>
    <w:rsid w:val="00D07F84"/>
    <w:rsid w:val="00D07FC5"/>
    <w:rsid w:val="00D07FC6"/>
    <w:rsid w:val="00D102B6"/>
    <w:rsid w:val="00D1032B"/>
    <w:rsid w:val="00D106E2"/>
    <w:rsid w:val="00D106E4"/>
    <w:rsid w:val="00D107D4"/>
    <w:rsid w:val="00D10A8C"/>
    <w:rsid w:val="00D10C8B"/>
    <w:rsid w:val="00D1113E"/>
    <w:rsid w:val="00D111E8"/>
    <w:rsid w:val="00D11294"/>
    <w:rsid w:val="00D1149A"/>
    <w:rsid w:val="00D115CD"/>
    <w:rsid w:val="00D11791"/>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9E5"/>
    <w:rsid w:val="00D13A41"/>
    <w:rsid w:val="00D13B95"/>
    <w:rsid w:val="00D13BF2"/>
    <w:rsid w:val="00D13C15"/>
    <w:rsid w:val="00D13C23"/>
    <w:rsid w:val="00D13F02"/>
    <w:rsid w:val="00D13F1B"/>
    <w:rsid w:val="00D13FF8"/>
    <w:rsid w:val="00D1404A"/>
    <w:rsid w:val="00D140C8"/>
    <w:rsid w:val="00D14124"/>
    <w:rsid w:val="00D14179"/>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580"/>
    <w:rsid w:val="00D15692"/>
    <w:rsid w:val="00D157B7"/>
    <w:rsid w:val="00D15945"/>
    <w:rsid w:val="00D15AE2"/>
    <w:rsid w:val="00D15F3D"/>
    <w:rsid w:val="00D1607C"/>
    <w:rsid w:val="00D16163"/>
    <w:rsid w:val="00D161DD"/>
    <w:rsid w:val="00D1621F"/>
    <w:rsid w:val="00D1647A"/>
    <w:rsid w:val="00D16596"/>
    <w:rsid w:val="00D16821"/>
    <w:rsid w:val="00D16826"/>
    <w:rsid w:val="00D168C6"/>
    <w:rsid w:val="00D16AAC"/>
    <w:rsid w:val="00D16B98"/>
    <w:rsid w:val="00D16C50"/>
    <w:rsid w:val="00D16C96"/>
    <w:rsid w:val="00D16CEE"/>
    <w:rsid w:val="00D16DA1"/>
    <w:rsid w:val="00D16DD4"/>
    <w:rsid w:val="00D16DE3"/>
    <w:rsid w:val="00D16E8F"/>
    <w:rsid w:val="00D17172"/>
    <w:rsid w:val="00D1729B"/>
    <w:rsid w:val="00D17496"/>
    <w:rsid w:val="00D174C9"/>
    <w:rsid w:val="00D17705"/>
    <w:rsid w:val="00D17814"/>
    <w:rsid w:val="00D17888"/>
    <w:rsid w:val="00D17C6E"/>
    <w:rsid w:val="00D17D97"/>
    <w:rsid w:val="00D17F55"/>
    <w:rsid w:val="00D17F73"/>
    <w:rsid w:val="00D17FAD"/>
    <w:rsid w:val="00D2034B"/>
    <w:rsid w:val="00D2044D"/>
    <w:rsid w:val="00D20509"/>
    <w:rsid w:val="00D20610"/>
    <w:rsid w:val="00D20635"/>
    <w:rsid w:val="00D2073C"/>
    <w:rsid w:val="00D20887"/>
    <w:rsid w:val="00D20921"/>
    <w:rsid w:val="00D209D4"/>
    <w:rsid w:val="00D20ACF"/>
    <w:rsid w:val="00D20C4A"/>
    <w:rsid w:val="00D20CB5"/>
    <w:rsid w:val="00D20CF7"/>
    <w:rsid w:val="00D20D09"/>
    <w:rsid w:val="00D210A0"/>
    <w:rsid w:val="00D21105"/>
    <w:rsid w:val="00D21133"/>
    <w:rsid w:val="00D21450"/>
    <w:rsid w:val="00D21548"/>
    <w:rsid w:val="00D21911"/>
    <w:rsid w:val="00D21955"/>
    <w:rsid w:val="00D219F0"/>
    <w:rsid w:val="00D21A26"/>
    <w:rsid w:val="00D21A56"/>
    <w:rsid w:val="00D21B51"/>
    <w:rsid w:val="00D21C7A"/>
    <w:rsid w:val="00D21D52"/>
    <w:rsid w:val="00D22100"/>
    <w:rsid w:val="00D22431"/>
    <w:rsid w:val="00D2257D"/>
    <w:rsid w:val="00D225A0"/>
    <w:rsid w:val="00D2260A"/>
    <w:rsid w:val="00D2261A"/>
    <w:rsid w:val="00D226D4"/>
    <w:rsid w:val="00D226DD"/>
    <w:rsid w:val="00D22731"/>
    <w:rsid w:val="00D22D28"/>
    <w:rsid w:val="00D22D76"/>
    <w:rsid w:val="00D22F5A"/>
    <w:rsid w:val="00D22F84"/>
    <w:rsid w:val="00D23468"/>
    <w:rsid w:val="00D2347A"/>
    <w:rsid w:val="00D23518"/>
    <w:rsid w:val="00D2355C"/>
    <w:rsid w:val="00D23706"/>
    <w:rsid w:val="00D2382C"/>
    <w:rsid w:val="00D23B53"/>
    <w:rsid w:val="00D23B5F"/>
    <w:rsid w:val="00D23C5B"/>
    <w:rsid w:val="00D23EB2"/>
    <w:rsid w:val="00D23EB8"/>
    <w:rsid w:val="00D2416D"/>
    <w:rsid w:val="00D241FE"/>
    <w:rsid w:val="00D242D7"/>
    <w:rsid w:val="00D242F5"/>
    <w:rsid w:val="00D2432D"/>
    <w:rsid w:val="00D24530"/>
    <w:rsid w:val="00D25123"/>
    <w:rsid w:val="00D25356"/>
    <w:rsid w:val="00D253E2"/>
    <w:rsid w:val="00D256E4"/>
    <w:rsid w:val="00D2598A"/>
    <w:rsid w:val="00D25D27"/>
    <w:rsid w:val="00D25D5A"/>
    <w:rsid w:val="00D25EFD"/>
    <w:rsid w:val="00D25F37"/>
    <w:rsid w:val="00D25F3D"/>
    <w:rsid w:val="00D25FA6"/>
    <w:rsid w:val="00D25FD0"/>
    <w:rsid w:val="00D26137"/>
    <w:rsid w:val="00D26221"/>
    <w:rsid w:val="00D26398"/>
    <w:rsid w:val="00D263A1"/>
    <w:rsid w:val="00D263EB"/>
    <w:rsid w:val="00D26450"/>
    <w:rsid w:val="00D265DA"/>
    <w:rsid w:val="00D2691D"/>
    <w:rsid w:val="00D26A3C"/>
    <w:rsid w:val="00D26C41"/>
    <w:rsid w:val="00D26CC4"/>
    <w:rsid w:val="00D26D0F"/>
    <w:rsid w:val="00D26D2C"/>
    <w:rsid w:val="00D26E07"/>
    <w:rsid w:val="00D26F66"/>
    <w:rsid w:val="00D26F85"/>
    <w:rsid w:val="00D26F9B"/>
    <w:rsid w:val="00D27477"/>
    <w:rsid w:val="00D274F6"/>
    <w:rsid w:val="00D27B9C"/>
    <w:rsid w:val="00D27C2B"/>
    <w:rsid w:val="00D27CA8"/>
    <w:rsid w:val="00D27D40"/>
    <w:rsid w:val="00D27DB0"/>
    <w:rsid w:val="00D27E1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EDF"/>
    <w:rsid w:val="00D3102B"/>
    <w:rsid w:val="00D31122"/>
    <w:rsid w:val="00D31195"/>
    <w:rsid w:val="00D3126B"/>
    <w:rsid w:val="00D3128D"/>
    <w:rsid w:val="00D31545"/>
    <w:rsid w:val="00D317B9"/>
    <w:rsid w:val="00D317EE"/>
    <w:rsid w:val="00D319D0"/>
    <w:rsid w:val="00D31C2A"/>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B5F"/>
    <w:rsid w:val="00D32C33"/>
    <w:rsid w:val="00D32D7F"/>
    <w:rsid w:val="00D33037"/>
    <w:rsid w:val="00D33044"/>
    <w:rsid w:val="00D330AE"/>
    <w:rsid w:val="00D333A4"/>
    <w:rsid w:val="00D334E3"/>
    <w:rsid w:val="00D3355A"/>
    <w:rsid w:val="00D33606"/>
    <w:rsid w:val="00D336C9"/>
    <w:rsid w:val="00D3374E"/>
    <w:rsid w:val="00D33765"/>
    <w:rsid w:val="00D33942"/>
    <w:rsid w:val="00D33C22"/>
    <w:rsid w:val="00D33DA6"/>
    <w:rsid w:val="00D33F64"/>
    <w:rsid w:val="00D33FAC"/>
    <w:rsid w:val="00D3419C"/>
    <w:rsid w:val="00D341D5"/>
    <w:rsid w:val="00D34268"/>
    <w:rsid w:val="00D34565"/>
    <w:rsid w:val="00D3476F"/>
    <w:rsid w:val="00D34773"/>
    <w:rsid w:val="00D34793"/>
    <w:rsid w:val="00D347B0"/>
    <w:rsid w:val="00D34938"/>
    <w:rsid w:val="00D34C16"/>
    <w:rsid w:val="00D34C9A"/>
    <w:rsid w:val="00D34E86"/>
    <w:rsid w:val="00D35090"/>
    <w:rsid w:val="00D35126"/>
    <w:rsid w:val="00D35212"/>
    <w:rsid w:val="00D3531F"/>
    <w:rsid w:val="00D354CA"/>
    <w:rsid w:val="00D356CA"/>
    <w:rsid w:val="00D357E4"/>
    <w:rsid w:val="00D3587F"/>
    <w:rsid w:val="00D35AC3"/>
    <w:rsid w:val="00D35C20"/>
    <w:rsid w:val="00D35F58"/>
    <w:rsid w:val="00D35FE0"/>
    <w:rsid w:val="00D36113"/>
    <w:rsid w:val="00D36271"/>
    <w:rsid w:val="00D36665"/>
    <w:rsid w:val="00D3678F"/>
    <w:rsid w:val="00D367C3"/>
    <w:rsid w:val="00D36BBC"/>
    <w:rsid w:val="00D36EE4"/>
    <w:rsid w:val="00D36F6D"/>
    <w:rsid w:val="00D36FE5"/>
    <w:rsid w:val="00D370FD"/>
    <w:rsid w:val="00D3718C"/>
    <w:rsid w:val="00D3722D"/>
    <w:rsid w:val="00D3727E"/>
    <w:rsid w:val="00D372D4"/>
    <w:rsid w:val="00D37523"/>
    <w:rsid w:val="00D37749"/>
    <w:rsid w:val="00D3792F"/>
    <w:rsid w:val="00D3798B"/>
    <w:rsid w:val="00D379A6"/>
    <w:rsid w:val="00D37F2C"/>
    <w:rsid w:val="00D37FE0"/>
    <w:rsid w:val="00D4002B"/>
    <w:rsid w:val="00D40123"/>
    <w:rsid w:val="00D4043E"/>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7EB"/>
    <w:rsid w:val="00D41976"/>
    <w:rsid w:val="00D41A03"/>
    <w:rsid w:val="00D41A22"/>
    <w:rsid w:val="00D41A68"/>
    <w:rsid w:val="00D41B49"/>
    <w:rsid w:val="00D41B8A"/>
    <w:rsid w:val="00D41C38"/>
    <w:rsid w:val="00D41EB4"/>
    <w:rsid w:val="00D41F1E"/>
    <w:rsid w:val="00D421DD"/>
    <w:rsid w:val="00D42381"/>
    <w:rsid w:val="00D423A9"/>
    <w:rsid w:val="00D4249A"/>
    <w:rsid w:val="00D4258B"/>
    <w:rsid w:val="00D42727"/>
    <w:rsid w:val="00D427FD"/>
    <w:rsid w:val="00D4282C"/>
    <w:rsid w:val="00D429EF"/>
    <w:rsid w:val="00D42BED"/>
    <w:rsid w:val="00D42CCF"/>
    <w:rsid w:val="00D42D29"/>
    <w:rsid w:val="00D42F6F"/>
    <w:rsid w:val="00D43074"/>
    <w:rsid w:val="00D4314C"/>
    <w:rsid w:val="00D43234"/>
    <w:rsid w:val="00D432D8"/>
    <w:rsid w:val="00D43374"/>
    <w:rsid w:val="00D43456"/>
    <w:rsid w:val="00D43568"/>
    <w:rsid w:val="00D435D4"/>
    <w:rsid w:val="00D43796"/>
    <w:rsid w:val="00D43846"/>
    <w:rsid w:val="00D43A28"/>
    <w:rsid w:val="00D43C69"/>
    <w:rsid w:val="00D43D4A"/>
    <w:rsid w:val="00D43E64"/>
    <w:rsid w:val="00D43F90"/>
    <w:rsid w:val="00D4418E"/>
    <w:rsid w:val="00D441BA"/>
    <w:rsid w:val="00D4427C"/>
    <w:rsid w:val="00D44487"/>
    <w:rsid w:val="00D44539"/>
    <w:rsid w:val="00D44684"/>
    <w:rsid w:val="00D446FB"/>
    <w:rsid w:val="00D44836"/>
    <w:rsid w:val="00D44849"/>
    <w:rsid w:val="00D448D7"/>
    <w:rsid w:val="00D449B5"/>
    <w:rsid w:val="00D44AC6"/>
    <w:rsid w:val="00D44B0E"/>
    <w:rsid w:val="00D44CA1"/>
    <w:rsid w:val="00D44DB0"/>
    <w:rsid w:val="00D44E25"/>
    <w:rsid w:val="00D44F03"/>
    <w:rsid w:val="00D44FAA"/>
    <w:rsid w:val="00D44FCC"/>
    <w:rsid w:val="00D45065"/>
    <w:rsid w:val="00D4512B"/>
    <w:rsid w:val="00D451AB"/>
    <w:rsid w:val="00D45311"/>
    <w:rsid w:val="00D453A7"/>
    <w:rsid w:val="00D4548B"/>
    <w:rsid w:val="00D45521"/>
    <w:rsid w:val="00D45771"/>
    <w:rsid w:val="00D458DE"/>
    <w:rsid w:val="00D45C17"/>
    <w:rsid w:val="00D460A0"/>
    <w:rsid w:val="00D46137"/>
    <w:rsid w:val="00D46223"/>
    <w:rsid w:val="00D46278"/>
    <w:rsid w:val="00D4629F"/>
    <w:rsid w:val="00D46333"/>
    <w:rsid w:val="00D46445"/>
    <w:rsid w:val="00D4661D"/>
    <w:rsid w:val="00D466FB"/>
    <w:rsid w:val="00D4682E"/>
    <w:rsid w:val="00D4698A"/>
    <w:rsid w:val="00D46B23"/>
    <w:rsid w:val="00D46C2F"/>
    <w:rsid w:val="00D46D27"/>
    <w:rsid w:val="00D46E01"/>
    <w:rsid w:val="00D46E92"/>
    <w:rsid w:val="00D46ECB"/>
    <w:rsid w:val="00D47170"/>
    <w:rsid w:val="00D47181"/>
    <w:rsid w:val="00D471F1"/>
    <w:rsid w:val="00D47294"/>
    <w:rsid w:val="00D47317"/>
    <w:rsid w:val="00D47583"/>
    <w:rsid w:val="00D477BE"/>
    <w:rsid w:val="00D477FE"/>
    <w:rsid w:val="00D479C3"/>
    <w:rsid w:val="00D47A02"/>
    <w:rsid w:val="00D47AA0"/>
    <w:rsid w:val="00D47B86"/>
    <w:rsid w:val="00D47C40"/>
    <w:rsid w:val="00D47E39"/>
    <w:rsid w:val="00D5002C"/>
    <w:rsid w:val="00D50186"/>
    <w:rsid w:val="00D502F8"/>
    <w:rsid w:val="00D5038B"/>
    <w:rsid w:val="00D50705"/>
    <w:rsid w:val="00D5080E"/>
    <w:rsid w:val="00D50DF9"/>
    <w:rsid w:val="00D50ECF"/>
    <w:rsid w:val="00D50EDE"/>
    <w:rsid w:val="00D50F04"/>
    <w:rsid w:val="00D50F49"/>
    <w:rsid w:val="00D50FE1"/>
    <w:rsid w:val="00D51202"/>
    <w:rsid w:val="00D51275"/>
    <w:rsid w:val="00D51362"/>
    <w:rsid w:val="00D51548"/>
    <w:rsid w:val="00D5161E"/>
    <w:rsid w:val="00D51832"/>
    <w:rsid w:val="00D5183B"/>
    <w:rsid w:val="00D5188C"/>
    <w:rsid w:val="00D5197B"/>
    <w:rsid w:val="00D51AD5"/>
    <w:rsid w:val="00D51B8D"/>
    <w:rsid w:val="00D51CE7"/>
    <w:rsid w:val="00D51D1E"/>
    <w:rsid w:val="00D51E1A"/>
    <w:rsid w:val="00D51E5B"/>
    <w:rsid w:val="00D51FFE"/>
    <w:rsid w:val="00D52380"/>
    <w:rsid w:val="00D523C3"/>
    <w:rsid w:val="00D5256C"/>
    <w:rsid w:val="00D5262B"/>
    <w:rsid w:val="00D527E4"/>
    <w:rsid w:val="00D52924"/>
    <w:rsid w:val="00D52B49"/>
    <w:rsid w:val="00D52DFA"/>
    <w:rsid w:val="00D52FD6"/>
    <w:rsid w:val="00D53287"/>
    <w:rsid w:val="00D532DC"/>
    <w:rsid w:val="00D532EE"/>
    <w:rsid w:val="00D535AF"/>
    <w:rsid w:val="00D5365B"/>
    <w:rsid w:val="00D537C0"/>
    <w:rsid w:val="00D537D1"/>
    <w:rsid w:val="00D53B7A"/>
    <w:rsid w:val="00D53B7D"/>
    <w:rsid w:val="00D53BBE"/>
    <w:rsid w:val="00D53C6E"/>
    <w:rsid w:val="00D53D04"/>
    <w:rsid w:val="00D53FBD"/>
    <w:rsid w:val="00D54041"/>
    <w:rsid w:val="00D54495"/>
    <w:rsid w:val="00D544F4"/>
    <w:rsid w:val="00D54552"/>
    <w:rsid w:val="00D54664"/>
    <w:rsid w:val="00D546EE"/>
    <w:rsid w:val="00D5471C"/>
    <w:rsid w:val="00D54734"/>
    <w:rsid w:val="00D5477D"/>
    <w:rsid w:val="00D54858"/>
    <w:rsid w:val="00D54868"/>
    <w:rsid w:val="00D549BE"/>
    <w:rsid w:val="00D549DF"/>
    <w:rsid w:val="00D54A65"/>
    <w:rsid w:val="00D54C52"/>
    <w:rsid w:val="00D54E0E"/>
    <w:rsid w:val="00D553A1"/>
    <w:rsid w:val="00D5560D"/>
    <w:rsid w:val="00D558A7"/>
    <w:rsid w:val="00D559CD"/>
    <w:rsid w:val="00D55A5A"/>
    <w:rsid w:val="00D55ABF"/>
    <w:rsid w:val="00D55B86"/>
    <w:rsid w:val="00D55D4A"/>
    <w:rsid w:val="00D55E32"/>
    <w:rsid w:val="00D56063"/>
    <w:rsid w:val="00D56388"/>
    <w:rsid w:val="00D56400"/>
    <w:rsid w:val="00D5661D"/>
    <w:rsid w:val="00D566E1"/>
    <w:rsid w:val="00D56A68"/>
    <w:rsid w:val="00D56C4C"/>
    <w:rsid w:val="00D56DDF"/>
    <w:rsid w:val="00D56E06"/>
    <w:rsid w:val="00D56F4E"/>
    <w:rsid w:val="00D57010"/>
    <w:rsid w:val="00D5703A"/>
    <w:rsid w:val="00D57069"/>
    <w:rsid w:val="00D570C6"/>
    <w:rsid w:val="00D570E1"/>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D"/>
    <w:rsid w:val="00D607E6"/>
    <w:rsid w:val="00D60823"/>
    <w:rsid w:val="00D60896"/>
    <w:rsid w:val="00D60AF5"/>
    <w:rsid w:val="00D60B8F"/>
    <w:rsid w:val="00D60D43"/>
    <w:rsid w:val="00D60D55"/>
    <w:rsid w:val="00D60DB5"/>
    <w:rsid w:val="00D60F4A"/>
    <w:rsid w:val="00D60FD8"/>
    <w:rsid w:val="00D612B4"/>
    <w:rsid w:val="00D612C4"/>
    <w:rsid w:val="00D61341"/>
    <w:rsid w:val="00D61373"/>
    <w:rsid w:val="00D6141A"/>
    <w:rsid w:val="00D61683"/>
    <w:rsid w:val="00D6176A"/>
    <w:rsid w:val="00D61788"/>
    <w:rsid w:val="00D618E0"/>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5F6"/>
    <w:rsid w:val="00D62708"/>
    <w:rsid w:val="00D627DC"/>
    <w:rsid w:val="00D62ABE"/>
    <w:rsid w:val="00D62AE8"/>
    <w:rsid w:val="00D62BF9"/>
    <w:rsid w:val="00D62DB1"/>
    <w:rsid w:val="00D62EC7"/>
    <w:rsid w:val="00D62F70"/>
    <w:rsid w:val="00D62FC1"/>
    <w:rsid w:val="00D6304B"/>
    <w:rsid w:val="00D630CD"/>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71F"/>
    <w:rsid w:val="00D6480F"/>
    <w:rsid w:val="00D6498E"/>
    <w:rsid w:val="00D64B3A"/>
    <w:rsid w:val="00D64DE2"/>
    <w:rsid w:val="00D64F1C"/>
    <w:rsid w:val="00D64F56"/>
    <w:rsid w:val="00D6510D"/>
    <w:rsid w:val="00D65201"/>
    <w:rsid w:val="00D6520B"/>
    <w:rsid w:val="00D652DE"/>
    <w:rsid w:val="00D652FB"/>
    <w:rsid w:val="00D653FC"/>
    <w:rsid w:val="00D65406"/>
    <w:rsid w:val="00D65584"/>
    <w:rsid w:val="00D65637"/>
    <w:rsid w:val="00D657B3"/>
    <w:rsid w:val="00D65D19"/>
    <w:rsid w:val="00D65DC2"/>
    <w:rsid w:val="00D65F58"/>
    <w:rsid w:val="00D6605F"/>
    <w:rsid w:val="00D6615C"/>
    <w:rsid w:val="00D66265"/>
    <w:rsid w:val="00D66541"/>
    <w:rsid w:val="00D6656A"/>
    <w:rsid w:val="00D6662B"/>
    <w:rsid w:val="00D66A8A"/>
    <w:rsid w:val="00D66ABE"/>
    <w:rsid w:val="00D6707C"/>
    <w:rsid w:val="00D67356"/>
    <w:rsid w:val="00D6755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42"/>
    <w:rsid w:val="00D70FEC"/>
    <w:rsid w:val="00D70FF0"/>
    <w:rsid w:val="00D711E7"/>
    <w:rsid w:val="00D71213"/>
    <w:rsid w:val="00D71240"/>
    <w:rsid w:val="00D71247"/>
    <w:rsid w:val="00D71278"/>
    <w:rsid w:val="00D714D0"/>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4E7"/>
    <w:rsid w:val="00D72542"/>
    <w:rsid w:val="00D72613"/>
    <w:rsid w:val="00D72722"/>
    <w:rsid w:val="00D729B8"/>
    <w:rsid w:val="00D72B99"/>
    <w:rsid w:val="00D72C21"/>
    <w:rsid w:val="00D72C63"/>
    <w:rsid w:val="00D732C4"/>
    <w:rsid w:val="00D73333"/>
    <w:rsid w:val="00D73338"/>
    <w:rsid w:val="00D733B4"/>
    <w:rsid w:val="00D73460"/>
    <w:rsid w:val="00D734C5"/>
    <w:rsid w:val="00D7361A"/>
    <w:rsid w:val="00D736DC"/>
    <w:rsid w:val="00D7399A"/>
    <w:rsid w:val="00D73B8E"/>
    <w:rsid w:val="00D73BF2"/>
    <w:rsid w:val="00D73D10"/>
    <w:rsid w:val="00D73DB1"/>
    <w:rsid w:val="00D73E97"/>
    <w:rsid w:val="00D74163"/>
    <w:rsid w:val="00D7422A"/>
    <w:rsid w:val="00D7424A"/>
    <w:rsid w:val="00D74373"/>
    <w:rsid w:val="00D743CF"/>
    <w:rsid w:val="00D7474F"/>
    <w:rsid w:val="00D748D5"/>
    <w:rsid w:val="00D74B89"/>
    <w:rsid w:val="00D74C24"/>
    <w:rsid w:val="00D74E29"/>
    <w:rsid w:val="00D74E62"/>
    <w:rsid w:val="00D75138"/>
    <w:rsid w:val="00D75250"/>
    <w:rsid w:val="00D752DD"/>
    <w:rsid w:val="00D75394"/>
    <w:rsid w:val="00D753F9"/>
    <w:rsid w:val="00D7552D"/>
    <w:rsid w:val="00D75598"/>
    <w:rsid w:val="00D75683"/>
    <w:rsid w:val="00D75692"/>
    <w:rsid w:val="00D75773"/>
    <w:rsid w:val="00D758C5"/>
    <w:rsid w:val="00D75904"/>
    <w:rsid w:val="00D75AB7"/>
    <w:rsid w:val="00D75ADC"/>
    <w:rsid w:val="00D75B47"/>
    <w:rsid w:val="00D75DB4"/>
    <w:rsid w:val="00D75E3A"/>
    <w:rsid w:val="00D75EB9"/>
    <w:rsid w:val="00D75EF4"/>
    <w:rsid w:val="00D76131"/>
    <w:rsid w:val="00D7621A"/>
    <w:rsid w:val="00D7629C"/>
    <w:rsid w:val="00D76327"/>
    <w:rsid w:val="00D7637A"/>
    <w:rsid w:val="00D76432"/>
    <w:rsid w:val="00D76450"/>
    <w:rsid w:val="00D7672C"/>
    <w:rsid w:val="00D768F1"/>
    <w:rsid w:val="00D7693C"/>
    <w:rsid w:val="00D76B99"/>
    <w:rsid w:val="00D76CD6"/>
    <w:rsid w:val="00D76CD9"/>
    <w:rsid w:val="00D76D44"/>
    <w:rsid w:val="00D76F03"/>
    <w:rsid w:val="00D7714E"/>
    <w:rsid w:val="00D77155"/>
    <w:rsid w:val="00D771B5"/>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0CC"/>
    <w:rsid w:val="00D81223"/>
    <w:rsid w:val="00D81316"/>
    <w:rsid w:val="00D8137B"/>
    <w:rsid w:val="00D81392"/>
    <w:rsid w:val="00D815B7"/>
    <w:rsid w:val="00D817DB"/>
    <w:rsid w:val="00D81850"/>
    <w:rsid w:val="00D8195E"/>
    <w:rsid w:val="00D81D02"/>
    <w:rsid w:val="00D81D69"/>
    <w:rsid w:val="00D81E7D"/>
    <w:rsid w:val="00D82153"/>
    <w:rsid w:val="00D82209"/>
    <w:rsid w:val="00D82248"/>
    <w:rsid w:val="00D8242F"/>
    <w:rsid w:val="00D8245E"/>
    <w:rsid w:val="00D824D3"/>
    <w:rsid w:val="00D825FF"/>
    <w:rsid w:val="00D82922"/>
    <w:rsid w:val="00D82B14"/>
    <w:rsid w:val="00D82B2C"/>
    <w:rsid w:val="00D82B3E"/>
    <w:rsid w:val="00D82B9D"/>
    <w:rsid w:val="00D82D5C"/>
    <w:rsid w:val="00D830A8"/>
    <w:rsid w:val="00D83144"/>
    <w:rsid w:val="00D831FE"/>
    <w:rsid w:val="00D83275"/>
    <w:rsid w:val="00D8342A"/>
    <w:rsid w:val="00D835C2"/>
    <w:rsid w:val="00D8360F"/>
    <w:rsid w:val="00D8393C"/>
    <w:rsid w:val="00D83ABD"/>
    <w:rsid w:val="00D83B64"/>
    <w:rsid w:val="00D83C09"/>
    <w:rsid w:val="00D83CF2"/>
    <w:rsid w:val="00D83D72"/>
    <w:rsid w:val="00D842AF"/>
    <w:rsid w:val="00D8435C"/>
    <w:rsid w:val="00D843E4"/>
    <w:rsid w:val="00D84520"/>
    <w:rsid w:val="00D84536"/>
    <w:rsid w:val="00D847A7"/>
    <w:rsid w:val="00D8495C"/>
    <w:rsid w:val="00D84B26"/>
    <w:rsid w:val="00D84B4D"/>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74E"/>
    <w:rsid w:val="00D867BB"/>
    <w:rsid w:val="00D8691B"/>
    <w:rsid w:val="00D86B39"/>
    <w:rsid w:val="00D86BD0"/>
    <w:rsid w:val="00D86BFC"/>
    <w:rsid w:val="00D86C65"/>
    <w:rsid w:val="00D86CB3"/>
    <w:rsid w:val="00D86E80"/>
    <w:rsid w:val="00D86E9F"/>
    <w:rsid w:val="00D86FAA"/>
    <w:rsid w:val="00D86FB8"/>
    <w:rsid w:val="00D8701B"/>
    <w:rsid w:val="00D8708D"/>
    <w:rsid w:val="00D87161"/>
    <w:rsid w:val="00D871EB"/>
    <w:rsid w:val="00D87233"/>
    <w:rsid w:val="00D8726A"/>
    <w:rsid w:val="00D87461"/>
    <w:rsid w:val="00D874E1"/>
    <w:rsid w:val="00D87509"/>
    <w:rsid w:val="00D875A6"/>
    <w:rsid w:val="00D876DA"/>
    <w:rsid w:val="00D878EF"/>
    <w:rsid w:val="00D879E9"/>
    <w:rsid w:val="00D87C59"/>
    <w:rsid w:val="00D87DA3"/>
    <w:rsid w:val="00D87F2E"/>
    <w:rsid w:val="00D87F55"/>
    <w:rsid w:val="00D90043"/>
    <w:rsid w:val="00D90221"/>
    <w:rsid w:val="00D90246"/>
    <w:rsid w:val="00D9053E"/>
    <w:rsid w:val="00D9097E"/>
    <w:rsid w:val="00D90986"/>
    <w:rsid w:val="00D90A5E"/>
    <w:rsid w:val="00D90C51"/>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7F6"/>
    <w:rsid w:val="00D91964"/>
    <w:rsid w:val="00D91A27"/>
    <w:rsid w:val="00D91ACA"/>
    <w:rsid w:val="00D91C91"/>
    <w:rsid w:val="00D91DF8"/>
    <w:rsid w:val="00D91EC3"/>
    <w:rsid w:val="00D91F90"/>
    <w:rsid w:val="00D92174"/>
    <w:rsid w:val="00D9247C"/>
    <w:rsid w:val="00D926D3"/>
    <w:rsid w:val="00D929A8"/>
    <w:rsid w:val="00D92AA2"/>
    <w:rsid w:val="00D92B87"/>
    <w:rsid w:val="00D92E81"/>
    <w:rsid w:val="00D93097"/>
    <w:rsid w:val="00D9311D"/>
    <w:rsid w:val="00D93280"/>
    <w:rsid w:val="00D93368"/>
    <w:rsid w:val="00D935D4"/>
    <w:rsid w:val="00D9374C"/>
    <w:rsid w:val="00D937FA"/>
    <w:rsid w:val="00D9381D"/>
    <w:rsid w:val="00D9383B"/>
    <w:rsid w:val="00D938E6"/>
    <w:rsid w:val="00D938F0"/>
    <w:rsid w:val="00D939FB"/>
    <w:rsid w:val="00D93AE3"/>
    <w:rsid w:val="00D94049"/>
    <w:rsid w:val="00D940A2"/>
    <w:rsid w:val="00D940F2"/>
    <w:rsid w:val="00D94372"/>
    <w:rsid w:val="00D943E9"/>
    <w:rsid w:val="00D944A3"/>
    <w:rsid w:val="00D9473E"/>
    <w:rsid w:val="00D947AD"/>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6A5"/>
    <w:rsid w:val="00D958D3"/>
    <w:rsid w:val="00D958E4"/>
    <w:rsid w:val="00D95CA4"/>
    <w:rsid w:val="00D95D09"/>
    <w:rsid w:val="00D95FBC"/>
    <w:rsid w:val="00D96234"/>
    <w:rsid w:val="00D966EA"/>
    <w:rsid w:val="00D96951"/>
    <w:rsid w:val="00D969B2"/>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276"/>
    <w:rsid w:val="00DA0509"/>
    <w:rsid w:val="00DA0521"/>
    <w:rsid w:val="00DA0695"/>
    <w:rsid w:val="00DA079F"/>
    <w:rsid w:val="00DA0829"/>
    <w:rsid w:val="00DA0B38"/>
    <w:rsid w:val="00DA0B73"/>
    <w:rsid w:val="00DA0E5E"/>
    <w:rsid w:val="00DA0EE4"/>
    <w:rsid w:val="00DA0F4C"/>
    <w:rsid w:val="00DA1026"/>
    <w:rsid w:val="00DA13CB"/>
    <w:rsid w:val="00DA15F5"/>
    <w:rsid w:val="00DA1725"/>
    <w:rsid w:val="00DA17B2"/>
    <w:rsid w:val="00DA181F"/>
    <w:rsid w:val="00DA1865"/>
    <w:rsid w:val="00DA19A2"/>
    <w:rsid w:val="00DA1C6E"/>
    <w:rsid w:val="00DA1E08"/>
    <w:rsid w:val="00DA1EC3"/>
    <w:rsid w:val="00DA1F0F"/>
    <w:rsid w:val="00DA2024"/>
    <w:rsid w:val="00DA2090"/>
    <w:rsid w:val="00DA2111"/>
    <w:rsid w:val="00DA23DE"/>
    <w:rsid w:val="00DA2463"/>
    <w:rsid w:val="00DA2562"/>
    <w:rsid w:val="00DA2567"/>
    <w:rsid w:val="00DA2621"/>
    <w:rsid w:val="00DA267E"/>
    <w:rsid w:val="00DA2870"/>
    <w:rsid w:val="00DA2896"/>
    <w:rsid w:val="00DA291D"/>
    <w:rsid w:val="00DA296C"/>
    <w:rsid w:val="00DA298F"/>
    <w:rsid w:val="00DA2D9D"/>
    <w:rsid w:val="00DA2E05"/>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A1"/>
    <w:rsid w:val="00DA48C9"/>
    <w:rsid w:val="00DA493E"/>
    <w:rsid w:val="00DA498D"/>
    <w:rsid w:val="00DA49CA"/>
    <w:rsid w:val="00DA4AFD"/>
    <w:rsid w:val="00DA4B1E"/>
    <w:rsid w:val="00DA4B99"/>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729"/>
    <w:rsid w:val="00DA68F7"/>
    <w:rsid w:val="00DA6A58"/>
    <w:rsid w:val="00DA6CF7"/>
    <w:rsid w:val="00DA6CFF"/>
    <w:rsid w:val="00DA6F24"/>
    <w:rsid w:val="00DA6F47"/>
    <w:rsid w:val="00DA6F7C"/>
    <w:rsid w:val="00DA7007"/>
    <w:rsid w:val="00DA70FD"/>
    <w:rsid w:val="00DA736D"/>
    <w:rsid w:val="00DA74E1"/>
    <w:rsid w:val="00DA77AB"/>
    <w:rsid w:val="00DA77CC"/>
    <w:rsid w:val="00DA79BD"/>
    <w:rsid w:val="00DA79FA"/>
    <w:rsid w:val="00DA7C7C"/>
    <w:rsid w:val="00DA7D68"/>
    <w:rsid w:val="00DA7E2C"/>
    <w:rsid w:val="00DA7F22"/>
    <w:rsid w:val="00DA7F3C"/>
    <w:rsid w:val="00DA7FDE"/>
    <w:rsid w:val="00DB004B"/>
    <w:rsid w:val="00DB00D9"/>
    <w:rsid w:val="00DB01B2"/>
    <w:rsid w:val="00DB01C2"/>
    <w:rsid w:val="00DB0211"/>
    <w:rsid w:val="00DB032C"/>
    <w:rsid w:val="00DB03BB"/>
    <w:rsid w:val="00DB0451"/>
    <w:rsid w:val="00DB04AE"/>
    <w:rsid w:val="00DB06C1"/>
    <w:rsid w:val="00DB08DD"/>
    <w:rsid w:val="00DB0A11"/>
    <w:rsid w:val="00DB0AD5"/>
    <w:rsid w:val="00DB0B57"/>
    <w:rsid w:val="00DB0BA6"/>
    <w:rsid w:val="00DB0C05"/>
    <w:rsid w:val="00DB0D44"/>
    <w:rsid w:val="00DB0E81"/>
    <w:rsid w:val="00DB1060"/>
    <w:rsid w:val="00DB10A2"/>
    <w:rsid w:val="00DB11A8"/>
    <w:rsid w:val="00DB12D2"/>
    <w:rsid w:val="00DB132B"/>
    <w:rsid w:val="00DB1805"/>
    <w:rsid w:val="00DB1B64"/>
    <w:rsid w:val="00DB1E31"/>
    <w:rsid w:val="00DB213E"/>
    <w:rsid w:val="00DB223C"/>
    <w:rsid w:val="00DB2276"/>
    <w:rsid w:val="00DB25C2"/>
    <w:rsid w:val="00DB28A3"/>
    <w:rsid w:val="00DB2910"/>
    <w:rsid w:val="00DB29A7"/>
    <w:rsid w:val="00DB2C9E"/>
    <w:rsid w:val="00DB2CCE"/>
    <w:rsid w:val="00DB2DE3"/>
    <w:rsid w:val="00DB331D"/>
    <w:rsid w:val="00DB3322"/>
    <w:rsid w:val="00DB335E"/>
    <w:rsid w:val="00DB33B0"/>
    <w:rsid w:val="00DB342D"/>
    <w:rsid w:val="00DB34A7"/>
    <w:rsid w:val="00DB3511"/>
    <w:rsid w:val="00DB3536"/>
    <w:rsid w:val="00DB3600"/>
    <w:rsid w:val="00DB3602"/>
    <w:rsid w:val="00DB36BE"/>
    <w:rsid w:val="00DB37BB"/>
    <w:rsid w:val="00DB389E"/>
    <w:rsid w:val="00DB3C40"/>
    <w:rsid w:val="00DB3C48"/>
    <w:rsid w:val="00DB3F2B"/>
    <w:rsid w:val="00DB4091"/>
    <w:rsid w:val="00DB42F0"/>
    <w:rsid w:val="00DB46AF"/>
    <w:rsid w:val="00DB4781"/>
    <w:rsid w:val="00DB4863"/>
    <w:rsid w:val="00DB4DAB"/>
    <w:rsid w:val="00DB4E05"/>
    <w:rsid w:val="00DB4F05"/>
    <w:rsid w:val="00DB5197"/>
    <w:rsid w:val="00DB52C2"/>
    <w:rsid w:val="00DB52D3"/>
    <w:rsid w:val="00DB541B"/>
    <w:rsid w:val="00DB5433"/>
    <w:rsid w:val="00DB5540"/>
    <w:rsid w:val="00DB57B4"/>
    <w:rsid w:val="00DB585F"/>
    <w:rsid w:val="00DB59C7"/>
    <w:rsid w:val="00DB5AB0"/>
    <w:rsid w:val="00DB5B51"/>
    <w:rsid w:val="00DB5E35"/>
    <w:rsid w:val="00DB5E80"/>
    <w:rsid w:val="00DB6047"/>
    <w:rsid w:val="00DB6122"/>
    <w:rsid w:val="00DB62D6"/>
    <w:rsid w:val="00DB6304"/>
    <w:rsid w:val="00DB6310"/>
    <w:rsid w:val="00DB6409"/>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1"/>
    <w:rsid w:val="00DB6EF4"/>
    <w:rsid w:val="00DB6F93"/>
    <w:rsid w:val="00DB70A5"/>
    <w:rsid w:val="00DB7403"/>
    <w:rsid w:val="00DB744F"/>
    <w:rsid w:val="00DB7A57"/>
    <w:rsid w:val="00DB7C32"/>
    <w:rsid w:val="00DB7D5D"/>
    <w:rsid w:val="00DB7D94"/>
    <w:rsid w:val="00DB7D98"/>
    <w:rsid w:val="00DB7FA0"/>
    <w:rsid w:val="00DC0212"/>
    <w:rsid w:val="00DC043E"/>
    <w:rsid w:val="00DC0480"/>
    <w:rsid w:val="00DC0640"/>
    <w:rsid w:val="00DC074C"/>
    <w:rsid w:val="00DC08ED"/>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5B4"/>
    <w:rsid w:val="00DC1703"/>
    <w:rsid w:val="00DC1895"/>
    <w:rsid w:val="00DC190F"/>
    <w:rsid w:val="00DC1A5B"/>
    <w:rsid w:val="00DC1B5F"/>
    <w:rsid w:val="00DC1DB5"/>
    <w:rsid w:val="00DC1E4A"/>
    <w:rsid w:val="00DC1EE4"/>
    <w:rsid w:val="00DC1F3E"/>
    <w:rsid w:val="00DC2019"/>
    <w:rsid w:val="00DC20B8"/>
    <w:rsid w:val="00DC2142"/>
    <w:rsid w:val="00DC2465"/>
    <w:rsid w:val="00DC249C"/>
    <w:rsid w:val="00DC2922"/>
    <w:rsid w:val="00DC2A8C"/>
    <w:rsid w:val="00DC2B38"/>
    <w:rsid w:val="00DC2C5C"/>
    <w:rsid w:val="00DC2C97"/>
    <w:rsid w:val="00DC2D03"/>
    <w:rsid w:val="00DC2F2B"/>
    <w:rsid w:val="00DC2F9C"/>
    <w:rsid w:val="00DC3109"/>
    <w:rsid w:val="00DC333C"/>
    <w:rsid w:val="00DC34DE"/>
    <w:rsid w:val="00DC36EF"/>
    <w:rsid w:val="00DC37B1"/>
    <w:rsid w:val="00DC3B1E"/>
    <w:rsid w:val="00DC3B88"/>
    <w:rsid w:val="00DC3D42"/>
    <w:rsid w:val="00DC3F79"/>
    <w:rsid w:val="00DC3FEB"/>
    <w:rsid w:val="00DC41F4"/>
    <w:rsid w:val="00DC4574"/>
    <w:rsid w:val="00DC46B9"/>
    <w:rsid w:val="00DC47C7"/>
    <w:rsid w:val="00DC48BA"/>
    <w:rsid w:val="00DC48CC"/>
    <w:rsid w:val="00DC48F4"/>
    <w:rsid w:val="00DC48F9"/>
    <w:rsid w:val="00DC498D"/>
    <w:rsid w:val="00DC4C51"/>
    <w:rsid w:val="00DC4DAE"/>
    <w:rsid w:val="00DC515B"/>
    <w:rsid w:val="00DC55EB"/>
    <w:rsid w:val="00DC5615"/>
    <w:rsid w:val="00DC561B"/>
    <w:rsid w:val="00DC5852"/>
    <w:rsid w:val="00DC58E5"/>
    <w:rsid w:val="00DC5D9C"/>
    <w:rsid w:val="00DC5FB0"/>
    <w:rsid w:val="00DC60C3"/>
    <w:rsid w:val="00DC621E"/>
    <w:rsid w:val="00DC64ED"/>
    <w:rsid w:val="00DC6511"/>
    <w:rsid w:val="00DC6642"/>
    <w:rsid w:val="00DC66DB"/>
    <w:rsid w:val="00DC6908"/>
    <w:rsid w:val="00DC6946"/>
    <w:rsid w:val="00DC6A35"/>
    <w:rsid w:val="00DC6D00"/>
    <w:rsid w:val="00DC6E07"/>
    <w:rsid w:val="00DC6EBC"/>
    <w:rsid w:val="00DC6F31"/>
    <w:rsid w:val="00DC6FA9"/>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F"/>
    <w:rsid w:val="00DD0B6F"/>
    <w:rsid w:val="00DD0B70"/>
    <w:rsid w:val="00DD0BB6"/>
    <w:rsid w:val="00DD0E12"/>
    <w:rsid w:val="00DD0EA4"/>
    <w:rsid w:val="00DD0F46"/>
    <w:rsid w:val="00DD112D"/>
    <w:rsid w:val="00DD128B"/>
    <w:rsid w:val="00DD1516"/>
    <w:rsid w:val="00DD1597"/>
    <w:rsid w:val="00DD163B"/>
    <w:rsid w:val="00DD163D"/>
    <w:rsid w:val="00DD1804"/>
    <w:rsid w:val="00DD1949"/>
    <w:rsid w:val="00DD1B29"/>
    <w:rsid w:val="00DD1B40"/>
    <w:rsid w:val="00DD1CA3"/>
    <w:rsid w:val="00DD1DA2"/>
    <w:rsid w:val="00DD1DD5"/>
    <w:rsid w:val="00DD1F32"/>
    <w:rsid w:val="00DD20EA"/>
    <w:rsid w:val="00DD2238"/>
    <w:rsid w:val="00DD229D"/>
    <w:rsid w:val="00DD22CE"/>
    <w:rsid w:val="00DD264A"/>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37"/>
    <w:rsid w:val="00DD35AC"/>
    <w:rsid w:val="00DD3644"/>
    <w:rsid w:val="00DD370E"/>
    <w:rsid w:val="00DD3982"/>
    <w:rsid w:val="00DD39D2"/>
    <w:rsid w:val="00DD3C8F"/>
    <w:rsid w:val="00DD3F6D"/>
    <w:rsid w:val="00DD4008"/>
    <w:rsid w:val="00DD4146"/>
    <w:rsid w:val="00DD415A"/>
    <w:rsid w:val="00DD41F4"/>
    <w:rsid w:val="00DD4241"/>
    <w:rsid w:val="00DD42F3"/>
    <w:rsid w:val="00DD43B3"/>
    <w:rsid w:val="00DD4473"/>
    <w:rsid w:val="00DD4714"/>
    <w:rsid w:val="00DD4B0E"/>
    <w:rsid w:val="00DD4E50"/>
    <w:rsid w:val="00DD4EDE"/>
    <w:rsid w:val="00DD5215"/>
    <w:rsid w:val="00DD529A"/>
    <w:rsid w:val="00DD5667"/>
    <w:rsid w:val="00DD57AB"/>
    <w:rsid w:val="00DD599E"/>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25D"/>
    <w:rsid w:val="00DE033E"/>
    <w:rsid w:val="00DE060D"/>
    <w:rsid w:val="00DE074E"/>
    <w:rsid w:val="00DE079F"/>
    <w:rsid w:val="00DE0AFC"/>
    <w:rsid w:val="00DE0E5C"/>
    <w:rsid w:val="00DE0E8E"/>
    <w:rsid w:val="00DE110F"/>
    <w:rsid w:val="00DE118D"/>
    <w:rsid w:val="00DE1615"/>
    <w:rsid w:val="00DE1822"/>
    <w:rsid w:val="00DE183A"/>
    <w:rsid w:val="00DE196D"/>
    <w:rsid w:val="00DE1985"/>
    <w:rsid w:val="00DE19A6"/>
    <w:rsid w:val="00DE1B3B"/>
    <w:rsid w:val="00DE1C1A"/>
    <w:rsid w:val="00DE1F10"/>
    <w:rsid w:val="00DE216A"/>
    <w:rsid w:val="00DE21BE"/>
    <w:rsid w:val="00DE249E"/>
    <w:rsid w:val="00DE2539"/>
    <w:rsid w:val="00DE2597"/>
    <w:rsid w:val="00DE2773"/>
    <w:rsid w:val="00DE2845"/>
    <w:rsid w:val="00DE2A4C"/>
    <w:rsid w:val="00DE2AC9"/>
    <w:rsid w:val="00DE2B16"/>
    <w:rsid w:val="00DE2B50"/>
    <w:rsid w:val="00DE2B93"/>
    <w:rsid w:val="00DE2CEF"/>
    <w:rsid w:val="00DE2EB4"/>
    <w:rsid w:val="00DE2F47"/>
    <w:rsid w:val="00DE3052"/>
    <w:rsid w:val="00DE3076"/>
    <w:rsid w:val="00DE30B6"/>
    <w:rsid w:val="00DE30E4"/>
    <w:rsid w:val="00DE31B5"/>
    <w:rsid w:val="00DE3237"/>
    <w:rsid w:val="00DE3402"/>
    <w:rsid w:val="00DE34C0"/>
    <w:rsid w:val="00DE3502"/>
    <w:rsid w:val="00DE365A"/>
    <w:rsid w:val="00DE3746"/>
    <w:rsid w:val="00DE38F6"/>
    <w:rsid w:val="00DE39AD"/>
    <w:rsid w:val="00DE3AEA"/>
    <w:rsid w:val="00DE3B95"/>
    <w:rsid w:val="00DE3B96"/>
    <w:rsid w:val="00DE3BEA"/>
    <w:rsid w:val="00DE3E64"/>
    <w:rsid w:val="00DE3FA7"/>
    <w:rsid w:val="00DE4040"/>
    <w:rsid w:val="00DE404C"/>
    <w:rsid w:val="00DE41CC"/>
    <w:rsid w:val="00DE43E1"/>
    <w:rsid w:val="00DE43E7"/>
    <w:rsid w:val="00DE44C2"/>
    <w:rsid w:val="00DE4547"/>
    <w:rsid w:val="00DE4642"/>
    <w:rsid w:val="00DE481B"/>
    <w:rsid w:val="00DE4976"/>
    <w:rsid w:val="00DE4CC5"/>
    <w:rsid w:val="00DE4E59"/>
    <w:rsid w:val="00DE4FD9"/>
    <w:rsid w:val="00DE50F7"/>
    <w:rsid w:val="00DE529A"/>
    <w:rsid w:val="00DE535B"/>
    <w:rsid w:val="00DE53D0"/>
    <w:rsid w:val="00DE542D"/>
    <w:rsid w:val="00DE545F"/>
    <w:rsid w:val="00DE5523"/>
    <w:rsid w:val="00DE5552"/>
    <w:rsid w:val="00DE5823"/>
    <w:rsid w:val="00DE58C7"/>
    <w:rsid w:val="00DE58E6"/>
    <w:rsid w:val="00DE5AF5"/>
    <w:rsid w:val="00DE5E21"/>
    <w:rsid w:val="00DE5E5B"/>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52"/>
    <w:rsid w:val="00DE6EFE"/>
    <w:rsid w:val="00DE70BD"/>
    <w:rsid w:val="00DE71B9"/>
    <w:rsid w:val="00DE71C9"/>
    <w:rsid w:val="00DE71EF"/>
    <w:rsid w:val="00DE7431"/>
    <w:rsid w:val="00DE744C"/>
    <w:rsid w:val="00DE74C6"/>
    <w:rsid w:val="00DE74EA"/>
    <w:rsid w:val="00DE7522"/>
    <w:rsid w:val="00DE77EE"/>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6A2"/>
    <w:rsid w:val="00DF178E"/>
    <w:rsid w:val="00DF17DD"/>
    <w:rsid w:val="00DF1819"/>
    <w:rsid w:val="00DF1B61"/>
    <w:rsid w:val="00DF1C7B"/>
    <w:rsid w:val="00DF1C96"/>
    <w:rsid w:val="00DF1CBF"/>
    <w:rsid w:val="00DF1CFC"/>
    <w:rsid w:val="00DF1D99"/>
    <w:rsid w:val="00DF1F4E"/>
    <w:rsid w:val="00DF2036"/>
    <w:rsid w:val="00DF21DB"/>
    <w:rsid w:val="00DF2331"/>
    <w:rsid w:val="00DF2398"/>
    <w:rsid w:val="00DF242B"/>
    <w:rsid w:val="00DF2654"/>
    <w:rsid w:val="00DF28DC"/>
    <w:rsid w:val="00DF2954"/>
    <w:rsid w:val="00DF29B2"/>
    <w:rsid w:val="00DF2A33"/>
    <w:rsid w:val="00DF2C1E"/>
    <w:rsid w:val="00DF2CC6"/>
    <w:rsid w:val="00DF2F06"/>
    <w:rsid w:val="00DF309B"/>
    <w:rsid w:val="00DF33FF"/>
    <w:rsid w:val="00DF3514"/>
    <w:rsid w:val="00DF3600"/>
    <w:rsid w:val="00DF3707"/>
    <w:rsid w:val="00DF373C"/>
    <w:rsid w:val="00DF3A26"/>
    <w:rsid w:val="00DF3AA4"/>
    <w:rsid w:val="00DF3BFF"/>
    <w:rsid w:val="00DF3CDA"/>
    <w:rsid w:val="00DF3CF9"/>
    <w:rsid w:val="00DF3F18"/>
    <w:rsid w:val="00DF3F62"/>
    <w:rsid w:val="00DF41EC"/>
    <w:rsid w:val="00DF4300"/>
    <w:rsid w:val="00DF436D"/>
    <w:rsid w:val="00DF43FE"/>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31"/>
    <w:rsid w:val="00DF5884"/>
    <w:rsid w:val="00DF58C1"/>
    <w:rsid w:val="00DF5A31"/>
    <w:rsid w:val="00DF5B23"/>
    <w:rsid w:val="00DF5C06"/>
    <w:rsid w:val="00DF5D64"/>
    <w:rsid w:val="00DF5D70"/>
    <w:rsid w:val="00DF5E77"/>
    <w:rsid w:val="00DF5ECD"/>
    <w:rsid w:val="00DF6002"/>
    <w:rsid w:val="00DF6161"/>
    <w:rsid w:val="00DF6179"/>
    <w:rsid w:val="00DF6262"/>
    <w:rsid w:val="00DF6416"/>
    <w:rsid w:val="00DF67B3"/>
    <w:rsid w:val="00DF691B"/>
    <w:rsid w:val="00DF6966"/>
    <w:rsid w:val="00DF69AA"/>
    <w:rsid w:val="00DF69AD"/>
    <w:rsid w:val="00DF6AFA"/>
    <w:rsid w:val="00DF6C35"/>
    <w:rsid w:val="00DF6D25"/>
    <w:rsid w:val="00DF6D8E"/>
    <w:rsid w:val="00DF6DF8"/>
    <w:rsid w:val="00DF6E45"/>
    <w:rsid w:val="00DF6EE6"/>
    <w:rsid w:val="00DF6F4B"/>
    <w:rsid w:val="00DF6F4E"/>
    <w:rsid w:val="00DF7405"/>
    <w:rsid w:val="00DF7553"/>
    <w:rsid w:val="00DF7943"/>
    <w:rsid w:val="00DF7C5E"/>
    <w:rsid w:val="00DF7D36"/>
    <w:rsid w:val="00DF7D9A"/>
    <w:rsid w:val="00DF7F19"/>
    <w:rsid w:val="00E0008B"/>
    <w:rsid w:val="00E001EF"/>
    <w:rsid w:val="00E002A4"/>
    <w:rsid w:val="00E0030D"/>
    <w:rsid w:val="00E00420"/>
    <w:rsid w:val="00E0042C"/>
    <w:rsid w:val="00E00458"/>
    <w:rsid w:val="00E007F4"/>
    <w:rsid w:val="00E008F7"/>
    <w:rsid w:val="00E008FA"/>
    <w:rsid w:val="00E00911"/>
    <w:rsid w:val="00E00ABB"/>
    <w:rsid w:val="00E00BC2"/>
    <w:rsid w:val="00E00BC7"/>
    <w:rsid w:val="00E00C57"/>
    <w:rsid w:val="00E00E84"/>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E1C"/>
    <w:rsid w:val="00E02E20"/>
    <w:rsid w:val="00E02E5A"/>
    <w:rsid w:val="00E02EBD"/>
    <w:rsid w:val="00E02F45"/>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7D7"/>
    <w:rsid w:val="00E04969"/>
    <w:rsid w:val="00E04998"/>
    <w:rsid w:val="00E049A8"/>
    <w:rsid w:val="00E04DB1"/>
    <w:rsid w:val="00E05001"/>
    <w:rsid w:val="00E05439"/>
    <w:rsid w:val="00E05470"/>
    <w:rsid w:val="00E0549B"/>
    <w:rsid w:val="00E055D2"/>
    <w:rsid w:val="00E05610"/>
    <w:rsid w:val="00E056D9"/>
    <w:rsid w:val="00E0578F"/>
    <w:rsid w:val="00E057B6"/>
    <w:rsid w:val="00E059D2"/>
    <w:rsid w:val="00E05B4D"/>
    <w:rsid w:val="00E05DB9"/>
    <w:rsid w:val="00E05EDD"/>
    <w:rsid w:val="00E05F6A"/>
    <w:rsid w:val="00E06165"/>
    <w:rsid w:val="00E06168"/>
    <w:rsid w:val="00E06269"/>
    <w:rsid w:val="00E0636B"/>
    <w:rsid w:val="00E06391"/>
    <w:rsid w:val="00E0640D"/>
    <w:rsid w:val="00E064A1"/>
    <w:rsid w:val="00E06665"/>
    <w:rsid w:val="00E066CB"/>
    <w:rsid w:val="00E06775"/>
    <w:rsid w:val="00E06840"/>
    <w:rsid w:val="00E06C8A"/>
    <w:rsid w:val="00E06CC9"/>
    <w:rsid w:val="00E06E16"/>
    <w:rsid w:val="00E06E19"/>
    <w:rsid w:val="00E072F9"/>
    <w:rsid w:val="00E0731B"/>
    <w:rsid w:val="00E0732D"/>
    <w:rsid w:val="00E073F4"/>
    <w:rsid w:val="00E07687"/>
    <w:rsid w:val="00E0784A"/>
    <w:rsid w:val="00E078D3"/>
    <w:rsid w:val="00E079A5"/>
    <w:rsid w:val="00E07AD6"/>
    <w:rsid w:val="00E07B94"/>
    <w:rsid w:val="00E07BB0"/>
    <w:rsid w:val="00E07D53"/>
    <w:rsid w:val="00E07F1D"/>
    <w:rsid w:val="00E100B9"/>
    <w:rsid w:val="00E105A8"/>
    <w:rsid w:val="00E107DB"/>
    <w:rsid w:val="00E10BDA"/>
    <w:rsid w:val="00E10C61"/>
    <w:rsid w:val="00E10CA0"/>
    <w:rsid w:val="00E10CB0"/>
    <w:rsid w:val="00E10E40"/>
    <w:rsid w:val="00E10F19"/>
    <w:rsid w:val="00E10F30"/>
    <w:rsid w:val="00E10F83"/>
    <w:rsid w:val="00E11006"/>
    <w:rsid w:val="00E1103D"/>
    <w:rsid w:val="00E110AF"/>
    <w:rsid w:val="00E112CA"/>
    <w:rsid w:val="00E11375"/>
    <w:rsid w:val="00E113AE"/>
    <w:rsid w:val="00E113C6"/>
    <w:rsid w:val="00E1152C"/>
    <w:rsid w:val="00E11552"/>
    <w:rsid w:val="00E11585"/>
    <w:rsid w:val="00E116C6"/>
    <w:rsid w:val="00E117CF"/>
    <w:rsid w:val="00E119CA"/>
    <w:rsid w:val="00E11BC4"/>
    <w:rsid w:val="00E11BC7"/>
    <w:rsid w:val="00E11BE1"/>
    <w:rsid w:val="00E11CDF"/>
    <w:rsid w:val="00E11D9E"/>
    <w:rsid w:val="00E11E03"/>
    <w:rsid w:val="00E11FF7"/>
    <w:rsid w:val="00E1205E"/>
    <w:rsid w:val="00E12091"/>
    <w:rsid w:val="00E12167"/>
    <w:rsid w:val="00E12191"/>
    <w:rsid w:val="00E1246C"/>
    <w:rsid w:val="00E12472"/>
    <w:rsid w:val="00E124C3"/>
    <w:rsid w:val="00E124D6"/>
    <w:rsid w:val="00E12CDF"/>
    <w:rsid w:val="00E12DB7"/>
    <w:rsid w:val="00E12E78"/>
    <w:rsid w:val="00E12FFF"/>
    <w:rsid w:val="00E130FF"/>
    <w:rsid w:val="00E131E8"/>
    <w:rsid w:val="00E133EB"/>
    <w:rsid w:val="00E1348D"/>
    <w:rsid w:val="00E13547"/>
    <w:rsid w:val="00E138AB"/>
    <w:rsid w:val="00E1393C"/>
    <w:rsid w:val="00E13BCE"/>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44D"/>
    <w:rsid w:val="00E17541"/>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12"/>
    <w:rsid w:val="00E20AC6"/>
    <w:rsid w:val="00E20AFF"/>
    <w:rsid w:val="00E20B64"/>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F6F"/>
    <w:rsid w:val="00E21FBB"/>
    <w:rsid w:val="00E2215C"/>
    <w:rsid w:val="00E22354"/>
    <w:rsid w:val="00E22417"/>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4EC"/>
    <w:rsid w:val="00E2361D"/>
    <w:rsid w:val="00E23645"/>
    <w:rsid w:val="00E23733"/>
    <w:rsid w:val="00E23742"/>
    <w:rsid w:val="00E237D4"/>
    <w:rsid w:val="00E23802"/>
    <w:rsid w:val="00E23B20"/>
    <w:rsid w:val="00E23BB2"/>
    <w:rsid w:val="00E23C96"/>
    <w:rsid w:val="00E23EBB"/>
    <w:rsid w:val="00E23F2D"/>
    <w:rsid w:val="00E23F36"/>
    <w:rsid w:val="00E240F0"/>
    <w:rsid w:val="00E241B1"/>
    <w:rsid w:val="00E24290"/>
    <w:rsid w:val="00E243A6"/>
    <w:rsid w:val="00E244CF"/>
    <w:rsid w:val="00E24743"/>
    <w:rsid w:val="00E24817"/>
    <w:rsid w:val="00E24819"/>
    <w:rsid w:val="00E249CB"/>
    <w:rsid w:val="00E249E4"/>
    <w:rsid w:val="00E24D92"/>
    <w:rsid w:val="00E24E06"/>
    <w:rsid w:val="00E24E83"/>
    <w:rsid w:val="00E24F35"/>
    <w:rsid w:val="00E24F4D"/>
    <w:rsid w:val="00E24F6A"/>
    <w:rsid w:val="00E24FF3"/>
    <w:rsid w:val="00E25056"/>
    <w:rsid w:val="00E25102"/>
    <w:rsid w:val="00E25391"/>
    <w:rsid w:val="00E25545"/>
    <w:rsid w:val="00E2565C"/>
    <w:rsid w:val="00E25682"/>
    <w:rsid w:val="00E25754"/>
    <w:rsid w:val="00E25847"/>
    <w:rsid w:val="00E2589C"/>
    <w:rsid w:val="00E258D1"/>
    <w:rsid w:val="00E258FA"/>
    <w:rsid w:val="00E25A24"/>
    <w:rsid w:val="00E25B33"/>
    <w:rsid w:val="00E25BF3"/>
    <w:rsid w:val="00E25DF0"/>
    <w:rsid w:val="00E25FF8"/>
    <w:rsid w:val="00E2627A"/>
    <w:rsid w:val="00E2628D"/>
    <w:rsid w:val="00E263FA"/>
    <w:rsid w:val="00E2660F"/>
    <w:rsid w:val="00E26618"/>
    <w:rsid w:val="00E267F4"/>
    <w:rsid w:val="00E26A4A"/>
    <w:rsid w:val="00E26A8C"/>
    <w:rsid w:val="00E26C0D"/>
    <w:rsid w:val="00E26F3D"/>
    <w:rsid w:val="00E270C8"/>
    <w:rsid w:val="00E271BE"/>
    <w:rsid w:val="00E27284"/>
    <w:rsid w:val="00E272F5"/>
    <w:rsid w:val="00E278F9"/>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CF7"/>
    <w:rsid w:val="00E30D5B"/>
    <w:rsid w:val="00E30E57"/>
    <w:rsid w:val="00E30EFD"/>
    <w:rsid w:val="00E30F8B"/>
    <w:rsid w:val="00E31135"/>
    <w:rsid w:val="00E31191"/>
    <w:rsid w:val="00E312D4"/>
    <w:rsid w:val="00E3165C"/>
    <w:rsid w:val="00E31678"/>
    <w:rsid w:val="00E3175C"/>
    <w:rsid w:val="00E3176A"/>
    <w:rsid w:val="00E31A53"/>
    <w:rsid w:val="00E31B68"/>
    <w:rsid w:val="00E31DC5"/>
    <w:rsid w:val="00E31DF3"/>
    <w:rsid w:val="00E31ECE"/>
    <w:rsid w:val="00E31ED0"/>
    <w:rsid w:val="00E31F11"/>
    <w:rsid w:val="00E3200A"/>
    <w:rsid w:val="00E320AD"/>
    <w:rsid w:val="00E321B2"/>
    <w:rsid w:val="00E3221F"/>
    <w:rsid w:val="00E32346"/>
    <w:rsid w:val="00E32433"/>
    <w:rsid w:val="00E32461"/>
    <w:rsid w:val="00E32580"/>
    <w:rsid w:val="00E32640"/>
    <w:rsid w:val="00E32773"/>
    <w:rsid w:val="00E327CA"/>
    <w:rsid w:val="00E32CED"/>
    <w:rsid w:val="00E32E3D"/>
    <w:rsid w:val="00E3308B"/>
    <w:rsid w:val="00E33355"/>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9D9"/>
    <w:rsid w:val="00E349DD"/>
    <w:rsid w:val="00E34A20"/>
    <w:rsid w:val="00E34CA5"/>
    <w:rsid w:val="00E34E75"/>
    <w:rsid w:val="00E34F97"/>
    <w:rsid w:val="00E34FBA"/>
    <w:rsid w:val="00E35001"/>
    <w:rsid w:val="00E35115"/>
    <w:rsid w:val="00E35242"/>
    <w:rsid w:val="00E35289"/>
    <w:rsid w:val="00E353B5"/>
    <w:rsid w:val="00E35433"/>
    <w:rsid w:val="00E354D3"/>
    <w:rsid w:val="00E3551F"/>
    <w:rsid w:val="00E356FC"/>
    <w:rsid w:val="00E357F6"/>
    <w:rsid w:val="00E35850"/>
    <w:rsid w:val="00E358A3"/>
    <w:rsid w:val="00E358D7"/>
    <w:rsid w:val="00E35A7E"/>
    <w:rsid w:val="00E35AE8"/>
    <w:rsid w:val="00E35B03"/>
    <w:rsid w:val="00E35B16"/>
    <w:rsid w:val="00E35DB4"/>
    <w:rsid w:val="00E35F03"/>
    <w:rsid w:val="00E36153"/>
    <w:rsid w:val="00E3622E"/>
    <w:rsid w:val="00E36265"/>
    <w:rsid w:val="00E36287"/>
    <w:rsid w:val="00E363B3"/>
    <w:rsid w:val="00E36591"/>
    <w:rsid w:val="00E36633"/>
    <w:rsid w:val="00E366C8"/>
    <w:rsid w:val="00E36836"/>
    <w:rsid w:val="00E368B0"/>
    <w:rsid w:val="00E36AFC"/>
    <w:rsid w:val="00E36B1F"/>
    <w:rsid w:val="00E36F3F"/>
    <w:rsid w:val="00E36F64"/>
    <w:rsid w:val="00E3711A"/>
    <w:rsid w:val="00E372EC"/>
    <w:rsid w:val="00E37314"/>
    <w:rsid w:val="00E373A3"/>
    <w:rsid w:val="00E3744A"/>
    <w:rsid w:val="00E3749D"/>
    <w:rsid w:val="00E37660"/>
    <w:rsid w:val="00E37856"/>
    <w:rsid w:val="00E3797F"/>
    <w:rsid w:val="00E37A59"/>
    <w:rsid w:val="00E37B8D"/>
    <w:rsid w:val="00E37BCE"/>
    <w:rsid w:val="00E37CE8"/>
    <w:rsid w:val="00E37E3D"/>
    <w:rsid w:val="00E40247"/>
    <w:rsid w:val="00E40290"/>
    <w:rsid w:val="00E4052E"/>
    <w:rsid w:val="00E40813"/>
    <w:rsid w:val="00E40926"/>
    <w:rsid w:val="00E40ABC"/>
    <w:rsid w:val="00E40AE6"/>
    <w:rsid w:val="00E40AF8"/>
    <w:rsid w:val="00E40BFE"/>
    <w:rsid w:val="00E40C08"/>
    <w:rsid w:val="00E40C27"/>
    <w:rsid w:val="00E40C32"/>
    <w:rsid w:val="00E40E64"/>
    <w:rsid w:val="00E40F21"/>
    <w:rsid w:val="00E4117E"/>
    <w:rsid w:val="00E41273"/>
    <w:rsid w:val="00E413A3"/>
    <w:rsid w:val="00E413CD"/>
    <w:rsid w:val="00E413F9"/>
    <w:rsid w:val="00E41444"/>
    <w:rsid w:val="00E414C0"/>
    <w:rsid w:val="00E4197F"/>
    <w:rsid w:val="00E419EE"/>
    <w:rsid w:val="00E41AC9"/>
    <w:rsid w:val="00E41DFB"/>
    <w:rsid w:val="00E41E4F"/>
    <w:rsid w:val="00E41E78"/>
    <w:rsid w:val="00E4206B"/>
    <w:rsid w:val="00E420E5"/>
    <w:rsid w:val="00E42196"/>
    <w:rsid w:val="00E421F2"/>
    <w:rsid w:val="00E422C1"/>
    <w:rsid w:val="00E42335"/>
    <w:rsid w:val="00E4239B"/>
    <w:rsid w:val="00E423E1"/>
    <w:rsid w:val="00E424A6"/>
    <w:rsid w:val="00E424C4"/>
    <w:rsid w:val="00E425B1"/>
    <w:rsid w:val="00E42603"/>
    <w:rsid w:val="00E42643"/>
    <w:rsid w:val="00E428C1"/>
    <w:rsid w:val="00E42AED"/>
    <w:rsid w:val="00E42BF9"/>
    <w:rsid w:val="00E42C40"/>
    <w:rsid w:val="00E42C87"/>
    <w:rsid w:val="00E42C95"/>
    <w:rsid w:val="00E42D37"/>
    <w:rsid w:val="00E42E2D"/>
    <w:rsid w:val="00E435A2"/>
    <w:rsid w:val="00E4365D"/>
    <w:rsid w:val="00E43855"/>
    <w:rsid w:val="00E43879"/>
    <w:rsid w:val="00E43A02"/>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A6D"/>
    <w:rsid w:val="00E44B21"/>
    <w:rsid w:val="00E44CAC"/>
    <w:rsid w:val="00E44E1D"/>
    <w:rsid w:val="00E44E25"/>
    <w:rsid w:val="00E44FB0"/>
    <w:rsid w:val="00E45205"/>
    <w:rsid w:val="00E45454"/>
    <w:rsid w:val="00E4549D"/>
    <w:rsid w:val="00E455A0"/>
    <w:rsid w:val="00E4568A"/>
    <w:rsid w:val="00E456F3"/>
    <w:rsid w:val="00E4577F"/>
    <w:rsid w:val="00E459C0"/>
    <w:rsid w:val="00E45A72"/>
    <w:rsid w:val="00E45B48"/>
    <w:rsid w:val="00E45F46"/>
    <w:rsid w:val="00E4617B"/>
    <w:rsid w:val="00E4628B"/>
    <w:rsid w:val="00E462EE"/>
    <w:rsid w:val="00E46321"/>
    <w:rsid w:val="00E4650C"/>
    <w:rsid w:val="00E4653F"/>
    <w:rsid w:val="00E46561"/>
    <w:rsid w:val="00E4663C"/>
    <w:rsid w:val="00E4676A"/>
    <w:rsid w:val="00E46788"/>
    <w:rsid w:val="00E4690E"/>
    <w:rsid w:val="00E4695C"/>
    <w:rsid w:val="00E46A7B"/>
    <w:rsid w:val="00E46E46"/>
    <w:rsid w:val="00E46EB6"/>
    <w:rsid w:val="00E46FE9"/>
    <w:rsid w:val="00E47051"/>
    <w:rsid w:val="00E471E9"/>
    <w:rsid w:val="00E4733B"/>
    <w:rsid w:val="00E473A0"/>
    <w:rsid w:val="00E474E8"/>
    <w:rsid w:val="00E4755A"/>
    <w:rsid w:val="00E476F4"/>
    <w:rsid w:val="00E47B2E"/>
    <w:rsid w:val="00E47D06"/>
    <w:rsid w:val="00E47D41"/>
    <w:rsid w:val="00E47DA7"/>
    <w:rsid w:val="00E47E01"/>
    <w:rsid w:val="00E47EBE"/>
    <w:rsid w:val="00E503E2"/>
    <w:rsid w:val="00E50748"/>
    <w:rsid w:val="00E50902"/>
    <w:rsid w:val="00E50B7C"/>
    <w:rsid w:val="00E50C99"/>
    <w:rsid w:val="00E50D14"/>
    <w:rsid w:val="00E511EC"/>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FE"/>
    <w:rsid w:val="00E52773"/>
    <w:rsid w:val="00E527CD"/>
    <w:rsid w:val="00E52826"/>
    <w:rsid w:val="00E52B0E"/>
    <w:rsid w:val="00E52CA1"/>
    <w:rsid w:val="00E52CA4"/>
    <w:rsid w:val="00E5300E"/>
    <w:rsid w:val="00E5363B"/>
    <w:rsid w:val="00E536BD"/>
    <w:rsid w:val="00E53837"/>
    <w:rsid w:val="00E53BBF"/>
    <w:rsid w:val="00E53D11"/>
    <w:rsid w:val="00E53F09"/>
    <w:rsid w:val="00E53FA2"/>
    <w:rsid w:val="00E540FF"/>
    <w:rsid w:val="00E54163"/>
    <w:rsid w:val="00E54206"/>
    <w:rsid w:val="00E5420D"/>
    <w:rsid w:val="00E54462"/>
    <w:rsid w:val="00E545A0"/>
    <w:rsid w:val="00E545D6"/>
    <w:rsid w:val="00E545FE"/>
    <w:rsid w:val="00E546E6"/>
    <w:rsid w:val="00E547F0"/>
    <w:rsid w:val="00E54838"/>
    <w:rsid w:val="00E54911"/>
    <w:rsid w:val="00E54B2E"/>
    <w:rsid w:val="00E54BCB"/>
    <w:rsid w:val="00E54C43"/>
    <w:rsid w:val="00E54C8E"/>
    <w:rsid w:val="00E54EC2"/>
    <w:rsid w:val="00E54F3F"/>
    <w:rsid w:val="00E54F87"/>
    <w:rsid w:val="00E55063"/>
    <w:rsid w:val="00E551B0"/>
    <w:rsid w:val="00E55219"/>
    <w:rsid w:val="00E55334"/>
    <w:rsid w:val="00E5534D"/>
    <w:rsid w:val="00E554C5"/>
    <w:rsid w:val="00E554D8"/>
    <w:rsid w:val="00E555C7"/>
    <w:rsid w:val="00E555DE"/>
    <w:rsid w:val="00E556AB"/>
    <w:rsid w:val="00E5585E"/>
    <w:rsid w:val="00E55860"/>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B3C"/>
    <w:rsid w:val="00E56E21"/>
    <w:rsid w:val="00E56F5A"/>
    <w:rsid w:val="00E5728B"/>
    <w:rsid w:val="00E574A2"/>
    <w:rsid w:val="00E5767F"/>
    <w:rsid w:val="00E57951"/>
    <w:rsid w:val="00E57984"/>
    <w:rsid w:val="00E579DD"/>
    <w:rsid w:val="00E57A05"/>
    <w:rsid w:val="00E57A34"/>
    <w:rsid w:val="00E57BB0"/>
    <w:rsid w:val="00E57C23"/>
    <w:rsid w:val="00E57C55"/>
    <w:rsid w:val="00E57DDE"/>
    <w:rsid w:val="00E57E5F"/>
    <w:rsid w:val="00E57E8A"/>
    <w:rsid w:val="00E603D8"/>
    <w:rsid w:val="00E60502"/>
    <w:rsid w:val="00E60512"/>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7C7"/>
    <w:rsid w:val="00E61881"/>
    <w:rsid w:val="00E6197B"/>
    <w:rsid w:val="00E61E1E"/>
    <w:rsid w:val="00E61F63"/>
    <w:rsid w:val="00E61FFD"/>
    <w:rsid w:val="00E621D2"/>
    <w:rsid w:val="00E621DE"/>
    <w:rsid w:val="00E62413"/>
    <w:rsid w:val="00E62576"/>
    <w:rsid w:val="00E625EC"/>
    <w:rsid w:val="00E62725"/>
    <w:rsid w:val="00E627AC"/>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DD2"/>
    <w:rsid w:val="00E63E4A"/>
    <w:rsid w:val="00E6410A"/>
    <w:rsid w:val="00E64246"/>
    <w:rsid w:val="00E644FA"/>
    <w:rsid w:val="00E64534"/>
    <w:rsid w:val="00E646E3"/>
    <w:rsid w:val="00E6496D"/>
    <w:rsid w:val="00E649E7"/>
    <w:rsid w:val="00E649F9"/>
    <w:rsid w:val="00E64C91"/>
    <w:rsid w:val="00E64CF5"/>
    <w:rsid w:val="00E64F7F"/>
    <w:rsid w:val="00E65251"/>
    <w:rsid w:val="00E6541C"/>
    <w:rsid w:val="00E655A3"/>
    <w:rsid w:val="00E655F1"/>
    <w:rsid w:val="00E657A5"/>
    <w:rsid w:val="00E6580B"/>
    <w:rsid w:val="00E65ACB"/>
    <w:rsid w:val="00E65C88"/>
    <w:rsid w:val="00E65D3C"/>
    <w:rsid w:val="00E65D8A"/>
    <w:rsid w:val="00E65DD9"/>
    <w:rsid w:val="00E65E5D"/>
    <w:rsid w:val="00E65F03"/>
    <w:rsid w:val="00E65F23"/>
    <w:rsid w:val="00E65F2A"/>
    <w:rsid w:val="00E660CD"/>
    <w:rsid w:val="00E663A0"/>
    <w:rsid w:val="00E664AC"/>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C7"/>
    <w:rsid w:val="00E70904"/>
    <w:rsid w:val="00E70AB8"/>
    <w:rsid w:val="00E70E81"/>
    <w:rsid w:val="00E71110"/>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D9C"/>
    <w:rsid w:val="00E72E11"/>
    <w:rsid w:val="00E72F0C"/>
    <w:rsid w:val="00E72FBC"/>
    <w:rsid w:val="00E7329A"/>
    <w:rsid w:val="00E7343C"/>
    <w:rsid w:val="00E73506"/>
    <w:rsid w:val="00E73749"/>
    <w:rsid w:val="00E739C5"/>
    <w:rsid w:val="00E73A4B"/>
    <w:rsid w:val="00E73A8F"/>
    <w:rsid w:val="00E73BE4"/>
    <w:rsid w:val="00E73CBD"/>
    <w:rsid w:val="00E73D8F"/>
    <w:rsid w:val="00E73DD1"/>
    <w:rsid w:val="00E74021"/>
    <w:rsid w:val="00E742B6"/>
    <w:rsid w:val="00E742DF"/>
    <w:rsid w:val="00E74604"/>
    <w:rsid w:val="00E74825"/>
    <w:rsid w:val="00E74831"/>
    <w:rsid w:val="00E74DBA"/>
    <w:rsid w:val="00E74DFF"/>
    <w:rsid w:val="00E74E2C"/>
    <w:rsid w:val="00E74E74"/>
    <w:rsid w:val="00E74EE7"/>
    <w:rsid w:val="00E74EF6"/>
    <w:rsid w:val="00E7523C"/>
    <w:rsid w:val="00E75335"/>
    <w:rsid w:val="00E75497"/>
    <w:rsid w:val="00E754B4"/>
    <w:rsid w:val="00E75558"/>
    <w:rsid w:val="00E756D8"/>
    <w:rsid w:val="00E7584F"/>
    <w:rsid w:val="00E75918"/>
    <w:rsid w:val="00E7599A"/>
    <w:rsid w:val="00E75D44"/>
    <w:rsid w:val="00E75E18"/>
    <w:rsid w:val="00E75E27"/>
    <w:rsid w:val="00E75E3B"/>
    <w:rsid w:val="00E75E83"/>
    <w:rsid w:val="00E75FFE"/>
    <w:rsid w:val="00E7603C"/>
    <w:rsid w:val="00E76218"/>
    <w:rsid w:val="00E76237"/>
    <w:rsid w:val="00E7623E"/>
    <w:rsid w:val="00E762E6"/>
    <w:rsid w:val="00E762ED"/>
    <w:rsid w:val="00E76490"/>
    <w:rsid w:val="00E7652B"/>
    <w:rsid w:val="00E765FD"/>
    <w:rsid w:val="00E7668C"/>
    <w:rsid w:val="00E7697A"/>
    <w:rsid w:val="00E76A78"/>
    <w:rsid w:val="00E76D65"/>
    <w:rsid w:val="00E76D69"/>
    <w:rsid w:val="00E770AE"/>
    <w:rsid w:val="00E775F9"/>
    <w:rsid w:val="00E77C13"/>
    <w:rsid w:val="00E77E35"/>
    <w:rsid w:val="00E77EA3"/>
    <w:rsid w:val="00E801AD"/>
    <w:rsid w:val="00E801D5"/>
    <w:rsid w:val="00E8025A"/>
    <w:rsid w:val="00E802DF"/>
    <w:rsid w:val="00E80477"/>
    <w:rsid w:val="00E8062C"/>
    <w:rsid w:val="00E80669"/>
    <w:rsid w:val="00E8072D"/>
    <w:rsid w:val="00E80A6D"/>
    <w:rsid w:val="00E80CA6"/>
    <w:rsid w:val="00E80F00"/>
    <w:rsid w:val="00E80FF7"/>
    <w:rsid w:val="00E81084"/>
    <w:rsid w:val="00E8114E"/>
    <w:rsid w:val="00E81210"/>
    <w:rsid w:val="00E8153A"/>
    <w:rsid w:val="00E8153C"/>
    <w:rsid w:val="00E815FB"/>
    <w:rsid w:val="00E816DB"/>
    <w:rsid w:val="00E817AC"/>
    <w:rsid w:val="00E817B7"/>
    <w:rsid w:val="00E8199E"/>
    <w:rsid w:val="00E81A5D"/>
    <w:rsid w:val="00E81B19"/>
    <w:rsid w:val="00E81E6A"/>
    <w:rsid w:val="00E81F09"/>
    <w:rsid w:val="00E82104"/>
    <w:rsid w:val="00E82281"/>
    <w:rsid w:val="00E82376"/>
    <w:rsid w:val="00E82496"/>
    <w:rsid w:val="00E824E4"/>
    <w:rsid w:val="00E82681"/>
    <w:rsid w:val="00E82742"/>
    <w:rsid w:val="00E8278C"/>
    <w:rsid w:val="00E827C3"/>
    <w:rsid w:val="00E8285F"/>
    <w:rsid w:val="00E8286E"/>
    <w:rsid w:val="00E8287A"/>
    <w:rsid w:val="00E82A49"/>
    <w:rsid w:val="00E82AD4"/>
    <w:rsid w:val="00E82BE4"/>
    <w:rsid w:val="00E82C9A"/>
    <w:rsid w:val="00E82F9C"/>
    <w:rsid w:val="00E82FA2"/>
    <w:rsid w:val="00E830AD"/>
    <w:rsid w:val="00E83940"/>
    <w:rsid w:val="00E83B8F"/>
    <w:rsid w:val="00E83C54"/>
    <w:rsid w:val="00E83D03"/>
    <w:rsid w:val="00E83E0E"/>
    <w:rsid w:val="00E83E7F"/>
    <w:rsid w:val="00E83EA6"/>
    <w:rsid w:val="00E83F83"/>
    <w:rsid w:val="00E8425F"/>
    <w:rsid w:val="00E842B4"/>
    <w:rsid w:val="00E84324"/>
    <w:rsid w:val="00E8432E"/>
    <w:rsid w:val="00E84341"/>
    <w:rsid w:val="00E84651"/>
    <w:rsid w:val="00E84721"/>
    <w:rsid w:val="00E847E0"/>
    <w:rsid w:val="00E8487E"/>
    <w:rsid w:val="00E849DC"/>
    <w:rsid w:val="00E84AE5"/>
    <w:rsid w:val="00E84AF0"/>
    <w:rsid w:val="00E84C16"/>
    <w:rsid w:val="00E84C19"/>
    <w:rsid w:val="00E84D7E"/>
    <w:rsid w:val="00E84E49"/>
    <w:rsid w:val="00E84EBA"/>
    <w:rsid w:val="00E84EF7"/>
    <w:rsid w:val="00E85011"/>
    <w:rsid w:val="00E85027"/>
    <w:rsid w:val="00E850D6"/>
    <w:rsid w:val="00E8511A"/>
    <w:rsid w:val="00E853A8"/>
    <w:rsid w:val="00E853B6"/>
    <w:rsid w:val="00E85479"/>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F2"/>
    <w:rsid w:val="00E86B1A"/>
    <w:rsid w:val="00E86D23"/>
    <w:rsid w:val="00E86EF1"/>
    <w:rsid w:val="00E86FAF"/>
    <w:rsid w:val="00E8700C"/>
    <w:rsid w:val="00E870AF"/>
    <w:rsid w:val="00E87118"/>
    <w:rsid w:val="00E87174"/>
    <w:rsid w:val="00E87276"/>
    <w:rsid w:val="00E87545"/>
    <w:rsid w:val="00E875F7"/>
    <w:rsid w:val="00E8762B"/>
    <w:rsid w:val="00E87BE3"/>
    <w:rsid w:val="00E87C57"/>
    <w:rsid w:val="00E8AA8D"/>
    <w:rsid w:val="00E90035"/>
    <w:rsid w:val="00E900A7"/>
    <w:rsid w:val="00E900C7"/>
    <w:rsid w:val="00E90112"/>
    <w:rsid w:val="00E90225"/>
    <w:rsid w:val="00E90242"/>
    <w:rsid w:val="00E902F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324"/>
    <w:rsid w:val="00E9334D"/>
    <w:rsid w:val="00E934B8"/>
    <w:rsid w:val="00E934FD"/>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72"/>
    <w:rsid w:val="00E94AA5"/>
    <w:rsid w:val="00E94D27"/>
    <w:rsid w:val="00E94F6E"/>
    <w:rsid w:val="00E94F98"/>
    <w:rsid w:val="00E950D7"/>
    <w:rsid w:val="00E95313"/>
    <w:rsid w:val="00E955B7"/>
    <w:rsid w:val="00E955DE"/>
    <w:rsid w:val="00E955FA"/>
    <w:rsid w:val="00E958F0"/>
    <w:rsid w:val="00E95A44"/>
    <w:rsid w:val="00E95B7D"/>
    <w:rsid w:val="00E95C49"/>
    <w:rsid w:val="00E95C66"/>
    <w:rsid w:val="00E95CF4"/>
    <w:rsid w:val="00E95E1A"/>
    <w:rsid w:val="00E95E47"/>
    <w:rsid w:val="00E95E8F"/>
    <w:rsid w:val="00E95F0C"/>
    <w:rsid w:val="00E95F83"/>
    <w:rsid w:val="00E9600E"/>
    <w:rsid w:val="00E960DB"/>
    <w:rsid w:val="00E96226"/>
    <w:rsid w:val="00E962E9"/>
    <w:rsid w:val="00E965D6"/>
    <w:rsid w:val="00E9661F"/>
    <w:rsid w:val="00E9662D"/>
    <w:rsid w:val="00E96675"/>
    <w:rsid w:val="00E966C1"/>
    <w:rsid w:val="00E966F1"/>
    <w:rsid w:val="00E968C3"/>
    <w:rsid w:val="00E9695B"/>
    <w:rsid w:val="00E969B5"/>
    <w:rsid w:val="00E96A32"/>
    <w:rsid w:val="00E96B9A"/>
    <w:rsid w:val="00E96CDE"/>
    <w:rsid w:val="00E96EDC"/>
    <w:rsid w:val="00E96F8A"/>
    <w:rsid w:val="00E96FBF"/>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0C"/>
    <w:rsid w:val="00EA053D"/>
    <w:rsid w:val="00EA0AD8"/>
    <w:rsid w:val="00EA0C80"/>
    <w:rsid w:val="00EA0DA0"/>
    <w:rsid w:val="00EA0DA7"/>
    <w:rsid w:val="00EA0E88"/>
    <w:rsid w:val="00EA0FD4"/>
    <w:rsid w:val="00EA105F"/>
    <w:rsid w:val="00EA10E7"/>
    <w:rsid w:val="00EA120B"/>
    <w:rsid w:val="00EA1234"/>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AA1"/>
    <w:rsid w:val="00EA2BD8"/>
    <w:rsid w:val="00EA2BDE"/>
    <w:rsid w:val="00EA2D11"/>
    <w:rsid w:val="00EA2D72"/>
    <w:rsid w:val="00EA2EAC"/>
    <w:rsid w:val="00EA308E"/>
    <w:rsid w:val="00EA32CA"/>
    <w:rsid w:val="00EA342E"/>
    <w:rsid w:val="00EA352D"/>
    <w:rsid w:val="00EA3819"/>
    <w:rsid w:val="00EA3919"/>
    <w:rsid w:val="00EA394E"/>
    <w:rsid w:val="00EA3B17"/>
    <w:rsid w:val="00EA3D72"/>
    <w:rsid w:val="00EA3EC5"/>
    <w:rsid w:val="00EA4102"/>
    <w:rsid w:val="00EA41AF"/>
    <w:rsid w:val="00EA4740"/>
    <w:rsid w:val="00EA48B5"/>
    <w:rsid w:val="00EA48F7"/>
    <w:rsid w:val="00EA4986"/>
    <w:rsid w:val="00EA4A40"/>
    <w:rsid w:val="00EA4A73"/>
    <w:rsid w:val="00EA4AB0"/>
    <w:rsid w:val="00EA4B5C"/>
    <w:rsid w:val="00EA4D15"/>
    <w:rsid w:val="00EA51A9"/>
    <w:rsid w:val="00EA51E1"/>
    <w:rsid w:val="00EA530A"/>
    <w:rsid w:val="00EA53C6"/>
    <w:rsid w:val="00EA54E9"/>
    <w:rsid w:val="00EA570A"/>
    <w:rsid w:val="00EA59B8"/>
    <w:rsid w:val="00EA5A79"/>
    <w:rsid w:val="00EA5A7B"/>
    <w:rsid w:val="00EA5F8E"/>
    <w:rsid w:val="00EA5FB2"/>
    <w:rsid w:val="00EA6138"/>
    <w:rsid w:val="00EA61FE"/>
    <w:rsid w:val="00EA6264"/>
    <w:rsid w:val="00EA62B0"/>
    <w:rsid w:val="00EA6344"/>
    <w:rsid w:val="00EA63FD"/>
    <w:rsid w:val="00EA64C1"/>
    <w:rsid w:val="00EA65DE"/>
    <w:rsid w:val="00EA67F8"/>
    <w:rsid w:val="00EA6B41"/>
    <w:rsid w:val="00EA702A"/>
    <w:rsid w:val="00EA7118"/>
    <w:rsid w:val="00EA715A"/>
    <w:rsid w:val="00EA7317"/>
    <w:rsid w:val="00EA759C"/>
    <w:rsid w:val="00EA7600"/>
    <w:rsid w:val="00EA7715"/>
    <w:rsid w:val="00EA7AC6"/>
    <w:rsid w:val="00EA7AC8"/>
    <w:rsid w:val="00EA7BC3"/>
    <w:rsid w:val="00EA7C5B"/>
    <w:rsid w:val="00EA7C8E"/>
    <w:rsid w:val="00EA7FAA"/>
    <w:rsid w:val="00EB04F7"/>
    <w:rsid w:val="00EB07B2"/>
    <w:rsid w:val="00EB07B8"/>
    <w:rsid w:val="00EB0954"/>
    <w:rsid w:val="00EB09FF"/>
    <w:rsid w:val="00EB0A86"/>
    <w:rsid w:val="00EB0AC6"/>
    <w:rsid w:val="00EB0AEA"/>
    <w:rsid w:val="00EB0BA7"/>
    <w:rsid w:val="00EB0DF7"/>
    <w:rsid w:val="00EB0F52"/>
    <w:rsid w:val="00EB1169"/>
    <w:rsid w:val="00EB11B9"/>
    <w:rsid w:val="00EB1259"/>
    <w:rsid w:val="00EB1297"/>
    <w:rsid w:val="00EB14FA"/>
    <w:rsid w:val="00EB1616"/>
    <w:rsid w:val="00EB16A2"/>
    <w:rsid w:val="00EB1943"/>
    <w:rsid w:val="00EB1C39"/>
    <w:rsid w:val="00EB1D5A"/>
    <w:rsid w:val="00EB1F9D"/>
    <w:rsid w:val="00EB212C"/>
    <w:rsid w:val="00EB2146"/>
    <w:rsid w:val="00EB21A9"/>
    <w:rsid w:val="00EB228F"/>
    <w:rsid w:val="00EB249A"/>
    <w:rsid w:val="00EB249B"/>
    <w:rsid w:val="00EB25AC"/>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78"/>
    <w:rsid w:val="00EB38EA"/>
    <w:rsid w:val="00EB38F0"/>
    <w:rsid w:val="00EB3B56"/>
    <w:rsid w:val="00EB3CE1"/>
    <w:rsid w:val="00EB3FB4"/>
    <w:rsid w:val="00EB3FE8"/>
    <w:rsid w:val="00EB4062"/>
    <w:rsid w:val="00EB4206"/>
    <w:rsid w:val="00EB4356"/>
    <w:rsid w:val="00EB437A"/>
    <w:rsid w:val="00EB44F6"/>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90"/>
    <w:rsid w:val="00EB59FF"/>
    <w:rsid w:val="00EB5A60"/>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E2D"/>
    <w:rsid w:val="00EB6F96"/>
    <w:rsid w:val="00EB7258"/>
    <w:rsid w:val="00EB72E8"/>
    <w:rsid w:val="00EB741B"/>
    <w:rsid w:val="00EB7566"/>
    <w:rsid w:val="00EB757D"/>
    <w:rsid w:val="00EB765E"/>
    <w:rsid w:val="00EB78F1"/>
    <w:rsid w:val="00EB7A55"/>
    <w:rsid w:val="00EB7B9A"/>
    <w:rsid w:val="00EB7BE7"/>
    <w:rsid w:val="00EB7CF9"/>
    <w:rsid w:val="00EB7D1D"/>
    <w:rsid w:val="00EC014C"/>
    <w:rsid w:val="00EC03EC"/>
    <w:rsid w:val="00EC054B"/>
    <w:rsid w:val="00EC05F3"/>
    <w:rsid w:val="00EC060D"/>
    <w:rsid w:val="00EC06C6"/>
    <w:rsid w:val="00EC0734"/>
    <w:rsid w:val="00EC076E"/>
    <w:rsid w:val="00EC07A5"/>
    <w:rsid w:val="00EC08CE"/>
    <w:rsid w:val="00EC08D0"/>
    <w:rsid w:val="00EC09A1"/>
    <w:rsid w:val="00EC0A8B"/>
    <w:rsid w:val="00EC0D3E"/>
    <w:rsid w:val="00EC0E61"/>
    <w:rsid w:val="00EC11D1"/>
    <w:rsid w:val="00EC14AF"/>
    <w:rsid w:val="00EC15FE"/>
    <w:rsid w:val="00EC1627"/>
    <w:rsid w:val="00EC169C"/>
    <w:rsid w:val="00EC1A3C"/>
    <w:rsid w:val="00EC1A57"/>
    <w:rsid w:val="00EC1A5A"/>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703"/>
    <w:rsid w:val="00EC2708"/>
    <w:rsid w:val="00EC270B"/>
    <w:rsid w:val="00EC2B05"/>
    <w:rsid w:val="00EC2C21"/>
    <w:rsid w:val="00EC2D16"/>
    <w:rsid w:val="00EC2F4B"/>
    <w:rsid w:val="00EC303B"/>
    <w:rsid w:val="00EC3098"/>
    <w:rsid w:val="00EC31B5"/>
    <w:rsid w:val="00EC3481"/>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4F"/>
    <w:rsid w:val="00EC3E99"/>
    <w:rsid w:val="00EC3F7B"/>
    <w:rsid w:val="00EC41DE"/>
    <w:rsid w:val="00EC42A3"/>
    <w:rsid w:val="00EC4631"/>
    <w:rsid w:val="00EC4948"/>
    <w:rsid w:val="00EC4992"/>
    <w:rsid w:val="00EC4A72"/>
    <w:rsid w:val="00EC4D43"/>
    <w:rsid w:val="00EC4D54"/>
    <w:rsid w:val="00EC4DE9"/>
    <w:rsid w:val="00EC4DFF"/>
    <w:rsid w:val="00EC4EE7"/>
    <w:rsid w:val="00EC5052"/>
    <w:rsid w:val="00EC51BA"/>
    <w:rsid w:val="00EC5258"/>
    <w:rsid w:val="00EC55B9"/>
    <w:rsid w:val="00EC572A"/>
    <w:rsid w:val="00EC577C"/>
    <w:rsid w:val="00EC5BCA"/>
    <w:rsid w:val="00EC5C05"/>
    <w:rsid w:val="00EC5CB7"/>
    <w:rsid w:val="00EC5E6C"/>
    <w:rsid w:val="00EC5ECE"/>
    <w:rsid w:val="00EC5F7F"/>
    <w:rsid w:val="00EC6217"/>
    <w:rsid w:val="00EC626D"/>
    <w:rsid w:val="00EC64B8"/>
    <w:rsid w:val="00EC663B"/>
    <w:rsid w:val="00EC6C56"/>
    <w:rsid w:val="00EC6DF2"/>
    <w:rsid w:val="00EC6E29"/>
    <w:rsid w:val="00EC6EDD"/>
    <w:rsid w:val="00EC7013"/>
    <w:rsid w:val="00EC7140"/>
    <w:rsid w:val="00EC7199"/>
    <w:rsid w:val="00EC7295"/>
    <w:rsid w:val="00EC756C"/>
    <w:rsid w:val="00EC77CF"/>
    <w:rsid w:val="00EC7B9C"/>
    <w:rsid w:val="00EC7D0B"/>
    <w:rsid w:val="00EC7DB4"/>
    <w:rsid w:val="00EC7E4B"/>
    <w:rsid w:val="00EC7F23"/>
    <w:rsid w:val="00ED009D"/>
    <w:rsid w:val="00ED0247"/>
    <w:rsid w:val="00ED032A"/>
    <w:rsid w:val="00ED032B"/>
    <w:rsid w:val="00ED0393"/>
    <w:rsid w:val="00ED03EA"/>
    <w:rsid w:val="00ED044A"/>
    <w:rsid w:val="00ED0499"/>
    <w:rsid w:val="00ED049E"/>
    <w:rsid w:val="00ED04F5"/>
    <w:rsid w:val="00ED05F6"/>
    <w:rsid w:val="00ED0A3C"/>
    <w:rsid w:val="00ED1001"/>
    <w:rsid w:val="00ED12B6"/>
    <w:rsid w:val="00ED16DC"/>
    <w:rsid w:val="00ED172D"/>
    <w:rsid w:val="00ED1A15"/>
    <w:rsid w:val="00ED1A2F"/>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E9B"/>
    <w:rsid w:val="00ED300C"/>
    <w:rsid w:val="00ED32C9"/>
    <w:rsid w:val="00ED3667"/>
    <w:rsid w:val="00ED398F"/>
    <w:rsid w:val="00ED3B72"/>
    <w:rsid w:val="00ED3BCF"/>
    <w:rsid w:val="00ED3DD1"/>
    <w:rsid w:val="00ED3E2B"/>
    <w:rsid w:val="00ED3E55"/>
    <w:rsid w:val="00ED3EEE"/>
    <w:rsid w:val="00ED3F16"/>
    <w:rsid w:val="00ED4639"/>
    <w:rsid w:val="00ED46DA"/>
    <w:rsid w:val="00ED46F7"/>
    <w:rsid w:val="00ED4BF0"/>
    <w:rsid w:val="00ED4D40"/>
    <w:rsid w:val="00ED4DF9"/>
    <w:rsid w:val="00ED4F2D"/>
    <w:rsid w:val="00ED5225"/>
    <w:rsid w:val="00ED535C"/>
    <w:rsid w:val="00ED5410"/>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6A"/>
    <w:rsid w:val="00ED6491"/>
    <w:rsid w:val="00ED68ED"/>
    <w:rsid w:val="00ED69BC"/>
    <w:rsid w:val="00ED6ABF"/>
    <w:rsid w:val="00ED6B01"/>
    <w:rsid w:val="00ED6D98"/>
    <w:rsid w:val="00ED6ED8"/>
    <w:rsid w:val="00ED706E"/>
    <w:rsid w:val="00ED71B2"/>
    <w:rsid w:val="00ED74DB"/>
    <w:rsid w:val="00ED758E"/>
    <w:rsid w:val="00ED75C3"/>
    <w:rsid w:val="00ED75D3"/>
    <w:rsid w:val="00ED762D"/>
    <w:rsid w:val="00ED772F"/>
    <w:rsid w:val="00ED792F"/>
    <w:rsid w:val="00ED7AE8"/>
    <w:rsid w:val="00ED7B17"/>
    <w:rsid w:val="00ED7BA3"/>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65"/>
    <w:rsid w:val="00EE1100"/>
    <w:rsid w:val="00EE1175"/>
    <w:rsid w:val="00EE1410"/>
    <w:rsid w:val="00EE1529"/>
    <w:rsid w:val="00EE156A"/>
    <w:rsid w:val="00EE1741"/>
    <w:rsid w:val="00EE1885"/>
    <w:rsid w:val="00EE18B9"/>
    <w:rsid w:val="00EE197D"/>
    <w:rsid w:val="00EE1A70"/>
    <w:rsid w:val="00EE1A9C"/>
    <w:rsid w:val="00EE1AEC"/>
    <w:rsid w:val="00EE1C14"/>
    <w:rsid w:val="00EE1CCA"/>
    <w:rsid w:val="00EE1DD0"/>
    <w:rsid w:val="00EE1E4B"/>
    <w:rsid w:val="00EE1FD0"/>
    <w:rsid w:val="00EE2138"/>
    <w:rsid w:val="00EE2306"/>
    <w:rsid w:val="00EE2370"/>
    <w:rsid w:val="00EE2560"/>
    <w:rsid w:val="00EE262B"/>
    <w:rsid w:val="00EE27AF"/>
    <w:rsid w:val="00EE27FB"/>
    <w:rsid w:val="00EE287F"/>
    <w:rsid w:val="00EE2942"/>
    <w:rsid w:val="00EE2987"/>
    <w:rsid w:val="00EE2BBE"/>
    <w:rsid w:val="00EE2DAC"/>
    <w:rsid w:val="00EE2F54"/>
    <w:rsid w:val="00EE2FED"/>
    <w:rsid w:val="00EE3156"/>
    <w:rsid w:val="00EE321E"/>
    <w:rsid w:val="00EE3222"/>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3C"/>
    <w:rsid w:val="00EE4064"/>
    <w:rsid w:val="00EE41CB"/>
    <w:rsid w:val="00EE429B"/>
    <w:rsid w:val="00EE45D8"/>
    <w:rsid w:val="00EE4852"/>
    <w:rsid w:val="00EE48A1"/>
    <w:rsid w:val="00EE4BBC"/>
    <w:rsid w:val="00EE4DA8"/>
    <w:rsid w:val="00EE4DB2"/>
    <w:rsid w:val="00EE4E2B"/>
    <w:rsid w:val="00EE4EB3"/>
    <w:rsid w:val="00EE4EFF"/>
    <w:rsid w:val="00EE4F70"/>
    <w:rsid w:val="00EE4FEA"/>
    <w:rsid w:val="00EE509A"/>
    <w:rsid w:val="00EE55E7"/>
    <w:rsid w:val="00EE5672"/>
    <w:rsid w:val="00EE5844"/>
    <w:rsid w:val="00EE5A17"/>
    <w:rsid w:val="00EE5A6A"/>
    <w:rsid w:val="00EE5AC5"/>
    <w:rsid w:val="00EE5DD2"/>
    <w:rsid w:val="00EE5F2C"/>
    <w:rsid w:val="00EE6098"/>
    <w:rsid w:val="00EE6172"/>
    <w:rsid w:val="00EE61D4"/>
    <w:rsid w:val="00EE63F8"/>
    <w:rsid w:val="00EE6597"/>
    <w:rsid w:val="00EE6615"/>
    <w:rsid w:val="00EE662B"/>
    <w:rsid w:val="00EE672D"/>
    <w:rsid w:val="00EE694A"/>
    <w:rsid w:val="00EE6B17"/>
    <w:rsid w:val="00EE6C56"/>
    <w:rsid w:val="00EE6F9D"/>
    <w:rsid w:val="00EE7056"/>
    <w:rsid w:val="00EE711D"/>
    <w:rsid w:val="00EE7232"/>
    <w:rsid w:val="00EE72B3"/>
    <w:rsid w:val="00EE73A3"/>
    <w:rsid w:val="00EE753C"/>
    <w:rsid w:val="00EE754D"/>
    <w:rsid w:val="00EE7580"/>
    <w:rsid w:val="00EE7765"/>
    <w:rsid w:val="00EE77FB"/>
    <w:rsid w:val="00EE77FD"/>
    <w:rsid w:val="00EE7842"/>
    <w:rsid w:val="00EE78A6"/>
    <w:rsid w:val="00EE7989"/>
    <w:rsid w:val="00EE7A21"/>
    <w:rsid w:val="00EE7ABC"/>
    <w:rsid w:val="00EE7AEE"/>
    <w:rsid w:val="00EE7B72"/>
    <w:rsid w:val="00EE7C8B"/>
    <w:rsid w:val="00EE7F0B"/>
    <w:rsid w:val="00EE7F7A"/>
    <w:rsid w:val="00EE7FE4"/>
    <w:rsid w:val="00EF01B2"/>
    <w:rsid w:val="00EF044F"/>
    <w:rsid w:val="00EF0620"/>
    <w:rsid w:val="00EF063F"/>
    <w:rsid w:val="00EF06A2"/>
    <w:rsid w:val="00EF070B"/>
    <w:rsid w:val="00EF07BF"/>
    <w:rsid w:val="00EF08DC"/>
    <w:rsid w:val="00EF09B7"/>
    <w:rsid w:val="00EF0A2E"/>
    <w:rsid w:val="00EF0AEB"/>
    <w:rsid w:val="00EF0CD9"/>
    <w:rsid w:val="00EF0CDF"/>
    <w:rsid w:val="00EF0D45"/>
    <w:rsid w:val="00EF13F1"/>
    <w:rsid w:val="00EF143F"/>
    <w:rsid w:val="00EF15D7"/>
    <w:rsid w:val="00EF1684"/>
    <w:rsid w:val="00EF1A24"/>
    <w:rsid w:val="00EF1CF0"/>
    <w:rsid w:val="00EF1EA1"/>
    <w:rsid w:val="00EF20F6"/>
    <w:rsid w:val="00EF2195"/>
    <w:rsid w:val="00EF22F8"/>
    <w:rsid w:val="00EF23D9"/>
    <w:rsid w:val="00EF2471"/>
    <w:rsid w:val="00EF26E9"/>
    <w:rsid w:val="00EF2748"/>
    <w:rsid w:val="00EF2AA9"/>
    <w:rsid w:val="00EF2BBE"/>
    <w:rsid w:val="00EF3137"/>
    <w:rsid w:val="00EF3150"/>
    <w:rsid w:val="00EF3208"/>
    <w:rsid w:val="00EF321B"/>
    <w:rsid w:val="00EF333D"/>
    <w:rsid w:val="00EF3446"/>
    <w:rsid w:val="00EF344C"/>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D72"/>
    <w:rsid w:val="00EF4F08"/>
    <w:rsid w:val="00EF5135"/>
    <w:rsid w:val="00EF53EC"/>
    <w:rsid w:val="00EF5407"/>
    <w:rsid w:val="00EF5558"/>
    <w:rsid w:val="00EF55A3"/>
    <w:rsid w:val="00EF5713"/>
    <w:rsid w:val="00EF5923"/>
    <w:rsid w:val="00EF5A67"/>
    <w:rsid w:val="00EF5CCA"/>
    <w:rsid w:val="00EF5DB2"/>
    <w:rsid w:val="00EF6494"/>
    <w:rsid w:val="00EF649C"/>
    <w:rsid w:val="00EF656A"/>
    <w:rsid w:val="00EF6705"/>
    <w:rsid w:val="00EF67EB"/>
    <w:rsid w:val="00EF67FE"/>
    <w:rsid w:val="00EF680C"/>
    <w:rsid w:val="00EF69DA"/>
    <w:rsid w:val="00EF6BB5"/>
    <w:rsid w:val="00EF6CE9"/>
    <w:rsid w:val="00EF6F7F"/>
    <w:rsid w:val="00EF7192"/>
    <w:rsid w:val="00EF723C"/>
    <w:rsid w:val="00EF7244"/>
    <w:rsid w:val="00EF72AF"/>
    <w:rsid w:val="00EF764C"/>
    <w:rsid w:val="00EF76D2"/>
    <w:rsid w:val="00EF7729"/>
    <w:rsid w:val="00EF7AF5"/>
    <w:rsid w:val="00EF7B9E"/>
    <w:rsid w:val="00EF7C65"/>
    <w:rsid w:val="00EF7CCB"/>
    <w:rsid w:val="00EF7E12"/>
    <w:rsid w:val="00EF7EF5"/>
    <w:rsid w:val="00F00108"/>
    <w:rsid w:val="00F00209"/>
    <w:rsid w:val="00F002EB"/>
    <w:rsid w:val="00F0035D"/>
    <w:rsid w:val="00F00381"/>
    <w:rsid w:val="00F00465"/>
    <w:rsid w:val="00F00826"/>
    <w:rsid w:val="00F009B4"/>
    <w:rsid w:val="00F009B9"/>
    <w:rsid w:val="00F00B18"/>
    <w:rsid w:val="00F00BDE"/>
    <w:rsid w:val="00F00BF2"/>
    <w:rsid w:val="00F00C7C"/>
    <w:rsid w:val="00F00CE4"/>
    <w:rsid w:val="00F00EB0"/>
    <w:rsid w:val="00F00EB1"/>
    <w:rsid w:val="00F010AC"/>
    <w:rsid w:val="00F01141"/>
    <w:rsid w:val="00F0139F"/>
    <w:rsid w:val="00F014BE"/>
    <w:rsid w:val="00F01554"/>
    <w:rsid w:val="00F015B9"/>
    <w:rsid w:val="00F01A26"/>
    <w:rsid w:val="00F01BC5"/>
    <w:rsid w:val="00F01C69"/>
    <w:rsid w:val="00F01DBC"/>
    <w:rsid w:val="00F01E82"/>
    <w:rsid w:val="00F01F3B"/>
    <w:rsid w:val="00F01F62"/>
    <w:rsid w:val="00F01FCC"/>
    <w:rsid w:val="00F020B2"/>
    <w:rsid w:val="00F022A1"/>
    <w:rsid w:val="00F022D2"/>
    <w:rsid w:val="00F02632"/>
    <w:rsid w:val="00F02731"/>
    <w:rsid w:val="00F02A65"/>
    <w:rsid w:val="00F02ACB"/>
    <w:rsid w:val="00F02D17"/>
    <w:rsid w:val="00F02EE2"/>
    <w:rsid w:val="00F02FA9"/>
    <w:rsid w:val="00F0312C"/>
    <w:rsid w:val="00F0314D"/>
    <w:rsid w:val="00F031C1"/>
    <w:rsid w:val="00F03215"/>
    <w:rsid w:val="00F03333"/>
    <w:rsid w:val="00F0333A"/>
    <w:rsid w:val="00F0338F"/>
    <w:rsid w:val="00F0351C"/>
    <w:rsid w:val="00F0375E"/>
    <w:rsid w:val="00F037B5"/>
    <w:rsid w:val="00F037EE"/>
    <w:rsid w:val="00F03A67"/>
    <w:rsid w:val="00F03BAA"/>
    <w:rsid w:val="00F03C7D"/>
    <w:rsid w:val="00F03DDF"/>
    <w:rsid w:val="00F03E2F"/>
    <w:rsid w:val="00F03E79"/>
    <w:rsid w:val="00F03FDD"/>
    <w:rsid w:val="00F0402C"/>
    <w:rsid w:val="00F04075"/>
    <w:rsid w:val="00F040C5"/>
    <w:rsid w:val="00F04197"/>
    <w:rsid w:val="00F04510"/>
    <w:rsid w:val="00F04573"/>
    <w:rsid w:val="00F04593"/>
    <w:rsid w:val="00F04664"/>
    <w:rsid w:val="00F046AD"/>
    <w:rsid w:val="00F0474A"/>
    <w:rsid w:val="00F04823"/>
    <w:rsid w:val="00F04B58"/>
    <w:rsid w:val="00F04E6D"/>
    <w:rsid w:val="00F04EB6"/>
    <w:rsid w:val="00F050E9"/>
    <w:rsid w:val="00F051CA"/>
    <w:rsid w:val="00F053AD"/>
    <w:rsid w:val="00F05486"/>
    <w:rsid w:val="00F05523"/>
    <w:rsid w:val="00F0582B"/>
    <w:rsid w:val="00F058A9"/>
    <w:rsid w:val="00F05973"/>
    <w:rsid w:val="00F05C13"/>
    <w:rsid w:val="00F05C99"/>
    <w:rsid w:val="00F05C9A"/>
    <w:rsid w:val="00F05E64"/>
    <w:rsid w:val="00F05F75"/>
    <w:rsid w:val="00F061B7"/>
    <w:rsid w:val="00F0629C"/>
    <w:rsid w:val="00F063BC"/>
    <w:rsid w:val="00F0683C"/>
    <w:rsid w:val="00F06921"/>
    <w:rsid w:val="00F06D5B"/>
    <w:rsid w:val="00F06E3C"/>
    <w:rsid w:val="00F0724A"/>
    <w:rsid w:val="00F072B4"/>
    <w:rsid w:val="00F076E2"/>
    <w:rsid w:val="00F0775C"/>
    <w:rsid w:val="00F0779E"/>
    <w:rsid w:val="00F077DB"/>
    <w:rsid w:val="00F07911"/>
    <w:rsid w:val="00F07A8D"/>
    <w:rsid w:val="00F07D8B"/>
    <w:rsid w:val="00F07E57"/>
    <w:rsid w:val="00F07E69"/>
    <w:rsid w:val="00F07F87"/>
    <w:rsid w:val="00F07FBB"/>
    <w:rsid w:val="00F0BC40"/>
    <w:rsid w:val="00F100B9"/>
    <w:rsid w:val="00F100EA"/>
    <w:rsid w:val="00F101B7"/>
    <w:rsid w:val="00F1034D"/>
    <w:rsid w:val="00F1034E"/>
    <w:rsid w:val="00F10374"/>
    <w:rsid w:val="00F103A2"/>
    <w:rsid w:val="00F10409"/>
    <w:rsid w:val="00F10482"/>
    <w:rsid w:val="00F10545"/>
    <w:rsid w:val="00F10547"/>
    <w:rsid w:val="00F105CD"/>
    <w:rsid w:val="00F106FF"/>
    <w:rsid w:val="00F1070B"/>
    <w:rsid w:val="00F10851"/>
    <w:rsid w:val="00F10A74"/>
    <w:rsid w:val="00F10AD4"/>
    <w:rsid w:val="00F10B98"/>
    <w:rsid w:val="00F10C5F"/>
    <w:rsid w:val="00F10CE3"/>
    <w:rsid w:val="00F10DE1"/>
    <w:rsid w:val="00F10DFE"/>
    <w:rsid w:val="00F10E18"/>
    <w:rsid w:val="00F10F40"/>
    <w:rsid w:val="00F10F63"/>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5B5"/>
    <w:rsid w:val="00F12949"/>
    <w:rsid w:val="00F12AC6"/>
    <w:rsid w:val="00F12C88"/>
    <w:rsid w:val="00F12D90"/>
    <w:rsid w:val="00F12E4E"/>
    <w:rsid w:val="00F12FD4"/>
    <w:rsid w:val="00F130AA"/>
    <w:rsid w:val="00F13145"/>
    <w:rsid w:val="00F1316F"/>
    <w:rsid w:val="00F131AA"/>
    <w:rsid w:val="00F134F4"/>
    <w:rsid w:val="00F137B6"/>
    <w:rsid w:val="00F137D5"/>
    <w:rsid w:val="00F138C6"/>
    <w:rsid w:val="00F139A7"/>
    <w:rsid w:val="00F13A44"/>
    <w:rsid w:val="00F13A70"/>
    <w:rsid w:val="00F13AEE"/>
    <w:rsid w:val="00F13BCE"/>
    <w:rsid w:val="00F13D68"/>
    <w:rsid w:val="00F13D97"/>
    <w:rsid w:val="00F13DF2"/>
    <w:rsid w:val="00F13EEE"/>
    <w:rsid w:val="00F13EF9"/>
    <w:rsid w:val="00F140DF"/>
    <w:rsid w:val="00F1414B"/>
    <w:rsid w:val="00F143EB"/>
    <w:rsid w:val="00F1446C"/>
    <w:rsid w:val="00F14554"/>
    <w:rsid w:val="00F1455B"/>
    <w:rsid w:val="00F146AB"/>
    <w:rsid w:val="00F146E8"/>
    <w:rsid w:val="00F147FA"/>
    <w:rsid w:val="00F14817"/>
    <w:rsid w:val="00F148D4"/>
    <w:rsid w:val="00F149FE"/>
    <w:rsid w:val="00F14DC8"/>
    <w:rsid w:val="00F14E28"/>
    <w:rsid w:val="00F14E34"/>
    <w:rsid w:val="00F14E70"/>
    <w:rsid w:val="00F1513F"/>
    <w:rsid w:val="00F153E2"/>
    <w:rsid w:val="00F154D7"/>
    <w:rsid w:val="00F15531"/>
    <w:rsid w:val="00F155A6"/>
    <w:rsid w:val="00F15864"/>
    <w:rsid w:val="00F15B46"/>
    <w:rsid w:val="00F15CEA"/>
    <w:rsid w:val="00F15EF9"/>
    <w:rsid w:val="00F15FC5"/>
    <w:rsid w:val="00F161A6"/>
    <w:rsid w:val="00F16442"/>
    <w:rsid w:val="00F16513"/>
    <w:rsid w:val="00F16565"/>
    <w:rsid w:val="00F1657D"/>
    <w:rsid w:val="00F165C5"/>
    <w:rsid w:val="00F167F4"/>
    <w:rsid w:val="00F1692B"/>
    <w:rsid w:val="00F16945"/>
    <w:rsid w:val="00F16A21"/>
    <w:rsid w:val="00F16B22"/>
    <w:rsid w:val="00F16B5A"/>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B3"/>
    <w:rsid w:val="00F209D7"/>
    <w:rsid w:val="00F209E1"/>
    <w:rsid w:val="00F20BB0"/>
    <w:rsid w:val="00F20D72"/>
    <w:rsid w:val="00F20D7D"/>
    <w:rsid w:val="00F20F37"/>
    <w:rsid w:val="00F20FB6"/>
    <w:rsid w:val="00F20FEC"/>
    <w:rsid w:val="00F21186"/>
    <w:rsid w:val="00F21318"/>
    <w:rsid w:val="00F2161E"/>
    <w:rsid w:val="00F216D3"/>
    <w:rsid w:val="00F2175A"/>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8F"/>
    <w:rsid w:val="00F22AD0"/>
    <w:rsid w:val="00F22C89"/>
    <w:rsid w:val="00F22E4B"/>
    <w:rsid w:val="00F22E89"/>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EB"/>
    <w:rsid w:val="00F2442E"/>
    <w:rsid w:val="00F244A3"/>
    <w:rsid w:val="00F244B9"/>
    <w:rsid w:val="00F245E4"/>
    <w:rsid w:val="00F2463B"/>
    <w:rsid w:val="00F24642"/>
    <w:rsid w:val="00F248E8"/>
    <w:rsid w:val="00F2492C"/>
    <w:rsid w:val="00F24AB0"/>
    <w:rsid w:val="00F24B1F"/>
    <w:rsid w:val="00F24DCD"/>
    <w:rsid w:val="00F25021"/>
    <w:rsid w:val="00F25112"/>
    <w:rsid w:val="00F2550E"/>
    <w:rsid w:val="00F25567"/>
    <w:rsid w:val="00F261F7"/>
    <w:rsid w:val="00F26272"/>
    <w:rsid w:val="00F263C1"/>
    <w:rsid w:val="00F263EE"/>
    <w:rsid w:val="00F2640D"/>
    <w:rsid w:val="00F26594"/>
    <w:rsid w:val="00F26596"/>
    <w:rsid w:val="00F2672B"/>
    <w:rsid w:val="00F2684C"/>
    <w:rsid w:val="00F26C68"/>
    <w:rsid w:val="00F26D64"/>
    <w:rsid w:val="00F26D70"/>
    <w:rsid w:val="00F26E34"/>
    <w:rsid w:val="00F26F0F"/>
    <w:rsid w:val="00F26FBB"/>
    <w:rsid w:val="00F271B0"/>
    <w:rsid w:val="00F2731B"/>
    <w:rsid w:val="00F273ED"/>
    <w:rsid w:val="00F27432"/>
    <w:rsid w:val="00F275FD"/>
    <w:rsid w:val="00F2791F"/>
    <w:rsid w:val="00F27BC8"/>
    <w:rsid w:val="00F27C54"/>
    <w:rsid w:val="00F27CA7"/>
    <w:rsid w:val="00F27CED"/>
    <w:rsid w:val="00F27D1A"/>
    <w:rsid w:val="00F27DAA"/>
    <w:rsid w:val="00F27E27"/>
    <w:rsid w:val="00F30079"/>
    <w:rsid w:val="00F30129"/>
    <w:rsid w:val="00F30141"/>
    <w:rsid w:val="00F30155"/>
    <w:rsid w:val="00F30455"/>
    <w:rsid w:val="00F3047F"/>
    <w:rsid w:val="00F304A7"/>
    <w:rsid w:val="00F30670"/>
    <w:rsid w:val="00F306A4"/>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1F2A"/>
    <w:rsid w:val="00F32110"/>
    <w:rsid w:val="00F32123"/>
    <w:rsid w:val="00F321B0"/>
    <w:rsid w:val="00F322B4"/>
    <w:rsid w:val="00F32362"/>
    <w:rsid w:val="00F3253C"/>
    <w:rsid w:val="00F32806"/>
    <w:rsid w:val="00F329AA"/>
    <w:rsid w:val="00F329C6"/>
    <w:rsid w:val="00F32A16"/>
    <w:rsid w:val="00F32A47"/>
    <w:rsid w:val="00F32D9A"/>
    <w:rsid w:val="00F32DBA"/>
    <w:rsid w:val="00F32DF6"/>
    <w:rsid w:val="00F32F17"/>
    <w:rsid w:val="00F32F9F"/>
    <w:rsid w:val="00F3306B"/>
    <w:rsid w:val="00F33137"/>
    <w:rsid w:val="00F33589"/>
    <w:rsid w:val="00F335DF"/>
    <w:rsid w:val="00F33AC2"/>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502"/>
    <w:rsid w:val="00F35CE6"/>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3B8"/>
    <w:rsid w:val="00F403C2"/>
    <w:rsid w:val="00F404C1"/>
    <w:rsid w:val="00F40505"/>
    <w:rsid w:val="00F405C5"/>
    <w:rsid w:val="00F405D2"/>
    <w:rsid w:val="00F40660"/>
    <w:rsid w:val="00F406A3"/>
    <w:rsid w:val="00F406F0"/>
    <w:rsid w:val="00F4073B"/>
    <w:rsid w:val="00F408CD"/>
    <w:rsid w:val="00F40B16"/>
    <w:rsid w:val="00F40BE0"/>
    <w:rsid w:val="00F40C3E"/>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1C"/>
    <w:rsid w:val="00F420A7"/>
    <w:rsid w:val="00F42149"/>
    <w:rsid w:val="00F4223D"/>
    <w:rsid w:val="00F42280"/>
    <w:rsid w:val="00F425A4"/>
    <w:rsid w:val="00F425E4"/>
    <w:rsid w:val="00F42A81"/>
    <w:rsid w:val="00F42B5D"/>
    <w:rsid w:val="00F42D56"/>
    <w:rsid w:val="00F42DD2"/>
    <w:rsid w:val="00F42FBA"/>
    <w:rsid w:val="00F43070"/>
    <w:rsid w:val="00F43096"/>
    <w:rsid w:val="00F430BF"/>
    <w:rsid w:val="00F43297"/>
    <w:rsid w:val="00F43326"/>
    <w:rsid w:val="00F4344C"/>
    <w:rsid w:val="00F435AB"/>
    <w:rsid w:val="00F4369A"/>
    <w:rsid w:val="00F436ED"/>
    <w:rsid w:val="00F43A02"/>
    <w:rsid w:val="00F43D05"/>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501B"/>
    <w:rsid w:val="00F4533E"/>
    <w:rsid w:val="00F4540A"/>
    <w:rsid w:val="00F458D2"/>
    <w:rsid w:val="00F45946"/>
    <w:rsid w:val="00F45B96"/>
    <w:rsid w:val="00F45E3D"/>
    <w:rsid w:val="00F45FE1"/>
    <w:rsid w:val="00F46060"/>
    <w:rsid w:val="00F46152"/>
    <w:rsid w:val="00F46197"/>
    <w:rsid w:val="00F461F9"/>
    <w:rsid w:val="00F46329"/>
    <w:rsid w:val="00F46585"/>
    <w:rsid w:val="00F466C3"/>
    <w:rsid w:val="00F46AAF"/>
    <w:rsid w:val="00F46CC2"/>
    <w:rsid w:val="00F46ED8"/>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B4"/>
    <w:rsid w:val="00F517C6"/>
    <w:rsid w:val="00F517C8"/>
    <w:rsid w:val="00F51812"/>
    <w:rsid w:val="00F51839"/>
    <w:rsid w:val="00F5186F"/>
    <w:rsid w:val="00F51A30"/>
    <w:rsid w:val="00F51AE1"/>
    <w:rsid w:val="00F51AE3"/>
    <w:rsid w:val="00F51BBB"/>
    <w:rsid w:val="00F51CA7"/>
    <w:rsid w:val="00F51E10"/>
    <w:rsid w:val="00F51EF9"/>
    <w:rsid w:val="00F51F47"/>
    <w:rsid w:val="00F520BE"/>
    <w:rsid w:val="00F52159"/>
    <w:rsid w:val="00F524E4"/>
    <w:rsid w:val="00F52526"/>
    <w:rsid w:val="00F52583"/>
    <w:rsid w:val="00F5269E"/>
    <w:rsid w:val="00F52791"/>
    <w:rsid w:val="00F5279C"/>
    <w:rsid w:val="00F52ADE"/>
    <w:rsid w:val="00F52C03"/>
    <w:rsid w:val="00F52EA0"/>
    <w:rsid w:val="00F52F09"/>
    <w:rsid w:val="00F530D5"/>
    <w:rsid w:val="00F53209"/>
    <w:rsid w:val="00F53216"/>
    <w:rsid w:val="00F53282"/>
    <w:rsid w:val="00F53355"/>
    <w:rsid w:val="00F53654"/>
    <w:rsid w:val="00F53718"/>
    <w:rsid w:val="00F53AEC"/>
    <w:rsid w:val="00F53CA9"/>
    <w:rsid w:val="00F53D60"/>
    <w:rsid w:val="00F53DDB"/>
    <w:rsid w:val="00F53F18"/>
    <w:rsid w:val="00F53F6C"/>
    <w:rsid w:val="00F53F78"/>
    <w:rsid w:val="00F5402B"/>
    <w:rsid w:val="00F54090"/>
    <w:rsid w:val="00F5451A"/>
    <w:rsid w:val="00F54554"/>
    <w:rsid w:val="00F5465C"/>
    <w:rsid w:val="00F5472A"/>
    <w:rsid w:val="00F5479F"/>
    <w:rsid w:val="00F548D7"/>
    <w:rsid w:val="00F5495F"/>
    <w:rsid w:val="00F54C55"/>
    <w:rsid w:val="00F54DF5"/>
    <w:rsid w:val="00F54F17"/>
    <w:rsid w:val="00F5502A"/>
    <w:rsid w:val="00F55061"/>
    <w:rsid w:val="00F55285"/>
    <w:rsid w:val="00F5543E"/>
    <w:rsid w:val="00F556E5"/>
    <w:rsid w:val="00F5574A"/>
    <w:rsid w:val="00F55797"/>
    <w:rsid w:val="00F5591C"/>
    <w:rsid w:val="00F55ABA"/>
    <w:rsid w:val="00F55B75"/>
    <w:rsid w:val="00F55CEF"/>
    <w:rsid w:val="00F55F4B"/>
    <w:rsid w:val="00F56356"/>
    <w:rsid w:val="00F564EF"/>
    <w:rsid w:val="00F56551"/>
    <w:rsid w:val="00F56662"/>
    <w:rsid w:val="00F56821"/>
    <w:rsid w:val="00F5682B"/>
    <w:rsid w:val="00F568C7"/>
    <w:rsid w:val="00F5694D"/>
    <w:rsid w:val="00F56A25"/>
    <w:rsid w:val="00F56A26"/>
    <w:rsid w:val="00F56C62"/>
    <w:rsid w:val="00F56EFC"/>
    <w:rsid w:val="00F56EFD"/>
    <w:rsid w:val="00F57225"/>
    <w:rsid w:val="00F57548"/>
    <w:rsid w:val="00F57575"/>
    <w:rsid w:val="00F5794A"/>
    <w:rsid w:val="00F57A1A"/>
    <w:rsid w:val="00F57AD1"/>
    <w:rsid w:val="00F57D31"/>
    <w:rsid w:val="00F57DD3"/>
    <w:rsid w:val="00F57EBF"/>
    <w:rsid w:val="00F60091"/>
    <w:rsid w:val="00F60227"/>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A3F"/>
    <w:rsid w:val="00F61AF5"/>
    <w:rsid w:val="00F61C2E"/>
    <w:rsid w:val="00F61E2D"/>
    <w:rsid w:val="00F62065"/>
    <w:rsid w:val="00F620F7"/>
    <w:rsid w:val="00F62307"/>
    <w:rsid w:val="00F62335"/>
    <w:rsid w:val="00F62337"/>
    <w:rsid w:val="00F62355"/>
    <w:rsid w:val="00F62369"/>
    <w:rsid w:val="00F6240E"/>
    <w:rsid w:val="00F625B4"/>
    <w:rsid w:val="00F62755"/>
    <w:rsid w:val="00F62951"/>
    <w:rsid w:val="00F62CA9"/>
    <w:rsid w:val="00F62DA1"/>
    <w:rsid w:val="00F62E4D"/>
    <w:rsid w:val="00F62F17"/>
    <w:rsid w:val="00F6332D"/>
    <w:rsid w:val="00F63505"/>
    <w:rsid w:val="00F6351F"/>
    <w:rsid w:val="00F63982"/>
    <w:rsid w:val="00F639B2"/>
    <w:rsid w:val="00F639C2"/>
    <w:rsid w:val="00F63CDC"/>
    <w:rsid w:val="00F63D52"/>
    <w:rsid w:val="00F63E13"/>
    <w:rsid w:val="00F64068"/>
    <w:rsid w:val="00F64173"/>
    <w:rsid w:val="00F64401"/>
    <w:rsid w:val="00F64436"/>
    <w:rsid w:val="00F6462B"/>
    <w:rsid w:val="00F64788"/>
    <w:rsid w:val="00F64A2F"/>
    <w:rsid w:val="00F64C3F"/>
    <w:rsid w:val="00F64DC7"/>
    <w:rsid w:val="00F64E46"/>
    <w:rsid w:val="00F64E4C"/>
    <w:rsid w:val="00F651B5"/>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3A6"/>
    <w:rsid w:val="00F665E8"/>
    <w:rsid w:val="00F667D5"/>
    <w:rsid w:val="00F66889"/>
    <w:rsid w:val="00F66B05"/>
    <w:rsid w:val="00F66DAE"/>
    <w:rsid w:val="00F66EBD"/>
    <w:rsid w:val="00F66F0B"/>
    <w:rsid w:val="00F66FA9"/>
    <w:rsid w:val="00F6704C"/>
    <w:rsid w:val="00F670DE"/>
    <w:rsid w:val="00F672E6"/>
    <w:rsid w:val="00F67588"/>
    <w:rsid w:val="00F67746"/>
    <w:rsid w:val="00F67928"/>
    <w:rsid w:val="00F67A82"/>
    <w:rsid w:val="00F67AD4"/>
    <w:rsid w:val="00F67B21"/>
    <w:rsid w:val="00F67CB6"/>
    <w:rsid w:val="00F67D88"/>
    <w:rsid w:val="00F7002A"/>
    <w:rsid w:val="00F700AC"/>
    <w:rsid w:val="00F70112"/>
    <w:rsid w:val="00F70216"/>
    <w:rsid w:val="00F70340"/>
    <w:rsid w:val="00F70802"/>
    <w:rsid w:val="00F708E0"/>
    <w:rsid w:val="00F70925"/>
    <w:rsid w:val="00F7094C"/>
    <w:rsid w:val="00F70C4D"/>
    <w:rsid w:val="00F70D50"/>
    <w:rsid w:val="00F70D84"/>
    <w:rsid w:val="00F70E29"/>
    <w:rsid w:val="00F710AF"/>
    <w:rsid w:val="00F711E6"/>
    <w:rsid w:val="00F71587"/>
    <w:rsid w:val="00F71878"/>
    <w:rsid w:val="00F718D2"/>
    <w:rsid w:val="00F718F0"/>
    <w:rsid w:val="00F7194F"/>
    <w:rsid w:val="00F71969"/>
    <w:rsid w:val="00F71C44"/>
    <w:rsid w:val="00F71CB7"/>
    <w:rsid w:val="00F71EC2"/>
    <w:rsid w:val="00F7205A"/>
    <w:rsid w:val="00F720BB"/>
    <w:rsid w:val="00F721E2"/>
    <w:rsid w:val="00F723CB"/>
    <w:rsid w:val="00F72558"/>
    <w:rsid w:val="00F727CB"/>
    <w:rsid w:val="00F7284E"/>
    <w:rsid w:val="00F7290A"/>
    <w:rsid w:val="00F72B8D"/>
    <w:rsid w:val="00F72CBA"/>
    <w:rsid w:val="00F72DDE"/>
    <w:rsid w:val="00F72E4C"/>
    <w:rsid w:val="00F72FFA"/>
    <w:rsid w:val="00F730AA"/>
    <w:rsid w:val="00F730C1"/>
    <w:rsid w:val="00F73336"/>
    <w:rsid w:val="00F737EA"/>
    <w:rsid w:val="00F7381C"/>
    <w:rsid w:val="00F738EE"/>
    <w:rsid w:val="00F73AE0"/>
    <w:rsid w:val="00F73B0B"/>
    <w:rsid w:val="00F73C09"/>
    <w:rsid w:val="00F73C12"/>
    <w:rsid w:val="00F73E10"/>
    <w:rsid w:val="00F73E54"/>
    <w:rsid w:val="00F73EC8"/>
    <w:rsid w:val="00F74361"/>
    <w:rsid w:val="00F743EA"/>
    <w:rsid w:val="00F74428"/>
    <w:rsid w:val="00F744E0"/>
    <w:rsid w:val="00F74627"/>
    <w:rsid w:val="00F746DC"/>
    <w:rsid w:val="00F74BA2"/>
    <w:rsid w:val="00F74BED"/>
    <w:rsid w:val="00F74BF2"/>
    <w:rsid w:val="00F74BFC"/>
    <w:rsid w:val="00F74E5A"/>
    <w:rsid w:val="00F74E7F"/>
    <w:rsid w:val="00F75049"/>
    <w:rsid w:val="00F750A0"/>
    <w:rsid w:val="00F753E3"/>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E9A"/>
    <w:rsid w:val="00F75EE9"/>
    <w:rsid w:val="00F75F31"/>
    <w:rsid w:val="00F75F63"/>
    <w:rsid w:val="00F7609C"/>
    <w:rsid w:val="00F76113"/>
    <w:rsid w:val="00F76450"/>
    <w:rsid w:val="00F7656E"/>
    <w:rsid w:val="00F7658C"/>
    <w:rsid w:val="00F7664D"/>
    <w:rsid w:val="00F766B7"/>
    <w:rsid w:val="00F76D30"/>
    <w:rsid w:val="00F76DE1"/>
    <w:rsid w:val="00F76EBF"/>
    <w:rsid w:val="00F770DF"/>
    <w:rsid w:val="00F771F2"/>
    <w:rsid w:val="00F772A0"/>
    <w:rsid w:val="00F772C2"/>
    <w:rsid w:val="00F7738B"/>
    <w:rsid w:val="00F774AA"/>
    <w:rsid w:val="00F774D5"/>
    <w:rsid w:val="00F77564"/>
    <w:rsid w:val="00F77636"/>
    <w:rsid w:val="00F77825"/>
    <w:rsid w:val="00F77A09"/>
    <w:rsid w:val="00F77A12"/>
    <w:rsid w:val="00F77AE9"/>
    <w:rsid w:val="00F77B23"/>
    <w:rsid w:val="00F77B6B"/>
    <w:rsid w:val="00F77BD0"/>
    <w:rsid w:val="00F77CC6"/>
    <w:rsid w:val="00F77E40"/>
    <w:rsid w:val="00F800D4"/>
    <w:rsid w:val="00F800EE"/>
    <w:rsid w:val="00F801F0"/>
    <w:rsid w:val="00F802A4"/>
    <w:rsid w:val="00F80671"/>
    <w:rsid w:val="00F8072A"/>
    <w:rsid w:val="00F807B9"/>
    <w:rsid w:val="00F8082E"/>
    <w:rsid w:val="00F80970"/>
    <w:rsid w:val="00F80BDE"/>
    <w:rsid w:val="00F80BFE"/>
    <w:rsid w:val="00F80DB8"/>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8B"/>
    <w:rsid w:val="00F82E50"/>
    <w:rsid w:val="00F8301A"/>
    <w:rsid w:val="00F830FA"/>
    <w:rsid w:val="00F83107"/>
    <w:rsid w:val="00F83408"/>
    <w:rsid w:val="00F834E7"/>
    <w:rsid w:val="00F8378F"/>
    <w:rsid w:val="00F8381B"/>
    <w:rsid w:val="00F838AB"/>
    <w:rsid w:val="00F83A9E"/>
    <w:rsid w:val="00F83B23"/>
    <w:rsid w:val="00F83B36"/>
    <w:rsid w:val="00F83B99"/>
    <w:rsid w:val="00F83BDC"/>
    <w:rsid w:val="00F83CFA"/>
    <w:rsid w:val="00F84238"/>
    <w:rsid w:val="00F84313"/>
    <w:rsid w:val="00F8447F"/>
    <w:rsid w:val="00F844B8"/>
    <w:rsid w:val="00F844D0"/>
    <w:rsid w:val="00F845F2"/>
    <w:rsid w:val="00F84889"/>
    <w:rsid w:val="00F84A7A"/>
    <w:rsid w:val="00F84CAD"/>
    <w:rsid w:val="00F84F15"/>
    <w:rsid w:val="00F84FD6"/>
    <w:rsid w:val="00F850C8"/>
    <w:rsid w:val="00F8512A"/>
    <w:rsid w:val="00F851CF"/>
    <w:rsid w:val="00F852BA"/>
    <w:rsid w:val="00F85334"/>
    <w:rsid w:val="00F85584"/>
    <w:rsid w:val="00F85662"/>
    <w:rsid w:val="00F856F1"/>
    <w:rsid w:val="00F85792"/>
    <w:rsid w:val="00F857AA"/>
    <w:rsid w:val="00F85838"/>
    <w:rsid w:val="00F85845"/>
    <w:rsid w:val="00F85903"/>
    <w:rsid w:val="00F8590B"/>
    <w:rsid w:val="00F85B11"/>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07D"/>
    <w:rsid w:val="00F87194"/>
    <w:rsid w:val="00F871ED"/>
    <w:rsid w:val="00F872FA"/>
    <w:rsid w:val="00F874B6"/>
    <w:rsid w:val="00F87630"/>
    <w:rsid w:val="00F877F0"/>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09"/>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8B1"/>
    <w:rsid w:val="00F94983"/>
    <w:rsid w:val="00F9499B"/>
    <w:rsid w:val="00F94B1C"/>
    <w:rsid w:val="00F94B7A"/>
    <w:rsid w:val="00F94B9B"/>
    <w:rsid w:val="00F94BC8"/>
    <w:rsid w:val="00F94CB1"/>
    <w:rsid w:val="00F94F96"/>
    <w:rsid w:val="00F95007"/>
    <w:rsid w:val="00F950A4"/>
    <w:rsid w:val="00F95266"/>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AD8"/>
    <w:rsid w:val="00F97BF2"/>
    <w:rsid w:val="00F97CA5"/>
    <w:rsid w:val="00FA01D4"/>
    <w:rsid w:val="00FA022B"/>
    <w:rsid w:val="00FA0395"/>
    <w:rsid w:val="00FA03D7"/>
    <w:rsid w:val="00FA04B3"/>
    <w:rsid w:val="00FA05CA"/>
    <w:rsid w:val="00FA0663"/>
    <w:rsid w:val="00FA070F"/>
    <w:rsid w:val="00FA0807"/>
    <w:rsid w:val="00FA09AF"/>
    <w:rsid w:val="00FA0A6C"/>
    <w:rsid w:val="00FA0A87"/>
    <w:rsid w:val="00FA0A9D"/>
    <w:rsid w:val="00FA0DB4"/>
    <w:rsid w:val="00FA0DBD"/>
    <w:rsid w:val="00FA0E77"/>
    <w:rsid w:val="00FA0F05"/>
    <w:rsid w:val="00FA0F6F"/>
    <w:rsid w:val="00FA10C1"/>
    <w:rsid w:val="00FA113B"/>
    <w:rsid w:val="00FA11B0"/>
    <w:rsid w:val="00FA12BF"/>
    <w:rsid w:val="00FA136A"/>
    <w:rsid w:val="00FA1470"/>
    <w:rsid w:val="00FA154B"/>
    <w:rsid w:val="00FA189C"/>
    <w:rsid w:val="00FA19E0"/>
    <w:rsid w:val="00FA1C7D"/>
    <w:rsid w:val="00FA1D0F"/>
    <w:rsid w:val="00FA1D51"/>
    <w:rsid w:val="00FA1F12"/>
    <w:rsid w:val="00FA204C"/>
    <w:rsid w:val="00FA2213"/>
    <w:rsid w:val="00FA2228"/>
    <w:rsid w:val="00FA22AB"/>
    <w:rsid w:val="00FA22C6"/>
    <w:rsid w:val="00FA23E7"/>
    <w:rsid w:val="00FA2AF5"/>
    <w:rsid w:val="00FA2AF9"/>
    <w:rsid w:val="00FA2B2D"/>
    <w:rsid w:val="00FA2B51"/>
    <w:rsid w:val="00FA2BD5"/>
    <w:rsid w:val="00FA2DFE"/>
    <w:rsid w:val="00FA2ED3"/>
    <w:rsid w:val="00FA319D"/>
    <w:rsid w:val="00FA3323"/>
    <w:rsid w:val="00FA33AD"/>
    <w:rsid w:val="00FA342C"/>
    <w:rsid w:val="00FA3489"/>
    <w:rsid w:val="00FA3564"/>
    <w:rsid w:val="00FA35D5"/>
    <w:rsid w:val="00FA3602"/>
    <w:rsid w:val="00FA3707"/>
    <w:rsid w:val="00FA3B09"/>
    <w:rsid w:val="00FA3C7A"/>
    <w:rsid w:val="00FA3C9C"/>
    <w:rsid w:val="00FA3DEA"/>
    <w:rsid w:val="00FA3EDA"/>
    <w:rsid w:val="00FA3EFF"/>
    <w:rsid w:val="00FA3FD5"/>
    <w:rsid w:val="00FA4019"/>
    <w:rsid w:val="00FA406F"/>
    <w:rsid w:val="00FA417A"/>
    <w:rsid w:val="00FA447A"/>
    <w:rsid w:val="00FA4582"/>
    <w:rsid w:val="00FA45B7"/>
    <w:rsid w:val="00FA478D"/>
    <w:rsid w:val="00FA490F"/>
    <w:rsid w:val="00FA4A35"/>
    <w:rsid w:val="00FA4AF5"/>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F7"/>
    <w:rsid w:val="00FA5C95"/>
    <w:rsid w:val="00FA5D23"/>
    <w:rsid w:val="00FA5D47"/>
    <w:rsid w:val="00FA5D74"/>
    <w:rsid w:val="00FA5EC0"/>
    <w:rsid w:val="00FA5F08"/>
    <w:rsid w:val="00FA5F6E"/>
    <w:rsid w:val="00FA6134"/>
    <w:rsid w:val="00FA622F"/>
    <w:rsid w:val="00FA62A0"/>
    <w:rsid w:val="00FA6446"/>
    <w:rsid w:val="00FA6578"/>
    <w:rsid w:val="00FA6607"/>
    <w:rsid w:val="00FA6806"/>
    <w:rsid w:val="00FA68FD"/>
    <w:rsid w:val="00FA69DC"/>
    <w:rsid w:val="00FA6B65"/>
    <w:rsid w:val="00FA6C0D"/>
    <w:rsid w:val="00FA6CC0"/>
    <w:rsid w:val="00FA6CFF"/>
    <w:rsid w:val="00FA6D80"/>
    <w:rsid w:val="00FA6E5D"/>
    <w:rsid w:val="00FA72B3"/>
    <w:rsid w:val="00FA7351"/>
    <w:rsid w:val="00FA753B"/>
    <w:rsid w:val="00FA758D"/>
    <w:rsid w:val="00FA764B"/>
    <w:rsid w:val="00FA779E"/>
    <w:rsid w:val="00FA77BB"/>
    <w:rsid w:val="00FA77E8"/>
    <w:rsid w:val="00FA7B6C"/>
    <w:rsid w:val="00FA7C12"/>
    <w:rsid w:val="00FA7C35"/>
    <w:rsid w:val="00FA7F35"/>
    <w:rsid w:val="00FA7FA2"/>
    <w:rsid w:val="00FB017A"/>
    <w:rsid w:val="00FB01E3"/>
    <w:rsid w:val="00FB0206"/>
    <w:rsid w:val="00FB0295"/>
    <w:rsid w:val="00FB03AE"/>
    <w:rsid w:val="00FB075B"/>
    <w:rsid w:val="00FB0841"/>
    <w:rsid w:val="00FB089E"/>
    <w:rsid w:val="00FB0B2A"/>
    <w:rsid w:val="00FB0B87"/>
    <w:rsid w:val="00FB0BC5"/>
    <w:rsid w:val="00FB0CF2"/>
    <w:rsid w:val="00FB0DA4"/>
    <w:rsid w:val="00FB0EFD"/>
    <w:rsid w:val="00FB0F8D"/>
    <w:rsid w:val="00FB104C"/>
    <w:rsid w:val="00FB1095"/>
    <w:rsid w:val="00FB14B2"/>
    <w:rsid w:val="00FB1695"/>
    <w:rsid w:val="00FB16E3"/>
    <w:rsid w:val="00FB178B"/>
    <w:rsid w:val="00FB17E2"/>
    <w:rsid w:val="00FB1870"/>
    <w:rsid w:val="00FB188C"/>
    <w:rsid w:val="00FB1A66"/>
    <w:rsid w:val="00FB1A7B"/>
    <w:rsid w:val="00FB1B15"/>
    <w:rsid w:val="00FB1CEA"/>
    <w:rsid w:val="00FB2099"/>
    <w:rsid w:val="00FB2278"/>
    <w:rsid w:val="00FB271F"/>
    <w:rsid w:val="00FB27D3"/>
    <w:rsid w:val="00FB285B"/>
    <w:rsid w:val="00FB2914"/>
    <w:rsid w:val="00FB293D"/>
    <w:rsid w:val="00FB2953"/>
    <w:rsid w:val="00FB2A07"/>
    <w:rsid w:val="00FB2AC7"/>
    <w:rsid w:val="00FB2B07"/>
    <w:rsid w:val="00FB2B51"/>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5C8"/>
    <w:rsid w:val="00FB466A"/>
    <w:rsid w:val="00FB4696"/>
    <w:rsid w:val="00FB46D3"/>
    <w:rsid w:val="00FB4787"/>
    <w:rsid w:val="00FB47EB"/>
    <w:rsid w:val="00FB4872"/>
    <w:rsid w:val="00FB48FF"/>
    <w:rsid w:val="00FB49DE"/>
    <w:rsid w:val="00FB4A18"/>
    <w:rsid w:val="00FB4BA1"/>
    <w:rsid w:val="00FB4DBE"/>
    <w:rsid w:val="00FB4DF3"/>
    <w:rsid w:val="00FB4E08"/>
    <w:rsid w:val="00FB4F54"/>
    <w:rsid w:val="00FB4FB0"/>
    <w:rsid w:val="00FB4FC7"/>
    <w:rsid w:val="00FB505A"/>
    <w:rsid w:val="00FB505F"/>
    <w:rsid w:val="00FB5089"/>
    <w:rsid w:val="00FB5163"/>
    <w:rsid w:val="00FB51BB"/>
    <w:rsid w:val="00FB528F"/>
    <w:rsid w:val="00FB5391"/>
    <w:rsid w:val="00FB53F7"/>
    <w:rsid w:val="00FB5682"/>
    <w:rsid w:val="00FB5922"/>
    <w:rsid w:val="00FB5CFF"/>
    <w:rsid w:val="00FB6295"/>
    <w:rsid w:val="00FB6E01"/>
    <w:rsid w:val="00FB71AC"/>
    <w:rsid w:val="00FB71ED"/>
    <w:rsid w:val="00FB7262"/>
    <w:rsid w:val="00FB775F"/>
    <w:rsid w:val="00FB78A7"/>
    <w:rsid w:val="00FB7930"/>
    <w:rsid w:val="00FB7961"/>
    <w:rsid w:val="00FB79D3"/>
    <w:rsid w:val="00FB7A16"/>
    <w:rsid w:val="00FB7C29"/>
    <w:rsid w:val="00FB7C94"/>
    <w:rsid w:val="00FB7EC2"/>
    <w:rsid w:val="00FB7F7A"/>
    <w:rsid w:val="00FB7F7C"/>
    <w:rsid w:val="00FC02BC"/>
    <w:rsid w:val="00FC02E5"/>
    <w:rsid w:val="00FC038B"/>
    <w:rsid w:val="00FC03A3"/>
    <w:rsid w:val="00FC04ED"/>
    <w:rsid w:val="00FC069E"/>
    <w:rsid w:val="00FC07CF"/>
    <w:rsid w:val="00FC0965"/>
    <w:rsid w:val="00FC09DA"/>
    <w:rsid w:val="00FC0AD6"/>
    <w:rsid w:val="00FC0D4C"/>
    <w:rsid w:val="00FC0F23"/>
    <w:rsid w:val="00FC1131"/>
    <w:rsid w:val="00FC1211"/>
    <w:rsid w:val="00FC12A9"/>
    <w:rsid w:val="00FC148C"/>
    <w:rsid w:val="00FC14A6"/>
    <w:rsid w:val="00FC1503"/>
    <w:rsid w:val="00FC15D3"/>
    <w:rsid w:val="00FC1638"/>
    <w:rsid w:val="00FC1640"/>
    <w:rsid w:val="00FC1777"/>
    <w:rsid w:val="00FC18C5"/>
    <w:rsid w:val="00FC1AE9"/>
    <w:rsid w:val="00FC1B25"/>
    <w:rsid w:val="00FC1C02"/>
    <w:rsid w:val="00FC1F4A"/>
    <w:rsid w:val="00FC20CE"/>
    <w:rsid w:val="00FC22DF"/>
    <w:rsid w:val="00FC23D7"/>
    <w:rsid w:val="00FC2433"/>
    <w:rsid w:val="00FC2586"/>
    <w:rsid w:val="00FC2825"/>
    <w:rsid w:val="00FC2868"/>
    <w:rsid w:val="00FC29BA"/>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9B5"/>
    <w:rsid w:val="00FC3B1B"/>
    <w:rsid w:val="00FC3B4B"/>
    <w:rsid w:val="00FC3B69"/>
    <w:rsid w:val="00FC3D8D"/>
    <w:rsid w:val="00FC4060"/>
    <w:rsid w:val="00FC407A"/>
    <w:rsid w:val="00FC4188"/>
    <w:rsid w:val="00FC43C4"/>
    <w:rsid w:val="00FC44CD"/>
    <w:rsid w:val="00FC463E"/>
    <w:rsid w:val="00FC487F"/>
    <w:rsid w:val="00FC497A"/>
    <w:rsid w:val="00FC498B"/>
    <w:rsid w:val="00FC4A66"/>
    <w:rsid w:val="00FC4C84"/>
    <w:rsid w:val="00FC4C8C"/>
    <w:rsid w:val="00FC4E94"/>
    <w:rsid w:val="00FC4EEF"/>
    <w:rsid w:val="00FC500E"/>
    <w:rsid w:val="00FC5306"/>
    <w:rsid w:val="00FC5545"/>
    <w:rsid w:val="00FC555F"/>
    <w:rsid w:val="00FC5563"/>
    <w:rsid w:val="00FC557B"/>
    <w:rsid w:val="00FC56C7"/>
    <w:rsid w:val="00FC56EB"/>
    <w:rsid w:val="00FC5800"/>
    <w:rsid w:val="00FC599B"/>
    <w:rsid w:val="00FC599C"/>
    <w:rsid w:val="00FC5AF5"/>
    <w:rsid w:val="00FC5B28"/>
    <w:rsid w:val="00FC5B98"/>
    <w:rsid w:val="00FC5BE7"/>
    <w:rsid w:val="00FC5D57"/>
    <w:rsid w:val="00FC5EB4"/>
    <w:rsid w:val="00FC6079"/>
    <w:rsid w:val="00FC615C"/>
    <w:rsid w:val="00FC6393"/>
    <w:rsid w:val="00FC645B"/>
    <w:rsid w:val="00FC6525"/>
    <w:rsid w:val="00FC653C"/>
    <w:rsid w:val="00FC66B6"/>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C7C55"/>
    <w:rsid w:val="00FD00F4"/>
    <w:rsid w:val="00FD011B"/>
    <w:rsid w:val="00FD01E2"/>
    <w:rsid w:val="00FD0443"/>
    <w:rsid w:val="00FD05C1"/>
    <w:rsid w:val="00FD0606"/>
    <w:rsid w:val="00FD07CC"/>
    <w:rsid w:val="00FD08C1"/>
    <w:rsid w:val="00FD08EC"/>
    <w:rsid w:val="00FD09CF"/>
    <w:rsid w:val="00FD0B99"/>
    <w:rsid w:val="00FD0C5B"/>
    <w:rsid w:val="00FD0CF1"/>
    <w:rsid w:val="00FD1043"/>
    <w:rsid w:val="00FD13BA"/>
    <w:rsid w:val="00FD1496"/>
    <w:rsid w:val="00FD15D8"/>
    <w:rsid w:val="00FD178D"/>
    <w:rsid w:val="00FD17CB"/>
    <w:rsid w:val="00FD186A"/>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A0D"/>
    <w:rsid w:val="00FD2A86"/>
    <w:rsid w:val="00FD2AE4"/>
    <w:rsid w:val="00FD2B7F"/>
    <w:rsid w:val="00FD2BFD"/>
    <w:rsid w:val="00FD2F22"/>
    <w:rsid w:val="00FD3030"/>
    <w:rsid w:val="00FD3041"/>
    <w:rsid w:val="00FD306B"/>
    <w:rsid w:val="00FD30D1"/>
    <w:rsid w:val="00FD321E"/>
    <w:rsid w:val="00FD336F"/>
    <w:rsid w:val="00FD3569"/>
    <w:rsid w:val="00FD37A9"/>
    <w:rsid w:val="00FD37CD"/>
    <w:rsid w:val="00FD3B61"/>
    <w:rsid w:val="00FD3BB8"/>
    <w:rsid w:val="00FD3FAD"/>
    <w:rsid w:val="00FD40B9"/>
    <w:rsid w:val="00FD4345"/>
    <w:rsid w:val="00FD4409"/>
    <w:rsid w:val="00FD450A"/>
    <w:rsid w:val="00FD45CA"/>
    <w:rsid w:val="00FD4612"/>
    <w:rsid w:val="00FD46B8"/>
    <w:rsid w:val="00FD48D9"/>
    <w:rsid w:val="00FD4A2D"/>
    <w:rsid w:val="00FD4A35"/>
    <w:rsid w:val="00FD4B14"/>
    <w:rsid w:val="00FD4B29"/>
    <w:rsid w:val="00FD4D7E"/>
    <w:rsid w:val="00FD4EB4"/>
    <w:rsid w:val="00FD4F60"/>
    <w:rsid w:val="00FD4FBD"/>
    <w:rsid w:val="00FD4FD6"/>
    <w:rsid w:val="00FD5097"/>
    <w:rsid w:val="00FD512D"/>
    <w:rsid w:val="00FD5139"/>
    <w:rsid w:val="00FD514B"/>
    <w:rsid w:val="00FD5299"/>
    <w:rsid w:val="00FD52C1"/>
    <w:rsid w:val="00FD5554"/>
    <w:rsid w:val="00FD5644"/>
    <w:rsid w:val="00FD57F9"/>
    <w:rsid w:val="00FD5A3C"/>
    <w:rsid w:val="00FD5A91"/>
    <w:rsid w:val="00FD5BB4"/>
    <w:rsid w:val="00FD5C57"/>
    <w:rsid w:val="00FD5CF9"/>
    <w:rsid w:val="00FD5EFE"/>
    <w:rsid w:val="00FD63B0"/>
    <w:rsid w:val="00FD6518"/>
    <w:rsid w:val="00FD654B"/>
    <w:rsid w:val="00FD66C7"/>
    <w:rsid w:val="00FD66F3"/>
    <w:rsid w:val="00FD678D"/>
    <w:rsid w:val="00FD6B9E"/>
    <w:rsid w:val="00FD6BB1"/>
    <w:rsid w:val="00FD6D42"/>
    <w:rsid w:val="00FD6D8C"/>
    <w:rsid w:val="00FD6DC0"/>
    <w:rsid w:val="00FD6DD0"/>
    <w:rsid w:val="00FD6FB8"/>
    <w:rsid w:val="00FD70C5"/>
    <w:rsid w:val="00FD716E"/>
    <w:rsid w:val="00FD717E"/>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E79"/>
    <w:rsid w:val="00FE0FA8"/>
    <w:rsid w:val="00FE100E"/>
    <w:rsid w:val="00FE11B7"/>
    <w:rsid w:val="00FE1269"/>
    <w:rsid w:val="00FE12A1"/>
    <w:rsid w:val="00FE13F5"/>
    <w:rsid w:val="00FE1404"/>
    <w:rsid w:val="00FE1611"/>
    <w:rsid w:val="00FE1630"/>
    <w:rsid w:val="00FE1675"/>
    <w:rsid w:val="00FE17BC"/>
    <w:rsid w:val="00FE17CF"/>
    <w:rsid w:val="00FE1845"/>
    <w:rsid w:val="00FE188C"/>
    <w:rsid w:val="00FE1A47"/>
    <w:rsid w:val="00FE1A8A"/>
    <w:rsid w:val="00FE1AA5"/>
    <w:rsid w:val="00FE1BEA"/>
    <w:rsid w:val="00FE1CCB"/>
    <w:rsid w:val="00FE1D77"/>
    <w:rsid w:val="00FE1F37"/>
    <w:rsid w:val="00FE1FC8"/>
    <w:rsid w:val="00FE1FD1"/>
    <w:rsid w:val="00FE20E8"/>
    <w:rsid w:val="00FE21BC"/>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1AE"/>
    <w:rsid w:val="00FE320E"/>
    <w:rsid w:val="00FE3537"/>
    <w:rsid w:val="00FE357D"/>
    <w:rsid w:val="00FE3603"/>
    <w:rsid w:val="00FE366E"/>
    <w:rsid w:val="00FE388A"/>
    <w:rsid w:val="00FE3981"/>
    <w:rsid w:val="00FE3A21"/>
    <w:rsid w:val="00FE3AD8"/>
    <w:rsid w:val="00FE3D92"/>
    <w:rsid w:val="00FE3E4B"/>
    <w:rsid w:val="00FE3FE2"/>
    <w:rsid w:val="00FE46AB"/>
    <w:rsid w:val="00FE47AA"/>
    <w:rsid w:val="00FE492C"/>
    <w:rsid w:val="00FE494B"/>
    <w:rsid w:val="00FE4A64"/>
    <w:rsid w:val="00FE4BF6"/>
    <w:rsid w:val="00FE4C5A"/>
    <w:rsid w:val="00FE4CF0"/>
    <w:rsid w:val="00FE4E74"/>
    <w:rsid w:val="00FE4F59"/>
    <w:rsid w:val="00FE4FAF"/>
    <w:rsid w:val="00FE504D"/>
    <w:rsid w:val="00FE507B"/>
    <w:rsid w:val="00FE5180"/>
    <w:rsid w:val="00FE51BC"/>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C"/>
    <w:rsid w:val="00FE7D38"/>
    <w:rsid w:val="00FE7D53"/>
    <w:rsid w:val="00FE7E20"/>
    <w:rsid w:val="00FE7E47"/>
    <w:rsid w:val="00FF0218"/>
    <w:rsid w:val="00FF0255"/>
    <w:rsid w:val="00FF04B7"/>
    <w:rsid w:val="00FF05EE"/>
    <w:rsid w:val="00FF061E"/>
    <w:rsid w:val="00FF0657"/>
    <w:rsid w:val="00FF065E"/>
    <w:rsid w:val="00FF0744"/>
    <w:rsid w:val="00FF090B"/>
    <w:rsid w:val="00FF0927"/>
    <w:rsid w:val="00FF0A32"/>
    <w:rsid w:val="00FF0A37"/>
    <w:rsid w:val="00FF0A62"/>
    <w:rsid w:val="00FF0C72"/>
    <w:rsid w:val="00FF0CA4"/>
    <w:rsid w:val="00FF0CF3"/>
    <w:rsid w:val="00FF0DFA"/>
    <w:rsid w:val="00FF0E6B"/>
    <w:rsid w:val="00FF0F27"/>
    <w:rsid w:val="00FF0F8F"/>
    <w:rsid w:val="00FF0FB2"/>
    <w:rsid w:val="00FF1022"/>
    <w:rsid w:val="00FF102E"/>
    <w:rsid w:val="00FF1259"/>
    <w:rsid w:val="00FF1319"/>
    <w:rsid w:val="00FF1331"/>
    <w:rsid w:val="00FF139B"/>
    <w:rsid w:val="00FF1602"/>
    <w:rsid w:val="00FF1695"/>
    <w:rsid w:val="00FF16F0"/>
    <w:rsid w:val="00FF1A40"/>
    <w:rsid w:val="00FF1B65"/>
    <w:rsid w:val="00FF1BA8"/>
    <w:rsid w:val="00FF1F9A"/>
    <w:rsid w:val="00FF2069"/>
    <w:rsid w:val="00FF2199"/>
    <w:rsid w:val="00FF21A3"/>
    <w:rsid w:val="00FF21C3"/>
    <w:rsid w:val="00FF2266"/>
    <w:rsid w:val="00FF24CB"/>
    <w:rsid w:val="00FF24EE"/>
    <w:rsid w:val="00FF2711"/>
    <w:rsid w:val="00FF27BE"/>
    <w:rsid w:val="00FF28AC"/>
    <w:rsid w:val="00FF296D"/>
    <w:rsid w:val="00FF2B56"/>
    <w:rsid w:val="00FF2BC4"/>
    <w:rsid w:val="00FF2C81"/>
    <w:rsid w:val="00FF2C91"/>
    <w:rsid w:val="00FF2CB6"/>
    <w:rsid w:val="00FF2D1E"/>
    <w:rsid w:val="00FF2D99"/>
    <w:rsid w:val="00FF2EC8"/>
    <w:rsid w:val="00FF324E"/>
    <w:rsid w:val="00FF34B3"/>
    <w:rsid w:val="00FF35AA"/>
    <w:rsid w:val="00FF35C1"/>
    <w:rsid w:val="00FF361E"/>
    <w:rsid w:val="00FF3757"/>
    <w:rsid w:val="00FF38AA"/>
    <w:rsid w:val="00FF38F6"/>
    <w:rsid w:val="00FF3AF2"/>
    <w:rsid w:val="00FF3BD8"/>
    <w:rsid w:val="00FF3D32"/>
    <w:rsid w:val="00FF3E3D"/>
    <w:rsid w:val="00FF3FF6"/>
    <w:rsid w:val="00FF4002"/>
    <w:rsid w:val="00FF409B"/>
    <w:rsid w:val="00FF40AD"/>
    <w:rsid w:val="00FF40DC"/>
    <w:rsid w:val="00FF41D8"/>
    <w:rsid w:val="00FF42F6"/>
    <w:rsid w:val="00FF43B0"/>
    <w:rsid w:val="00FF4492"/>
    <w:rsid w:val="00FF45FE"/>
    <w:rsid w:val="00FF499E"/>
    <w:rsid w:val="00FF49F3"/>
    <w:rsid w:val="00FF4D07"/>
    <w:rsid w:val="00FF4DFC"/>
    <w:rsid w:val="00FF4E7D"/>
    <w:rsid w:val="00FF4FA6"/>
    <w:rsid w:val="00FF500F"/>
    <w:rsid w:val="00FF50E3"/>
    <w:rsid w:val="00FF50EE"/>
    <w:rsid w:val="00FF515C"/>
    <w:rsid w:val="00FF5228"/>
    <w:rsid w:val="00FF52B7"/>
    <w:rsid w:val="00FF5499"/>
    <w:rsid w:val="00FF54C6"/>
    <w:rsid w:val="00FF5608"/>
    <w:rsid w:val="00FF5682"/>
    <w:rsid w:val="00FF575D"/>
    <w:rsid w:val="00FF586F"/>
    <w:rsid w:val="00FF5A00"/>
    <w:rsid w:val="00FF5A2C"/>
    <w:rsid w:val="00FF5AE3"/>
    <w:rsid w:val="00FF5C67"/>
    <w:rsid w:val="00FF5D63"/>
    <w:rsid w:val="00FF60E8"/>
    <w:rsid w:val="00FF6150"/>
    <w:rsid w:val="00FF6171"/>
    <w:rsid w:val="00FF61EE"/>
    <w:rsid w:val="00FF6264"/>
    <w:rsid w:val="00FF6358"/>
    <w:rsid w:val="00FF63C6"/>
    <w:rsid w:val="00FF645F"/>
    <w:rsid w:val="00FF658F"/>
    <w:rsid w:val="00FF68A7"/>
    <w:rsid w:val="00FF68F4"/>
    <w:rsid w:val="00FF6966"/>
    <w:rsid w:val="00FF6A11"/>
    <w:rsid w:val="00FF6A34"/>
    <w:rsid w:val="00FF6E43"/>
    <w:rsid w:val="00FF6EB1"/>
    <w:rsid w:val="00FF6F94"/>
    <w:rsid w:val="00FF70A9"/>
    <w:rsid w:val="00FF7134"/>
    <w:rsid w:val="00FF71DF"/>
    <w:rsid w:val="00FF7489"/>
    <w:rsid w:val="00FF74A0"/>
    <w:rsid w:val="00FF7570"/>
    <w:rsid w:val="00FF759D"/>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8"/>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8F4F1E"/>
    <w:pPr>
      <w:numPr>
        <w:numId w:val="38"/>
      </w:numPr>
      <w:spacing w:line="276" w:lineRule="auto"/>
      <w:ind w:left="357" w:hanging="357"/>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C409E2"/>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09223004">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6783690">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79549126">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31345247">
      <w:bodyDiv w:val="1"/>
      <w:marLeft w:val="0"/>
      <w:marRight w:val="0"/>
      <w:marTop w:val="0"/>
      <w:marBottom w:val="0"/>
      <w:divBdr>
        <w:top w:val="none" w:sz="0" w:space="0" w:color="auto"/>
        <w:left w:val="none" w:sz="0" w:space="0" w:color="auto"/>
        <w:bottom w:val="none" w:sz="0" w:space="0" w:color="auto"/>
        <w:right w:val="none" w:sz="0" w:space="0" w:color="auto"/>
      </w:divBdr>
    </w:div>
    <w:div w:id="1034576393">
      <w:bodyDiv w:val="1"/>
      <w:marLeft w:val="0"/>
      <w:marRight w:val="0"/>
      <w:marTop w:val="0"/>
      <w:marBottom w:val="0"/>
      <w:divBdr>
        <w:top w:val="none" w:sz="0" w:space="0" w:color="auto"/>
        <w:left w:val="none" w:sz="0" w:space="0" w:color="auto"/>
        <w:bottom w:val="none" w:sz="0" w:space="0" w:color="auto"/>
        <w:right w:val="none" w:sz="0" w:space="0" w:color="auto"/>
      </w:divBdr>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76408193">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04074393">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76773386">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55943450">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ato.gov.au/rates/key-superannuation-rates-and-thresholds/?anchor=Maximumsupercontributionbas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hyperlink" Target="https://www.vic.gov.au/public-entity-executive-remuneration-policy"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www.ato.gov.au/business/super-for-employers/" TargetMode="Externa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UserInfo>
        <DisplayName>Lev Gutkin (DPC)</DisplayName>
        <AccountId>14</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2.xml><?xml version="1.0" encoding="utf-8"?>
<ds:datastoreItem xmlns:ds="http://schemas.openxmlformats.org/officeDocument/2006/customXml" ds:itemID="{796AC2F2-05EE-4A0E-AF2F-5BA065B5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4.xml><?xml version="1.0" encoding="utf-8"?>
<ds:datastoreItem xmlns:ds="http://schemas.openxmlformats.org/officeDocument/2006/customXml" ds:itemID="{335EEBD3-4CCC-40CC-9E61-78DD41F898F9}">
  <ds:schemaRefs>
    <ds:schemaRef ds:uri="http://schemas.microsoft.com/office/2006/metadata/properties"/>
    <ds:schemaRef ds:uri="http://schemas.microsoft.com/office/infopath/2007/PartnerControls"/>
    <ds:schemaRef ds:uri="fccc3516-af65-4b2f-956c-92df00919cd6"/>
  </ds:schemaRefs>
</ds:datastoreItem>
</file>

<file path=customXml/itemProps5.xml><?xml version="1.0" encoding="utf-8"?>
<ds:datastoreItem xmlns:ds="http://schemas.openxmlformats.org/officeDocument/2006/customXml" ds:itemID="{2F7E804B-FCE2-440F-AB66-8E870A911F3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5601</Words>
  <Characters>32919</Characters>
  <Application>Microsoft Office Word</Application>
  <DocSecurity>8</DocSecurity>
  <Lines>1028</Lines>
  <Paragraphs>631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2020-12-19T04:03:00Z</cp:lastPrinted>
  <dcterms:created xsi:type="dcterms:W3CDTF">2022-06-20T12:54:00Z</dcterms:created>
  <dcterms:modified xsi:type="dcterms:W3CDTF">2022-06-23T00:37:00Z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MSIP_Label_7e644455-948d-415b-86c4-b59e4837616a_Enabled">
    <vt:lpwstr>true</vt:lpwstr>
  </property>
  <property fmtid="{D5CDD505-2E9C-101B-9397-08002B2CF9AE}" pid="4" name="MSIP_Label_7e644455-948d-415b-86c4-b59e4837616a_SetDate">
    <vt:lpwstr>2022-06-23T00:33:28Z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f5a7962f-7a68-47f7-b893-669cc68ea9c0</vt:lpwstr>
  </property>
  <property fmtid="{D5CDD505-2E9C-101B-9397-08002B2CF9AE}" pid="9" name="MSIP_Label_7e644455-948d-415b-86c4-b59e4837616a_ContentBits">
    <vt:lpwstr>0</vt:lpwstr>
  </property>
</Properties>
</file>