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BCFBC" w14:textId="77777777" w:rsidR="00002990" w:rsidRPr="00327ABD" w:rsidRDefault="00FA6383" w:rsidP="00FE51D3">
      <w:pPr>
        <w:pStyle w:val="DPCbodynospace"/>
      </w:pPr>
      <w:r w:rsidRPr="00327ABD">
        <w:rPr>
          <w:noProof/>
          <w:lang w:eastAsia="en-AU"/>
        </w:rPr>
        <w:drawing>
          <wp:anchor distT="0" distB="0" distL="114300" distR="114300" simplePos="0" relativeHeight="251658240" behindDoc="1" locked="1" layoutInCell="0" allowOverlap="1" wp14:anchorId="1686439B" wp14:editId="37DC60A9">
            <wp:simplePos x="0" y="0"/>
            <wp:positionH relativeFrom="page">
              <wp:posOffset>1270</wp:posOffset>
            </wp:positionH>
            <wp:positionV relativeFrom="page">
              <wp:posOffset>0</wp:posOffset>
            </wp:positionV>
            <wp:extent cx="7563485" cy="1069975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563485" cy="10699750"/>
                    </a:xfrm>
                    <a:prstGeom prst="rect">
                      <a:avLst/>
                    </a:prstGeom>
                  </pic:spPr>
                </pic:pic>
              </a:graphicData>
            </a:graphic>
            <wp14:sizeRelH relativeFrom="margin">
              <wp14:pctWidth>0</wp14:pctWidth>
            </wp14:sizeRelH>
            <wp14:sizeRelV relativeFrom="margin">
              <wp14:pctHeight>0</wp14:pctHeight>
            </wp14:sizeRelV>
          </wp:anchor>
        </w:drawing>
      </w:r>
    </w:p>
    <w:tbl>
      <w:tblPr>
        <w:tblW w:w="9086" w:type="dxa"/>
        <w:tblInd w:w="-415" w:type="dxa"/>
        <w:tblCellMar>
          <w:left w:w="0" w:type="dxa"/>
          <w:right w:w="0" w:type="dxa"/>
        </w:tblCellMar>
        <w:tblLook w:val="04A0" w:firstRow="1" w:lastRow="0" w:firstColumn="1" w:lastColumn="0" w:noHBand="0" w:noVBand="1"/>
      </w:tblPr>
      <w:tblGrid>
        <w:gridCol w:w="9086"/>
      </w:tblGrid>
      <w:tr w:rsidR="001817CD" w:rsidRPr="00327ABD" w14:paraId="40791C68" w14:textId="77777777" w:rsidTr="00CD5822">
        <w:trPr>
          <w:trHeight w:val="6131"/>
        </w:trPr>
        <w:tc>
          <w:tcPr>
            <w:tcW w:w="9086" w:type="dxa"/>
            <w:shd w:val="clear" w:color="auto" w:fill="auto"/>
            <w:vAlign w:val="center"/>
          </w:tcPr>
          <w:p w14:paraId="704D2A13" w14:textId="77777777" w:rsidR="00C416E1" w:rsidRPr="00327ABD" w:rsidRDefault="007F77B2" w:rsidP="004C4D4A">
            <w:pPr>
              <w:pStyle w:val="DPCreporttitle"/>
            </w:pPr>
            <w:r w:rsidRPr="00327ABD">
              <w:t xml:space="preserve">Victorian Government </w:t>
            </w:r>
            <w:r w:rsidRPr="00327ABD">
              <w:br/>
              <w:t xml:space="preserve">Advertising Report </w:t>
            </w:r>
          </w:p>
          <w:p w14:paraId="5B53FF61" w14:textId="54E30CFF" w:rsidR="00444D82" w:rsidRPr="00327ABD" w:rsidRDefault="009C25BB" w:rsidP="004C4D4A">
            <w:pPr>
              <w:pStyle w:val="DPCreportsubtitle"/>
            </w:pPr>
            <w:r w:rsidRPr="00327ABD">
              <w:rPr>
                <w:sz w:val="64"/>
                <w:szCs w:val="64"/>
              </w:rPr>
              <w:t>20</w:t>
            </w:r>
            <w:r w:rsidR="00E91809" w:rsidRPr="00327ABD">
              <w:rPr>
                <w:sz w:val="64"/>
                <w:szCs w:val="64"/>
              </w:rPr>
              <w:t>20–21</w:t>
            </w:r>
          </w:p>
        </w:tc>
      </w:tr>
    </w:tbl>
    <w:p w14:paraId="01439867" w14:textId="77777777" w:rsidR="0069374A" w:rsidRPr="00327ABD" w:rsidRDefault="0069374A" w:rsidP="00FE51D3">
      <w:pPr>
        <w:pStyle w:val="DPCbodynospace"/>
      </w:pPr>
    </w:p>
    <w:p w14:paraId="193A59FF" w14:textId="77777777" w:rsidR="00320FDE" w:rsidRPr="00327ABD" w:rsidRDefault="00320FDE" w:rsidP="0088510E">
      <w:pPr>
        <w:pStyle w:val="TOC3"/>
        <w:sectPr w:rsidR="00320FDE" w:rsidRPr="00327ABD" w:rsidSect="00BB2E18">
          <w:footerReference w:type="default" r:id="rId10"/>
          <w:type w:val="oddPage"/>
          <w:pgSz w:w="11906" w:h="16838"/>
          <w:pgMar w:top="1134" w:right="1418" w:bottom="1134" w:left="1418" w:header="454" w:footer="567" w:gutter="0"/>
          <w:pgNumType w:fmt="lowerRoman" w:start="1"/>
          <w:cols w:space="720"/>
          <w:docGrid w:linePitch="360"/>
        </w:sectPr>
      </w:pPr>
    </w:p>
    <w:p w14:paraId="6E9B566A" w14:textId="77777777" w:rsidR="00967CDD" w:rsidRPr="00327ABD" w:rsidRDefault="00967CDD" w:rsidP="00967CDD">
      <w:pPr>
        <w:pStyle w:val="DPCbody"/>
        <w:rPr>
          <w:b/>
        </w:rPr>
      </w:pPr>
      <w:r w:rsidRPr="00327ABD">
        <w:rPr>
          <w:b/>
        </w:rPr>
        <w:lastRenderedPageBreak/>
        <w:t>Authorised and published by the Victorian Government, 1 Treasury Place, Melbourne</w:t>
      </w:r>
    </w:p>
    <w:p w14:paraId="584F107D" w14:textId="02616392" w:rsidR="00967CDD" w:rsidRPr="00327ABD" w:rsidRDefault="007C671C" w:rsidP="00967CDD">
      <w:pPr>
        <w:pStyle w:val="DPCbody"/>
      </w:pPr>
      <w:r w:rsidRPr="00327ABD">
        <w:t xml:space="preserve">May </w:t>
      </w:r>
      <w:r w:rsidR="00E91809" w:rsidRPr="00327ABD">
        <w:t>2022</w:t>
      </w:r>
    </w:p>
    <w:p w14:paraId="6C3863E6" w14:textId="77777777" w:rsidR="00967CDD" w:rsidRPr="00327ABD" w:rsidRDefault="00967CDD" w:rsidP="00967CDD">
      <w:pPr>
        <w:pStyle w:val="DPCbody"/>
        <w:spacing w:before="240"/>
        <w:rPr>
          <w:rFonts w:cs="Times New Roman"/>
          <w:b/>
          <w:sz w:val="26"/>
          <w:szCs w:val="26"/>
        </w:rPr>
      </w:pPr>
      <w:r w:rsidRPr="00327ABD">
        <w:rPr>
          <w:rFonts w:cs="Times New Roman"/>
          <w:b/>
          <w:sz w:val="26"/>
          <w:szCs w:val="26"/>
        </w:rPr>
        <w:t xml:space="preserve">Copyright </w:t>
      </w:r>
    </w:p>
    <w:p w14:paraId="4A5D5C40" w14:textId="77777777" w:rsidR="00967CDD" w:rsidRPr="00327ABD" w:rsidRDefault="00967CDD" w:rsidP="00967CDD">
      <w:pPr>
        <w:pStyle w:val="DPCbody"/>
      </w:pPr>
      <w:r w:rsidRPr="00327ABD">
        <w:rPr>
          <w:rFonts w:ascii="Arial" w:hAnsi="Arial"/>
          <w:noProof/>
          <w:sz w:val="18"/>
          <w:lang w:eastAsia="en-AU"/>
        </w:rPr>
        <w:drawing>
          <wp:inline distT="0" distB="0" distL="0" distR="0" wp14:anchorId="1C74F496" wp14:editId="4DD7D304">
            <wp:extent cx="1226820" cy="4292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inline>
        </w:drawing>
      </w:r>
    </w:p>
    <w:p w14:paraId="7AA8DA17" w14:textId="77777777" w:rsidR="00967CDD" w:rsidRPr="00327ABD" w:rsidRDefault="00967CDD" w:rsidP="00967CDD">
      <w:pPr>
        <w:pStyle w:val="DPCbody"/>
      </w:pPr>
      <w:r w:rsidRPr="00327ABD">
        <w:t xml:space="preserve">Unless indicated otherwise, this work is made available under the terms of the Creative Commons Attribution 4.0 international licence. To view a copy of this licence, visit </w:t>
      </w:r>
      <w:r w:rsidRPr="00327ABD">
        <w:rPr>
          <w:rStyle w:val="Hyperlink"/>
        </w:rPr>
        <w:t>https://creativecommons.org/licenses/by/4.0/</w:t>
      </w:r>
      <w:r w:rsidRPr="00327ABD">
        <w:t xml:space="preserve">. </w:t>
      </w:r>
    </w:p>
    <w:p w14:paraId="3AC39233" w14:textId="77777777" w:rsidR="00967CDD" w:rsidRPr="00327ABD" w:rsidRDefault="00967CDD" w:rsidP="00967CDD">
      <w:pPr>
        <w:pStyle w:val="DPCbody"/>
      </w:pPr>
      <w:r w:rsidRPr="00327ABD">
        <w:t>It is a condition of this Creative Commons Attribution 4.0 Licence that you must give credit to the original author who is the State of Victoria.</w:t>
      </w:r>
    </w:p>
    <w:p w14:paraId="7BCC9374" w14:textId="77777777" w:rsidR="00844605" w:rsidRPr="00327ABD" w:rsidRDefault="00844605" w:rsidP="00844605">
      <w:pPr>
        <w:pStyle w:val="DPCbody"/>
        <w:spacing w:before="240" w:after="240"/>
      </w:pPr>
      <w:r w:rsidRPr="00327ABD">
        <w:t>ISSN 2208-9349 - Online (pdf/word)</w:t>
      </w:r>
    </w:p>
    <w:p w14:paraId="7241BCAD" w14:textId="77777777" w:rsidR="00967CDD" w:rsidRPr="00327ABD" w:rsidRDefault="00967CDD" w:rsidP="00967CDD">
      <w:pPr>
        <w:pStyle w:val="DPCbody"/>
        <w:spacing w:before="240"/>
        <w:rPr>
          <w:rFonts w:cs="Times New Roman"/>
          <w:b/>
          <w:sz w:val="26"/>
          <w:szCs w:val="26"/>
        </w:rPr>
      </w:pPr>
      <w:r w:rsidRPr="00327ABD">
        <w:rPr>
          <w:rFonts w:cs="Times New Roman"/>
          <w:b/>
          <w:sz w:val="26"/>
          <w:szCs w:val="26"/>
        </w:rPr>
        <w:t>Accessibility</w:t>
      </w:r>
    </w:p>
    <w:p w14:paraId="5EF03CA5" w14:textId="77777777" w:rsidR="00967CDD" w:rsidRPr="00327ABD" w:rsidRDefault="00967CDD" w:rsidP="00883E9C">
      <w:pPr>
        <w:pStyle w:val="DPCbody"/>
      </w:pPr>
      <w:r w:rsidRPr="00327ABD">
        <w:t xml:space="preserve">If you would like to receive this publication in an accessible format, such as large print or audio, email </w:t>
      </w:r>
      <w:r w:rsidRPr="00327ABD">
        <w:rPr>
          <w:rStyle w:val="Hyperlink"/>
        </w:rPr>
        <w:t>advertising@dpc.vic.gov.au</w:t>
      </w:r>
      <w:r w:rsidRPr="00327ABD">
        <w:t>.</w:t>
      </w:r>
      <w:r w:rsidRPr="00327ABD">
        <w:br w:type="page"/>
      </w:r>
    </w:p>
    <w:p w14:paraId="41537343" w14:textId="77777777" w:rsidR="00AC0C3B" w:rsidRPr="00327ABD" w:rsidRDefault="00AC0C3B" w:rsidP="002C4D47">
      <w:pPr>
        <w:pStyle w:val="DPCTOCheadingreport"/>
      </w:pPr>
      <w:r w:rsidRPr="00327ABD">
        <w:lastRenderedPageBreak/>
        <w:t>Contents</w:t>
      </w:r>
    </w:p>
    <w:p w14:paraId="7E190090" w14:textId="20E0A3A5" w:rsidR="00091881" w:rsidRDefault="00576299">
      <w:pPr>
        <w:pStyle w:val="TOC1"/>
        <w:rPr>
          <w:rFonts w:eastAsiaTheme="minorEastAsia" w:cstheme="minorBidi"/>
          <w:b w:val="0"/>
          <w:lang w:eastAsia="en-AU"/>
        </w:rPr>
      </w:pPr>
      <w:r w:rsidRPr="00327ABD">
        <w:rPr>
          <w:sz w:val="24"/>
          <w:szCs w:val="24"/>
        </w:rPr>
        <w:fldChar w:fldCharType="begin"/>
      </w:r>
      <w:r w:rsidRPr="00327ABD">
        <w:rPr>
          <w:sz w:val="24"/>
          <w:szCs w:val="24"/>
        </w:rPr>
        <w:instrText xml:space="preserve"> TOC \o "1-2" \h \z \u </w:instrText>
      </w:r>
      <w:r w:rsidRPr="00327ABD">
        <w:rPr>
          <w:sz w:val="24"/>
          <w:szCs w:val="24"/>
        </w:rPr>
        <w:fldChar w:fldCharType="separate"/>
      </w:r>
      <w:hyperlink w:anchor="_Toc103839280" w:history="1">
        <w:r w:rsidR="00091881" w:rsidRPr="00BC5A90">
          <w:rPr>
            <w:rStyle w:val="Hyperlink"/>
          </w:rPr>
          <w:t>Introduction</w:t>
        </w:r>
        <w:r w:rsidR="00091881">
          <w:rPr>
            <w:webHidden/>
          </w:rPr>
          <w:tab/>
        </w:r>
        <w:r w:rsidR="00091881">
          <w:rPr>
            <w:webHidden/>
          </w:rPr>
          <w:fldChar w:fldCharType="begin"/>
        </w:r>
        <w:r w:rsidR="00091881">
          <w:rPr>
            <w:webHidden/>
          </w:rPr>
          <w:instrText xml:space="preserve"> PAGEREF _Toc103839280 \h </w:instrText>
        </w:r>
        <w:r w:rsidR="00091881">
          <w:rPr>
            <w:webHidden/>
          </w:rPr>
        </w:r>
        <w:r w:rsidR="00091881">
          <w:rPr>
            <w:webHidden/>
          </w:rPr>
          <w:fldChar w:fldCharType="separate"/>
        </w:r>
        <w:r w:rsidR="00091881">
          <w:rPr>
            <w:webHidden/>
          </w:rPr>
          <w:t>4</w:t>
        </w:r>
        <w:r w:rsidR="00091881">
          <w:rPr>
            <w:webHidden/>
          </w:rPr>
          <w:fldChar w:fldCharType="end"/>
        </w:r>
      </w:hyperlink>
    </w:p>
    <w:p w14:paraId="20377D37" w14:textId="7106B8C4" w:rsidR="00091881" w:rsidRDefault="00091881">
      <w:pPr>
        <w:pStyle w:val="TOC2"/>
        <w:rPr>
          <w:rFonts w:eastAsiaTheme="minorEastAsia" w:cstheme="minorBidi"/>
          <w:lang w:eastAsia="en-AU"/>
        </w:rPr>
      </w:pPr>
      <w:hyperlink w:anchor="_Toc103839281" w:history="1">
        <w:r w:rsidRPr="00BC5A90">
          <w:rPr>
            <w:rStyle w:val="Hyperlink"/>
          </w:rPr>
          <w:t>Media advertising expenditure</w:t>
        </w:r>
        <w:r>
          <w:rPr>
            <w:webHidden/>
          </w:rPr>
          <w:tab/>
        </w:r>
        <w:r>
          <w:rPr>
            <w:webHidden/>
          </w:rPr>
          <w:fldChar w:fldCharType="begin"/>
        </w:r>
        <w:r>
          <w:rPr>
            <w:webHidden/>
          </w:rPr>
          <w:instrText xml:space="preserve"> PAGEREF _Toc103839281 \h </w:instrText>
        </w:r>
        <w:r>
          <w:rPr>
            <w:webHidden/>
          </w:rPr>
        </w:r>
        <w:r>
          <w:rPr>
            <w:webHidden/>
          </w:rPr>
          <w:fldChar w:fldCharType="separate"/>
        </w:r>
        <w:r>
          <w:rPr>
            <w:webHidden/>
          </w:rPr>
          <w:t>4</w:t>
        </w:r>
        <w:r>
          <w:rPr>
            <w:webHidden/>
          </w:rPr>
          <w:fldChar w:fldCharType="end"/>
        </w:r>
      </w:hyperlink>
    </w:p>
    <w:p w14:paraId="0BCB65D9" w14:textId="01993D3A" w:rsidR="00091881" w:rsidRDefault="00091881">
      <w:pPr>
        <w:pStyle w:val="TOC2"/>
        <w:rPr>
          <w:rFonts w:eastAsiaTheme="minorEastAsia" w:cstheme="minorBidi"/>
          <w:lang w:eastAsia="en-AU"/>
        </w:rPr>
      </w:pPr>
      <w:hyperlink w:anchor="_Toc103839282" w:history="1">
        <w:r w:rsidRPr="00BC5A90">
          <w:rPr>
            <w:rStyle w:val="Hyperlink"/>
          </w:rPr>
          <w:t>Government advertising categories</w:t>
        </w:r>
        <w:r>
          <w:rPr>
            <w:webHidden/>
          </w:rPr>
          <w:tab/>
        </w:r>
        <w:r>
          <w:rPr>
            <w:webHidden/>
          </w:rPr>
          <w:fldChar w:fldCharType="begin"/>
        </w:r>
        <w:r>
          <w:rPr>
            <w:webHidden/>
          </w:rPr>
          <w:instrText xml:space="preserve"> PAGEREF _Toc103839282 \h </w:instrText>
        </w:r>
        <w:r>
          <w:rPr>
            <w:webHidden/>
          </w:rPr>
        </w:r>
        <w:r>
          <w:rPr>
            <w:webHidden/>
          </w:rPr>
          <w:fldChar w:fldCharType="separate"/>
        </w:r>
        <w:r>
          <w:rPr>
            <w:webHidden/>
          </w:rPr>
          <w:t>4</w:t>
        </w:r>
        <w:r>
          <w:rPr>
            <w:webHidden/>
          </w:rPr>
          <w:fldChar w:fldCharType="end"/>
        </w:r>
      </w:hyperlink>
    </w:p>
    <w:p w14:paraId="150EF885" w14:textId="3DF77F36" w:rsidR="00091881" w:rsidRDefault="00091881">
      <w:pPr>
        <w:pStyle w:val="TOC2"/>
        <w:rPr>
          <w:rFonts w:eastAsiaTheme="minorEastAsia" w:cstheme="minorBidi"/>
          <w:lang w:eastAsia="en-AU"/>
        </w:rPr>
      </w:pPr>
      <w:hyperlink w:anchor="_Toc103839283" w:history="1">
        <w:r w:rsidRPr="00BC5A90">
          <w:rPr>
            <w:rStyle w:val="Hyperlink"/>
          </w:rPr>
          <w:t>Expenditure on major government campaigns</w:t>
        </w:r>
        <w:r>
          <w:rPr>
            <w:webHidden/>
          </w:rPr>
          <w:tab/>
        </w:r>
        <w:r>
          <w:rPr>
            <w:webHidden/>
          </w:rPr>
          <w:fldChar w:fldCharType="begin"/>
        </w:r>
        <w:r>
          <w:rPr>
            <w:webHidden/>
          </w:rPr>
          <w:instrText xml:space="preserve"> PAGEREF _Toc103839283 \h </w:instrText>
        </w:r>
        <w:r>
          <w:rPr>
            <w:webHidden/>
          </w:rPr>
        </w:r>
        <w:r>
          <w:rPr>
            <w:webHidden/>
          </w:rPr>
          <w:fldChar w:fldCharType="separate"/>
        </w:r>
        <w:r>
          <w:rPr>
            <w:webHidden/>
          </w:rPr>
          <w:t>5</w:t>
        </w:r>
        <w:r>
          <w:rPr>
            <w:webHidden/>
          </w:rPr>
          <w:fldChar w:fldCharType="end"/>
        </w:r>
      </w:hyperlink>
    </w:p>
    <w:p w14:paraId="7A60D31D" w14:textId="2219F3D4" w:rsidR="00091881" w:rsidRDefault="00091881">
      <w:pPr>
        <w:pStyle w:val="TOC2"/>
        <w:rPr>
          <w:rFonts w:eastAsiaTheme="minorEastAsia" w:cstheme="minorBidi"/>
          <w:lang w:eastAsia="en-AU"/>
        </w:rPr>
      </w:pPr>
      <w:hyperlink w:anchor="_Toc103839284" w:history="1">
        <w:r w:rsidRPr="00BC5A90">
          <w:rPr>
            <w:rStyle w:val="Hyperlink"/>
          </w:rPr>
          <w:t>Government advertising plan for 2020–21</w:t>
        </w:r>
        <w:r>
          <w:rPr>
            <w:webHidden/>
          </w:rPr>
          <w:tab/>
        </w:r>
        <w:r>
          <w:rPr>
            <w:webHidden/>
          </w:rPr>
          <w:fldChar w:fldCharType="begin"/>
        </w:r>
        <w:r>
          <w:rPr>
            <w:webHidden/>
          </w:rPr>
          <w:instrText xml:space="preserve"> PAGEREF _Toc103839284 \h </w:instrText>
        </w:r>
        <w:r>
          <w:rPr>
            <w:webHidden/>
          </w:rPr>
        </w:r>
        <w:r>
          <w:rPr>
            <w:webHidden/>
          </w:rPr>
          <w:fldChar w:fldCharType="separate"/>
        </w:r>
        <w:r>
          <w:rPr>
            <w:webHidden/>
          </w:rPr>
          <w:t>5</w:t>
        </w:r>
        <w:r>
          <w:rPr>
            <w:webHidden/>
          </w:rPr>
          <w:fldChar w:fldCharType="end"/>
        </w:r>
      </w:hyperlink>
    </w:p>
    <w:p w14:paraId="6F9006B4" w14:textId="7382465C" w:rsidR="00091881" w:rsidRDefault="00091881">
      <w:pPr>
        <w:pStyle w:val="TOC1"/>
        <w:rPr>
          <w:rFonts w:eastAsiaTheme="minorEastAsia" w:cstheme="minorBidi"/>
          <w:b w:val="0"/>
          <w:lang w:eastAsia="en-AU"/>
        </w:rPr>
      </w:pPr>
      <w:hyperlink w:anchor="_Toc103839285" w:history="1">
        <w:r w:rsidRPr="00BC5A90">
          <w:rPr>
            <w:rStyle w:val="Hyperlink"/>
          </w:rPr>
          <w:t>Victorian Government advertising expenditure 2020–21</w:t>
        </w:r>
        <w:r>
          <w:rPr>
            <w:webHidden/>
          </w:rPr>
          <w:tab/>
        </w:r>
        <w:r>
          <w:rPr>
            <w:webHidden/>
          </w:rPr>
          <w:fldChar w:fldCharType="begin"/>
        </w:r>
        <w:r>
          <w:rPr>
            <w:webHidden/>
          </w:rPr>
          <w:instrText xml:space="preserve"> PAGEREF _Toc103839285 \h </w:instrText>
        </w:r>
        <w:r>
          <w:rPr>
            <w:webHidden/>
          </w:rPr>
        </w:r>
        <w:r>
          <w:rPr>
            <w:webHidden/>
          </w:rPr>
          <w:fldChar w:fldCharType="separate"/>
        </w:r>
        <w:r>
          <w:rPr>
            <w:webHidden/>
          </w:rPr>
          <w:t>6</w:t>
        </w:r>
        <w:r>
          <w:rPr>
            <w:webHidden/>
          </w:rPr>
          <w:fldChar w:fldCharType="end"/>
        </w:r>
      </w:hyperlink>
    </w:p>
    <w:p w14:paraId="035E1B4F" w14:textId="300D5795" w:rsidR="00091881" w:rsidRDefault="00091881">
      <w:pPr>
        <w:pStyle w:val="TOC2"/>
        <w:rPr>
          <w:rFonts w:eastAsiaTheme="minorEastAsia" w:cstheme="minorBidi"/>
          <w:lang w:eastAsia="en-AU"/>
        </w:rPr>
      </w:pPr>
      <w:hyperlink w:anchor="_Toc103839286" w:history="1">
        <w:r w:rsidRPr="00BC5A90">
          <w:rPr>
            <w:rStyle w:val="Hyperlink"/>
          </w:rPr>
          <w:t>Total government advertising expenditure – historical comparison</w:t>
        </w:r>
        <w:r>
          <w:rPr>
            <w:webHidden/>
          </w:rPr>
          <w:tab/>
        </w:r>
        <w:r>
          <w:rPr>
            <w:webHidden/>
          </w:rPr>
          <w:fldChar w:fldCharType="begin"/>
        </w:r>
        <w:r>
          <w:rPr>
            <w:webHidden/>
          </w:rPr>
          <w:instrText xml:space="preserve"> PAGEREF _Toc103839286 \h </w:instrText>
        </w:r>
        <w:r>
          <w:rPr>
            <w:webHidden/>
          </w:rPr>
        </w:r>
        <w:r>
          <w:rPr>
            <w:webHidden/>
          </w:rPr>
          <w:fldChar w:fldCharType="separate"/>
        </w:r>
        <w:r>
          <w:rPr>
            <w:webHidden/>
          </w:rPr>
          <w:t>6</w:t>
        </w:r>
        <w:r>
          <w:rPr>
            <w:webHidden/>
          </w:rPr>
          <w:fldChar w:fldCharType="end"/>
        </w:r>
      </w:hyperlink>
    </w:p>
    <w:p w14:paraId="4C4A592D" w14:textId="5DEACFED" w:rsidR="00091881" w:rsidRDefault="00091881">
      <w:pPr>
        <w:pStyle w:val="TOC2"/>
        <w:rPr>
          <w:rFonts w:eastAsiaTheme="minorEastAsia" w:cstheme="minorBidi"/>
          <w:lang w:eastAsia="en-AU"/>
        </w:rPr>
      </w:pPr>
      <w:hyperlink w:anchor="_Toc103839287" w:history="1">
        <w:r w:rsidRPr="00BC5A90">
          <w:rPr>
            <w:rStyle w:val="Hyperlink"/>
          </w:rPr>
          <w:t>COVID-19 public health advertising in 2020-21</w:t>
        </w:r>
        <w:r>
          <w:rPr>
            <w:webHidden/>
          </w:rPr>
          <w:tab/>
        </w:r>
        <w:r>
          <w:rPr>
            <w:webHidden/>
          </w:rPr>
          <w:fldChar w:fldCharType="begin"/>
        </w:r>
        <w:r>
          <w:rPr>
            <w:webHidden/>
          </w:rPr>
          <w:instrText xml:space="preserve"> PAGEREF _Toc103839287 \h </w:instrText>
        </w:r>
        <w:r>
          <w:rPr>
            <w:webHidden/>
          </w:rPr>
        </w:r>
        <w:r>
          <w:rPr>
            <w:webHidden/>
          </w:rPr>
          <w:fldChar w:fldCharType="separate"/>
        </w:r>
        <w:r>
          <w:rPr>
            <w:webHidden/>
          </w:rPr>
          <w:t>7</w:t>
        </w:r>
        <w:r>
          <w:rPr>
            <w:webHidden/>
          </w:rPr>
          <w:fldChar w:fldCharType="end"/>
        </w:r>
      </w:hyperlink>
    </w:p>
    <w:p w14:paraId="5B4BE505" w14:textId="1EA4A8CA" w:rsidR="00091881" w:rsidRDefault="00091881">
      <w:pPr>
        <w:pStyle w:val="TOC2"/>
        <w:rPr>
          <w:rFonts w:eastAsiaTheme="minorEastAsia" w:cstheme="minorBidi"/>
          <w:lang w:eastAsia="en-AU"/>
        </w:rPr>
      </w:pPr>
      <w:hyperlink w:anchor="_Toc103839288" w:history="1">
        <w:r w:rsidRPr="00BC5A90">
          <w:rPr>
            <w:rStyle w:val="Hyperlink"/>
          </w:rPr>
          <w:t>Total advertising expenditure by category – 2020–21</w:t>
        </w:r>
        <w:r>
          <w:rPr>
            <w:webHidden/>
          </w:rPr>
          <w:tab/>
        </w:r>
        <w:r>
          <w:rPr>
            <w:webHidden/>
          </w:rPr>
          <w:fldChar w:fldCharType="begin"/>
        </w:r>
        <w:r>
          <w:rPr>
            <w:webHidden/>
          </w:rPr>
          <w:instrText xml:space="preserve"> PAGEREF _Toc103839288 \h </w:instrText>
        </w:r>
        <w:r>
          <w:rPr>
            <w:webHidden/>
          </w:rPr>
        </w:r>
        <w:r>
          <w:rPr>
            <w:webHidden/>
          </w:rPr>
          <w:fldChar w:fldCharType="separate"/>
        </w:r>
        <w:r>
          <w:rPr>
            <w:webHidden/>
          </w:rPr>
          <w:t>8</w:t>
        </w:r>
        <w:r>
          <w:rPr>
            <w:webHidden/>
          </w:rPr>
          <w:fldChar w:fldCharType="end"/>
        </w:r>
      </w:hyperlink>
    </w:p>
    <w:p w14:paraId="099DCA36" w14:textId="7A72B36B" w:rsidR="00091881" w:rsidRDefault="00091881">
      <w:pPr>
        <w:pStyle w:val="TOC2"/>
        <w:rPr>
          <w:rFonts w:eastAsiaTheme="minorEastAsia" w:cstheme="minorBidi"/>
          <w:lang w:eastAsia="en-AU"/>
        </w:rPr>
      </w:pPr>
      <w:hyperlink w:anchor="_Toc103839289" w:history="1">
        <w:r w:rsidRPr="00BC5A90">
          <w:rPr>
            <w:rStyle w:val="Hyperlink"/>
          </w:rPr>
          <w:t>Campaign and non-campaign advertising expenditure by departments and agencies – 2020–21</w:t>
        </w:r>
        <w:r>
          <w:rPr>
            <w:webHidden/>
          </w:rPr>
          <w:tab/>
        </w:r>
        <w:r>
          <w:rPr>
            <w:webHidden/>
          </w:rPr>
          <w:fldChar w:fldCharType="begin"/>
        </w:r>
        <w:r>
          <w:rPr>
            <w:webHidden/>
          </w:rPr>
          <w:instrText xml:space="preserve"> PAGEREF _Toc103839289 \h </w:instrText>
        </w:r>
        <w:r>
          <w:rPr>
            <w:webHidden/>
          </w:rPr>
        </w:r>
        <w:r>
          <w:rPr>
            <w:webHidden/>
          </w:rPr>
          <w:fldChar w:fldCharType="separate"/>
        </w:r>
        <w:r>
          <w:rPr>
            <w:webHidden/>
          </w:rPr>
          <w:t>9</w:t>
        </w:r>
        <w:r>
          <w:rPr>
            <w:webHidden/>
          </w:rPr>
          <w:fldChar w:fldCharType="end"/>
        </w:r>
      </w:hyperlink>
    </w:p>
    <w:p w14:paraId="0563217C" w14:textId="48413210" w:rsidR="00091881" w:rsidRDefault="00091881">
      <w:pPr>
        <w:pStyle w:val="TOC2"/>
        <w:rPr>
          <w:rFonts w:eastAsiaTheme="minorEastAsia" w:cstheme="minorBidi"/>
          <w:lang w:eastAsia="en-AU"/>
        </w:rPr>
      </w:pPr>
      <w:hyperlink w:anchor="_Toc103839290" w:history="1">
        <w:r w:rsidRPr="00BC5A90">
          <w:rPr>
            <w:rStyle w:val="Hyperlink"/>
          </w:rPr>
          <w:t>Top 10 advertisers by campaign expenditure – 2020–21</w:t>
        </w:r>
        <w:r>
          <w:rPr>
            <w:webHidden/>
          </w:rPr>
          <w:tab/>
        </w:r>
        <w:r>
          <w:rPr>
            <w:webHidden/>
          </w:rPr>
          <w:fldChar w:fldCharType="begin"/>
        </w:r>
        <w:r>
          <w:rPr>
            <w:webHidden/>
          </w:rPr>
          <w:instrText xml:space="preserve"> PAGEREF _Toc103839290 \h </w:instrText>
        </w:r>
        <w:r>
          <w:rPr>
            <w:webHidden/>
          </w:rPr>
        </w:r>
        <w:r>
          <w:rPr>
            <w:webHidden/>
          </w:rPr>
          <w:fldChar w:fldCharType="separate"/>
        </w:r>
        <w:r>
          <w:rPr>
            <w:webHidden/>
          </w:rPr>
          <w:t>10</w:t>
        </w:r>
        <w:r>
          <w:rPr>
            <w:webHidden/>
          </w:rPr>
          <w:fldChar w:fldCharType="end"/>
        </w:r>
      </w:hyperlink>
    </w:p>
    <w:p w14:paraId="47083770" w14:textId="0C478C71" w:rsidR="00091881" w:rsidRDefault="00091881">
      <w:pPr>
        <w:pStyle w:val="TOC2"/>
        <w:rPr>
          <w:rFonts w:eastAsiaTheme="minorEastAsia" w:cstheme="minorBidi"/>
          <w:lang w:eastAsia="en-AU"/>
        </w:rPr>
      </w:pPr>
      <w:hyperlink w:anchor="_Toc103839291" w:history="1">
        <w:r w:rsidRPr="00BC5A90">
          <w:rPr>
            <w:rStyle w:val="Hyperlink"/>
          </w:rPr>
          <w:t>Major functional and recruitment advertisers – 2020–21</w:t>
        </w:r>
        <w:r>
          <w:rPr>
            <w:webHidden/>
          </w:rPr>
          <w:tab/>
        </w:r>
        <w:r>
          <w:rPr>
            <w:webHidden/>
          </w:rPr>
          <w:fldChar w:fldCharType="begin"/>
        </w:r>
        <w:r>
          <w:rPr>
            <w:webHidden/>
          </w:rPr>
          <w:instrText xml:space="preserve"> PAGEREF _Toc103839291 \h </w:instrText>
        </w:r>
        <w:r>
          <w:rPr>
            <w:webHidden/>
          </w:rPr>
        </w:r>
        <w:r>
          <w:rPr>
            <w:webHidden/>
          </w:rPr>
          <w:fldChar w:fldCharType="separate"/>
        </w:r>
        <w:r>
          <w:rPr>
            <w:webHidden/>
          </w:rPr>
          <w:t>12</w:t>
        </w:r>
        <w:r>
          <w:rPr>
            <w:webHidden/>
          </w:rPr>
          <w:fldChar w:fldCharType="end"/>
        </w:r>
      </w:hyperlink>
    </w:p>
    <w:p w14:paraId="21438FAB" w14:textId="6FC866CA" w:rsidR="00091881" w:rsidRDefault="00091881">
      <w:pPr>
        <w:pStyle w:val="TOC2"/>
        <w:rPr>
          <w:rFonts w:eastAsiaTheme="minorEastAsia" w:cstheme="minorBidi"/>
          <w:lang w:eastAsia="en-AU"/>
        </w:rPr>
      </w:pPr>
      <w:hyperlink w:anchor="_Toc103839292" w:history="1">
        <w:r w:rsidRPr="00BC5A90">
          <w:rPr>
            <w:rStyle w:val="Hyperlink"/>
          </w:rPr>
          <w:t>Government advertising by channel – 2020–21</w:t>
        </w:r>
        <w:r>
          <w:rPr>
            <w:webHidden/>
          </w:rPr>
          <w:tab/>
        </w:r>
        <w:r>
          <w:rPr>
            <w:webHidden/>
          </w:rPr>
          <w:fldChar w:fldCharType="begin"/>
        </w:r>
        <w:r>
          <w:rPr>
            <w:webHidden/>
          </w:rPr>
          <w:instrText xml:space="preserve"> PAGEREF _Toc103839292 \h </w:instrText>
        </w:r>
        <w:r>
          <w:rPr>
            <w:webHidden/>
          </w:rPr>
        </w:r>
        <w:r>
          <w:rPr>
            <w:webHidden/>
          </w:rPr>
          <w:fldChar w:fldCharType="separate"/>
        </w:r>
        <w:r>
          <w:rPr>
            <w:webHidden/>
          </w:rPr>
          <w:t>13</w:t>
        </w:r>
        <w:r>
          <w:rPr>
            <w:webHidden/>
          </w:rPr>
          <w:fldChar w:fldCharType="end"/>
        </w:r>
      </w:hyperlink>
    </w:p>
    <w:p w14:paraId="37EB4DA4" w14:textId="59BCE110" w:rsidR="00091881" w:rsidRDefault="00091881">
      <w:pPr>
        <w:pStyle w:val="TOC2"/>
        <w:rPr>
          <w:rFonts w:eastAsiaTheme="minorEastAsia" w:cstheme="minorBidi"/>
          <w:lang w:eastAsia="en-AU"/>
        </w:rPr>
      </w:pPr>
      <w:hyperlink w:anchor="_Toc103839293" w:history="1">
        <w:r w:rsidRPr="00BC5A90">
          <w:rPr>
            <w:rStyle w:val="Hyperlink"/>
          </w:rPr>
          <w:t>Government campaign advertising by communication priority areas</w:t>
        </w:r>
        <w:r>
          <w:rPr>
            <w:webHidden/>
          </w:rPr>
          <w:tab/>
        </w:r>
        <w:r>
          <w:rPr>
            <w:webHidden/>
          </w:rPr>
          <w:fldChar w:fldCharType="begin"/>
        </w:r>
        <w:r>
          <w:rPr>
            <w:webHidden/>
          </w:rPr>
          <w:instrText xml:space="preserve"> PAGEREF _Toc103839293 \h </w:instrText>
        </w:r>
        <w:r>
          <w:rPr>
            <w:webHidden/>
          </w:rPr>
        </w:r>
        <w:r>
          <w:rPr>
            <w:webHidden/>
          </w:rPr>
          <w:fldChar w:fldCharType="separate"/>
        </w:r>
        <w:r>
          <w:rPr>
            <w:webHidden/>
          </w:rPr>
          <w:t>14</w:t>
        </w:r>
        <w:r>
          <w:rPr>
            <w:webHidden/>
          </w:rPr>
          <w:fldChar w:fldCharType="end"/>
        </w:r>
      </w:hyperlink>
    </w:p>
    <w:p w14:paraId="590E6119" w14:textId="7AF0F627" w:rsidR="00091881" w:rsidRDefault="00091881">
      <w:pPr>
        <w:pStyle w:val="TOC2"/>
        <w:rPr>
          <w:rFonts w:eastAsiaTheme="minorEastAsia" w:cstheme="minorBidi"/>
          <w:lang w:eastAsia="en-AU"/>
        </w:rPr>
      </w:pPr>
      <w:hyperlink w:anchor="_Toc103839294" w:history="1">
        <w:r w:rsidRPr="00BC5A90">
          <w:rPr>
            <w:rStyle w:val="Hyperlink"/>
          </w:rPr>
          <w:t>Victorian Government communication targets</w:t>
        </w:r>
        <w:r>
          <w:rPr>
            <w:webHidden/>
          </w:rPr>
          <w:tab/>
        </w:r>
        <w:r>
          <w:rPr>
            <w:webHidden/>
          </w:rPr>
          <w:fldChar w:fldCharType="begin"/>
        </w:r>
        <w:r>
          <w:rPr>
            <w:webHidden/>
          </w:rPr>
          <w:instrText xml:space="preserve"> PAGEREF _Toc103839294 \h </w:instrText>
        </w:r>
        <w:r>
          <w:rPr>
            <w:webHidden/>
          </w:rPr>
        </w:r>
        <w:r>
          <w:rPr>
            <w:webHidden/>
          </w:rPr>
          <w:fldChar w:fldCharType="separate"/>
        </w:r>
        <w:r>
          <w:rPr>
            <w:webHidden/>
          </w:rPr>
          <w:t>15</w:t>
        </w:r>
        <w:r>
          <w:rPr>
            <w:webHidden/>
          </w:rPr>
          <w:fldChar w:fldCharType="end"/>
        </w:r>
      </w:hyperlink>
    </w:p>
    <w:p w14:paraId="17AFD1BA" w14:textId="4DDA996E" w:rsidR="00091881" w:rsidRDefault="00091881">
      <w:pPr>
        <w:pStyle w:val="TOC1"/>
        <w:rPr>
          <w:rFonts w:eastAsiaTheme="minorEastAsia" w:cstheme="minorBidi"/>
          <w:b w:val="0"/>
          <w:lang w:eastAsia="en-AU"/>
        </w:rPr>
      </w:pPr>
      <w:hyperlink w:anchor="_Toc103839295" w:history="1">
        <w:r w:rsidRPr="00BC5A90">
          <w:rPr>
            <w:rStyle w:val="Hyperlink"/>
          </w:rPr>
          <w:t>Government communication policies and guidelines</w:t>
        </w:r>
        <w:r>
          <w:rPr>
            <w:webHidden/>
          </w:rPr>
          <w:tab/>
        </w:r>
        <w:r>
          <w:rPr>
            <w:webHidden/>
          </w:rPr>
          <w:fldChar w:fldCharType="begin"/>
        </w:r>
        <w:r>
          <w:rPr>
            <w:webHidden/>
          </w:rPr>
          <w:instrText xml:space="preserve"> PAGEREF _Toc103839295 \h </w:instrText>
        </w:r>
        <w:r>
          <w:rPr>
            <w:webHidden/>
          </w:rPr>
        </w:r>
        <w:r>
          <w:rPr>
            <w:webHidden/>
          </w:rPr>
          <w:fldChar w:fldCharType="separate"/>
        </w:r>
        <w:r>
          <w:rPr>
            <w:webHidden/>
          </w:rPr>
          <w:t>16</w:t>
        </w:r>
        <w:r>
          <w:rPr>
            <w:webHidden/>
          </w:rPr>
          <w:fldChar w:fldCharType="end"/>
        </w:r>
      </w:hyperlink>
    </w:p>
    <w:p w14:paraId="5CF4DBC8" w14:textId="4F0D97A6" w:rsidR="009204F1" w:rsidRPr="00327ABD" w:rsidRDefault="00576299" w:rsidP="00B329B5">
      <w:pPr>
        <w:pStyle w:val="TOC2"/>
        <w:spacing w:before="240" w:after="240"/>
      </w:pPr>
      <w:r w:rsidRPr="00327ABD">
        <w:rPr>
          <w:sz w:val="24"/>
          <w:szCs w:val="24"/>
        </w:rPr>
        <w:fldChar w:fldCharType="end"/>
      </w:r>
      <w:r w:rsidR="009204F1" w:rsidRPr="00327ABD">
        <w:br w:type="page"/>
      </w:r>
    </w:p>
    <w:p w14:paraId="38A076DA" w14:textId="77777777" w:rsidR="00E30414" w:rsidRPr="00327ABD" w:rsidRDefault="00FB5A01" w:rsidP="002C4D47">
      <w:pPr>
        <w:pStyle w:val="Heading1"/>
      </w:pPr>
      <w:bookmarkStart w:id="0" w:name="_Toc103839280"/>
      <w:r w:rsidRPr="00327ABD">
        <w:lastRenderedPageBreak/>
        <w:t>Introduction</w:t>
      </w:r>
      <w:bookmarkEnd w:id="0"/>
    </w:p>
    <w:p w14:paraId="7EFC51F2" w14:textId="1B438F4E" w:rsidR="00FB5A01" w:rsidRPr="00327ABD" w:rsidRDefault="00FB5A01" w:rsidP="00FB5A01">
      <w:pPr>
        <w:pStyle w:val="DPCbody"/>
        <w:rPr>
          <w:b/>
        </w:rPr>
      </w:pPr>
      <w:r w:rsidRPr="00327ABD">
        <w:rPr>
          <w:b/>
        </w:rPr>
        <w:t xml:space="preserve">This report provides an overview of Victorian Government media advertising expenditure for the period 1 July </w:t>
      </w:r>
      <w:r w:rsidR="00F31A43" w:rsidRPr="00327ABD">
        <w:rPr>
          <w:b/>
        </w:rPr>
        <w:t>2020</w:t>
      </w:r>
      <w:r w:rsidR="00626FC9" w:rsidRPr="00327ABD">
        <w:rPr>
          <w:b/>
        </w:rPr>
        <w:t xml:space="preserve"> to 30 June </w:t>
      </w:r>
      <w:r w:rsidR="00F31A43" w:rsidRPr="00327ABD">
        <w:rPr>
          <w:b/>
        </w:rPr>
        <w:t>2021</w:t>
      </w:r>
      <w:r w:rsidRPr="00327ABD">
        <w:rPr>
          <w:b/>
        </w:rPr>
        <w:t>.</w:t>
      </w:r>
    </w:p>
    <w:p w14:paraId="30E0BF6E" w14:textId="77777777" w:rsidR="00E30414" w:rsidRPr="00327ABD" w:rsidRDefault="00FB5A01" w:rsidP="002C4D47">
      <w:pPr>
        <w:pStyle w:val="Heading2"/>
      </w:pPr>
      <w:bookmarkStart w:id="1" w:name="_Toc103839281"/>
      <w:r w:rsidRPr="00327ABD">
        <w:t>Media advertising expenditure</w:t>
      </w:r>
      <w:bookmarkEnd w:id="1"/>
      <w:r w:rsidRPr="00327ABD">
        <w:t xml:space="preserve"> </w:t>
      </w:r>
    </w:p>
    <w:p w14:paraId="391CA505" w14:textId="77777777" w:rsidR="00214F84" w:rsidRPr="00327ABD" w:rsidRDefault="004D51D2" w:rsidP="004D51D2">
      <w:pPr>
        <w:pStyle w:val="DPCbody"/>
        <w:rPr>
          <w:szCs w:val="20"/>
        </w:rPr>
      </w:pPr>
      <w:bookmarkStart w:id="2" w:name="_Toc474140310"/>
      <w:bookmarkStart w:id="3" w:name="_Toc256778633"/>
      <w:r w:rsidRPr="00327ABD">
        <w:rPr>
          <w:szCs w:val="20"/>
        </w:rPr>
        <w:t xml:space="preserve">The Victorian Government purchases </w:t>
      </w:r>
      <w:r w:rsidRPr="00327ABD">
        <w:t>media</w:t>
      </w:r>
      <w:r w:rsidRPr="00327ABD">
        <w:rPr>
          <w:szCs w:val="20"/>
        </w:rPr>
        <w:t xml:space="preserve"> through the whole of Victorian Government Master Agency Media Services (MAMS) state purchase contract. </w:t>
      </w:r>
    </w:p>
    <w:p w14:paraId="76D5A57F" w14:textId="77777777" w:rsidR="00F31A43" w:rsidRPr="00327ABD" w:rsidRDefault="00214F84" w:rsidP="00F31A43">
      <w:pPr>
        <w:pStyle w:val="DPCbody"/>
        <w:rPr>
          <w:szCs w:val="20"/>
        </w:rPr>
      </w:pPr>
      <w:r w:rsidRPr="00327ABD">
        <w:rPr>
          <w:szCs w:val="20"/>
        </w:rPr>
        <w:t xml:space="preserve">The MAMS contract </w:t>
      </w:r>
      <w:r w:rsidR="00F31A43" w:rsidRPr="00327ABD">
        <w:rPr>
          <w:szCs w:val="20"/>
        </w:rPr>
        <w:t xml:space="preserve">is managed by the Department of Treasury and Finance, and </w:t>
      </w:r>
      <w:r w:rsidRPr="00327ABD">
        <w:rPr>
          <w:szCs w:val="20"/>
        </w:rPr>
        <w:t xml:space="preserve">covers media planning and buying on behalf of </w:t>
      </w:r>
      <w:r w:rsidR="00F31A43" w:rsidRPr="00327ABD">
        <w:rPr>
          <w:szCs w:val="20"/>
        </w:rPr>
        <w:t>all Victorian G</w:t>
      </w:r>
      <w:r w:rsidR="00244094" w:rsidRPr="00327ABD">
        <w:rPr>
          <w:szCs w:val="20"/>
        </w:rPr>
        <w:t xml:space="preserve">overnment </w:t>
      </w:r>
      <w:r w:rsidR="00F31A43" w:rsidRPr="00327ABD">
        <w:rPr>
          <w:szCs w:val="20"/>
        </w:rPr>
        <w:t xml:space="preserve">public sector bodies, including: </w:t>
      </w:r>
    </w:p>
    <w:p w14:paraId="6A614A12" w14:textId="0E65EA2E" w:rsidR="004D51D2" w:rsidRPr="00327ABD" w:rsidRDefault="004D51D2" w:rsidP="00F31A43">
      <w:pPr>
        <w:pStyle w:val="DPCbody"/>
        <w:numPr>
          <w:ilvl w:val="0"/>
          <w:numId w:val="32"/>
        </w:numPr>
      </w:pPr>
      <w:r w:rsidRPr="00327ABD">
        <w:t>all Victorian Government departments</w:t>
      </w:r>
    </w:p>
    <w:p w14:paraId="31638FA6" w14:textId="4D88530F" w:rsidR="004D51D2" w:rsidRPr="00327ABD" w:rsidRDefault="004D51D2" w:rsidP="00F31A43">
      <w:pPr>
        <w:pStyle w:val="DPCbullet1"/>
        <w:numPr>
          <w:ilvl w:val="0"/>
          <w:numId w:val="32"/>
        </w:numPr>
      </w:pPr>
      <w:r w:rsidRPr="00327ABD">
        <w:t>public bodies (which include</w:t>
      </w:r>
      <w:r w:rsidR="007D3538" w:rsidRPr="00327ABD">
        <w:t>,</w:t>
      </w:r>
      <w:r w:rsidRPr="00327ABD">
        <w:t xml:space="preserve"> but are not limited to</w:t>
      </w:r>
      <w:r w:rsidR="007D3538" w:rsidRPr="00327ABD">
        <w:t>,</w:t>
      </w:r>
      <w:r w:rsidRPr="00327ABD">
        <w:t xml:space="preserve"> statutory authorities, public entities, special bodies and other users). Examples include the Transport Accident Commission</w:t>
      </w:r>
      <w:r w:rsidR="00F31A43" w:rsidRPr="00327ABD">
        <w:t xml:space="preserve"> (TAC)</w:t>
      </w:r>
      <w:r w:rsidRPr="00327ABD">
        <w:t xml:space="preserve">, </w:t>
      </w:r>
      <w:r w:rsidR="00214F84" w:rsidRPr="00327ABD">
        <w:t xml:space="preserve">Visit </w:t>
      </w:r>
      <w:r w:rsidRPr="00327ABD">
        <w:t>Victoria, WorkSafe Victoria</w:t>
      </w:r>
      <w:r w:rsidR="00830B97" w:rsidRPr="00327ABD">
        <w:t xml:space="preserve"> and </w:t>
      </w:r>
      <w:r w:rsidRPr="00327ABD">
        <w:t>TAFE institut</w:t>
      </w:r>
      <w:r w:rsidR="00830B97" w:rsidRPr="00327ABD">
        <w:t>ions</w:t>
      </w:r>
      <w:r w:rsidRPr="00327ABD">
        <w:t>.</w:t>
      </w:r>
    </w:p>
    <w:p w14:paraId="538A977D" w14:textId="4356B532" w:rsidR="00613A53" w:rsidRPr="00327ABD" w:rsidRDefault="004D51D2" w:rsidP="00D031E6">
      <w:pPr>
        <w:pStyle w:val="DPCbullet1"/>
        <w:numPr>
          <w:ilvl w:val="0"/>
          <w:numId w:val="0"/>
        </w:numPr>
      </w:pPr>
      <w:r w:rsidRPr="00327ABD">
        <w:t xml:space="preserve">For more information about the MAMS contract visit the </w:t>
      </w:r>
      <w:hyperlink r:id="rId12" w:history="1">
        <w:r w:rsidR="00C4354E" w:rsidRPr="00327ABD">
          <w:rPr>
            <w:rStyle w:val="Hyperlink"/>
          </w:rPr>
          <w:t>MAMS page on the Victorian Government procurement website</w:t>
        </w:r>
      </w:hyperlink>
      <w:r w:rsidRPr="00327ABD">
        <w:t xml:space="preserve">. </w:t>
      </w:r>
    </w:p>
    <w:p w14:paraId="06E27B7E" w14:textId="77777777" w:rsidR="00FB5A01" w:rsidRPr="00327ABD" w:rsidRDefault="00FB5A01" w:rsidP="00E82326">
      <w:pPr>
        <w:pStyle w:val="Heading2"/>
        <w:keepNext w:val="0"/>
        <w:keepLines w:val="0"/>
      </w:pPr>
      <w:bookmarkStart w:id="4" w:name="_Toc103839282"/>
      <w:r w:rsidRPr="00327ABD">
        <w:t>Government advertising categories</w:t>
      </w:r>
      <w:bookmarkEnd w:id="2"/>
      <w:bookmarkEnd w:id="4"/>
    </w:p>
    <w:p w14:paraId="39A84586" w14:textId="77777777" w:rsidR="00E82326" w:rsidRPr="00327ABD" w:rsidRDefault="00E82326" w:rsidP="00E82326">
      <w:pPr>
        <w:pStyle w:val="DPCbody"/>
      </w:pPr>
      <w:r w:rsidRPr="00327ABD">
        <w:t>The Victorian Government classifies paid media advertising into three categories:</w:t>
      </w:r>
    </w:p>
    <w:p w14:paraId="077FFABA" w14:textId="77777777" w:rsidR="00E82326" w:rsidRPr="00327ABD" w:rsidRDefault="00E82326" w:rsidP="002B5A0B">
      <w:pPr>
        <w:pStyle w:val="DPCnumberdigit"/>
      </w:pPr>
      <w:r w:rsidRPr="00327ABD">
        <w:rPr>
          <w:b/>
        </w:rPr>
        <w:t>Campaign advertising</w:t>
      </w:r>
      <w:r w:rsidRPr="00327ABD">
        <w:t>, which is designed to inform, educate, motivate or change behaviour. It requires strategic planning of creative and media services to achieve set objectives.</w:t>
      </w:r>
    </w:p>
    <w:p w14:paraId="53C26B44" w14:textId="28A05F8D" w:rsidR="00E82326" w:rsidRPr="00327ABD" w:rsidRDefault="00E82326" w:rsidP="00613A53">
      <w:pPr>
        <w:pStyle w:val="DPCnumberdigit"/>
      </w:pPr>
      <w:r w:rsidRPr="00327ABD">
        <w:rPr>
          <w:b/>
        </w:rPr>
        <w:t>Functional advertising</w:t>
      </w:r>
      <w:r w:rsidRPr="00327ABD">
        <w:t xml:space="preserve">, which </w:t>
      </w:r>
      <w:r w:rsidR="00B565F1" w:rsidRPr="00327ABD">
        <w:t xml:space="preserve">is intended to </w:t>
      </w:r>
      <w:r w:rsidR="002B5A0B" w:rsidRPr="00327ABD">
        <w:t>provide</w:t>
      </w:r>
      <w:r w:rsidR="00B565F1" w:rsidRPr="00327ABD">
        <w:t xml:space="preserve"> </w:t>
      </w:r>
      <w:r w:rsidR="002B5A0B" w:rsidRPr="00327ABD">
        <w:t xml:space="preserve">the </w:t>
      </w:r>
      <w:r w:rsidRPr="00327ABD">
        <w:t>public</w:t>
      </w:r>
      <w:r w:rsidR="002B5A0B" w:rsidRPr="00327ABD">
        <w:t xml:space="preserve"> with information and is generally simple and informative </w:t>
      </w:r>
      <w:r w:rsidR="00DA5CC5" w:rsidRPr="00327ABD">
        <w:t xml:space="preserve">and </w:t>
      </w:r>
      <w:r w:rsidR="002B5A0B" w:rsidRPr="00327ABD">
        <w:t>only appears for a short time.</w:t>
      </w:r>
      <w:r w:rsidR="00613A53" w:rsidRPr="00327ABD">
        <w:t xml:space="preserve"> </w:t>
      </w:r>
      <w:r w:rsidRPr="00327ABD">
        <w:t>Examples include public notices, notifications of public meetings, requests for tender, enrolment notices, statutory or regulatory notices, and emergency or safety announcements.</w:t>
      </w:r>
    </w:p>
    <w:p w14:paraId="6499E44C" w14:textId="6C748160" w:rsidR="00E82326" w:rsidRPr="00327ABD" w:rsidRDefault="00E82326" w:rsidP="002B5A0B">
      <w:pPr>
        <w:pStyle w:val="DPCnumberdigit"/>
      </w:pPr>
      <w:r w:rsidRPr="00327ABD">
        <w:rPr>
          <w:b/>
        </w:rPr>
        <w:t>Recruitment advertising</w:t>
      </w:r>
      <w:r w:rsidRPr="00327ABD">
        <w:t>, which is used to promote a specific job vacancy or a limited number of roles. Large</w:t>
      </w:r>
      <w:r w:rsidR="000C426D" w:rsidRPr="00327ABD">
        <w:t xml:space="preserve">r scale, industry-wide </w:t>
      </w:r>
      <w:r w:rsidRPr="00327ABD">
        <w:t xml:space="preserve">recruitment </w:t>
      </w:r>
      <w:r w:rsidR="000C426D" w:rsidRPr="00327ABD">
        <w:t xml:space="preserve">by government </w:t>
      </w:r>
      <w:r w:rsidR="00B565F1" w:rsidRPr="00327ABD">
        <w:t xml:space="preserve">bodies – such as that undertaken by Victoria Police – </w:t>
      </w:r>
      <w:r w:rsidRPr="00327ABD">
        <w:t xml:space="preserve">is </w:t>
      </w:r>
      <w:r w:rsidR="000C426D" w:rsidRPr="00327ABD">
        <w:t xml:space="preserve">usually </w:t>
      </w:r>
      <w:r w:rsidR="00B565F1" w:rsidRPr="00327ABD">
        <w:t xml:space="preserve">considered </w:t>
      </w:r>
      <w:r w:rsidRPr="00327ABD">
        <w:t>'campaign' advertising.</w:t>
      </w:r>
    </w:p>
    <w:p w14:paraId="7ED81438" w14:textId="77777777" w:rsidR="00E82326" w:rsidRPr="00327ABD" w:rsidRDefault="00E82326" w:rsidP="00E82326">
      <w:pPr>
        <w:pStyle w:val="DPCbody"/>
      </w:pPr>
      <w:r w:rsidRPr="00327ABD">
        <w:t xml:space="preserve">Collectively, functional and recruitment advertising </w:t>
      </w:r>
      <w:r w:rsidR="000C426D" w:rsidRPr="00327ABD">
        <w:t xml:space="preserve">are </w:t>
      </w:r>
      <w:r w:rsidRPr="00327ABD">
        <w:t>referred to as ‘non-campaign’ advertising.</w:t>
      </w:r>
    </w:p>
    <w:p w14:paraId="428C95AA" w14:textId="48FB1458" w:rsidR="00D717AC" w:rsidRPr="00327ABD" w:rsidRDefault="00F31A43" w:rsidP="005E32C7">
      <w:pPr>
        <w:pStyle w:val="DPCbody"/>
        <w:rPr>
          <w:rFonts w:cstheme="minorHAnsi"/>
          <w:color w:val="auto"/>
          <w:szCs w:val="24"/>
        </w:rPr>
      </w:pPr>
      <w:r w:rsidRPr="00327ABD">
        <w:t>For the majority of 2020–21</w:t>
      </w:r>
      <w:r w:rsidR="00BD03A6" w:rsidRPr="00327ABD">
        <w:t xml:space="preserve">, </w:t>
      </w:r>
      <w:r w:rsidR="005E32C7" w:rsidRPr="00327ABD">
        <w:t>MediaCom</w:t>
      </w:r>
      <w:r w:rsidR="00BD03A6" w:rsidRPr="00327ABD">
        <w:t xml:space="preserve"> provided campaign </w:t>
      </w:r>
      <w:r w:rsidR="00B565F1" w:rsidRPr="00327ABD">
        <w:t xml:space="preserve">and non-campaign </w:t>
      </w:r>
      <w:r w:rsidR="005E32C7" w:rsidRPr="00327ABD">
        <w:t xml:space="preserve">advertising </w:t>
      </w:r>
      <w:r w:rsidR="00BD03A6" w:rsidRPr="00327ABD">
        <w:t xml:space="preserve">services </w:t>
      </w:r>
      <w:r w:rsidR="00D031E6" w:rsidRPr="00327ABD">
        <w:t>to government</w:t>
      </w:r>
      <w:r w:rsidR="005E32C7" w:rsidRPr="00327ABD">
        <w:t>.</w:t>
      </w:r>
      <w:r w:rsidRPr="00327ABD">
        <w:t xml:space="preserve"> From June 2021 onwards, Optimum Media Direction Pty Ltd (OMD) took over as the government’s MAMS supplier for most </w:t>
      </w:r>
      <w:r w:rsidRPr="00327ABD">
        <w:lastRenderedPageBreak/>
        <w:t xml:space="preserve">campaign and non-campaign advertising. </w:t>
      </w:r>
      <w:r w:rsidR="00B565F1" w:rsidRPr="00327ABD">
        <w:t xml:space="preserve">The expenditure figures presented in this report combine data supplied by both MediaCom and OMD. </w:t>
      </w:r>
    </w:p>
    <w:p w14:paraId="26567533" w14:textId="77777777" w:rsidR="004F4871" w:rsidRPr="00327ABD" w:rsidRDefault="001121C1" w:rsidP="00E82326">
      <w:pPr>
        <w:pStyle w:val="Heading2"/>
      </w:pPr>
      <w:bookmarkStart w:id="5" w:name="_Toc103839283"/>
      <w:r w:rsidRPr="00327ABD">
        <w:t>E</w:t>
      </w:r>
      <w:r w:rsidR="00FB5A01" w:rsidRPr="00327ABD">
        <w:t xml:space="preserve">xpenditure </w:t>
      </w:r>
      <w:r w:rsidRPr="00327ABD">
        <w:t>on major government campaigns</w:t>
      </w:r>
      <w:bookmarkEnd w:id="5"/>
    </w:p>
    <w:p w14:paraId="5DDAE238" w14:textId="77777777" w:rsidR="001121C1" w:rsidRPr="00327ABD" w:rsidRDefault="001121C1" w:rsidP="001121C1">
      <w:pPr>
        <w:pStyle w:val="DPCbody"/>
      </w:pPr>
      <w:r w:rsidRPr="00327ABD">
        <w:t xml:space="preserve">Each year, government departments and public bodies publish information within their annual reports about their expenditure on major advertising campaigns, </w:t>
      </w:r>
      <w:r w:rsidR="00E8595E" w:rsidRPr="00327ABD">
        <w:t xml:space="preserve">as required by </w:t>
      </w:r>
      <w:r w:rsidRPr="00327ABD">
        <w:t>the relevant Financial Reporting Direction.</w:t>
      </w:r>
      <w:r w:rsidRPr="00327ABD">
        <w:rPr>
          <w:rStyle w:val="FootnoteReference"/>
        </w:rPr>
        <w:footnoteReference w:id="1"/>
      </w:r>
      <w:r w:rsidRPr="00327ABD">
        <w:t xml:space="preserve"> </w:t>
      </w:r>
    </w:p>
    <w:p w14:paraId="31255D21" w14:textId="23D80A66" w:rsidR="001121C1" w:rsidRPr="00327ABD" w:rsidRDefault="001121C1" w:rsidP="001121C1">
      <w:pPr>
        <w:pStyle w:val="DPCbody"/>
      </w:pPr>
      <w:r w:rsidRPr="00327ABD">
        <w:t xml:space="preserve">For </w:t>
      </w:r>
      <w:r w:rsidR="00FA152F" w:rsidRPr="00327ABD">
        <w:t>the 2020–21 financial year</w:t>
      </w:r>
      <w:r w:rsidR="00E8595E" w:rsidRPr="00327ABD">
        <w:t xml:space="preserve">, </w:t>
      </w:r>
      <w:r w:rsidRPr="00327ABD">
        <w:t xml:space="preserve">departments and </w:t>
      </w:r>
      <w:r w:rsidR="00FA152F" w:rsidRPr="00327ABD">
        <w:t xml:space="preserve">government </w:t>
      </w:r>
      <w:r w:rsidRPr="00327ABD">
        <w:t xml:space="preserve">bodies </w:t>
      </w:r>
      <w:r w:rsidR="00E8595E" w:rsidRPr="00327ABD">
        <w:t xml:space="preserve">are required to report on </w:t>
      </w:r>
      <w:r w:rsidRPr="00327ABD">
        <w:t>advertising campaign</w:t>
      </w:r>
      <w:r w:rsidR="00E8595E" w:rsidRPr="00327ABD">
        <w:t>s</w:t>
      </w:r>
      <w:r w:rsidRPr="00327ABD">
        <w:t xml:space="preserve"> with a total </w:t>
      </w:r>
      <w:r w:rsidR="00E8595E" w:rsidRPr="00327ABD">
        <w:t xml:space="preserve">media spend </w:t>
      </w:r>
      <w:r w:rsidRPr="00327ABD">
        <w:t>of $100,000 or greater (exclusive of GST)</w:t>
      </w:r>
      <w:r w:rsidR="00E8595E" w:rsidRPr="00327ABD">
        <w:t>, including</w:t>
      </w:r>
      <w:r w:rsidRPr="00327ABD">
        <w:t>:</w:t>
      </w:r>
    </w:p>
    <w:p w14:paraId="01728C37" w14:textId="77777777" w:rsidR="001121C1" w:rsidRPr="00327ABD" w:rsidRDefault="001121C1" w:rsidP="001121C1">
      <w:pPr>
        <w:pStyle w:val="DPCbullet1"/>
        <w:numPr>
          <w:ilvl w:val="0"/>
          <w:numId w:val="25"/>
        </w:numPr>
        <w:spacing w:after="40"/>
      </w:pPr>
      <w:r w:rsidRPr="00327ABD">
        <w:t xml:space="preserve">the name of the advertising campaign </w:t>
      </w:r>
    </w:p>
    <w:p w14:paraId="2279C990" w14:textId="77777777" w:rsidR="001121C1" w:rsidRPr="00327ABD" w:rsidRDefault="001121C1" w:rsidP="001121C1">
      <w:pPr>
        <w:pStyle w:val="DPCbullet1"/>
        <w:numPr>
          <w:ilvl w:val="0"/>
          <w:numId w:val="25"/>
        </w:numPr>
        <w:spacing w:after="40"/>
      </w:pPr>
      <w:r w:rsidRPr="00327ABD">
        <w:t xml:space="preserve">the start and end date of the campaign </w:t>
      </w:r>
    </w:p>
    <w:p w14:paraId="353659E7" w14:textId="77777777" w:rsidR="001121C1" w:rsidRPr="00327ABD" w:rsidRDefault="001121C1" w:rsidP="001121C1">
      <w:pPr>
        <w:pStyle w:val="DPCbullet1"/>
        <w:numPr>
          <w:ilvl w:val="0"/>
          <w:numId w:val="25"/>
        </w:numPr>
        <w:spacing w:after="40"/>
      </w:pPr>
      <w:r w:rsidRPr="00327ABD">
        <w:t xml:space="preserve">a summary </w:t>
      </w:r>
      <w:r w:rsidR="00E8595E" w:rsidRPr="00327ABD">
        <w:t>of the campaign</w:t>
      </w:r>
    </w:p>
    <w:p w14:paraId="0123C7EE" w14:textId="77777777" w:rsidR="001121C1" w:rsidRPr="00327ABD" w:rsidRDefault="001121C1" w:rsidP="001121C1">
      <w:pPr>
        <w:pStyle w:val="DPCbullet1lastline"/>
        <w:numPr>
          <w:ilvl w:val="1"/>
          <w:numId w:val="25"/>
        </w:numPr>
      </w:pPr>
      <w:r w:rsidRPr="00327ABD">
        <w:t>details of campaign expenditure for the reporting period (exclusive of GST).</w:t>
      </w:r>
    </w:p>
    <w:p w14:paraId="6F1BDD3F" w14:textId="51680BC9" w:rsidR="00BF4E4F" w:rsidRPr="00327ABD" w:rsidRDefault="00BF4E4F" w:rsidP="00FB5A01">
      <w:pPr>
        <w:pStyle w:val="Heading2"/>
      </w:pPr>
      <w:bookmarkStart w:id="6" w:name="_Toc103839284"/>
      <w:r w:rsidRPr="00327ABD">
        <w:t>Government advertising plan</w:t>
      </w:r>
      <w:r w:rsidR="00FD5094" w:rsidRPr="00327ABD">
        <w:t xml:space="preserve"> </w:t>
      </w:r>
      <w:r w:rsidR="00562BB4" w:rsidRPr="00327ABD">
        <w:t xml:space="preserve">for </w:t>
      </w:r>
      <w:r w:rsidR="00E32851" w:rsidRPr="00327ABD">
        <w:t>2020–21</w:t>
      </w:r>
      <w:bookmarkEnd w:id="6"/>
    </w:p>
    <w:p w14:paraId="1B03A1D1" w14:textId="77777777" w:rsidR="00FD5094" w:rsidRPr="00327ABD" w:rsidRDefault="000B5EE6" w:rsidP="000B5EE6">
      <w:pPr>
        <w:pStyle w:val="DPCbody"/>
      </w:pPr>
      <w:r w:rsidRPr="00327ABD">
        <w:t xml:space="preserve">Each year the </w:t>
      </w:r>
      <w:r w:rsidR="00FD5094" w:rsidRPr="00327ABD">
        <w:t>Victorian G</w:t>
      </w:r>
      <w:r w:rsidRPr="00327ABD">
        <w:t xml:space="preserve">overnment publishes an annual advertising plan, which </w:t>
      </w:r>
      <w:r w:rsidR="00613A53" w:rsidRPr="00327ABD">
        <w:t xml:space="preserve">provides an overview of </w:t>
      </w:r>
      <w:r w:rsidR="00FD5094" w:rsidRPr="00327ABD">
        <w:t>g</w:t>
      </w:r>
      <w:r w:rsidRPr="00327ABD">
        <w:t xml:space="preserve">overnment advertising </w:t>
      </w:r>
      <w:r w:rsidR="00613A53" w:rsidRPr="00327ABD">
        <w:t xml:space="preserve">campaigns planned for that </w:t>
      </w:r>
      <w:r w:rsidRPr="00327ABD">
        <w:t xml:space="preserve">year. </w:t>
      </w:r>
    </w:p>
    <w:p w14:paraId="75638000" w14:textId="588A0FEE" w:rsidR="00FB5A01" w:rsidRPr="00327ABD" w:rsidRDefault="000B5EE6" w:rsidP="000B5EE6">
      <w:pPr>
        <w:pStyle w:val="DPCbody"/>
        <w:rPr>
          <w:color w:val="53565A"/>
          <w:sz w:val="32"/>
          <w:szCs w:val="32"/>
        </w:rPr>
      </w:pPr>
      <w:r w:rsidRPr="00327ABD">
        <w:t>The Victorian Gove</w:t>
      </w:r>
      <w:r w:rsidR="00562BB4" w:rsidRPr="00327ABD">
        <w:t>rnment Advertising Plan</w:t>
      </w:r>
      <w:r w:rsidR="007C671C" w:rsidRPr="00327ABD">
        <w:t xml:space="preserve">s are </w:t>
      </w:r>
      <w:r w:rsidR="00C76F8D" w:rsidRPr="00327ABD">
        <w:t xml:space="preserve">available on the </w:t>
      </w:r>
      <w:hyperlink r:id="rId13" w:history="1">
        <w:r w:rsidR="00C76F8D" w:rsidRPr="00327ABD">
          <w:rPr>
            <w:rStyle w:val="Hyperlink"/>
          </w:rPr>
          <w:t>vic.gov.au website</w:t>
        </w:r>
      </w:hyperlink>
      <w:r w:rsidR="008F562D" w:rsidRPr="00327ABD">
        <w:t>.</w:t>
      </w:r>
      <w:r w:rsidR="00FB5A01" w:rsidRPr="00327ABD">
        <w:br w:type="page"/>
      </w:r>
    </w:p>
    <w:p w14:paraId="05327F3B" w14:textId="7229B21A" w:rsidR="00A928B6" w:rsidRPr="00327ABD" w:rsidRDefault="004F4871" w:rsidP="00A928B6">
      <w:pPr>
        <w:pStyle w:val="Heading1"/>
      </w:pPr>
      <w:bookmarkStart w:id="7" w:name="_Toc103839285"/>
      <w:r w:rsidRPr="00327ABD">
        <w:lastRenderedPageBreak/>
        <w:t xml:space="preserve">Victorian Government advertising expenditure </w:t>
      </w:r>
      <w:r w:rsidR="00E32851" w:rsidRPr="00327ABD">
        <w:t>2020–21</w:t>
      </w:r>
      <w:bookmarkEnd w:id="7"/>
    </w:p>
    <w:p w14:paraId="7D47BE64" w14:textId="03605880" w:rsidR="00375E09" w:rsidRPr="00327ABD" w:rsidRDefault="00375E09" w:rsidP="00375E09">
      <w:pPr>
        <w:pStyle w:val="DPCbody"/>
      </w:pPr>
      <w:r w:rsidRPr="00327ABD">
        <w:t>The Victorian Government spent a tot</w:t>
      </w:r>
      <w:r w:rsidR="00462BF3" w:rsidRPr="00327ABD">
        <w:t>al of $</w:t>
      </w:r>
      <w:r w:rsidR="00FF3E5B" w:rsidRPr="00327ABD">
        <w:t>147.3</w:t>
      </w:r>
      <w:r w:rsidRPr="00327ABD">
        <w:t xml:space="preserve"> mi</w:t>
      </w:r>
      <w:r w:rsidR="00613A53" w:rsidRPr="00327ABD">
        <w:t xml:space="preserve">llion on media advertising from </w:t>
      </w:r>
      <w:r w:rsidR="00D96AD0" w:rsidRPr="00327ABD">
        <w:br/>
      </w:r>
      <w:r w:rsidR="00562BB4" w:rsidRPr="00327ABD">
        <w:t>1</w:t>
      </w:r>
      <w:r w:rsidR="00D96AD0" w:rsidRPr="00327ABD">
        <w:t xml:space="preserve"> </w:t>
      </w:r>
      <w:r w:rsidR="00562BB4" w:rsidRPr="00327ABD">
        <w:t xml:space="preserve">July </w:t>
      </w:r>
      <w:r w:rsidR="00E32851" w:rsidRPr="00327ABD">
        <w:t>2020</w:t>
      </w:r>
      <w:r w:rsidR="00562BB4" w:rsidRPr="00327ABD">
        <w:t xml:space="preserve"> to 30 June </w:t>
      </w:r>
      <w:r w:rsidR="00E32851" w:rsidRPr="00327ABD">
        <w:t>2021</w:t>
      </w:r>
      <w:r w:rsidRPr="00327ABD">
        <w:t xml:space="preserve">, </w:t>
      </w:r>
      <w:r w:rsidR="00830B97" w:rsidRPr="00327ABD">
        <w:t xml:space="preserve">comprising </w:t>
      </w:r>
      <w:r w:rsidRPr="00327ABD">
        <w:t>campaign and non-campaign advertising</w:t>
      </w:r>
      <w:r w:rsidR="00830B97" w:rsidRPr="00327ABD">
        <w:t xml:space="preserve">. </w:t>
      </w:r>
      <w:r w:rsidR="007C671C" w:rsidRPr="00327ABD">
        <w:t xml:space="preserve">As shown below, this </w:t>
      </w:r>
      <w:r w:rsidR="00830B97" w:rsidRPr="00327ABD">
        <w:t xml:space="preserve">total </w:t>
      </w:r>
      <w:r w:rsidR="00D97C4C" w:rsidRPr="00327ABD">
        <w:t xml:space="preserve">is </w:t>
      </w:r>
      <w:r w:rsidR="001D273F" w:rsidRPr="00327ABD">
        <w:t xml:space="preserve">significantly </w:t>
      </w:r>
      <w:r w:rsidR="007C671C" w:rsidRPr="00327ABD">
        <w:t xml:space="preserve">higher </w:t>
      </w:r>
      <w:r w:rsidR="00D97C4C" w:rsidRPr="00327ABD">
        <w:t xml:space="preserve">than </w:t>
      </w:r>
      <w:r w:rsidR="007C671C" w:rsidRPr="00327ABD">
        <w:t xml:space="preserve">in </w:t>
      </w:r>
      <w:r w:rsidR="00D97C4C" w:rsidRPr="00327ABD">
        <w:t>previous year</w:t>
      </w:r>
      <w:r w:rsidR="007C671C" w:rsidRPr="00327ABD">
        <w:t>s, and reflects significant campaign advertising undertaken by the government in 2020–21, communicating crucial public health messaging about the COVID-19 pandemic, and the importance of testing and vaccinations. The government also undertook campaigns to support community and business resilience during the pandemic.</w:t>
      </w:r>
    </w:p>
    <w:p w14:paraId="445FF8DD" w14:textId="77777777" w:rsidR="00714686" w:rsidRPr="00327ABD" w:rsidRDefault="00714686" w:rsidP="00375E09">
      <w:pPr>
        <w:pStyle w:val="Heading2"/>
      </w:pPr>
      <w:bookmarkStart w:id="8" w:name="_Toc103839286"/>
      <w:r w:rsidRPr="00327ABD">
        <w:t>Total government advertising expenditure – historical comparison</w:t>
      </w:r>
      <w:bookmarkEnd w:id="8"/>
      <w:r w:rsidRPr="00327ABD">
        <w:t xml:space="preserve"> </w:t>
      </w:r>
    </w:p>
    <w:p w14:paraId="40C97F39" w14:textId="1FFF2645" w:rsidR="00472C04" w:rsidRPr="00327ABD" w:rsidRDefault="00375E09" w:rsidP="00A34B09">
      <w:pPr>
        <w:pStyle w:val="DPCbody"/>
      </w:pPr>
      <w:r w:rsidRPr="00327ABD">
        <w:t xml:space="preserve">Total government </w:t>
      </w:r>
      <w:r w:rsidR="00562BB4" w:rsidRPr="00327ABD">
        <w:t xml:space="preserve">advertising expenditure for </w:t>
      </w:r>
      <w:r w:rsidR="00E32851" w:rsidRPr="00327ABD">
        <w:t>2020–21</w:t>
      </w:r>
      <w:r w:rsidRPr="00327ABD">
        <w:t xml:space="preserve"> and previous years is shown in the chart below.</w:t>
      </w:r>
    </w:p>
    <w:p w14:paraId="3367F45D" w14:textId="77777777" w:rsidR="00794660" w:rsidRPr="00327ABD" w:rsidRDefault="00794660" w:rsidP="00A34B09">
      <w:pPr>
        <w:pStyle w:val="DPCbody"/>
      </w:pPr>
    </w:p>
    <w:p w14:paraId="2A061818" w14:textId="6C0BC950" w:rsidR="0015361E" w:rsidRPr="00327ABD" w:rsidRDefault="0015361E" w:rsidP="00A34B09">
      <w:pPr>
        <w:pStyle w:val="DPCbody"/>
      </w:pPr>
      <w:r w:rsidRPr="00327ABD">
        <w:rPr>
          <w:noProof/>
        </w:rPr>
        <w:drawing>
          <wp:inline distT="0" distB="0" distL="0" distR="0" wp14:anchorId="1B36E233" wp14:editId="75F0FAD3">
            <wp:extent cx="6341110" cy="4512310"/>
            <wp:effectExtent l="0" t="0" r="2540" b="25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37F1E1" w14:textId="07E7A206" w:rsidR="00D26CE6" w:rsidRPr="00327ABD" w:rsidRDefault="00511110" w:rsidP="00E541D4">
      <w:pPr>
        <w:pStyle w:val="Heading2"/>
      </w:pPr>
      <w:bookmarkStart w:id="9" w:name="_Toc103839287"/>
      <w:r w:rsidRPr="00327ABD">
        <w:lastRenderedPageBreak/>
        <w:t>COVID-19 public health advertising in 2020-21</w:t>
      </w:r>
      <w:bookmarkEnd w:id="9"/>
    </w:p>
    <w:p w14:paraId="1F163434" w14:textId="77777777" w:rsidR="00511110" w:rsidRPr="00327ABD" w:rsidRDefault="00511110" w:rsidP="00511110">
      <w:pPr>
        <w:pStyle w:val="DPCbody"/>
      </w:pPr>
      <w:r w:rsidRPr="00327ABD">
        <w:t xml:space="preserve">The government’s campaign advertising expenditure in 2020–21 included a high proportion of campaign advertising communicating crucial COVID-19 public health messaging, undertaken by the Department of Health and the Department of Premier and Cabinet. </w:t>
      </w:r>
    </w:p>
    <w:p w14:paraId="0AF9B20D" w14:textId="1797B714" w:rsidR="00511110" w:rsidRPr="00327ABD" w:rsidRDefault="00511110" w:rsidP="00511110">
      <w:pPr>
        <w:pStyle w:val="DPCbody"/>
      </w:pPr>
      <w:r w:rsidRPr="00327ABD">
        <w:t xml:space="preserve">This campaign activity is reported in more detail in the departments’ </w:t>
      </w:r>
      <w:r w:rsidR="002E7EEC" w:rsidRPr="00327ABD">
        <w:t xml:space="preserve">respective </w:t>
      </w:r>
      <w:r w:rsidRPr="00327ABD">
        <w:t xml:space="preserve">annual reports for 2020–21. </w:t>
      </w:r>
    </w:p>
    <w:p w14:paraId="34B61B93" w14:textId="6CD497C2" w:rsidR="00511110" w:rsidRPr="00327ABD" w:rsidRDefault="00511110" w:rsidP="00511110">
      <w:pPr>
        <w:pStyle w:val="DPCbody"/>
      </w:pPr>
      <w:r w:rsidRPr="00327ABD">
        <w:t xml:space="preserve">The chart below compares government campaign advertising over the past five years, </w:t>
      </w:r>
      <w:r w:rsidR="002E7EEC" w:rsidRPr="00327ABD">
        <w:t xml:space="preserve">including expenditure on COVID-19 public health campaigns in 2019–20 and 2020–21. </w:t>
      </w:r>
    </w:p>
    <w:p w14:paraId="2C2DAA54" w14:textId="6EEC28E9" w:rsidR="002E7EEC" w:rsidRPr="00327ABD" w:rsidRDefault="002E7EEC" w:rsidP="00DE2516">
      <w:pPr>
        <w:pStyle w:val="DPCbody"/>
      </w:pPr>
      <w:r w:rsidRPr="00327ABD">
        <w:rPr>
          <w:noProof/>
        </w:rPr>
        <w:drawing>
          <wp:inline distT="0" distB="0" distL="0" distR="0" wp14:anchorId="74EA6F06" wp14:editId="2FFE1978">
            <wp:extent cx="5904230" cy="5848350"/>
            <wp:effectExtent l="0" t="0" r="127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D164C7" w14:textId="5C3F7F0B" w:rsidR="00511110" w:rsidRPr="00327ABD" w:rsidRDefault="00511110">
      <w:pPr>
        <w:rPr>
          <w:rFonts w:asciiTheme="majorHAnsi" w:eastAsia="MS Gothic" w:hAnsiTheme="majorHAnsi"/>
          <w:bCs/>
          <w:iCs/>
          <w:color w:val="0072CE"/>
          <w:sz w:val="36"/>
          <w:szCs w:val="36"/>
        </w:rPr>
      </w:pPr>
      <w:r w:rsidRPr="00327ABD">
        <w:br w:type="page"/>
      </w:r>
    </w:p>
    <w:p w14:paraId="18473189" w14:textId="24B9B13E" w:rsidR="004F4871" w:rsidRPr="00327ABD" w:rsidRDefault="004F4871" w:rsidP="00205C40">
      <w:pPr>
        <w:pStyle w:val="Heading2"/>
        <w:spacing w:after="240"/>
      </w:pPr>
      <w:bookmarkStart w:id="10" w:name="_Toc103839288"/>
      <w:r w:rsidRPr="00327ABD">
        <w:lastRenderedPageBreak/>
        <w:t>Total advertising</w:t>
      </w:r>
      <w:r w:rsidR="004E2D51" w:rsidRPr="00327ABD">
        <w:t xml:space="preserve"> expenditure by category – </w:t>
      </w:r>
      <w:r w:rsidR="00E32851" w:rsidRPr="00327ABD">
        <w:t>2020–21</w:t>
      </w:r>
      <w:bookmarkEnd w:id="10"/>
    </w:p>
    <w:p w14:paraId="7E4424B7" w14:textId="24BEBD62" w:rsidR="00517A23" w:rsidRPr="00327ABD" w:rsidRDefault="00337CCC" w:rsidP="009F3407">
      <w:pPr>
        <w:pStyle w:val="DPCbody"/>
      </w:pPr>
      <w:r w:rsidRPr="00327ABD">
        <w:t xml:space="preserve">Campaign advertising accounted for </w:t>
      </w:r>
      <w:r w:rsidR="00FF3E5B" w:rsidRPr="00327ABD">
        <w:t xml:space="preserve">92 </w:t>
      </w:r>
      <w:r w:rsidR="00517A23" w:rsidRPr="00327ABD">
        <w:t xml:space="preserve">per cent </w:t>
      </w:r>
      <w:r w:rsidRPr="00327ABD">
        <w:t>of Victorian Government</w:t>
      </w:r>
      <w:r w:rsidR="004E2D51" w:rsidRPr="00327ABD">
        <w:t xml:space="preserve"> advertising expenditure in </w:t>
      </w:r>
      <w:r w:rsidR="00E32851" w:rsidRPr="00327ABD">
        <w:t>2020–21</w:t>
      </w:r>
      <w:r w:rsidR="009F3407" w:rsidRPr="00327ABD">
        <w:t>. Non-campaign advertising, comprising functional and recruitment advertising</w:t>
      </w:r>
      <w:r w:rsidR="00205267" w:rsidRPr="00327ABD">
        <w:t xml:space="preserve">, accounted for the remaining </w:t>
      </w:r>
      <w:r w:rsidR="00FF3E5B" w:rsidRPr="00327ABD">
        <w:t xml:space="preserve">8 </w:t>
      </w:r>
      <w:r w:rsidR="009F3407" w:rsidRPr="00327ABD">
        <w:t xml:space="preserve">per cent of advertising expenditure for the year. </w:t>
      </w:r>
    </w:p>
    <w:p w14:paraId="34B7DB3E" w14:textId="77777777" w:rsidR="00B53B32" w:rsidRPr="00327ABD" w:rsidRDefault="00B53B32" w:rsidP="009F3407">
      <w:pPr>
        <w:pStyle w:val="DPCbody"/>
      </w:pPr>
    </w:p>
    <w:p w14:paraId="206C7892" w14:textId="27BDC1CE" w:rsidR="00B8118D" w:rsidRPr="00327ABD" w:rsidRDefault="000A4320" w:rsidP="009F3407">
      <w:pPr>
        <w:pStyle w:val="DPCbody"/>
      </w:pPr>
      <w:r w:rsidRPr="00327ABD">
        <w:rPr>
          <w:noProof/>
        </w:rPr>
        <w:drawing>
          <wp:inline distT="0" distB="0" distL="0" distR="0" wp14:anchorId="35C0CBDC" wp14:editId="0F28FFF0">
            <wp:extent cx="6409055" cy="56102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41796B" w14:textId="44B49A0D" w:rsidR="00BE6E69" w:rsidRPr="00327ABD" w:rsidRDefault="00BE6E69" w:rsidP="009F3407">
      <w:pPr>
        <w:pStyle w:val="DPCbody"/>
      </w:pPr>
    </w:p>
    <w:p w14:paraId="1B5359AA" w14:textId="77777777" w:rsidR="00CA4150" w:rsidRPr="00327ABD" w:rsidRDefault="00CA4150" w:rsidP="009F3407">
      <w:pPr>
        <w:pStyle w:val="DPCbody"/>
      </w:pPr>
    </w:p>
    <w:p w14:paraId="45DBB7F1" w14:textId="5F86AF93" w:rsidR="009F3105" w:rsidRPr="00327ABD" w:rsidRDefault="009F3105" w:rsidP="009F3105">
      <w:pPr>
        <w:pStyle w:val="DPCbody"/>
      </w:pPr>
      <w:bookmarkStart w:id="11" w:name="_Toc474140315"/>
      <w:r w:rsidRPr="00327ABD">
        <w:br w:type="page"/>
      </w:r>
    </w:p>
    <w:p w14:paraId="192C69A0" w14:textId="74A2FCAD" w:rsidR="004F4871" w:rsidRPr="00327ABD" w:rsidRDefault="004F4871" w:rsidP="007358F6">
      <w:pPr>
        <w:pStyle w:val="Heading2"/>
        <w:keepLines w:val="0"/>
      </w:pPr>
      <w:bookmarkStart w:id="12" w:name="_Toc103839289"/>
      <w:r w:rsidRPr="00327ABD">
        <w:lastRenderedPageBreak/>
        <w:t xml:space="preserve">Campaign and non-campaign advertising expenditure by departments and agencies – </w:t>
      </w:r>
      <w:bookmarkEnd w:id="11"/>
      <w:r w:rsidR="00E32851" w:rsidRPr="00327ABD">
        <w:t>2020–21</w:t>
      </w:r>
      <w:bookmarkEnd w:id="12"/>
    </w:p>
    <w:p w14:paraId="57DCE721" w14:textId="70B1904D" w:rsidR="00631086" w:rsidRPr="00327ABD" w:rsidRDefault="007358F6" w:rsidP="009F3105">
      <w:pPr>
        <w:pStyle w:val="DPCbody"/>
        <w:rPr>
          <w:bCs/>
          <w:iCs/>
        </w:rPr>
      </w:pPr>
      <w:r w:rsidRPr="00327ABD">
        <w:t xml:space="preserve">The chart below shows </w:t>
      </w:r>
      <w:r w:rsidR="00631086" w:rsidRPr="00327ABD">
        <w:t xml:space="preserve">Victorian Government expenditure by government departments and government agencies, for </w:t>
      </w:r>
      <w:r w:rsidRPr="00327ABD">
        <w:t xml:space="preserve">campaign and non-campaign advertising, as a percentage of total advertising expenditure for </w:t>
      </w:r>
      <w:r w:rsidR="00E32851" w:rsidRPr="00327ABD">
        <w:t>2020–21</w:t>
      </w:r>
      <w:r w:rsidR="00631086" w:rsidRPr="00327ABD">
        <w:t xml:space="preserve">. </w:t>
      </w:r>
    </w:p>
    <w:p w14:paraId="509BCC2E" w14:textId="378F49E3" w:rsidR="007358F6" w:rsidRPr="00327ABD" w:rsidRDefault="00A567A8" w:rsidP="009F3105">
      <w:pPr>
        <w:pStyle w:val="DPCbody"/>
        <w:rPr>
          <w:bCs/>
          <w:iCs/>
        </w:rPr>
      </w:pPr>
      <w:r w:rsidRPr="00327ABD">
        <w:t xml:space="preserve">In </w:t>
      </w:r>
      <w:r w:rsidR="00E32851" w:rsidRPr="00327ABD">
        <w:t>2020–21</w:t>
      </w:r>
      <w:r w:rsidR="00631086" w:rsidRPr="00327ABD">
        <w:t xml:space="preserve">, </w:t>
      </w:r>
      <w:r w:rsidR="009556EB" w:rsidRPr="00327ABD">
        <w:t xml:space="preserve">government departments (particularly the Department of Health, with COVID-19 public health campaigns) accounted for 59 per cent of total government advertising, while </w:t>
      </w:r>
      <w:r w:rsidR="00631086" w:rsidRPr="00327ABD">
        <w:t xml:space="preserve">government agencies (such as </w:t>
      </w:r>
      <w:r w:rsidR="009556EB" w:rsidRPr="00327ABD">
        <w:t xml:space="preserve">Visit Victoria, </w:t>
      </w:r>
      <w:r w:rsidR="00631086" w:rsidRPr="00327ABD">
        <w:t>WorkSafe Victoria and the Transport Accid</w:t>
      </w:r>
      <w:r w:rsidR="003373DB" w:rsidRPr="00327ABD">
        <w:t xml:space="preserve">ent Commission) accounted for </w:t>
      </w:r>
      <w:r w:rsidR="009556EB" w:rsidRPr="00327ABD">
        <w:t xml:space="preserve">the remaining 41 </w:t>
      </w:r>
      <w:r w:rsidR="00631086" w:rsidRPr="00327ABD">
        <w:t xml:space="preserve">per cent of </w:t>
      </w:r>
      <w:r w:rsidR="00A95428" w:rsidRPr="00327ABD">
        <w:t xml:space="preserve">total government advertising </w:t>
      </w:r>
      <w:r w:rsidR="00631086" w:rsidRPr="00327ABD">
        <w:t>expenditure.</w:t>
      </w:r>
    </w:p>
    <w:p w14:paraId="14BAAD56" w14:textId="77777777" w:rsidR="00794660" w:rsidRPr="00327ABD" w:rsidRDefault="00794660" w:rsidP="009F3105">
      <w:pPr>
        <w:pStyle w:val="DPCbody"/>
        <w:spacing w:after="240"/>
      </w:pPr>
    </w:p>
    <w:p w14:paraId="66A1802A" w14:textId="589872B7" w:rsidR="00892D37" w:rsidRPr="00327ABD" w:rsidRDefault="0070238A" w:rsidP="00752F0D">
      <w:pPr>
        <w:pStyle w:val="DPCbody"/>
        <w:spacing w:after="240"/>
      </w:pPr>
      <w:r w:rsidRPr="00327ABD">
        <w:rPr>
          <w:noProof/>
        </w:rPr>
        <w:drawing>
          <wp:inline distT="0" distB="0" distL="0" distR="0" wp14:anchorId="3885565F" wp14:editId="05FCC339">
            <wp:extent cx="6248400" cy="55626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14773" w:rsidRPr="00327ABD">
        <w:t>N</w:t>
      </w:r>
      <w:r w:rsidR="00892D37" w:rsidRPr="00327ABD">
        <w:t>ote: Non-campaign advertising comprises both functional and recruitment advertising</w:t>
      </w:r>
      <w:r w:rsidR="007D3538" w:rsidRPr="00327ABD">
        <w:t>.</w:t>
      </w:r>
    </w:p>
    <w:p w14:paraId="1D47A7F9" w14:textId="44F8639D" w:rsidR="00794660" w:rsidRPr="00327ABD" w:rsidRDefault="004F4871" w:rsidP="00DD7E93">
      <w:pPr>
        <w:pStyle w:val="Heading2"/>
        <w:keepLines w:val="0"/>
      </w:pPr>
      <w:bookmarkStart w:id="13" w:name="_Toc474140316"/>
      <w:bookmarkStart w:id="14" w:name="_Toc103839290"/>
      <w:r w:rsidRPr="00327ABD">
        <w:lastRenderedPageBreak/>
        <w:t xml:space="preserve">Top 10 advertisers by campaign expenditure – </w:t>
      </w:r>
      <w:bookmarkEnd w:id="13"/>
      <w:r w:rsidR="00E32851" w:rsidRPr="00327ABD">
        <w:t>2020–21</w:t>
      </w:r>
      <w:bookmarkEnd w:id="14"/>
    </w:p>
    <w:tbl>
      <w:tblPr>
        <w:tblStyle w:val="LightShading-Accent1"/>
        <w:tblW w:w="4824" w:type="pct"/>
        <w:tblBorders>
          <w:top w:val="none" w:sz="0" w:space="0" w:color="auto"/>
          <w:bottom w:val="none" w:sz="0" w:space="0" w:color="auto"/>
        </w:tblBorders>
        <w:tblLayout w:type="fixed"/>
        <w:tblLook w:val="0660" w:firstRow="1" w:lastRow="1" w:firstColumn="0" w:lastColumn="0" w:noHBand="1" w:noVBand="1"/>
      </w:tblPr>
      <w:tblGrid>
        <w:gridCol w:w="851"/>
        <w:gridCol w:w="1559"/>
        <w:gridCol w:w="4961"/>
        <w:gridCol w:w="1600"/>
      </w:tblGrid>
      <w:tr w:rsidR="00AA4ED3" w:rsidRPr="00327ABD" w14:paraId="5D5B7422" w14:textId="77777777" w:rsidTr="00AA4ED3">
        <w:trPr>
          <w:cnfStyle w:val="100000000000" w:firstRow="1" w:lastRow="0" w:firstColumn="0" w:lastColumn="0" w:oddVBand="0" w:evenVBand="0" w:oddHBand="0" w:evenHBand="0" w:firstRowFirstColumn="0" w:firstRowLastColumn="0" w:lastRowFirstColumn="0" w:lastRowLastColumn="0"/>
          <w:cantSplit/>
          <w:trHeight w:val="434"/>
        </w:trPr>
        <w:tc>
          <w:tcPr>
            <w:tcW w:w="474" w:type="pct"/>
          </w:tcPr>
          <w:p w14:paraId="1B93A1F1" w14:textId="77777777" w:rsidR="000A63B2" w:rsidRPr="00327ABD" w:rsidRDefault="000A63B2" w:rsidP="00AA4ED3">
            <w:pPr>
              <w:pStyle w:val="DPCtablecolhead"/>
              <w:jc w:val="both"/>
              <w:rPr>
                <w:b/>
                <w:sz w:val="24"/>
                <w:szCs w:val="24"/>
              </w:rPr>
            </w:pPr>
            <w:r w:rsidRPr="00327ABD">
              <w:rPr>
                <w:sz w:val="24"/>
                <w:szCs w:val="24"/>
              </w:rPr>
              <w:t>Rank</w:t>
            </w:r>
          </w:p>
        </w:tc>
        <w:tc>
          <w:tcPr>
            <w:tcW w:w="869" w:type="pct"/>
          </w:tcPr>
          <w:p w14:paraId="09B8639C" w14:textId="77777777" w:rsidR="000A63B2" w:rsidRPr="00327ABD" w:rsidRDefault="000A63B2" w:rsidP="00AA4ED3">
            <w:pPr>
              <w:pStyle w:val="DPCtablecolhead"/>
              <w:jc w:val="both"/>
              <w:rPr>
                <w:b/>
                <w:sz w:val="24"/>
                <w:szCs w:val="24"/>
              </w:rPr>
            </w:pPr>
            <w:r w:rsidRPr="00327ABD">
              <w:rPr>
                <w:sz w:val="24"/>
                <w:szCs w:val="24"/>
              </w:rPr>
              <w:t>Advertiser</w:t>
            </w:r>
          </w:p>
        </w:tc>
        <w:tc>
          <w:tcPr>
            <w:tcW w:w="2765" w:type="pct"/>
          </w:tcPr>
          <w:p w14:paraId="01D20EF9" w14:textId="77777777" w:rsidR="000A63B2" w:rsidRPr="00327ABD" w:rsidRDefault="000A63B2" w:rsidP="00AA4ED3">
            <w:pPr>
              <w:pStyle w:val="DPCtablecolhead"/>
              <w:jc w:val="both"/>
              <w:rPr>
                <w:b/>
                <w:sz w:val="24"/>
                <w:szCs w:val="24"/>
              </w:rPr>
            </w:pPr>
            <w:r w:rsidRPr="00327ABD">
              <w:rPr>
                <w:sz w:val="24"/>
                <w:szCs w:val="24"/>
              </w:rPr>
              <w:t>Example campaigns</w:t>
            </w:r>
          </w:p>
        </w:tc>
        <w:tc>
          <w:tcPr>
            <w:tcW w:w="892" w:type="pct"/>
          </w:tcPr>
          <w:p w14:paraId="72951BE1" w14:textId="77777777" w:rsidR="000A63B2" w:rsidRPr="00327ABD" w:rsidRDefault="000A63B2" w:rsidP="00AA4ED3">
            <w:pPr>
              <w:pStyle w:val="DPCtablecolhead"/>
              <w:jc w:val="both"/>
              <w:rPr>
                <w:b/>
                <w:sz w:val="24"/>
                <w:szCs w:val="24"/>
              </w:rPr>
            </w:pPr>
            <w:r w:rsidRPr="00327ABD">
              <w:rPr>
                <w:sz w:val="24"/>
                <w:szCs w:val="24"/>
              </w:rPr>
              <w:t xml:space="preserve">Expenditure </w:t>
            </w:r>
          </w:p>
        </w:tc>
      </w:tr>
      <w:tr w:rsidR="00AA4ED3" w:rsidRPr="00327ABD" w14:paraId="6E65A451" w14:textId="77777777" w:rsidTr="00AA4ED3">
        <w:trPr>
          <w:cantSplit/>
        </w:trPr>
        <w:tc>
          <w:tcPr>
            <w:tcW w:w="474" w:type="pct"/>
            <w:tcBorders>
              <w:top w:val="single" w:sz="8" w:space="0" w:color="0072CE" w:themeColor="accent1"/>
              <w:bottom w:val="single" w:sz="4" w:space="0" w:color="auto"/>
            </w:tcBorders>
          </w:tcPr>
          <w:p w14:paraId="331ACA85" w14:textId="4C5DA0C6" w:rsidR="00B72CC6" w:rsidRPr="00327ABD" w:rsidRDefault="00B72CC6" w:rsidP="00B72CC6">
            <w:pPr>
              <w:pStyle w:val="DPCtabletext"/>
            </w:pPr>
            <w:r w:rsidRPr="00327ABD">
              <w:t>1</w:t>
            </w:r>
          </w:p>
        </w:tc>
        <w:tc>
          <w:tcPr>
            <w:tcW w:w="869" w:type="pct"/>
            <w:tcBorders>
              <w:top w:val="single" w:sz="8" w:space="0" w:color="0072CE" w:themeColor="accent1"/>
              <w:bottom w:val="single" w:sz="4" w:space="0" w:color="auto"/>
            </w:tcBorders>
          </w:tcPr>
          <w:p w14:paraId="25D82669" w14:textId="4BFA983B" w:rsidR="00B72CC6" w:rsidRPr="00327ABD" w:rsidRDefault="00B72CC6" w:rsidP="00B72CC6">
            <w:pPr>
              <w:pStyle w:val="DPCtabletext"/>
            </w:pPr>
            <w:r w:rsidRPr="00327ABD">
              <w:t xml:space="preserve">Department of </w:t>
            </w:r>
            <w:r w:rsidR="00B80457" w:rsidRPr="00327ABD">
              <w:t>Health</w:t>
            </w:r>
          </w:p>
        </w:tc>
        <w:tc>
          <w:tcPr>
            <w:tcW w:w="2765" w:type="pct"/>
            <w:tcBorders>
              <w:top w:val="single" w:sz="8" w:space="0" w:color="0072CE" w:themeColor="accent1"/>
              <w:bottom w:val="single" w:sz="4" w:space="0" w:color="auto"/>
            </w:tcBorders>
          </w:tcPr>
          <w:p w14:paraId="704658AB" w14:textId="3D23A97F" w:rsidR="00B72CC6" w:rsidRPr="00327ABD" w:rsidRDefault="00D66FF3" w:rsidP="00B72CC6">
            <w:pPr>
              <w:pStyle w:val="DPCtabletext"/>
            </w:pPr>
            <w:r w:rsidRPr="00327ABD">
              <w:t xml:space="preserve">Various major COVID-19 health safety campaigns (COVID Testing, COVID Emergency advertising, Worker Support Payment campaign, Herogram – Wear a Mask), as well as seasonal health and safety campaigns such as Save 000 for Emergencies, Seasonal Influenza, Smile Squad and Survive the Heat in Summer. </w:t>
            </w:r>
          </w:p>
        </w:tc>
        <w:tc>
          <w:tcPr>
            <w:tcW w:w="892" w:type="pct"/>
            <w:tcBorders>
              <w:top w:val="single" w:sz="8" w:space="0" w:color="0072CE" w:themeColor="accent1"/>
              <w:bottom w:val="single" w:sz="4" w:space="0" w:color="auto"/>
            </w:tcBorders>
          </w:tcPr>
          <w:p w14:paraId="55C47FBF" w14:textId="1C2A4DDF" w:rsidR="00B72CC6" w:rsidRPr="00327ABD" w:rsidRDefault="00B80457" w:rsidP="002763E8">
            <w:pPr>
              <w:pStyle w:val="DPCtabletext"/>
              <w:jc w:val="right"/>
              <w:rPr>
                <w:rFonts w:cstheme="minorHAnsi"/>
                <w:szCs w:val="24"/>
              </w:rPr>
            </w:pPr>
            <w:r w:rsidRPr="00327ABD">
              <w:rPr>
                <w:rFonts w:cstheme="minorHAnsi"/>
                <w:szCs w:val="24"/>
              </w:rPr>
              <w:t>$45,547,393</w:t>
            </w:r>
          </w:p>
        </w:tc>
      </w:tr>
      <w:tr w:rsidR="00AA4ED3" w:rsidRPr="00327ABD" w14:paraId="54CEBFCE" w14:textId="77777777" w:rsidTr="00AA4ED3">
        <w:trPr>
          <w:cantSplit/>
        </w:trPr>
        <w:tc>
          <w:tcPr>
            <w:tcW w:w="474" w:type="pct"/>
            <w:tcBorders>
              <w:top w:val="single" w:sz="8" w:space="0" w:color="0072CE" w:themeColor="accent1"/>
              <w:bottom w:val="single" w:sz="4" w:space="0" w:color="auto"/>
            </w:tcBorders>
          </w:tcPr>
          <w:p w14:paraId="5D6CF497" w14:textId="1AA11C6D" w:rsidR="00B72CC6" w:rsidRPr="00327ABD" w:rsidRDefault="00B72CC6" w:rsidP="00B72CC6">
            <w:pPr>
              <w:pStyle w:val="DPCtabletext"/>
            </w:pPr>
            <w:r w:rsidRPr="00327ABD">
              <w:t>2</w:t>
            </w:r>
          </w:p>
        </w:tc>
        <w:tc>
          <w:tcPr>
            <w:tcW w:w="869" w:type="pct"/>
            <w:tcBorders>
              <w:top w:val="single" w:sz="8" w:space="0" w:color="0072CE" w:themeColor="accent1"/>
              <w:bottom w:val="single" w:sz="4" w:space="0" w:color="auto"/>
            </w:tcBorders>
          </w:tcPr>
          <w:p w14:paraId="37F01CBF" w14:textId="1DFA2A99" w:rsidR="00B72CC6" w:rsidRPr="00327ABD" w:rsidRDefault="004A4027" w:rsidP="00B72CC6">
            <w:pPr>
              <w:pStyle w:val="DPCtabletext"/>
            </w:pPr>
            <w:r w:rsidRPr="00327ABD">
              <w:t>Visit Victoria</w:t>
            </w:r>
          </w:p>
        </w:tc>
        <w:tc>
          <w:tcPr>
            <w:tcW w:w="2765" w:type="pct"/>
            <w:tcBorders>
              <w:top w:val="single" w:sz="8" w:space="0" w:color="0072CE" w:themeColor="accent1"/>
              <w:bottom w:val="single" w:sz="4" w:space="0" w:color="auto"/>
            </w:tcBorders>
          </w:tcPr>
          <w:p w14:paraId="118BA7B4" w14:textId="18F624DF" w:rsidR="00B72CC6" w:rsidRPr="00327ABD" w:rsidRDefault="00D66FF3" w:rsidP="00B72CC6">
            <w:pPr>
              <w:pStyle w:val="DPCtabletext"/>
            </w:pPr>
            <w:r w:rsidRPr="00327ABD">
              <w:t xml:space="preserve">Major campaigns to support the Victorian tourism sector to recover from the impact of COVID-19, including </w:t>
            </w:r>
            <w:r w:rsidR="002763E8" w:rsidRPr="00327ABD">
              <w:t xml:space="preserve">the </w:t>
            </w:r>
            <w:r w:rsidRPr="00327ABD">
              <w:t>‘Stay Close, Go Further’</w:t>
            </w:r>
            <w:r w:rsidR="002763E8" w:rsidRPr="00327ABD">
              <w:t>, ‘Click for Vic’, and ‘Visit Melbourne’ intrastate and interstate campaigns.</w:t>
            </w:r>
            <w:r w:rsidRPr="00327ABD">
              <w:t xml:space="preserve"> </w:t>
            </w:r>
          </w:p>
        </w:tc>
        <w:tc>
          <w:tcPr>
            <w:tcW w:w="892" w:type="pct"/>
            <w:tcBorders>
              <w:top w:val="single" w:sz="8" w:space="0" w:color="0072CE" w:themeColor="accent1"/>
              <w:bottom w:val="single" w:sz="4" w:space="0" w:color="auto"/>
            </w:tcBorders>
          </w:tcPr>
          <w:p w14:paraId="35AD4F7A" w14:textId="35F14AD7" w:rsidR="00B72CC6" w:rsidRPr="00327ABD" w:rsidRDefault="004A4027" w:rsidP="002763E8">
            <w:pPr>
              <w:pStyle w:val="DPCtabletext"/>
              <w:jc w:val="right"/>
              <w:rPr>
                <w:rFonts w:cstheme="minorHAnsi"/>
                <w:szCs w:val="24"/>
              </w:rPr>
            </w:pPr>
            <w:r w:rsidRPr="00327ABD">
              <w:rPr>
                <w:rFonts w:cstheme="minorHAnsi"/>
                <w:szCs w:val="24"/>
              </w:rPr>
              <w:t>$18,531,535</w:t>
            </w:r>
          </w:p>
        </w:tc>
      </w:tr>
      <w:tr w:rsidR="00AA4ED3" w:rsidRPr="00327ABD" w14:paraId="62393030" w14:textId="77777777" w:rsidTr="00AA4ED3">
        <w:trPr>
          <w:cantSplit/>
        </w:trPr>
        <w:tc>
          <w:tcPr>
            <w:tcW w:w="474" w:type="pct"/>
            <w:tcBorders>
              <w:top w:val="single" w:sz="8" w:space="0" w:color="0072CE" w:themeColor="accent1"/>
              <w:bottom w:val="single" w:sz="4" w:space="0" w:color="auto"/>
            </w:tcBorders>
          </w:tcPr>
          <w:p w14:paraId="3C01FB02" w14:textId="46FA7C1A" w:rsidR="005A4513" w:rsidRPr="00327ABD" w:rsidRDefault="005A4513" w:rsidP="005A4513">
            <w:pPr>
              <w:pStyle w:val="DPCtabletext"/>
            </w:pPr>
            <w:r w:rsidRPr="00327ABD">
              <w:t>3</w:t>
            </w:r>
          </w:p>
        </w:tc>
        <w:tc>
          <w:tcPr>
            <w:tcW w:w="869" w:type="pct"/>
            <w:tcBorders>
              <w:top w:val="single" w:sz="8" w:space="0" w:color="0072CE" w:themeColor="accent1"/>
              <w:bottom w:val="single" w:sz="4" w:space="0" w:color="auto"/>
            </w:tcBorders>
          </w:tcPr>
          <w:p w14:paraId="3307441C" w14:textId="5E22E87B" w:rsidR="005A4513" w:rsidRPr="00327ABD" w:rsidRDefault="00186D37" w:rsidP="005A4513">
            <w:pPr>
              <w:pStyle w:val="DPCtabletext"/>
            </w:pPr>
            <w:r w:rsidRPr="00327ABD">
              <w:t xml:space="preserve">Department of </w:t>
            </w:r>
            <w:r w:rsidR="00DE68AA" w:rsidRPr="00327ABD">
              <w:t>P</w:t>
            </w:r>
            <w:r w:rsidRPr="00327ABD">
              <w:t>remier and Cabinet</w:t>
            </w:r>
          </w:p>
        </w:tc>
        <w:tc>
          <w:tcPr>
            <w:tcW w:w="2765" w:type="pct"/>
            <w:tcBorders>
              <w:top w:val="single" w:sz="8" w:space="0" w:color="0072CE" w:themeColor="accent1"/>
              <w:bottom w:val="single" w:sz="4" w:space="0" w:color="auto"/>
            </w:tcBorders>
          </w:tcPr>
          <w:p w14:paraId="38CCAB7B" w14:textId="01AF78A8" w:rsidR="005A4513" w:rsidRPr="00327ABD" w:rsidRDefault="00DE68AA" w:rsidP="00DE68AA">
            <w:pPr>
              <w:pStyle w:val="DPCtabletext"/>
            </w:pPr>
            <w:r w:rsidRPr="00327ABD">
              <w:t>Two significant COVID-19 public health and safety campaigns, ‘Staying Apart Keeps Us Together’ and ‘Stay Safe, Stay Open’, and the 2020–21 Deadly &amp; Proud campaign, encourag</w:t>
            </w:r>
            <w:r w:rsidR="00383E9C" w:rsidRPr="00327ABD">
              <w:t xml:space="preserve">ing </w:t>
            </w:r>
            <w:r w:rsidRPr="00327ABD">
              <w:t>Victorians to feel pride in the state’s rich history and progress towards treaty.</w:t>
            </w:r>
            <w:r w:rsidRPr="00327ABD" w:rsidDel="004A4027">
              <w:t xml:space="preserve"> </w:t>
            </w:r>
          </w:p>
        </w:tc>
        <w:tc>
          <w:tcPr>
            <w:tcW w:w="892" w:type="pct"/>
            <w:tcBorders>
              <w:top w:val="single" w:sz="8" w:space="0" w:color="0072CE" w:themeColor="accent1"/>
              <w:bottom w:val="single" w:sz="4" w:space="0" w:color="auto"/>
            </w:tcBorders>
          </w:tcPr>
          <w:p w14:paraId="1EDB6833" w14:textId="7BB9B955" w:rsidR="005A4513" w:rsidRPr="00327ABD" w:rsidRDefault="00186D37" w:rsidP="002763E8">
            <w:pPr>
              <w:pStyle w:val="DPCtabletext"/>
              <w:jc w:val="right"/>
              <w:rPr>
                <w:rFonts w:cstheme="minorHAnsi"/>
                <w:szCs w:val="24"/>
              </w:rPr>
            </w:pPr>
            <w:r w:rsidRPr="00327ABD">
              <w:rPr>
                <w:rFonts w:cstheme="minorHAnsi"/>
                <w:szCs w:val="24"/>
              </w:rPr>
              <w:t>$15,209,438</w:t>
            </w:r>
          </w:p>
        </w:tc>
      </w:tr>
      <w:tr w:rsidR="00AA4ED3" w:rsidRPr="00327ABD" w14:paraId="3162CBC7" w14:textId="77777777" w:rsidTr="00AA4ED3">
        <w:trPr>
          <w:cantSplit/>
        </w:trPr>
        <w:tc>
          <w:tcPr>
            <w:tcW w:w="474" w:type="pct"/>
            <w:tcBorders>
              <w:top w:val="single" w:sz="8" w:space="0" w:color="0072CE" w:themeColor="accent1"/>
              <w:bottom w:val="single" w:sz="4" w:space="0" w:color="auto"/>
            </w:tcBorders>
          </w:tcPr>
          <w:p w14:paraId="7D5573D8" w14:textId="79209951" w:rsidR="005A4513" w:rsidRPr="00327ABD" w:rsidRDefault="005A4513" w:rsidP="005A4513">
            <w:pPr>
              <w:pStyle w:val="DPCtabletext"/>
            </w:pPr>
            <w:r w:rsidRPr="00327ABD">
              <w:t>4</w:t>
            </w:r>
          </w:p>
        </w:tc>
        <w:tc>
          <w:tcPr>
            <w:tcW w:w="869" w:type="pct"/>
            <w:tcBorders>
              <w:top w:val="single" w:sz="8" w:space="0" w:color="0072CE" w:themeColor="accent1"/>
              <w:bottom w:val="single" w:sz="4" w:space="0" w:color="auto"/>
            </w:tcBorders>
          </w:tcPr>
          <w:p w14:paraId="524A1B41" w14:textId="1F07E13A" w:rsidR="005A4513" w:rsidRPr="00327ABD" w:rsidDel="005A4513" w:rsidRDefault="00186D37" w:rsidP="005A4513">
            <w:pPr>
              <w:pStyle w:val="DPCtabletext"/>
            </w:pPr>
            <w:r w:rsidRPr="00327ABD">
              <w:t>Department of Transport</w:t>
            </w:r>
          </w:p>
        </w:tc>
        <w:tc>
          <w:tcPr>
            <w:tcW w:w="2765" w:type="pct"/>
            <w:tcBorders>
              <w:top w:val="single" w:sz="8" w:space="0" w:color="0072CE" w:themeColor="accent1"/>
              <w:bottom w:val="single" w:sz="4" w:space="0" w:color="auto"/>
            </w:tcBorders>
          </w:tcPr>
          <w:p w14:paraId="62DA0DF5" w14:textId="77777777" w:rsidR="003928C7" w:rsidRPr="00327ABD" w:rsidRDefault="00383E9C" w:rsidP="003928C7">
            <w:pPr>
              <w:pStyle w:val="DPCtabletext"/>
            </w:pPr>
            <w:r w:rsidRPr="00327ABD">
              <w:t xml:space="preserve">Various campaigns under the Victoria’s Big Build brand, informing the travelling community about disruptions associated with major transport infrastructure projects, such as The Metro Tunnel, Regional Rail Revival, Level Crossing Removal Project, North East Link Project and the West Gate Tunnel Project. </w:t>
            </w:r>
          </w:p>
          <w:p w14:paraId="00047B23" w14:textId="0C581E8D" w:rsidR="005A4513" w:rsidRPr="00327ABD" w:rsidDel="005A4513" w:rsidRDefault="00383E9C" w:rsidP="003928C7">
            <w:pPr>
              <w:pStyle w:val="DPCtabletext"/>
            </w:pPr>
            <w:r w:rsidRPr="00327ABD">
              <w:t xml:space="preserve">Also included campaigns welcoming Victorians back to public transport, promoting safety on the public transport network, and </w:t>
            </w:r>
            <w:r w:rsidR="003928C7" w:rsidRPr="00327ABD">
              <w:t xml:space="preserve">promoting the range of driver registration and licensing services that can be completed online. </w:t>
            </w:r>
            <w:r w:rsidR="003928C7" w:rsidRPr="00327ABD" w:rsidDel="004A4027">
              <w:t xml:space="preserve"> </w:t>
            </w:r>
          </w:p>
        </w:tc>
        <w:tc>
          <w:tcPr>
            <w:tcW w:w="892" w:type="pct"/>
            <w:tcBorders>
              <w:top w:val="single" w:sz="8" w:space="0" w:color="0072CE" w:themeColor="accent1"/>
              <w:bottom w:val="single" w:sz="4" w:space="0" w:color="auto"/>
            </w:tcBorders>
          </w:tcPr>
          <w:p w14:paraId="20EAAE07" w14:textId="2B98CEB5" w:rsidR="00383E9C" w:rsidRPr="00327ABD" w:rsidRDefault="00186D37">
            <w:pPr>
              <w:jc w:val="right"/>
              <w:rPr>
                <w:rFonts w:asciiTheme="minorHAnsi" w:hAnsiTheme="minorHAnsi" w:cstheme="minorHAnsi"/>
                <w:color w:val="000000" w:themeColor="text1"/>
                <w:sz w:val="24"/>
                <w:szCs w:val="24"/>
              </w:rPr>
            </w:pPr>
            <w:r w:rsidRPr="00327ABD">
              <w:rPr>
                <w:rFonts w:asciiTheme="minorHAnsi" w:hAnsiTheme="minorHAnsi" w:cstheme="minorHAnsi"/>
                <w:color w:val="000000" w:themeColor="text1"/>
                <w:sz w:val="24"/>
                <w:szCs w:val="24"/>
              </w:rPr>
              <w:t>$</w:t>
            </w:r>
            <w:r w:rsidR="00383E9C" w:rsidRPr="00327ABD">
              <w:rPr>
                <w:rFonts w:asciiTheme="minorHAnsi" w:hAnsiTheme="minorHAnsi" w:cstheme="minorHAnsi"/>
                <w:color w:val="000000" w:themeColor="text1"/>
                <w:sz w:val="24"/>
                <w:szCs w:val="24"/>
              </w:rPr>
              <w:t xml:space="preserve">9,568,043 </w:t>
            </w:r>
          </w:p>
          <w:p w14:paraId="46F49E1E" w14:textId="203EB42C" w:rsidR="005A4513" w:rsidRPr="00327ABD" w:rsidDel="005A4513" w:rsidRDefault="005A4513" w:rsidP="00E541D4">
            <w:pPr>
              <w:jc w:val="right"/>
              <w:rPr>
                <w:rFonts w:cstheme="minorHAnsi"/>
                <w:szCs w:val="24"/>
              </w:rPr>
            </w:pPr>
          </w:p>
        </w:tc>
      </w:tr>
      <w:tr w:rsidR="00AA4ED3" w:rsidRPr="00327ABD" w14:paraId="0C19CB9C" w14:textId="77777777" w:rsidTr="00AA4ED3">
        <w:trPr>
          <w:cantSplit/>
        </w:trPr>
        <w:tc>
          <w:tcPr>
            <w:tcW w:w="474" w:type="pct"/>
            <w:tcBorders>
              <w:top w:val="single" w:sz="8" w:space="0" w:color="0072CE" w:themeColor="accent1"/>
              <w:bottom w:val="single" w:sz="4" w:space="0" w:color="auto"/>
            </w:tcBorders>
          </w:tcPr>
          <w:p w14:paraId="16EA09E1" w14:textId="54A4D372" w:rsidR="005A4513" w:rsidRPr="00327ABD" w:rsidRDefault="005A4513" w:rsidP="005A4513">
            <w:pPr>
              <w:pStyle w:val="DPCtabletext"/>
            </w:pPr>
            <w:r w:rsidRPr="00327ABD">
              <w:t>5</w:t>
            </w:r>
          </w:p>
        </w:tc>
        <w:tc>
          <w:tcPr>
            <w:tcW w:w="869" w:type="pct"/>
            <w:tcBorders>
              <w:top w:val="single" w:sz="8" w:space="0" w:color="0072CE" w:themeColor="accent1"/>
              <w:bottom w:val="single" w:sz="4" w:space="0" w:color="auto"/>
            </w:tcBorders>
          </w:tcPr>
          <w:p w14:paraId="2B89BE9A" w14:textId="2092BB3A" w:rsidR="005A4513" w:rsidRPr="00327ABD" w:rsidDel="005A4513" w:rsidRDefault="00186D37" w:rsidP="005A4513">
            <w:pPr>
              <w:pStyle w:val="DPCtabletext"/>
            </w:pPr>
            <w:r w:rsidRPr="00327ABD">
              <w:t>Department of Education and Training</w:t>
            </w:r>
          </w:p>
        </w:tc>
        <w:tc>
          <w:tcPr>
            <w:tcW w:w="2765" w:type="pct"/>
            <w:tcBorders>
              <w:top w:val="single" w:sz="8" w:space="0" w:color="0072CE" w:themeColor="accent1"/>
              <w:bottom w:val="single" w:sz="4" w:space="0" w:color="auto"/>
            </w:tcBorders>
          </w:tcPr>
          <w:p w14:paraId="5E61E6D2" w14:textId="5CEE158E" w:rsidR="005A4513" w:rsidRPr="00327ABD" w:rsidDel="005A4513" w:rsidRDefault="007D55DF" w:rsidP="00746EA5">
            <w:pPr>
              <w:pStyle w:val="DPCtabletext"/>
            </w:pPr>
            <w:r w:rsidRPr="00327ABD">
              <w:t>Recruitment campaigns to attract teachers to the early childhood and primary and secondary school sectors</w:t>
            </w:r>
            <w:r w:rsidR="00746EA5" w:rsidRPr="00327ABD">
              <w:t xml:space="preserve">. Campaigns also </w:t>
            </w:r>
            <w:r w:rsidRPr="00327ABD">
              <w:t>promote</w:t>
            </w:r>
            <w:r w:rsidR="00746EA5" w:rsidRPr="00327ABD">
              <w:t>d</w:t>
            </w:r>
            <w:r w:rsidRPr="00327ABD">
              <w:t xml:space="preserve"> the Free Kinder and Kinder Tick programs, Free TAFE courses, </w:t>
            </w:r>
            <w:r w:rsidR="00746EA5" w:rsidRPr="00327ABD">
              <w:t xml:space="preserve">and the Boosting Apprenticeships, Learn Local and Active Schools ‘Get Your Move On’ programs. </w:t>
            </w:r>
          </w:p>
        </w:tc>
        <w:tc>
          <w:tcPr>
            <w:tcW w:w="892" w:type="pct"/>
            <w:tcBorders>
              <w:top w:val="single" w:sz="8" w:space="0" w:color="0072CE" w:themeColor="accent1"/>
              <w:bottom w:val="single" w:sz="4" w:space="0" w:color="auto"/>
            </w:tcBorders>
          </w:tcPr>
          <w:p w14:paraId="6CE0EE10" w14:textId="73BB0903" w:rsidR="005A4513" w:rsidRPr="00327ABD" w:rsidDel="005A4513" w:rsidRDefault="00186D37" w:rsidP="00E541D4">
            <w:pPr>
              <w:jc w:val="right"/>
              <w:rPr>
                <w:rFonts w:cstheme="minorHAnsi"/>
                <w:szCs w:val="24"/>
              </w:rPr>
            </w:pPr>
            <w:r w:rsidRPr="00327ABD">
              <w:rPr>
                <w:rFonts w:asciiTheme="minorHAnsi" w:hAnsiTheme="minorHAnsi" w:cstheme="minorHAnsi"/>
                <w:color w:val="000000" w:themeColor="text1"/>
                <w:sz w:val="24"/>
                <w:szCs w:val="24"/>
              </w:rPr>
              <w:t>$8,086,854</w:t>
            </w:r>
          </w:p>
        </w:tc>
      </w:tr>
      <w:tr w:rsidR="00AA4ED3" w:rsidRPr="00327ABD" w14:paraId="6DBA5785" w14:textId="77777777" w:rsidTr="00AA4ED3">
        <w:trPr>
          <w:cantSplit/>
        </w:trPr>
        <w:tc>
          <w:tcPr>
            <w:tcW w:w="474" w:type="pct"/>
            <w:tcBorders>
              <w:top w:val="single" w:sz="8" w:space="0" w:color="0072CE" w:themeColor="accent1"/>
              <w:bottom w:val="single" w:sz="4" w:space="0" w:color="auto"/>
            </w:tcBorders>
          </w:tcPr>
          <w:p w14:paraId="72096C1E" w14:textId="20BC86D3" w:rsidR="00945991" w:rsidRPr="00327ABD" w:rsidRDefault="00945991" w:rsidP="00945991">
            <w:pPr>
              <w:pStyle w:val="DPCtabletext"/>
            </w:pPr>
            <w:r w:rsidRPr="00327ABD">
              <w:lastRenderedPageBreak/>
              <w:t>6</w:t>
            </w:r>
          </w:p>
        </w:tc>
        <w:tc>
          <w:tcPr>
            <w:tcW w:w="869" w:type="pct"/>
            <w:tcBorders>
              <w:top w:val="single" w:sz="8" w:space="0" w:color="0072CE" w:themeColor="accent1"/>
              <w:bottom w:val="single" w:sz="4" w:space="0" w:color="auto"/>
            </w:tcBorders>
          </w:tcPr>
          <w:p w14:paraId="6E85A179" w14:textId="662D7D08" w:rsidR="00945991" w:rsidRPr="00327ABD" w:rsidDel="005A4513" w:rsidRDefault="00186D37" w:rsidP="00945991">
            <w:pPr>
              <w:pStyle w:val="DPCtabletext"/>
            </w:pPr>
            <w:r w:rsidRPr="00327ABD">
              <w:t>Department of Justice and Community Safety</w:t>
            </w:r>
          </w:p>
        </w:tc>
        <w:tc>
          <w:tcPr>
            <w:tcW w:w="2765" w:type="pct"/>
            <w:tcBorders>
              <w:top w:val="single" w:sz="8" w:space="0" w:color="0072CE" w:themeColor="accent1"/>
              <w:bottom w:val="single" w:sz="4" w:space="0" w:color="auto"/>
            </w:tcBorders>
          </w:tcPr>
          <w:p w14:paraId="1790926D" w14:textId="19731663" w:rsidR="00945991" w:rsidRPr="00327ABD" w:rsidDel="005A4513" w:rsidRDefault="00E01BE7" w:rsidP="00E01BE7">
            <w:pPr>
              <w:pStyle w:val="DPCtabletext"/>
            </w:pPr>
            <w:r w:rsidRPr="00327ABD">
              <w:t xml:space="preserve">Includes two major seasonal campaigns to improve community understanding of fire and fire risk, and increase water safety and reduce drowning incidents. Also includes campaigns to inform the community of the commencement of Fire Rescue Victoria, and inform renters and landlords about changes to renting laws. </w:t>
            </w:r>
            <w:r w:rsidRPr="00327ABD" w:rsidDel="004A4027">
              <w:t xml:space="preserve"> </w:t>
            </w:r>
          </w:p>
        </w:tc>
        <w:tc>
          <w:tcPr>
            <w:tcW w:w="892" w:type="pct"/>
            <w:tcBorders>
              <w:top w:val="single" w:sz="8" w:space="0" w:color="0072CE" w:themeColor="accent1"/>
              <w:bottom w:val="single" w:sz="4" w:space="0" w:color="auto"/>
            </w:tcBorders>
          </w:tcPr>
          <w:p w14:paraId="204E0FA1" w14:textId="36D9AE7D" w:rsidR="00945991" w:rsidRPr="00327ABD" w:rsidDel="005A4513" w:rsidRDefault="00186D37" w:rsidP="00E541D4">
            <w:pPr>
              <w:jc w:val="right"/>
              <w:rPr>
                <w:rFonts w:cstheme="minorHAnsi"/>
                <w:szCs w:val="24"/>
              </w:rPr>
            </w:pPr>
            <w:r w:rsidRPr="00327ABD">
              <w:rPr>
                <w:rFonts w:asciiTheme="minorHAnsi" w:hAnsiTheme="minorHAnsi" w:cstheme="minorHAnsi"/>
                <w:color w:val="000000" w:themeColor="text1"/>
                <w:sz w:val="24"/>
                <w:szCs w:val="24"/>
              </w:rPr>
              <w:t>$6,931,601</w:t>
            </w:r>
          </w:p>
        </w:tc>
      </w:tr>
      <w:tr w:rsidR="00AA4ED3" w:rsidRPr="00327ABD" w14:paraId="030E7A91" w14:textId="77777777" w:rsidTr="00AA4ED3">
        <w:trPr>
          <w:cantSplit/>
        </w:trPr>
        <w:tc>
          <w:tcPr>
            <w:tcW w:w="474" w:type="pct"/>
            <w:tcBorders>
              <w:top w:val="single" w:sz="8" w:space="0" w:color="0072CE" w:themeColor="accent1"/>
              <w:bottom w:val="single" w:sz="4" w:space="0" w:color="auto"/>
            </w:tcBorders>
          </w:tcPr>
          <w:p w14:paraId="25EC00F4" w14:textId="5D80D14F" w:rsidR="00945991" w:rsidRPr="00327ABD" w:rsidRDefault="00945991" w:rsidP="00945991">
            <w:pPr>
              <w:pStyle w:val="DPCtabletext"/>
            </w:pPr>
            <w:r w:rsidRPr="00327ABD">
              <w:t>7</w:t>
            </w:r>
          </w:p>
        </w:tc>
        <w:tc>
          <w:tcPr>
            <w:tcW w:w="869" w:type="pct"/>
            <w:tcBorders>
              <w:top w:val="single" w:sz="8" w:space="0" w:color="0072CE" w:themeColor="accent1"/>
              <w:bottom w:val="single" w:sz="4" w:space="0" w:color="auto"/>
            </w:tcBorders>
          </w:tcPr>
          <w:p w14:paraId="69ED53C6" w14:textId="5807CACC" w:rsidR="00945991" w:rsidRPr="00327ABD" w:rsidDel="005A4513" w:rsidRDefault="00186D37" w:rsidP="00945991">
            <w:pPr>
              <w:pStyle w:val="DPCtabletext"/>
            </w:pPr>
            <w:r w:rsidRPr="00327ABD">
              <w:t>WorkSafe Victoria</w:t>
            </w:r>
          </w:p>
        </w:tc>
        <w:tc>
          <w:tcPr>
            <w:tcW w:w="2765" w:type="pct"/>
            <w:tcBorders>
              <w:top w:val="single" w:sz="8" w:space="0" w:color="0072CE" w:themeColor="accent1"/>
              <w:bottom w:val="single" w:sz="4" w:space="0" w:color="auto"/>
            </w:tcBorders>
          </w:tcPr>
          <w:p w14:paraId="50B3C98A" w14:textId="3DFBE8B3" w:rsidR="00945991" w:rsidRPr="00327ABD" w:rsidDel="005A4513" w:rsidRDefault="00A625A9" w:rsidP="00A625A9">
            <w:pPr>
              <w:pStyle w:val="DPCtabletext"/>
            </w:pPr>
            <w:r w:rsidRPr="00327ABD">
              <w:t>Various campaigns to improve workplace safety in Victoria, including campaigns to: raise community awareness of work-related violence, including in the healthcare sector; prevent deaths and injuries on farms; inform culturally and linguistically diverse and young workers</w:t>
            </w:r>
            <w:r w:rsidRPr="00327ABD" w:rsidDel="004A4027">
              <w:t xml:space="preserve"> </w:t>
            </w:r>
            <w:r w:rsidRPr="00327ABD">
              <w:t xml:space="preserve">of their rights; improve the ‘return to work’ journey for injured workers; and raise employer awareness of Workplace Manslaughter laws.  </w:t>
            </w:r>
          </w:p>
        </w:tc>
        <w:tc>
          <w:tcPr>
            <w:tcW w:w="892" w:type="pct"/>
            <w:tcBorders>
              <w:top w:val="single" w:sz="8" w:space="0" w:color="0072CE" w:themeColor="accent1"/>
              <w:bottom w:val="single" w:sz="4" w:space="0" w:color="auto"/>
            </w:tcBorders>
          </w:tcPr>
          <w:p w14:paraId="1C47A194" w14:textId="171452A3" w:rsidR="00945991" w:rsidRPr="00327ABD" w:rsidDel="005A4513" w:rsidRDefault="00186D37" w:rsidP="00E541D4">
            <w:pPr>
              <w:jc w:val="right"/>
              <w:rPr>
                <w:rFonts w:cstheme="minorHAnsi"/>
                <w:szCs w:val="24"/>
              </w:rPr>
            </w:pPr>
            <w:r w:rsidRPr="00327ABD">
              <w:rPr>
                <w:rFonts w:asciiTheme="minorHAnsi" w:hAnsiTheme="minorHAnsi" w:cstheme="minorHAnsi"/>
                <w:color w:val="000000" w:themeColor="text1"/>
                <w:sz w:val="24"/>
                <w:szCs w:val="24"/>
              </w:rPr>
              <w:t>$5,769,624</w:t>
            </w:r>
          </w:p>
        </w:tc>
      </w:tr>
      <w:tr w:rsidR="00AA4ED3" w:rsidRPr="00327ABD" w14:paraId="012C355F" w14:textId="77777777" w:rsidTr="00AA4ED3">
        <w:trPr>
          <w:cantSplit/>
        </w:trPr>
        <w:tc>
          <w:tcPr>
            <w:tcW w:w="474" w:type="pct"/>
            <w:tcBorders>
              <w:top w:val="single" w:sz="8" w:space="0" w:color="0072CE" w:themeColor="accent1"/>
              <w:bottom w:val="single" w:sz="4" w:space="0" w:color="auto"/>
            </w:tcBorders>
          </w:tcPr>
          <w:p w14:paraId="59DB082E" w14:textId="180837A9" w:rsidR="00945991" w:rsidRPr="00327ABD" w:rsidRDefault="00945991" w:rsidP="00945991">
            <w:pPr>
              <w:pStyle w:val="DPCtabletext"/>
            </w:pPr>
            <w:r w:rsidRPr="00327ABD">
              <w:t>8</w:t>
            </w:r>
          </w:p>
        </w:tc>
        <w:tc>
          <w:tcPr>
            <w:tcW w:w="869" w:type="pct"/>
            <w:tcBorders>
              <w:top w:val="single" w:sz="8" w:space="0" w:color="0072CE" w:themeColor="accent1"/>
              <w:bottom w:val="single" w:sz="4" w:space="0" w:color="auto"/>
            </w:tcBorders>
          </w:tcPr>
          <w:p w14:paraId="42D5A6ED" w14:textId="48F08DD1" w:rsidR="00945991" w:rsidRPr="00327ABD" w:rsidDel="005A4513" w:rsidRDefault="00186D37" w:rsidP="00945991">
            <w:pPr>
              <w:pStyle w:val="DPCtabletext"/>
            </w:pPr>
            <w:r w:rsidRPr="00327ABD">
              <w:t>Transport Accident Commission (TAC)</w:t>
            </w:r>
          </w:p>
        </w:tc>
        <w:tc>
          <w:tcPr>
            <w:tcW w:w="2765" w:type="pct"/>
            <w:tcBorders>
              <w:top w:val="single" w:sz="8" w:space="0" w:color="0072CE" w:themeColor="accent1"/>
              <w:bottom w:val="single" w:sz="4" w:space="0" w:color="auto"/>
            </w:tcBorders>
          </w:tcPr>
          <w:p w14:paraId="1971A040" w14:textId="38F4AD2F" w:rsidR="00945991" w:rsidRPr="00327ABD" w:rsidDel="005A4513" w:rsidRDefault="004F76A0" w:rsidP="00945991">
            <w:pPr>
              <w:pStyle w:val="DPCtabletext"/>
            </w:pPr>
            <w:r w:rsidRPr="00327ABD">
              <w:t xml:space="preserve">Mass-media holiday road safety enforcement campaign, ‘The lucky ones get caught’, which ran over the summer 2020–21 and Easter holiday periods. TAC also undertook dedicated campaigns promoting seatbelt wearing, the dangers of driving while distracted by mobile phones, road safety for cyclists, and the importance of night-time driving practice for learner drivers. </w:t>
            </w:r>
          </w:p>
        </w:tc>
        <w:tc>
          <w:tcPr>
            <w:tcW w:w="892" w:type="pct"/>
            <w:tcBorders>
              <w:top w:val="single" w:sz="8" w:space="0" w:color="0072CE" w:themeColor="accent1"/>
              <w:bottom w:val="single" w:sz="4" w:space="0" w:color="auto"/>
            </w:tcBorders>
          </w:tcPr>
          <w:p w14:paraId="371D7C09" w14:textId="5513804C" w:rsidR="00945991" w:rsidRPr="00327ABD" w:rsidDel="005A4513" w:rsidRDefault="00186D37" w:rsidP="00E541D4">
            <w:pPr>
              <w:jc w:val="right"/>
              <w:rPr>
                <w:rFonts w:cstheme="minorHAnsi"/>
                <w:szCs w:val="24"/>
              </w:rPr>
            </w:pPr>
            <w:r w:rsidRPr="00327ABD">
              <w:rPr>
                <w:rFonts w:asciiTheme="minorHAnsi" w:hAnsiTheme="minorHAnsi" w:cstheme="minorHAnsi"/>
                <w:color w:val="000000" w:themeColor="text1"/>
                <w:sz w:val="24"/>
                <w:szCs w:val="24"/>
              </w:rPr>
              <w:t>$3,904,772</w:t>
            </w:r>
          </w:p>
        </w:tc>
      </w:tr>
      <w:tr w:rsidR="00AA4ED3" w:rsidRPr="00327ABD" w14:paraId="489A71B7" w14:textId="77777777" w:rsidTr="00AA4ED3">
        <w:trPr>
          <w:cantSplit/>
        </w:trPr>
        <w:tc>
          <w:tcPr>
            <w:tcW w:w="474" w:type="pct"/>
            <w:tcBorders>
              <w:top w:val="single" w:sz="8" w:space="0" w:color="0072CE" w:themeColor="accent1"/>
              <w:bottom w:val="single" w:sz="4" w:space="0" w:color="auto"/>
            </w:tcBorders>
          </w:tcPr>
          <w:p w14:paraId="7C69491E" w14:textId="68094861" w:rsidR="00B16AB0" w:rsidRPr="00327ABD" w:rsidRDefault="00B16AB0" w:rsidP="00B16AB0">
            <w:pPr>
              <w:pStyle w:val="DPCtabletext"/>
            </w:pPr>
            <w:r w:rsidRPr="00327ABD">
              <w:t>9</w:t>
            </w:r>
          </w:p>
        </w:tc>
        <w:tc>
          <w:tcPr>
            <w:tcW w:w="869" w:type="pct"/>
            <w:tcBorders>
              <w:top w:val="single" w:sz="8" w:space="0" w:color="0072CE" w:themeColor="accent1"/>
              <w:bottom w:val="single" w:sz="4" w:space="0" w:color="auto"/>
            </w:tcBorders>
          </w:tcPr>
          <w:p w14:paraId="6E26FD6E" w14:textId="40DD5304" w:rsidR="00B16AB0" w:rsidRPr="00327ABD" w:rsidDel="005A4513" w:rsidRDefault="00186D37" w:rsidP="00B16AB0">
            <w:pPr>
              <w:pStyle w:val="DPCtabletext"/>
            </w:pPr>
            <w:r w:rsidRPr="00327ABD">
              <w:t>Victoria Police</w:t>
            </w:r>
          </w:p>
        </w:tc>
        <w:tc>
          <w:tcPr>
            <w:tcW w:w="2765" w:type="pct"/>
            <w:tcBorders>
              <w:top w:val="single" w:sz="8" w:space="0" w:color="0072CE" w:themeColor="accent1"/>
              <w:bottom w:val="single" w:sz="4" w:space="0" w:color="auto"/>
            </w:tcBorders>
          </w:tcPr>
          <w:p w14:paraId="68D556C6" w14:textId="76B180CA" w:rsidR="00B16AB0" w:rsidRPr="00327ABD" w:rsidDel="005A4513" w:rsidRDefault="00C4340D" w:rsidP="00C4340D">
            <w:pPr>
              <w:pStyle w:val="DPCtabletext"/>
            </w:pPr>
            <w:r w:rsidRPr="00327ABD">
              <w:t>Recurring ‘Be a Force for Good’ campaign, to recruit new police officers.</w:t>
            </w:r>
          </w:p>
        </w:tc>
        <w:tc>
          <w:tcPr>
            <w:tcW w:w="892" w:type="pct"/>
            <w:tcBorders>
              <w:top w:val="single" w:sz="8" w:space="0" w:color="0072CE" w:themeColor="accent1"/>
              <w:bottom w:val="single" w:sz="4" w:space="0" w:color="auto"/>
            </w:tcBorders>
          </w:tcPr>
          <w:p w14:paraId="5B6EE6D5" w14:textId="619D5D10" w:rsidR="00B16AB0" w:rsidRPr="00327ABD" w:rsidDel="005A4513" w:rsidRDefault="00186D37" w:rsidP="00E541D4">
            <w:pPr>
              <w:jc w:val="right"/>
              <w:rPr>
                <w:rFonts w:cstheme="minorHAnsi"/>
                <w:szCs w:val="24"/>
              </w:rPr>
            </w:pPr>
            <w:r w:rsidRPr="00327ABD">
              <w:rPr>
                <w:rFonts w:asciiTheme="minorHAnsi" w:hAnsiTheme="minorHAnsi" w:cstheme="minorHAnsi"/>
                <w:color w:val="000000" w:themeColor="text1"/>
                <w:sz w:val="24"/>
                <w:szCs w:val="24"/>
              </w:rPr>
              <w:t>$2,846,409</w:t>
            </w:r>
          </w:p>
        </w:tc>
      </w:tr>
      <w:tr w:rsidR="00AA4ED3" w:rsidRPr="00327ABD" w14:paraId="753E7165" w14:textId="77777777" w:rsidTr="00AA4ED3">
        <w:trPr>
          <w:cnfStyle w:val="010000000000" w:firstRow="0" w:lastRow="1" w:firstColumn="0" w:lastColumn="0" w:oddVBand="0" w:evenVBand="0" w:oddHBand="0" w:evenHBand="0" w:firstRowFirstColumn="0" w:firstRowLastColumn="0" w:lastRowFirstColumn="0" w:lastRowLastColumn="0"/>
          <w:cantSplit/>
        </w:trPr>
        <w:tc>
          <w:tcPr>
            <w:tcW w:w="474" w:type="pct"/>
            <w:tcBorders>
              <w:bottom w:val="single" w:sz="4" w:space="0" w:color="auto"/>
            </w:tcBorders>
          </w:tcPr>
          <w:p w14:paraId="5A77283F" w14:textId="19150849" w:rsidR="00B16AB0" w:rsidRPr="00327ABD" w:rsidRDefault="00B16AB0" w:rsidP="00B16AB0">
            <w:pPr>
              <w:pStyle w:val="DPCtabletext"/>
              <w:rPr>
                <w:b w:val="0"/>
                <w:bCs w:val="0"/>
              </w:rPr>
            </w:pPr>
            <w:r w:rsidRPr="00327ABD">
              <w:rPr>
                <w:b w:val="0"/>
                <w:bCs w:val="0"/>
              </w:rPr>
              <w:t>10</w:t>
            </w:r>
          </w:p>
        </w:tc>
        <w:tc>
          <w:tcPr>
            <w:tcW w:w="869" w:type="pct"/>
            <w:tcBorders>
              <w:bottom w:val="single" w:sz="4" w:space="0" w:color="auto"/>
            </w:tcBorders>
          </w:tcPr>
          <w:p w14:paraId="284FE77C" w14:textId="6D0825DF" w:rsidR="00B16AB0" w:rsidRPr="00327ABD" w:rsidDel="005A4513" w:rsidRDefault="00186D37" w:rsidP="00B16AB0">
            <w:pPr>
              <w:pStyle w:val="DPCtabletext"/>
              <w:rPr>
                <w:b w:val="0"/>
                <w:bCs w:val="0"/>
              </w:rPr>
            </w:pPr>
            <w:r w:rsidRPr="00327ABD">
              <w:rPr>
                <w:b w:val="0"/>
                <w:bCs w:val="0"/>
              </w:rPr>
              <w:t>Victoria Responsible Gambling Foundation</w:t>
            </w:r>
          </w:p>
        </w:tc>
        <w:tc>
          <w:tcPr>
            <w:tcW w:w="2765" w:type="pct"/>
            <w:tcBorders>
              <w:bottom w:val="single" w:sz="4" w:space="0" w:color="auto"/>
            </w:tcBorders>
          </w:tcPr>
          <w:p w14:paraId="1C70376C" w14:textId="1664F45B" w:rsidR="00B16AB0" w:rsidRPr="00327ABD" w:rsidDel="005A4513" w:rsidRDefault="00817382" w:rsidP="00B16AB0">
            <w:pPr>
              <w:pStyle w:val="DPCtabletext"/>
              <w:rPr>
                <w:b w:val="0"/>
                <w:bCs w:val="0"/>
              </w:rPr>
            </w:pPr>
            <w:r w:rsidRPr="00327ABD">
              <w:rPr>
                <w:b w:val="0"/>
                <w:bCs w:val="0"/>
              </w:rPr>
              <w:t xml:space="preserve">Campaigns to prevent and reduce gambling harm in the community, including Early Intervention campaigns, convenience advertising at gambling venues, and campaigns to promote Gambling Awareness Week and Gamblers help support services. </w:t>
            </w:r>
          </w:p>
        </w:tc>
        <w:tc>
          <w:tcPr>
            <w:tcW w:w="892" w:type="pct"/>
            <w:tcBorders>
              <w:bottom w:val="single" w:sz="4" w:space="0" w:color="auto"/>
            </w:tcBorders>
          </w:tcPr>
          <w:p w14:paraId="180AE6A1" w14:textId="08C989D2" w:rsidR="00B16AB0" w:rsidRPr="00327ABD" w:rsidDel="005A4513" w:rsidRDefault="00186D37" w:rsidP="00E541D4">
            <w:pPr>
              <w:jc w:val="right"/>
              <w:rPr>
                <w:rFonts w:cstheme="minorHAnsi"/>
                <w:b w:val="0"/>
                <w:bCs w:val="0"/>
                <w:szCs w:val="24"/>
              </w:rPr>
            </w:pPr>
            <w:r w:rsidRPr="00327ABD">
              <w:rPr>
                <w:rFonts w:asciiTheme="minorHAnsi" w:hAnsiTheme="minorHAnsi" w:cstheme="minorHAnsi"/>
                <w:b w:val="0"/>
                <w:bCs w:val="0"/>
                <w:color w:val="000000" w:themeColor="text1"/>
                <w:sz w:val="24"/>
                <w:szCs w:val="24"/>
              </w:rPr>
              <w:t>$2,138,565</w:t>
            </w:r>
          </w:p>
        </w:tc>
      </w:tr>
    </w:tbl>
    <w:p w14:paraId="1C21C8B7" w14:textId="36B8F303" w:rsidR="00E76839" w:rsidRPr="00327ABD" w:rsidRDefault="00BD7747" w:rsidP="0019676C">
      <w:pPr>
        <w:pStyle w:val="DPCbodyaftertablefigure"/>
        <w:rPr>
          <w:sz w:val="20"/>
          <w:szCs w:val="20"/>
        </w:rPr>
      </w:pPr>
      <w:r w:rsidRPr="00327ABD">
        <w:rPr>
          <w:b/>
          <w:bCs/>
          <w:sz w:val="20"/>
          <w:szCs w:val="20"/>
        </w:rPr>
        <w:t>Note:</w:t>
      </w:r>
      <w:r w:rsidRPr="00327ABD">
        <w:rPr>
          <w:sz w:val="20"/>
          <w:szCs w:val="20"/>
        </w:rPr>
        <w:t xml:space="preserve"> This report contains </w:t>
      </w:r>
      <w:r w:rsidR="00E76839" w:rsidRPr="00327ABD">
        <w:rPr>
          <w:sz w:val="20"/>
          <w:szCs w:val="20"/>
        </w:rPr>
        <w:t xml:space="preserve">consolidated </w:t>
      </w:r>
      <w:r w:rsidRPr="00327ABD">
        <w:rPr>
          <w:sz w:val="20"/>
          <w:szCs w:val="20"/>
        </w:rPr>
        <w:t xml:space="preserve">advertising expenditure data provided to the Department of Premier and Cabinet by MediaCom Australia </w:t>
      </w:r>
      <w:r w:rsidR="00E76839" w:rsidRPr="00327ABD">
        <w:rPr>
          <w:sz w:val="20"/>
          <w:szCs w:val="20"/>
        </w:rPr>
        <w:t xml:space="preserve">and Optimum Media Direction Pty Ltd (OMD) </w:t>
      </w:r>
      <w:r w:rsidRPr="00327ABD">
        <w:rPr>
          <w:sz w:val="20"/>
          <w:szCs w:val="20"/>
        </w:rPr>
        <w:t xml:space="preserve">for the </w:t>
      </w:r>
      <w:r w:rsidR="00E32851" w:rsidRPr="00327ABD">
        <w:rPr>
          <w:sz w:val="20"/>
          <w:szCs w:val="20"/>
        </w:rPr>
        <w:t>2020–21</w:t>
      </w:r>
      <w:r w:rsidRPr="00327ABD">
        <w:rPr>
          <w:sz w:val="20"/>
          <w:szCs w:val="20"/>
        </w:rPr>
        <w:t xml:space="preserve"> financial year, and includes all paid </w:t>
      </w:r>
      <w:r w:rsidR="00B668B3" w:rsidRPr="00327ABD">
        <w:rPr>
          <w:sz w:val="20"/>
          <w:szCs w:val="20"/>
        </w:rPr>
        <w:t xml:space="preserve">campaign </w:t>
      </w:r>
      <w:r w:rsidRPr="00327ABD">
        <w:rPr>
          <w:sz w:val="20"/>
          <w:szCs w:val="20"/>
        </w:rPr>
        <w:t>advertising undertaken via the government’s MAMS contract</w:t>
      </w:r>
      <w:r w:rsidR="00B668B3" w:rsidRPr="00327ABD">
        <w:rPr>
          <w:sz w:val="20"/>
          <w:szCs w:val="20"/>
        </w:rPr>
        <w:t xml:space="preserve">, including expenditure on campaigns with a media buy of less than $100,000. </w:t>
      </w:r>
      <w:r w:rsidRPr="00327ABD">
        <w:rPr>
          <w:sz w:val="20"/>
          <w:szCs w:val="20"/>
        </w:rPr>
        <w:t xml:space="preserve"> </w:t>
      </w:r>
    </w:p>
    <w:p w14:paraId="332739BE" w14:textId="04BD77DA" w:rsidR="00BD7747" w:rsidRPr="00327ABD" w:rsidRDefault="00BD7747" w:rsidP="0019676C">
      <w:pPr>
        <w:pStyle w:val="DPCbodyaftertablefigure"/>
        <w:rPr>
          <w:sz w:val="20"/>
          <w:szCs w:val="20"/>
        </w:rPr>
      </w:pPr>
      <w:r w:rsidRPr="00327ABD">
        <w:rPr>
          <w:sz w:val="20"/>
          <w:szCs w:val="20"/>
        </w:rPr>
        <w:t xml:space="preserve">Expenditure figures presented in this report may differ from those published in the annual reports of government departments and public bodies, which </w:t>
      </w:r>
      <w:r w:rsidR="00B668B3" w:rsidRPr="00327ABD">
        <w:rPr>
          <w:sz w:val="20"/>
          <w:szCs w:val="20"/>
        </w:rPr>
        <w:t>report</w:t>
      </w:r>
      <w:r w:rsidR="00817382" w:rsidRPr="00327ABD">
        <w:rPr>
          <w:sz w:val="20"/>
          <w:szCs w:val="20"/>
        </w:rPr>
        <w:t xml:space="preserve"> on</w:t>
      </w:r>
      <w:r w:rsidR="00B668B3" w:rsidRPr="00327ABD">
        <w:rPr>
          <w:sz w:val="20"/>
          <w:szCs w:val="20"/>
        </w:rPr>
        <w:t xml:space="preserve"> campaigns with a media value of $100,000 or more. Expenditure in annual reports </w:t>
      </w:r>
      <w:r w:rsidRPr="00327ABD">
        <w:rPr>
          <w:sz w:val="20"/>
          <w:szCs w:val="20"/>
        </w:rPr>
        <w:t>may also include the value of media partnerships/sponsorships, and production and other fees associated with advertising campaigns.</w:t>
      </w:r>
    </w:p>
    <w:p w14:paraId="3D93EA16" w14:textId="77777777" w:rsidR="004F4871" w:rsidRPr="00327ABD" w:rsidRDefault="004F4871">
      <w:pPr>
        <w:rPr>
          <w:rFonts w:asciiTheme="majorHAnsi" w:eastAsia="MS Gothic" w:hAnsiTheme="majorHAnsi"/>
          <w:b/>
          <w:bCs/>
          <w:color w:val="53565A"/>
          <w:sz w:val="32"/>
          <w:szCs w:val="32"/>
        </w:rPr>
      </w:pPr>
      <w:r w:rsidRPr="00327ABD">
        <w:br w:type="page"/>
      </w:r>
    </w:p>
    <w:p w14:paraId="6E8822CF" w14:textId="6FB1D727" w:rsidR="0019676C" w:rsidRPr="00327ABD" w:rsidRDefault="0019676C" w:rsidP="0019676C">
      <w:pPr>
        <w:pStyle w:val="Heading2"/>
        <w:keepNext w:val="0"/>
        <w:keepLines w:val="0"/>
      </w:pPr>
      <w:bookmarkStart w:id="15" w:name="_Toc474140317"/>
      <w:bookmarkStart w:id="16" w:name="_Toc103839291"/>
      <w:r w:rsidRPr="00327ABD">
        <w:lastRenderedPageBreak/>
        <w:t xml:space="preserve">Major functional and recruitment advertisers – </w:t>
      </w:r>
      <w:bookmarkEnd w:id="15"/>
      <w:r w:rsidR="00E32851" w:rsidRPr="00327ABD">
        <w:t>2020–21</w:t>
      </w:r>
      <w:bookmarkEnd w:id="16"/>
    </w:p>
    <w:p w14:paraId="77AC50B6" w14:textId="77777777" w:rsidR="0019676C" w:rsidRPr="00327ABD" w:rsidRDefault="0019676C" w:rsidP="0019676C">
      <w:pPr>
        <w:pStyle w:val="Heading3"/>
        <w:keepNext w:val="0"/>
        <w:keepLines w:val="0"/>
      </w:pPr>
      <w:r w:rsidRPr="00327ABD">
        <w:t>Functional advertising</w:t>
      </w:r>
    </w:p>
    <w:p w14:paraId="28A15D84" w14:textId="7D10A038" w:rsidR="00994147" w:rsidRPr="00327ABD" w:rsidRDefault="00994147" w:rsidP="00994147">
      <w:pPr>
        <w:pStyle w:val="DPCbody"/>
      </w:pPr>
      <w:r w:rsidRPr="00327ABD">
        <w:t xml:space="preserve">In </w:t>
      </w:r>
      <w:r w:rsidR="00E32851" w:rsidRPr="00327ABD">
        <w:t>2020–21</w:t>
      </w:r>
      <w:r w:rsidR="007D3538" w:rsidRPr="00327ABD">
        <w:t>,</w:t>
      </w:r>
      <w:r w:rsidRPr="00327ABD">
        <w:t xml:space="preserve"> the highest spending departments and agencies for functional advertising were </w:t>
      </w:r>
      <w:r w:rsidR="00181B54" w:rsidRPr="00327ABD">
        <w:t xml:space="preserve">the </w:t>
      </w:r>
      <w:r w:rsidR="00ED2776" w:rsidRPr="00327ABD">
        <w:t xml:space="preserve">Department of Transport, </w:t>
      </w:r>
      <w:r w:rsidR="00181B54" w:rsidRPr="00327ABD">
        <w:t xml:space="preserve">the Victorian Electoral Commission, the Department of Jobs, Precincts and Regions, </w:t>
      </w:r>
      <w:r w:rsidR="00D802E8" w:rsidRPr="00327ABD">
        <w:t xml:space="preserve">Worksafe Victoria, </w:t>
      </w:r>
      <w:r w:rsidR="00181B54" w:rsidRPr="00327ABD">
        <w:t xml:space="preserve">Bushfire Recovery Victoria and the Gordon TAFE. </w:t>
      </w:r>
    </w:p>
    <w:p w14:paraId="518D4D1F" w14:textId="77777777" w:rsidR="00994147" w:rsidRPr="00327ABD" w:rsidRDefault="00994147" w:rsidP="00994147">
      <w:pPr>
        <w:pStyle w:val="Heading3"/>
        <w:keepNext w:val="0"/>
        <w:keepLines w:val="0"/>
      </w:pPr>
      <w:r w:rsidRPr="00327ABD">
        <w:t xml:space="preserve">Recruitment advertising </w:t>
      </w:r>
    </w:p>
    <w:p w14:paraId="34D472A2" w14:textId="010E2535" w:rsidR="00994147" w:rsidRPr="00327ABD" w:rsidRDefault="00994147" w:rsidP="00911A0E">
      <w:pPr>
        <w:pStyle w:val="DPCbody"/>
      </w:pPr>
      <w:r w:rsidRPr="00327ABD">
        <w:t xml:space="preserve">In </w:t>
      </w:r>
      <w:r w:rsidR="00E32851" w:rsidRPr="00327ABD">
        <w:t>2020–21</w:t>
      </w:r>
      <w:r w:rsidR="007D3538" w:rsidRPr="00327ABD">
        <w:t>,</w:t>
      </w:r>
      <w:r w:rsidR="007D1B77" w:rsidRPr="00327ABD">
        <w:t xml:space="preserve"> </w:t>
      </w:r>
      <w:r w:rsidRPr="00327ABD">
        <w:t xml:space="preserve">the highest spending departments and agencies for recruitment advertising were </w:t>
      </w:r>
      <w:r w:rsidR="00181B54" w:rsidRPr="00327ABD">
        <w:t xml:space="preserve">the Department of Health, </w:t>
      </w:r>
      <w:r w:rsidR="00ED2776" w:rsidRPr="00327ABD">
        <w:t xml:space="preserve">Department of Justice and Community Safety, </w:t>
      </w:r>
      <w:r w:rsidR="00181B54" w:rsidRPr="00327ABD">
        <w:t xml:space="preserve">the Department of Education and the </w:t>
      </w:r>
      <w:r w:rsidR="00ED2776" w:rsidRPr="00327ABD">
        <w:t>Department of Environment, Land, Water and Planning</w:t>
      </w:r>
      <w:r w:rsidR="007D1B77" w:rsidRPr="00327ABD">
        <w:t xml:space="preserve">. </w:t>
      </w:r>
    </w:p>
    <w:p w14:paraId="553E788F" w14:textId="77777777" w:rsidR="005740A6" w:rsidRPr="00327ABD" w:rsidRDefault="005740A6" w:rsidP="00883E9C">
      <w:pPr>
        <w:pStyle w:val="DPCbody"/>
      </w:pPr>
      <w:bookmarkStart w:id="17" w:name="_Toc474140318"/>
      <w:r w:rsidRPr="00327ABD">
        <w:br w:type="page"/>
      </w:r>
    </w:p>
    <w:p w14:paraId="58A3D945" w14:textId="110DEE7F" w:rsidR="0019676C" w:rsidRPr="00327ABD" w:rsidRDefault="0019676C" w:rsidP="0019676C">
      <w:pPr>
        <w:pStyle w:val="Heading2"/>
        <w:keepNext w:val="0"/>
        <w:keepLines w:val="0"/>
      </w:pPr>
      <w:bookmarkStart w:id="18" w:name="_Toc103839292"/>
      <w:r w:rsidRPr="00327ABD">
        <w:lastRenderedPageBreak/>
        <w:t xml:space="preserve">Government advertising by channel – </w:t>
      </w:r>
      <w:bookmarkEnd w:id="17"/>
      <w:r w:rsidR="00E32851" w:rsidRPr="00327ABD">
        <w:t>2020–21</w:t>
      </w:r>
      <w:bookmarkEnd w:id="18"/>
    </w:p>
    <w:p w14:paraId="20D3054F" w14:textId="6F370325" w:rsidR="0019676C" w:rsidRPr="00327ABD" w:rsidRDefault="00CC3F24" w:rsidP="00CC3F24">
      <w:pPr>
        <w:pStyle w:val="DPCbody"/>
      </w:pPr>
      <w:r w:rsidRPr="00327ABD">
        <w:t xml:space="preserve">The chart below shows percentage of total government advertising expenditure for </w:t>
      </w:r>
      <w:r w:rsidR="00E32851" w:rsidRPr="00327ABD">
        <w:t>2020–21</w:t>
      </w:r>
      <w:r w:rsidRPr="00327ABD">
        <w:t xml:space="preserve"> per advertising channel.</w:t>
      </w:r>
    </w:p>
    <w:p w14:paraId="5A7F67FD" w14:textId="4E1AE7BF" w:rsidR="00901ED3" w:rsidRPr="00327ABD" w:rsidRDefault="006D0149" w:rsidP="00901ED3">
      <w:pPr>
        <w:pStyle w:val="DPCbody"/>
      </w:pPr>
      <w:r w:rsidRPr="00327ABD">
        <w:t xml:space="preserve">Expenditure for </w:t>
      </w:r>
      <w:r w:rsidR="00E32851" w:rsidRPr="00327ABD">
        <w:t>2020–21</w:t>
      </w:r>
      <w:r w:rsidR="00901ED3" w:rsidRPr="00327ABD">
        <w:t xml:space="preserve"> </w:t>
      </w:r>
      <w:r w:rsidR="00D26F81" w:rsidRPr="00327ABD">
        <w:t xml:space="preserve">showed </w:t>
      </w:r>
      <w:r w:rsidR="003F506C" w:rsidRPr="00327ABD">
        <w:t xml:space="preserve">an </w:t>
      </w:r>
      <w:r w:rsidR="00D26F81" w:rsidRPr="00327ABD">
        <w:t xml:space="preserve">increase in the proportion of advertising via </w:t>
      </w:r>
      <w:r w:rsidR="00BF5710" w:rsidRPr="00327ABD">
        <w:t xml:space="preserve">digital platforms to </w:t>
      </w:r>
      <w:r w:rsidR="003F506C" w:rsidRPr="00327ABD">
        <w:t xml:space="preserve">35.2 </w:t>
      </w:r>
      <w:r w:rsidR="00BF5710" w:rsidRPr="00327ABD">
        <w:t>per cent</w:t>
      </w:r>
      <w:r w:rsidR="00800A33" w:rsidRPr="00327ABD">
        <w:t xml:space="preserve"> of the total</w:t>
      </w:r>
      <w:r w:rsidR="00D26F81" w:rsidRPr="00327ABD">
        <w:t xml:space="preserve">, </w:t>
      </w:r>
      <w:r w:rsidR="00BF5710" w:rsidRPr="00327ABD">
        <w:t xml:space="preserve">compared to </w:t>
      </w:r>
      <w:r w:rsidR="00C41477" w:rsidRPr="00327ABD">
        <w:t>32.</w:t>
      </w:r>
      <w:r w:rsidR="003F506C" w:rsidRPr="00327ABD">
        <w:t>8</w:t>
      </w:r>
      <w:r w:rsidR="00BF5710" w:rsidRPr="00327ABD">
        <w:t xml:space="preserve"> per cent in </w:t>
      </w:r>
      <w:r w:rsidR="003F506C" w:rsidRPr="00327ABD">
        <w:t>2019–20</w:t>
      </w:r>
      <w:r w:rsidR="00BF5710" w:rsidRPr="00327ABD">
        <w:t xml:space="preserve">. </w:t>
      </w:r>
    </w:p>
    <w:p w14:paraId="64C528E7" w14:textId="1D4E288F" w:rsidR="00901ED3" w:rsidRPr="00327ABD" w:rsidRDefault="006D0149" w:rsidP="00901ED3">
      <w:pPr>
        <w:pStyle w:val="DPCbody"/>
      </w:pPr>
      <w:r w:rsidRPr="00327ABD">
        <w:t xml:space="preserve">In </w:t>
      </w:r>
      <w:r w:rsidR="00E32851" w:rsidRPr="00327ABD">
        <w:t>2020–21</w:t>
      </w:r>
      <w:r w:rsidR="00901ED3" w:rsidRPr="00327ABD">
        <w:t xml:space="preserve">, </w:t>
      </w:r>
      <w:r w:rsidR="00D56D18" w:rsidRPr="00327ABD">
        <w:t xml:space="preserve">the proportion of </w:t>
      </w:r>
      <w:r w:rsidR="00BF5710" w:rsidRPr="00327ABD">
        <w:t>television advertising</w:t>
      </w:r>
      <w:r w:rsidR="00F56E85" w:rsidRPr="00327ABD">
        <w:t xml:space="preserve"> </w:t>
      </w:r>
      <w:r w:rsidR="00950B92" w:rsidRPr="00327ABD">
        <w:t>decreased</w:t>
      </w:r>
      <w:r w:rsidR="00D56D18" w:rsidRPr="00327ABD">
        <w:t xml:space="preserve"> to</w:t>
      </w:r>
      <w:r w:rsidR="00F56E85" w:rsidRPr="00327ABD">
        <w:t xml:space="preserve"> </w:t>
      </w:r>
      <w:r w:rsidR="003F506C" w:rsidRPr="00327ABD">
        <w:t>22.0</w:t>
      </w:r>
      <w:r w:rsidR="00901ED3" w:rsidRPr="00327ABD">
        <w:t xml:space="preserve"> per cent of all government advertising,</w:t>
      </w:r>
      <w:r w:rsidR="00F56E85" w:rsidRPr="00327ABD">
        <w:t xml:space="preserve"> compared to </w:t>
      </w:r>
      <w:r w:rsidR="003F506C" w:rsidRPr="00327ABD">
        <w:t xml:space="preserve">23.4 </w:t>
      </w:r>
      <w:r w:rsidR="00F56E85" w:rsidRPr="00327ABD">
        <w:t xml:space="preserve">per cent in </w:t>
      </w:r>
      <w:r w:rsidR="003F506C" w:rsidRPr="00327ABD">
        <w:t>2019–20</w:t>
      </w:r>
      <w:r w:rsidR="00D56D18" w:rsidRPr="00327ABD">
        <w:t>,</w:t>
      </w:r>
      <w:r w:rsidR="00F56E85" w:rsidRPr="00327ABD">
        <w:t xml:space="preserve"> </w:t>
      </w:r>
      <w:r w:rsidR="00D56D18" w:rsidRPr="00327ABD">
        <w:t xml:space="preserve">while expenditure on press advertising </w:t>
      </w:r>
      <w:r w:rsidR="003F506C" w:rsidRPr="00327ABD">
        <w:t xml:space="preserve">also decreased from </w:t>
      </w:r>
      <w:r w:rsidR="00950B92" w:rsidRPr="00327ABD">
        <w:t>14.7</w:t>
      </w:r>
      <w:r w:rsidR="00D56D18" w:rsidRPr="00327ABD">
        <w:t xml:space="preserve"> per cent of advertising expenditure</w:t>
      </w:r>
      <w:r w:rsidR="003F506C" w:rsidRPr="00327ABD">
        <w:t xml:space="preserve"> in 2019–20, to 11.7 per cent </w:t>
      </w:r>
      <w:r w:rsidR="00D56D18" w:rsidRPr="00327ABD">
        <w:t xml:space="preserve">in </w:t>
      </w:r>
      <w:r w:rsidR="003F506C" w:rsidRPr="00327ABD">
        <w:t>2020–21.</w:t>
      </w:r>
    </w:p>
    <w:p w14:paraId="7ABF1782" w14:textId="26920E7E" w:rsidR="00901ED3" w:rsidRPr="00327ABD" w:rsidRDefault="00D56D18" w:rsidP="00CC3F24">
      <w:pPr>
        <w:pStyle w:val="DPCbody"/>
      </w:pPr>
      <w:r w:rsidRPr="00327ABD">
        <w:t xml:space="preserve">Radio </w:t>
      </w:r>
      <w:r w:rsidR="00901ED3" w:rsidRPr="00327ABD">
        <w:t xml:space="preserve">accounted for </w:t>
      </w:r>
      <w:r w:rsidR="003F506C" w:rsidRPr="00327ABD">
        <w:t xml:space="preserve">18.8 </w:t>
      </w:r>
      <w:r w:rsidR="00901ED3" w:rsidRPr="00327ABD">
        <w:t>per cent of total</w:t>
      </w:r>
      <w:r w:rsidR="00F56E85" w:rsidRPr="00327ABD">
        <w:t xml:space="preserve"> advertising expenditure in </w:t>
      </w:r>
      <w:r w:rsidR="00E32851" w:rsidRPr="00327ABD">
        <w:t>2020–21</w:t>
      </w:r>
      <w:r w:rsidR="00F56E85" w:rsidRPr="00327ABD">
        <w:t xml:space="preserve">, </w:t>
      </w:r>
      <w:r w:rsidR="003F506C" w:rsidRPr="00327ABD">
        <w:t xml:space="preserve">increasing from 14.3 per cent in 2019–20, </w:t>
      </w:r>
      <w:r w:rsidR="00D26F81" w:rsidRPr="00327ABD">
        <w:t xml:space="preserve">while outdoor advertising </w:t>
      </w:r>
      <w:r w:rsidR="003F506C" w:rsidRPr="00327ABD">
        <w:t xml:space="preserve">decreased </w:t>
      </w:r>
      <w:r w:rsidR="00D26F81" w:rsidRPr="00327ABD">
        <w:t xml:space="preserve">to </w:t>
      </w:r>
      <w:r w:rsidR="003F506C" w:rsidRPr="00327ABD">
        <w:t xml:space="preserve">11.9 </w:t>
      </w:r>
      <w:r w:rsidR="00D26F81" w:rsidRPr="00327ABD">
        <w:t xml:space="preserve">per cent (compared to </w:t>
      </w:r>
      <w:r w:rsidR="003F506C" w:rsidRPr="00327ABD">
        <w:t xml:space="preserve">13.3 </w:t>
      </w:r>
      <w:r w:rsidR="00D26F81" w:rsidRPr="00327ABD">
        <w:t xml:space="preserve">per cent in </w:t>
      </w:r>
      <w:r w:rsidR="003F506C" w:rsidRPr="00327ABD">
        <w:t>2019–20</w:t>
      </w:r>
      <w:r w:rsidR="00D26F81" w:rsidRPr="00327ABD">
        <w:t>)</w:t>
      </w:r>
      <w:r w:rsidR="003F506C" w:rsidRPr="00327ABD">
        <w:t>.</w:t>
      </w:r>
    </w:p>
    <w:p w14:paraId="65DF128C" w14:textId="77777777" w:rsidR="00794660" w:rsidRPr="00327ABD" w:rsidRDefault="00794660" w:rsidP="00CC3F24">
      <w:pPr>
        <w:pStyle w:val="DPCbody"/>
      </w:pPr>
    </w:p>
    <w:p w14:paraId="3FD5A431" w14:textId="7547559E" w:rsidR="00800E58" w:rsidRPr="00327ABD" w:rsidRDefault="00800E58" w:rsidP="00CC3F24">
      <w:pPr>
        <w:pStyle w:val="DPCbody"/>
      </w:pPr>
      <w:r w:rsidRPr="00327ABD">
        <w:rPr>
          <w:noProof/>
        </w:rPr>
        <w:drawing>
          <wp:inline distT="0" distB="0" distL="0" distR="0" wp14:anchorId="488CA75C" wp14:editId="3B720CC0">
            <wp:extent cx="6273800" cy="4936066"/>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D60F5E" w14:textId="77777777" w:rsidR="00800E58" w:rsidRPr="00327ABD" w:rsidRDefault="00800E58" w:rsidP="00CC3F24">
      <w:pPr>
        <w:pStyle w:val="DPCbody"/>
      </w:pPr>
    </w:p>
    <w:p w14:paraId="0ECF79E2" w14:textId="77777777" w:rsidR="00E91FF0" w:rsidRPr="00327ABD" w:rsidRDefault="00E91FF0">
      <w:pPr>
        <w:rPr>
          <w:rFonts w:asciiTheme="minorHAnsi" w:eastAsia="Times" w:hAnsiTheme="minorHAnsi" w:cs="Arial"/>
          <w:color w:val="000000" w:themeColor="text1"/>
          <w:sz w:val="24"/>
          <w:szCs w:val="22"/>
        </w:rPr>
      </w:pPr>
      <w:bookmarkStart w:id="19" w:name="_Toc474140319"/>
      <w:r w:rsidRPr="00327ABD">
        <w:br w:type="page"/>
      </w:r>
    </w:p>
    <w:p w14:paraId="618CB59C" w14:textId="70B615B5" w:rsidR="00E50F56" w:rsidRPr="00327ABD" w:rsidRDefault="00E50F56" w:rsidP="00045B3B">
      <w:pPr>
        <w:pStyle w:val="Heading2"/>
      </w:pPr>
      <w:bookmarkStart w:id="20" w:name="_Toc103839293"/>
      <w:r w:rsidRPr="00327ABD">
        <w:lastRenderedPageBreak/>
        <w:t>Government campai</w:t>
      </w:r>
      <w:r w:rsidR="007D3538" w:rsidRPr="00327ABD">
        <w:t>gn advertising by communication</w:t>
      </w:r>
      <w:r w:rsidRPr="00327ABD">
        <w:t xml:space="preserve"> priority area</w:t>
      </w:r>
      <w:r w:rsidR="007D3538" w:rsidRPr="00327ABD">
        <w:t>s</w:t>
      </w:r>
      <w:bookmarkEnd w:id="20"/>
      <w:r w:rsidRPr="00327ABD">
        <w:t xml:space="preserve"> </w:t>
      </w:r>
    </w:p>
    <w:p w14:paraId="6E1FFA89" w14:textId="03C4793D" w:rsidR="00E50F56" w:rsidRPr="00327ABD" w:rsidRDefault="00E50F56" w:rsidP="00E50F56">
      <w:pPr>
        <w:pStyle w:val="DPCbody"/>
      </w:pPr>
      <w:r w:rsidRPr="00327ABD">
        <w:t xml:space="preserve">All campaign advertising undertaken by the </w:t>
      </w:r>
      <w:r w:rsidR="00D1606F" w:rsidRPr="00327ABD">
        <w:t xml:space="preserve">Victorian Government during </w:t>
      </w:r>
      <w:r w:rsidR="00E32851" w:rsidRPr="00327ABD">
        <w:t>2020–21</w:t>
      </w:r>
      <w:r w:rsidRPr="00327ABD">
        <w:t xml:space="preserve"> fulfilled one of five ‘priority area</w:t>
      </w:r>
      <w:r w:rsidR="00E82652" w:rsidRPr="00327ABD">
        <w:t>s’ for government communication</w:t>
      </w:r>
      <w:r w:rsidR="005D52C8" w:rsidRPr="00327ABD">
        <w:t>:</w:t>
      </w:r>
    </w:p>
    <w:p w14:paraId="5BDB43F1" w14:textId="77777777" w:rsidR="00B13C73" w:rsidRPr="00327ABD" w:rsidRDefault="00B13C73" w:rsidP="00203E9E">
      <w:pPr>
        <w:pStyle w:val="DPCbullet1"/>
      </w:pPr>
      <w:r w:rsidRPr="00327ABD">
        <w:t xml:space="preserve">Public safety and behaviour change </w:t>
      </w:r>
    </w:p>
    <w:p w14:paraId="05CA5D3B" w14:textId="2F63E0E5" w:rsidR="00203E9E" w:rsidRPr="00327ABD" w:rsidRDefault="00203E9E" w:rsidP="00203E9E">
      <w:pPr>
        <w:pStyle w:val="DPCbullet1"/>
      </w:pPr>
      <w:r w:rsidRPr="00327ABD">
        <w:t>Building social cohesion</w:t>
      </w:r>
      <w:r w:rsidR="00F25D04" w:rsidRPr="00327ABD">
        <w:t>, civic pride</w:t>
      </w:r>
      <w:r w:rsidRPr="00327ABD">
        <w:t xml:space="preserve"> and community spirit </w:t>
      </w:r>
    </w:p>
    <w:p w14:paraId="3F674A65" w14:textId="77777777" w:rsidR="00B13C73" w:rsidRPr="00327ABD" w:rsidRDefault="00203E9E" w:rsidP="00203E9E">
      <w:pPr>
        <w:pStyle w:val="DPCbullet1"/>
      </w:pPr>
      <w:r w:rsidRPr="00327ABD">
        <w:t xml:space="preserve">Supporting commercial and </w:t>
      </w:r>
      <w:r w:rsidR="00B13C73" w:rsidRPr="00327ABD">
        <w:t>economic investment</w:t>
      </w:r>
      <w:r w:rsidRPr="00327ABD">
        <w:t xml:space="preserve"> in Victoria </w:t>
      </w:r>
    </w:p>
    <w:p w14:paraId="789DD3BD" w14:textId="77777777" w:rsidR="00B13C73" w:rsidRPr="00327ABD" w:rsidRDefault="00B13C73" w:rsidP="00203E9E">
      <w:pPr>
        <w:pStyle w:val="DPCbullet1"/>
      </w:pPr>
      <w:r w:rsidRPr="00327ABD">
        <w:t xml:space="preserve">Generation of revenue to support </w:t>
      </w:r>
      <w:r w:rsidR="00203E9E" w:rsidRPr="00327ABD">
        <w:t xml:space="preserve">Victorian </w:t>
      </w:r>
      <w:r w:rsidRPr="00327ABD">
        <w:t>institutions</w:t>
      </w:r>
      <w:r w:rsidR="00CC77F0" w:rsidRPr="00327ABD">
        <w:t xml:space="preserve"> and </w:t>
      </w:r>
      <w:r w:rsidRPr="00327ABD">
        <w:t xml:space="preserve">events </w:t>
      </w:r>
    </w:p>
    <w:p w14:paraId="59D0EBB3" w14:textId="7C427C1B" w:rsidR="00B13C73" w:rsidRPr="00327ABD" w:rsidRDefault="00203E9E" w:rsidP="00203E9E">
      <w:pPr>
        <w:pStyle w:val="DPCbullet1"/>
      </w:pPr>
      <w:r w:rsidRPr="00327ABD">
        <w:t>Ensuring c</w:t>
      </w:r>
      <w:r w:rsidR="00B13C73" w:rsidRPr="00327ABD">
        <w:t xml:space="preserve">ompliance with </w:t>
      </w:r>
      <w:r w:rsidRPr="00327ABD">
        <w:t>legislat</w:t>
      </w:r>
      <w:r w:rsidR="00F25D04" w:rsidRPr="00327ABD">
        <w:t>ive requirements.</w:t>
      </w:r>
    </w:p>
    <w:p w14:paraId="3EEF1D8D" w14:textId="564BF815" w:rsidR="00B21E11" w:rsidRPr="00327ABD" w:rsidRDefault="00F25D04" w:rsidP="00203E9E">
      <w:pPr>
        <w:pStyle w:val="DPCbodyafterbullets"/>
      </w:pPr>
      <w:r w:rsidRPr="00327ABD">
        <w:rPr>
          <w:noProof/>
        </w:rPr>
        <w:drawing>
          <wp:anchor distT="0" distB="0" distL="114300" distR="114300" simplePos="0" relativeHeight="251659264" behindDoc="0" locked="0" layoutInCell="1" allowOverlap="1" wp14:anchorId="0D03557B" wp14:editId="2218397E">
            <wp:simplePos x="0" y="0"/>
            <wp:positionH relativeFrom="column">
              <wp:posOffset>635</wp:posOffset>
            </wp:positionH>
            <wp:positionV relativeFrom="paragraph">
              <wp:posOffset>1077595</wp:posOffset>
            </wp:positionV>
            <wp:extent cx="5904230" cy="4933950"/>
            <wp:effectExtent l="0" t="0" r="127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E50F56" w:rsidRPr="00327ABD">
        <w:t xml:space="preserve">The chart below shows </w:t>
      </w:r>
      <w:r w:rsidR="00E32851" w:rsidRPr="00327ABD">
        <w:t>2020–21</w:t>
      </w:r>
      <w:r w:rsidR="00862C1F" w:rsidRPr="00327ABD">
        <w:t xml:space="preserve"> </w:t>
      </w:r>
      <w:r w:rsidR="00B13C73" w:rsidRPr="00327ABD">
        <w:t xml:space="preserve">expenditure </w:t>
      </w:r>
      <w:r w:rsidR="00E50F56" w:rsidRPr="00327ABD">
        <w:t xml:space="preserve">for each </w:t>
      </w:r>
      <w:r w:rsidR="00E82652" w:rsidRPr="00327ABD">
        <w:t>communication</w:t>
      </w:r>
      <w:r w:rsidR="00B13C73" w:rsidRPr="00327ABD">
        <w:t xml:space="preserve"> </w:t>
      </w:r>
      <w:r w:rsidR="00E50F56" w:rsidRPr="00327ABD">
        <w:t>priority area</w:t>
      </w:r>
      <w:r w:rsidR="005748A9" w:rsidRPr="00327ABD">
        <w:t>,</w:t>
      </w:r>
      <w:r w:rsidR="00E50F56" w:rsidRPr="00327ABD">
        <w:t xml:space="preserve"> as a proportion</w:t>
      </w:r>
      <w:r w:rsidR="00B13C73" w:rsidRPr="00327ABD">
        <w:t xml:space="preserve"> </w:t>
      </w:r>
      <w:r w:rsidR="00E50F56" w:rsidRPr="00327ABD">
        <w:t xml:space="preserve">of the government’s </w:t>
      </w:r>
      <w:r w:rsidR="00B13C73" w:rsidRPr="00327ABD">
        <w:t xml:space="preserve">total </w:t>
      </w:r>
      <w:r w:rsidR="00E50F56" w:rsidRPr="00327ABD">
        <w:t>expenditure on campaign advertising</w:t>
      </w:r>
      <w:r w:rsidR="00B13C73" w:rsidRPr="00327ABD">
        <w:t>.</w:t>
      </w:r>
      <w:r w:rsidR="0006738F" w:rsidRPr="00327ABD">
        <w:t xml:space="preserve"> The focus on </w:t>
      </w:r>
      <w:r w:rsidR="00DA18B0" w:rsidRPr="00327ABD">
        <w:t xml:space="preserve">COVID-19 public health and safety </w:t>
      </w:r>
      <w:r w:rsidR="0006738F" w:rsidRPr="00327ABD">
        <w:t xml:space="preserve">advertising </w:t>
      </w:r>
      <w:r w:rsidR="00DA18B0" w:rsidRPr="00327ABD">
        <w:t xml:space="preserve">during 2020–21 </w:t>
      </w:r>
      <w:r w:rsidR="0006738F" w:rsidRPr="00327ABD">
        <w:t xml:space="preserve">meant </w:t>
      </w:r>
      <w:r w:rsidR="00DA18B0" w:rsidRPr="00327ABD">
        <w:t xml:space="preserve">this type of campaign </w:t>
      </w:r>
      <w:r w:rsidR="0006738F" w:rsidRPr="00327ABD">
        <w:t xml:space="preserve">advertising </w:t>
      </w:r>
      <w:r w:rsidRPr="00327ABD">
        <w:t xml:space="preserve">accounted for </w:t>
      </w:r>
      <w:r w:rsidR="0006738F" w:rsidRPr="00327ABD">
        <w:t>a large</w:t>
      </w:r>
      <w:r w:rsidRPr="00327ABD">
        <w:t xml:space="preserve"> </w:t>
      </w:r>
      <w:r w:rsidR="0006738F" w:rsidRPr="00327ABD">
        <w:t xml:space="preserve">proportion </w:t>
      </w:r>
      <w:r w:rsidRPr="00327ABD">
        <w:t>of government campaign advertising</w:t>
      </w:r>
      <w:r w:rsidR="00233FD3" w:rsidRPr="00327ABD">
        <w:t xml:space="preserve">. </w:t>
      </w:r>
    </w:p>
    <w:p w14:paraId="142C1CDE" w14:textId="3B79149F" w:rsidR="00BA1489" w:rsidRPr="00327ABD" w:rsidRDefault="00E50F56" w:rsidP="00853AEE">
      <w:pPr>
        <w:pStyle w:val="DPCbodyafterbullets"/>
        <w:jc w:val="center"/>
      </w:pPr>
      <w:r w:rsidRPr="00327ABD">
        <w:br w:type="page"/>
      </w:r>
      <w:bookmarkEnd w:id="19"/>
    </w:p>
    <w:p w14:paraId="5946657D" w14:textId="77777777" w:rsidR="00F52754" w:rsidRPr="00327ABD" w:rsidRDefault="00F52754" w:rsidP="00F52754">
      <w:pPr>
        <w:pStyle w:val="Heading2"/>
        <w:keepNext w:val="0"/>
        <w:keepLines w:val="0"/>
      </w:pPr>
      <w:bookmarkStart w:id="21" w:name="_Toc474140320"/>
      <w:bookmarkStart w:id="22" w:name="_Toc103839294"/>
      <w:r w:rsidRPr="00327ABD">
        <w:lastRenderedPageBreak/>
        <w:t>Victorian Government communication targets</w:t>
      </w:r>
      <w:bookmarkEnd w:id="22"/>
      <w:r w:rsidRPr="00327ABD">
        <w:t xml:space="preserve"> </w:t>
      </w:r>
    </w:p>
    <w:p w14:paraId="7CB04532" w14:textId="578E8E3C" w:rsidR="00F52754" w:rsidRPr="00327ABD" w:rsidRDefault="00F52754" w:rsidP="00F52754">
      <w:pPr>
        <w:pStyle w:val="DPCbody"/>
      </w:pPr>
      <w:r w:rsidRPr="00327ABD">
        <w:t xml:space="preserve">The Victorian Government is committed to communicating with all Victorians and has advertising expenditure targets for regional and multicultural media to help ensure effective communication with these audiences.  </w:t>
      </w:r>
    </w:p>
    <w:p w14:paraId="115B98BC" w14:textId="77777777" w:rsidR="00F52754" w:rsidRPr="00327ABD" w:rsidRDefault="00F52754" w:rsidP="00F52754">
      <w:pPr>
        <w:pStyle w:val="Heading3"/>
      </w:pPr>
      <w:r w:rsidRPr="00327ABD">
        <w:t xml:space="preserve">Regional media campaign advertising expenditure </w:t>
      </w:r>
    </w:p>
    <w:p w14:paraId="01FF2AA9" w14:textId="77777777" w:rsidR="00F52754" w:rsidRPr="00327ABD" w:rsidRDefault="00F52754" w:rsidP="00F52754">
      <w:pPr>
        <w:pStyle w:val="DPCbody"/>
      </w:pPr>
      <w:r w:rsidRPr="00327ABD">
        <w:t xml:space="preserve">The </w:t>
      </w:r>
      <w:hyperlink r:id="rId20" w:history="1">
        <w:r w:rsidRPr="00327ABD">
          <w:rPr>
            <w:rStyle w:val="Hyperlink"/>
            <w:i/>
          </w:rPr>
          <w:t>Victorian Government Regional Communication Policy</w:t>
        </w:r>
      </w:hyperlink>
      <w:r w:rsidRPr="00327ABD">
        <w:rPr>
          <w:rStyle w:val="Hyperlink"/>
          <w:i/>
        </w:rPr>
        <w:t xml:space="preserve"> </w:t>
      </w:r>
      <w:r w:rsidRPr="00327ABD">
        <w:t xml:space="preserve">requires that government departments and agencies place 15 per cent of their annual campaign media expenditure with regional and rural media. </w:t>
      </w:r>
    </w:p>
    <w:p w14:paraId="63B5A1C8" w14:textId="4817F07F" w:rsidR="00F52754" w:rsidRPr="00327ABD" w:rsidRDefault="00F52754" w:rsidP="00F52754">
      <w:pPr>
        <w:pStyle w:val="DPCbody"/>
      </w:pPr>
      <w:r w:rsidRPr="00327ABD">
        <w:t>This includes, but is not limited to, dedicated regional press, radio</w:t>
      </w:r>
      <w:r w:rsidR="001D74F4" w:rsidRPr="00327ABD">
        <w:t xml:space="preserve"> and </w:t>
      </w:r>
      <w:r w:rsidRPr="00327ABD">
        <w:t xml:space="preserve">outdoor media buys </w:t>
      </w:r>
      <w:r w:rsidR="001D74F4" w:rsidRPr="00327ABD">
        <w:t xml:space="preserve">for </w:t>
      </w:r>
      <w:r w:rsidRPr="00327ABD">
        <w:t>regional or rural</w:t>
      </w:r>
      <w:r w:rsidR="001D74F4" w:rsidRPr="00327ABD">
        <w:t xml:space="preserve"> audiences</w:t>
      </w:r>
      <w:r w:rsidRPr="00327ABD">
        <w:t>.</w:t>
      </w:r>
      <w:r w:rsidR="003A2BF6" w:rsidRPr="00327ABD">
        <w:t xml:space="preserve"> The government also uses i</w:t>
      </w:r>
      <w:r w:rsidRPr="00327ABD">
        <w:t xml:space="preserve">nternet and digital advertising to </w:t>
      </w:r>
      <w:r w:rsidR="003A2BF6" w:rsidRPr="00327ABD">
        <w:t xml:space="preserve">reach </w:t>
      </w:r>
      <w:r w:rsidRPr="00327ABD">
        <w:t xml:space="preserve">regional audiences; however, </w:t>
      </w:r>
      <w:r w:rsidR="0038077C" w:rsidRPr="00327ABD">
        <w:t xml:space="preserve">during </w:t>
      </w:r>
      <w:r w:rsidR="00E32851" w:rsidRPr="00327ABD">
        <w:t>2020–21</w:t>
      </w:r>
      <w:r w:rsidR="00681E95" w:rsidRPr="00327ABD">
        <w:t xml:space="preserve"> </w:t>
      </w:r>
      <w:r w:rsidR="00451A8D" w:rsidRPr="00327ABD">
        <w:t xml:space="preserve">expenditure via these </w:t>
      </w:r>
      <w:r w:rsidRPr="00327ABD">
        <w:t xml:space="preserve">channels </w:t>
      </w:r>
      <w:r w:rsidR="00451A8D" w:rsidRPr="00327ABD">
        <w:t xml:space="preserve">could </w:t>
      </w:r>
      <w:r w:rsidRPr="00327ABD">
        <w:t xml:space="preserve">not </w:t>
      </w:r>
      <w:r w:rsidR="00451A8D" w:rsidRPr="00327ABD">
        <w:t xml:space="preserve">be accurately be </w:t>
      </w:r>
      <w:r w:rsidRPr="00327ABD">
        <w:t>classified as 'regional or rural' media</w:t>
      </w:r>
      <w:r w:rsidR="00451A8D" w:rsidRPr="00327ABD">
        <w:t xml:space="preserve"> expenditure</w:t>
      </w:r>
      <w:r w:rsidRPr="00327ABD">
        <w:t xml:space="preserve">. For this reason, expenditure on internet and digital advertising </w:t>
      </w:r>
      <w:r w:rsidR="0038077C" w:rsidRPr="00327ABD">
        <w:t xml:space="preserve">was </w:t>
      </w:r>
      <w:r w:rsidRPr="00327ABD">
        <w:t xml:space="preserve">not included when calculating the government’s regional advertising expenditure total for </w:t>
      </w:r>
      <w:r w:rsidR="00E32851" w:rsidRPr="00327ABD">
        <w:t>2020–21</w:t>
      </w:r>
      <w:r w:rsidRPr="00327ABD">
        <w:t xml:space="preserve">. </w:t>
      </w:r>
    </w:p>
    <w:p w14:paraId="4A0C6C91" w14:textId="1474893E" w:rsidR="00F52754" w:rsidRPr="00327ABD" w:rsidRDefault="00F52754" w:rsidP="00F52754">
      <w:pPr>
        <w:pStyle w:val="DPCbody"/>
      </w:pPr>
      <w:r w:rsidRPr="00327ABD">
        <w:t xml:space="preserve">In </w:t>
      </w:r>
      <w:r w:rsidR="00E32851" w:rsidRPr="00327ABD">
        <w:t>2020–21</w:t>
      </w:r>
      <w:r w:rsidRPr="00327ABD">
        <w:t>, the Victorian Government spent $</w:t>
      </w:r>
      <w:r w:rsidR="002F22B5" w:rsidRPr="00327ABD">
        <w:t>21.5 million</w:t>
      </w:r>
      <w:r w:rsidR="00681E95" w:rsidRPr="00327ABD">
        <w:t xml:space="preserve"> </w:t>
      </w:r>
      <w:r w:rsidRPr="00327ABD">
        <w:t xml:space="preserve">on campaign advertising through ‘non-digital’ regional and rural media (that is, press, radio and outdoor advertising). </w:t>
      </w:r>
    </w:p>
    <w:p w14:paraId="59ADDAA1" w14:textId="0614E0A8" w:rsidR="00F52754" w:rsidRPr="00327ABD" w:rsidRDefault="00F52754" w:rsidP="00F52754">
      <w:pPr>
        <w:pStyle w:val="DPCbody"/>
      </w:pPr>
      <w:r w:rsidRPr="00327ABD">
        <w:t xml:space="preserve">This figure represents </w:t>
      </w:r>
      <w:r w:rsidR="002F22B5" w:rsidRPr="00327ABD">
        <w:t>24</w:t>
      </w:r>
      <w:r w:rsidRPr="00327ABD">
        <w:t xml:space="preserve"> per cent of the government’s total campaign advertising expenditure undertaken through non-digital media. This result is </w:t>
      </w:r>
      <w:r w:rsidR="002F22B5" w:rsidRPr="00327ABD">
        <w:t xml:space="preserve">well above </w:t>
      </w:r>
      <w:r w:rsidRPr="00327ABD">
        <w:t>the 15 per cent regional media expenditure target</w:t>
      </w:r>
      <w:r w:rsidR="001D74F4" w:rsidRPr="00327ABD">
        <w:t xml:space="preserve"> for government campaign advertising</w:t>
      </w:r>
      <w:r w:rsidRPr="00327ABD">
        <w:t>.</w:t>
      </w:r>
    </w:p>
    <w:p w14:paraId="7DA9382A" w14:textId="77777777" w:rsidR="00F52754" w:rsidRPr="00327ABD" w:rsidRDefault="00F52754" w:rsidP="00F52754">
      <w:pPr>
        <w:pStyle w:val="Heading3"/>
      </w:pPr>
      <w:r w:rsidRPr="00327ABD">
        <w:t>Multicultural media campaign advertising expenditure</w:t>
      </w:r>
    </w:p>
    <w:p w14:paraId="5FDC8FC1" w14:textId="77777777" w:rsidR="00F52754" w:rsidRPr="00327ABD" w:rsidRDefault="00F52754" w:rsidP="00F52754">
      <w:pPr>
        <w:pStyle w:val="DPCbody"/>
      </w:pPr>
      <w:r w:rsidRPr="00327ABD">
        <w:t xml:space="preserve">The </w:t>
      </w:r>
      <w:hyperlink r:id="rId21" w:history="1">
        <w:r w:rsidRPr="00327ABD">
          <w:rPr>
            <w:rStyle w:val="Hyperlink"/>
            <w:i/>
          </w:rPr>
          <w:t>Victorian Government Multicultural Communication Policy</w:t>
        </w:r>
      </w:hyperlink>
      <w:r w:rsidRPr="00327ABD">
        <w:rPr>
          <w:rStyle w:val="Hyperlink"/>
          <w:i/>
        </w:rPr>
        <w:t xml:space="preserve"> </w:t>
      </w:r>
      <w:r w:rsidRPr="00327ABD">
        <w:t xml:space="preserve">requires that government departments and agencies commit a minimum of five per cent of their total campaign media expenditure towards multicultural media. </w:t>
      </w:r>
    </w:p>
    <w:p w14:paraId="2B83B98E" w14:textId="69FB4D18" w:rsidR="00F52754" w:rsidRPr="00327ABD" w:rsidRDefault="00F52754" w:rsidP="00F52754">
      <w:pPr>
        <w:pStyle w:val="DPCbody"/>
      </w:pPr>
      <w:r w:rsidRPr="00327ABD">
        <w:t xml:space="preserve">In </w:t>
      </w:r>
      <w:r w:rsidR="00E32851" w:rsidRPr="00327ABD">
        <w:t>2020–21</w:t>
      </w:r>
      <w:r w:rsidRPr="00327ABD">
        <w:t>, the Victorian Government spent $</w:t>
      </w:r>
      <w:r w:rsidR="002F22B5" w:rsidRPr="00327ABD">
        <w:t>13 million</w:t>
      </w:r>
      <w:r w:rsidR="00452F44" w:rsidRPr="00327ABD">
        <w:t xml:space="preserve"> </w:t>
      </w:r>
      <w:r w:rsidRPr="00327ABD">
        <w:t>on campaign advertising in multicultural media</w:t>
      </w:r>
      <w:r w:rsidR="00452F44" w:rsidRPr="00327ABD">
        <w:t>, across both ‘traditional’ and digital media (including social media platforms)</w:t>
      </w:r>
      <w:r w:rsidRPr="00327ABD">
        <w:t xml:space="preserve">. </w:t>
      </w:r>
    </w:p>
    <w:p w14:paraId="77723946" w14:textId="68C9772B" w:rsidR="00F52754" w:rsidRPr="00327ABD" w:rsidRDefault="00F52754" w:rsidP="00F52754">
      <w:pPr>
        <w:pStyle w:val="DPCbody"/>
      </w:pPr>
      <w:r w:rsidRPr="00327ABD">
        <w:t xml:space="preserve">This expenditure represents </w:t>
      </w:r>
      <w:r w:rsidR="002F22B5" w:rsidRPr="00327ABD">
        <w:t>9</w:t>
      </w:r>
      <w:r w:rsidR="00452F44" w:rsidRPr="00327ABD">
        <w:t>.6</w:t>
      </w:r>
      <w:r w:rsidRPr="00327ABD">
        <w:t xml:space="preserve"> per cent of the government’s total campaign advertising expenditure during </w:t>
      </w:r>
      <w:r w:rsidR="00E32851" w:rsidRPr="00327ABD">
        <w:t>2020–21</w:t>
      </w:r>
      <w:r w:rsidR="00452F44" w:rsidRPr="00327ABD">
        <w:t xml:space="preserve">, well above </w:t>
      </w:r>
      <w:r w:rsidRPr="00327ABD">
        <w:t xml:space="preserve">the </w:t>
      </w:r>
      <w:r w:rsidR="00452F44" w:rsidRPr="00327ABD">
        <w:t xml:space="preserve">government’s </w:t>
      </w:r>
      <w:r w:rsidR="00233FD3" w:rsidRPr="00327ABD">
        <w:t xml:space="preserve">five </w:t>
      </w:r>
      <w:r w:rsidRPr="00327ABD">
        <w:t>per cent multicultural campaign advertising expenditure target.</w:t>
      </w:r>
    </w:p>
    <w:p w14:paraId="711E9031" w14:textId="77777777" w:rsidR="00F52754" w:rsidRPr="00327ABD" w:rsidRDefault="00F52754">
      <w:pPr>
        <w:rPr>
          <w:rFonts w:asciiTheme="majorHAnsi" w:eastAsia="MS Gothic" w:hAnsiTheme="majorHAnsi" w:cs="Arial"/>
          <w:bCs/>
          <w:color w:val="0072CE"/>
          <w:kern w:val="32"/>
          <w:sz w:val="52"/>
          <w:szCs w:val="52"/>
        </w:rPr>
      </w:pPr>
      <w:r w:rsidRPr="00327ABD">
        <w:br w:type="page"/>
      </w:r>
    </w:p>
    <w:p w14:paraId="2DC1E7BF" w14:textId="3EFFA9B6" w:rsidR="0019676C" w:rsidRPr="00327ABD" w:rsidRDefault="0019676C" w:rsidP="00064075">
      <w:pPr>
        <w:pStyle w:val="Heading1"/>
        <w:keepNext w:val="0"/>
        <w:keepLines w:val="0"/>
        <w:spacing w:after="240" w:line="240" w:lineRule="atLeast"/>
      </w:pPr>
      <w:bookmarkStart w:id="23" w:name="_Toc103839295"/>
      <w:r w:rsidRPr="00327ABD">
        <w:lastRenderedPageBreak/>
        <w:t>Government communication policies and guidelines</w:t>
      </w:r>
      <w:bookmarkEnd w:id="21"/>
      <w:bookmarkEnd w:id="23"/>
    </w:p>
    <w:p w14:paraId="02E46787" w14:textId="77777777" w:rsidR="0019676C" w:rsidRPr="00327ABD" w:rsidRDefault="0019676C" w:rsidP="0019676C">
      <w:pPr>
        <w:pStyle w:val="DPCbody"/>
      </w:pPr>
      <w:r w:rsidRPr="00327ABD">
        <w:t>Victorian Government communication policies and guidelines ensur</w:t>
      </w:r>
      <w:r w:rsidR="00E82652" w:rsidRPr="00327ABD">
        <w:t>e that government communication is</w:t>
      </w:r>
      <w:r w:rsidRPr="00327ABD">
        <w:t xml:space="preserve"> effective, well managed and responsive to the diverse needs of the Victorian community. Policies and guidelines are reviewed and updated from time to time as needed. </w:t>
      </w:r>
    </w:p>
    <w:p w14:paraId="0F64510E" w14:textId="77777777" w:rsidR="004D0960" w:rsidRPr="00DA5CC5" w:rsidRDefault="00F66079" w:rsidP="00883E9C">
      <w:pPr>
        <w:pStyle w:val="DPCbody"/>
      </w:pPr>
      <w:hyperlink r:id="rId22" w:history="1">
        <w:r w:rsidR="0019676C" w:rsidRPr="00327ABD">
          <w:rPr>
            <w:rStyle w:val="Hyperlink"/>
          </w:rPr>
          <w:t xml:space="preserve">Current policies and guidelines are located on the </w:t>
        </w:r>
        <w:r w:rsidR="006631AC" w:rsidRPr="00327ABD">
          <w:rPr>
            <w:rStyle w:val="Hyperlink"/>
          </w:rPr>
          <w:t xml:space="preserve">vic.gov.au </w:t>
        </w:r>
        <w:r w:rsidR="0019676C" w:rsidRPr="00327ABD">
          <w:rPr>
            <w:rStyle w:val="Hyperlink"/>
          </w:rPr>
          <w:t>website</w:t>
        </w:r>
      </w:hyperlink>
      <w:r w:rsidR="0019676C" w:rsidRPr="00327ABD">
        <w:t>.</w:t>
      </w:r>
      <w:r w:rsidR="0019676C" w:rsidRPr="0019676C">
        <w:t xml:space="preserve"> </w:t>
      </w:r>
      <w:bookmarkEnd w:id="3"/>
    </w:p>
    <w:sectPr w:rsidR="004D0960" w:rsidRPr="00DA5CC5" w:rsidSect="00F97D9A">
      <w:headerReference w:type="even" r:id="rId23"/>
      <w:headerReference w:type="default" r:id="rId24"/>
      <w:footerReference w:type="even" r:id="rId25"/>
      <w:footerReference w:type="default" r:id="rId26"/>
      <w:footerReference w:type="first" r:id="rId27"/>
      <w:pgSz w:w="11906" w:h="16838" w:code="9"/>
      <w:pgMar w:top="1701" w:right="1304" w:bottom="1134" w:left="130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2AE8B" w14:textId="77777777" w:rsidR="00F66079" w:rsidRDefault="00F66079">
      <w:r>
        <w:separator/>
      </w:r>
    </w:p>
    <w:p w14:paraId="5E8EED06" w14:textId="77777777" w:rsidR="00F66079" w:rsidRDefault="00F66079"/>
  </w:endnote>
  <w:endnote w:type="continuationSeparator" w:id="0">
    <w:p w14:paraId="14AB4DB8" w14:textId="77777777" w:rsidR="00F66079" w:rsidRDefault="00F66079">
      <w:r>
        <w:continuationSeparator/>
      </w:r>
    </w:p>
    <w:p w14:paraId="0AD138CE" w14:textId="77777777" w:rsidR="00F66079" w:rsidRDefault="00F66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9214" w14:textId="77777777" w:rsidR="00400693" w:rsidRDefault="00400693">
    <w:pPr>
      <w:pStyle w:val="Footer"/>
    </w:pPr>
    <w:r>
      <w:rPr>
        <w:noProof/>
      </w:rPr>
      <mc:AlternateContent>
        <mc:Choice Requires="wps">
          <w:drawing>
            <wp:anchor distT="0" distB="0" distL="114300" distR="114300" simplePos="0" relativeHeight="251657216" behindDoc="0" locked="0" layoutInCell="0" allowOverlap="1" wp14:anchorId="5F26977C" wp14:editId="71F53291">
              <wp:simplePos x="0" y="0"/>
              <wp:positionH relativeFrom="page">
                <wp:posOffset>0</wp:posOffset>
              </wp:positionH>
              <wp:positionV relativeFrom="page">
                <wp:posOffset>10234930</wp:posOffset>
              </wp:positionV>
              <wp:extent cx="7560310" cy="266700"/>
              <wp:effectExtent l="0" t="0" r="0" b="0"/>
              <wp:wrapNone/>
              <wp:docPr id="5" name="MSIPCM89274334b2a57173f900b6bc"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44BD4A" w14:textId="77777777" w:rsidR="00400693" w:rsidRPr="007008AF" w:rsidRDefault="00400693" w:rsidP="007008AF">
                          <w:pPr>
                            <w:rPr>
                              <w:rFonts w:ascii="Calibri" w:hAnsi="Calibri" w:cs="Calibri"/>
                              <w:color w:val="000000"/>
                              <w:sz w:val="22"/>
                            </w:rPr>
                          </w:pPr>
                          <w:r w:rsidRPr="007008A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F26977C" id="_x0000_t202" coordsize="21600,21600" o:spt="202" path="m,l,21600r21600,l21600,xe">
              <v:stroke joinstyle="miter"/>
              <v:path gradientshapeok="t" o:connecttype="rect"/>
            </v:shapetype>
            <v:shape id="MSIPCM89274334b2a57173f900b6bc"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" o:allowincell="f" filled="f" stroked="f" strokeweight=".5pt">
              <v:textbox inset="20pt,0,,0">
                <w:txbxContent>
                  <w:p w14:paraId="1944BD4A" w14:textId="77777777" w:rsidR="00400693" w:rsidRPr="007008AF" w:rsidRDefault="00400693" w:rsidP="007008AF">
                    <w:pPr>
                      <w:rPr>
                        <w:rFonts w:ascii="Calibri" w:hAnsi="Calibri" w:cs="Calibri"/>
                        <w:color w:val="000000"/>
                        <w:sz w:val="22"/>
                      </w:rPr>
                    </w:pPr>
                    <w:r w:rsidRPr="007008AF">
                      <w:rPr>
                        <w:rFonts w:ascii="Calibri" w:hAnsi="Calibri" w:cs="Calibri"/>
                        <w:color w:val="000000"/>
                        <w:sz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2C96" w14:textId="77777777" w:rsidR="00400693" w:rsidRDefault="004006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2E96" w14:textId="2CC3DE60" w:rsidR="00400693" w:rsidRDefault="00F31A43" w:rsidP="00331C46">
    <w:pPr>
      <w:pStyle w:val="Footer"/>
    </w:pPr>
    <w:r>
      <w:rPr>
        <w:noProof/>
      </w:rPr>
      <mc:AlternateContent>
        <mc:Choice Requires="wps">
          <w:drawing>
            <wp:anchor distT="0" distB="0" distL="114300" distR="114300" simplePos="0" relativeHeight="251660288" behindDoc="0" locked="0" layoutInCell="0" allowOverlap="1" wp14:anchorId="7136E64F" wp14:editId="2A6BCEE5">
              <wp:simplePos x="0" y="0"/>
              <wp:positionH relativeFrom="page">
                <wp:posOffset>0</wp:posOffset>
              </wp:positionH>
              <wp:positionV relativeFrom="page">
                <wp:posOffset>10227945</wp:posOffset>
              </wp:positionV>
              <wp:extent cx="7560310" cy="273050"/>
              <wp:effectExtent l="0" t="0" r="0" b="12700"/>
              <wp:wrapNone/>
              <wp:docPr id="7" name="MSIPCMe6024599a01a85828a615710"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0A8476" w14:textId="689B3810" w:rsidR="00F31A43" w:rsidRPr="00F31A43" w:rsidRDefault="00F31A43" w:rsidP="00F31A43">
                          <w:pPr>
                            <w:rPr>
                              <w:rFonts w:ascii="Calibri" w:hAnsi="Calibri" w:cs="Calibri"/>
                              <w:color w:val="000000"/>
                              <w:sz w:val="22"/>
                            </w:rPr>
                          </w:pPr>
                          <w:r w:rsidRPr="00F31A4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136E64F" id="_x0000_t202" coordsize="21600,21600" o:spt="202" path="m,l,21600r21600,l21600,xe">
              <v:stroke joinstyle="miter"/>
              <v:path gradientshapeok="t" o:connecttype="rect"/>
            </v:shapetype>
            <v:shape id="MSIPCMe6024599a01a85828a615710" o:spid="_x0000_s1027" type="#_x0000_t202" alt="{&quot;HashCode&quot;:-1267603503,&quot;Height&quot;:841.0,&quot;Width&quot;:595.0,&quot;Placement&quot;:&quot;Footer&quot;,&quot;Index&quot;:&quot;Primary&quot;,&quot;Section&quot;:2,&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" o:allowincell="f" filled="f" stroked="f" strokeweight=".5pt">
              <v:textbox inset="20pt,0,,0">
                <w:txbxContent>
                  <w:p w14:paraId="260A8476" w14:textId="689B3810" w:rsidR="00F31A43" w:rsidRPr="00F31A43" w:rsidRDefault="00F31A43" w:rsidP="00F31A43">
                    <w:pPr>
                      <w:rPr>
                        <w:rFonts w:ascii="Calibri" w:hAnsi="Calibri" w:cs="Calibri"/>
                        <w:color w:val="000000"/>
                        <w:sz w:val="22"/>
                      </w:rPr>
                    </w:pPr>
                    <w:r w:rsidRPr="00F31A43">
                      <w:rPr>
                        <w:rFonts w:ascii="Calibri" w:hAnsi="Calibri" w:cs="Calibri"/>
                        <w:color w:val="000000"/>
                        <w:sz w:val="22"/>
                      </w:rPr>
                      <w:t>OFFICIAL</w:t>
                    </w:r>
                  </w:p>
                </w:txbxContent>
              </v:textbox>
              <w10:wrap anchorx="page" anchory="page"/>
            </v:shape>
          </w:pict>
        </mc:Fallback>
      </mc:AlternateContent>
    </w:r>
    <w:r w:rsidR="00400693" w:rsidRPr="0057489B">
      <w:t>Victorian Gov</w:t>
    </w:r>
    <w:r w:rsidR="00400693">
      <w:t xml:space="preserve">ernment Advertising Report </w:t>
    </w:r>
    <w:r>
      <w:t>2020–21</w:t>
    </w:r>
    <w:r w:rsidR="00400693" w:rsidRPr="00A80D31">
      <w:tab/>
    </w:r>
    <w:r w:rsidR="00400693" w:rsidRPr="00A80D31">
      <w:fldChar w:fldCharType="begin"/>
    </w:r>
    <w:r w:rsidR="00400693" w:rsidRPr="00A80D31">
      <w:instrText xml:space="preserve"> PAGE </w:instrText>
    </w:r>
    <w:r w:rsidR="00400693" w:rsidRPr="00A80D31">
      <w:fldChar w:fldCharType="separate"/>
    </w:r>
    <w:r w:rsidR="00400693">
      <w:rPr>
        <w:noProof/>
      </w:rPr>
      <w:t>2</w:t>
    </w:r>
    <w:r w:rsidR="00400693" w:rsidRPr="00A80D3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15C31" w14:textId="77777777" w:rsidR="00400693" w:rsidRPr="001A7E04" w:rsidRDefault="00400693"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59F7B" w14:textId="77777777" w:rsidR="00F66079" w:rsidRDefault="00F66079">
      <w:r>
        <w:separator/>
      </w:r>
    </w:p>
  </w:footnote>
  <w:footnote w:type="continuationSeparator" w:id="0">
    <w:p w14:paraId="1C859BD7" w14:textId="77777777" w:rsidR="00F66079" w:rsidRDefault="00F66079">
      <w:r>
        <w:continuationSeparator/>
      </w:r>
    </w:p>
    <w:p w14:paraId="4CB84DFD" w14:textId="77777777" w:rsidR="00F66079" w:rsidRDefault="00F66079"/>
  </w:footnote>
  <w:footnote w:id="1">
    <w:p w14:paraId="0FA615BB" w14:textId="70A7627E" w:rsidR="00400693" w:rsidRDefault="00400693" w:rsidP="001121C1">
      <w:pPr>
        <w:pStyle w:val="FootnoteText"/>
      </w:pPr>
      <w:r>
        <w:rPr>
          <w:rStyle w:val="FootnoteReference"/>
        </w:rPr>
        <w:footnoteRef/>
      </w:r>
      <w:r>
        <w:t xml:space="preserve"> For </w:t>
      </w:r>
      <w:r w:rsidR="00FA152F">
        <w:t>2020–21</w:t>
      </w:r>
      <w:r w:rsidRPr="00045B3B">
        <w:t>,</w:t>
      </w:r>
      <w:r>
        <w:t xml:space="preserve"> the relevant Financial Reporting Direction was</w:t>
      </w:r>
      <w:r w:rsidR="00FA152F">
        <w:t xml:space="preserve"> </w:t>
      </w:r>
      <w:hyperlink r:id="rId1" w:history="1">
        <w:r w:rsidR="00FA152F" w:rsidRPr="00FA152F">
          <w:rPr>
            <w:rStyle w:val="Hyperlink"/>
            <w:i/>
            <w:iCs/>
          </w:rPr>
          <w:t>FRD 22I – Standard disclosures in the Report of Operations (July 2021)</w:t>
        </w:r>
      </w:hyperlink>
      <w:r w:rsidRPr="00FA152F">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1590" w14:textId="77777777" w:rsidR="00400693" w:rsidRDefault="00400693">
    <w:pPr>
      <w:pStyle w:val="Header"/>
    </w:pPr>
    <w:r>
      <w:rPr>
        <w:noProof/>
        <w:lang w:eastAsia="en-AU"/>
      </w:rPr>
      <w:drawing>
        <wp:anchor distT="0" distB="0" distL="114300" distR="114300" simplePos="0" relativeHeight="251659264" behindDoc="0" locked="1" layoutInCell="0" allowOverlap="1" wp14:anchorId="7FB1CD39" wp14:editId="794E56B5">
          <wp:simplePos x="0" y="0"/>
          <wp:positionH relativeFrom="page">
            <wp:posOffset>0</wp:posOffset>
          </wp:positionH>
          <wp:positionV relativeFrom="page">
            <wp:posOffset>360045</wp:posOffset>
          </wp:positionV>
          <wp:extent cx="7563600" cy="50292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3600" cy="502920"/>
                  </a:xfrm>
                  <a:prstGeom prst="rect">
                    <a:avLst/>
                  </a:prstGeom>
                </pic:spPr>
              </pic:pic>
            </a:graphicData>
          </a:graphic>
          <wp14:sizeRelH relativeFrom="margin">
            <wp14:pctWidth>0</wp14:pctWidth>
          </wp14:sizeRelH>
          <wp14:sizeRelV relativeFrom="margin">
            <wp14:pctHeight>0</wp14:pctHeight>
          </wp14:sizeRelV>
        </wp:anchor>
      </w:drawing>
    </w:r>
  </w:p>
  <w:p w14:paraId="5FAAF021" w14:textId="77777777" w:rsidR="00400693" w:rsidRDefault="004006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FEC2" w14:textId="77777777" w:rsidR="00400693" w:rsidRDefault="00400693">
    <w:pPr>
      <w:pStyle w:val="Header"/>
    </w:pPr>
    <w:r>
      <w:rPr>
        <w:noProof/>
        <w:lang w:eastAsia="en-AU"/>
      </w:rPr>
      <w:drawing>
        <wp:anchor distT="0" distB="0" distL="114300" distR="114300" simplePos="0" relativeHeight="251656192" behindDoc="0" locked="1" layoutInCell="0" allowOverlap="1" wp14:anchorId="1D9A3D05" wp14:editId="4D6150EB">
          <wp:simplePos x="0" y="0"/>
          <wp:positionH relativeFrom="page">
            <wp:posOffset>635</wp:posOffset>
          </wp:positionH>
          <wp:positionV relativeFrom="page">
            <wp:posOffset>341630</wp:posOffset>
          </wp:positionV>
          <wp:extent cx="7555865" cy="501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5865" cy="501015"/>
                  </a:xfrm>
                  <a:prstGeom prst="rect">
                    <a:avLst/>
                  </a:prstGeom>
                </pic:spPr>
              </pic:pic>
            </a:graphicData>
          </a:graphic>
          <wp14:sizeRelH relativeFrom="margin">
            <wp14:pctWidth>0</wp14:pctWidth>
          </wp14:sizeRelH>
          <wp14:sizeRelV relativeFrom="margin">
            <wp14:pctHeight>0</wp14:pctHeight>
          </wp14:sizeRelV>
        </wp:anchor>
      </w:drawing>
    </w:r>
  </w:p>
  <w:p w14:paraId="54164B6A" w14:textId="77777777" w:rsidR="00400693" w:rsidRDefault="004006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77CB"/>
    <w:multiLevelType w:val="multilevel"/>
    <w:tmpl w:val="4E22E2A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29E75C5"/>
    <w:multiLevelType w:val="multilevel"/>
    <w:tmpl w:val="0002A950"/>
    <w:lvl w:ilvl="0">
      <w:start w:val="1"/>
      <w:numFmt w:val="bullet"/>
      <w:lvlText w:val="▪"/>
      <w:lvlJc w:val="left"/>
      <w:pPr>
        <w:ind w:left="284" w:hanging="284"/>
      </w:pPr>
      <w:rPr>
        <w:rFonts w:ascii="Calibri" w:hAnsi="Calibri" w:hint="default"/>
        <w:sz w:val="22"/>
        <w:szCs w:val="22"/>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25CF23F8"/>
    <w:multiLevelType w:val="hybridMultilevel"/>
    <w:tmpl w:val="2A1CE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2478D2"/>
    <w:multiLevelType w:val="multilevel"/>
    <w:tmpl w:val="6AE413A0"/>
    <w:styleLink w:val="ZZBullets"/>
    <w:lvl w:ilvl="0">
      <w:start w:val="1"/>
      <w:numFmt w:val="bullet"/>
      <w:pStyle w:val="DPCbullet1"/>
      <w:lvlText w:val="▪"/>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5785BF2"/>
    <w:multiLevelType w:val="hybridMultilevel"/>
    <w:tmpl w:val="41BC4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5BB27C8"/>
    <w:multiLevelType w:val="hybridMultilevel"/>
    <w:tmpl w:val="B60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706812E4"/>
    <w:multiLevelType w:val="hybridMultilevel"/>
    <w:tmpl w:val="CA5A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D3A5BB7"/>
    <w:multiLevelType w:val="hybridMultilevel"/>
    <w:tmpl w:val="A0C8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11"/>
  </w:num>
  <w:num w:numId="5">
    <w:abstractNumId w:val="0"/>
  </w:num>
  <w:num w:numId="6">
    <w:abstractNumId w:val="1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4"/>
  </w:num>
  <w:num w:numId="26">
    <w:abstractNumId w:val="13"/>
  </w:num>
  <w:num w:numId="27">
    <w:abstractNumId w:val="12"/>
  </w:num>
  <w:num w:numId="28">
    <w:abstractNumId w:val="10"/>
  </w:num>
  <w:num w:numId="29">
    <w:abstractNumId w:val="9"/>
  </w:num>
  <w:num w:numId="30">
    <w:abstractNumId w:val="5"/>
  </w:num>
  <w:num w:numId="31">
    <w:abstractNumId w:val="15"/>
  </w:num>
  <w:num w:numId="3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ED8"/>
    <w:rsid w:val="00000FE6"/>
    <w:rsid w:val="000024A3"/>
    <w:rsid w:val="00002990"/>
    <w:rsid w:val="000048AC"/>
    <w:rsid w:val="00010E86"/>
    <w:rsid w:val="00014DD4"/>
    <w:rsid w:val="00014FC4"/>
    <w:rsid w:val="00020AAB"/>
    <w:rsid w:val="00022E60"/>
    <w:rsid w:val="0002569A"/>
    <w:rsid w:val="0002692A"/>
    <w:rsid w:val="00026C19"/>
    <w:rsid w:val="000270E1"/>
    <w:rsid w:val="000272A6"/>
    <w:rsid w:val="00031B1A"/>
    <w:rsid w:val="00032120"/>
    <w:rsid w:val="000331FC"/>
    <w:rsid w:val="000446A9"/>
    <w:rsid w:val="00045B3B"/>
    <w:rsid w:val="000464DC"/>
    <w:rsid w:val="00050EC6"/>
    <w:rsid w:val="00060E93"/>
    <w:rsid w:val="00064075"/>
    <w:rsid w:val="00064936"/>
    <w:rsid w:val="00066CF2"/>
    <w:rsid w:val="0006738F"/>
    <w:rsid w:val="00071A38"/>
    <w:rsid w:val="00072333"/>
    <w:rsid w:val="000734F8"/>
    <w:rsid w:val="000736B8"/>
    <w:rsid w:val="000763E5"/>
    <w:rsid w:val="0008044A"/>
    <w:rsid w:val="000814B6"/>
    <w:rsid w:val="000814C5"/>
    <w:rsid w:val="000817CB"/>
    <w:rsid w:val="00085EE5"/>
    <w:rsid w:val="0008644A"/>
    <w:rsid w:val="000869E5"/>
    <w:rsid w:val="000873EF"/>
    <w:rsid w:val="00087CDC"/>
    <w:rsid w:val="0009003A"/>
    <w:rsid w:val="00090581"/>
    <w:rsid w:val="00091881"/>
    <w:rsid w:val="00092660"/>
    <w:rsid w:val="00094A6A"/>
    <w:rsid w:val="00096040"/>
    <w:rsid w:val="000A3D10"/>
    <w:rsid w:val="000A4320"/>
    <w:rsid w:val="000A63B2"/>
    <w:rsid w:val="000B5CEE"/>
    <w:rsid w:val="000B5EE6"/>
    <w:rsid w:val="000B697D"/>
    <w:rsid w:val="000B7B12"/>
    <w:rsid w:val="000C0909"/>
    <w:rsid w:val="000C188D"/>
    <w:rsid w:val="000C426D"/>
    <w:rsid w:val="000C5A15"/>
    <w:rsid w:val="000C6242"/>
    <w:rsid w:val="000C648C"/>
    <w:rsid w:val="000C68DB"/>
    <w:rsid w:val="000C774D"/>
    <w:rsid w:val="000D2C32"/>
    <w:rsid w:val="000D2F10"/>
    <w:rsid w:val="000D484F"/>
    <w:rsid w:val="000D6869"/>
    <w:rsid w:val="000E23EC"/>
    <w:rsid w:val="000E38B6"/>
    <w:rsid w:val="000E69B3"/>
    <w:rsid w:val="000E6F72"/>
    <w:rsid w:val="000F0478"/>
    <w:rsid w:val="000F5368"/>
    <w:rsid w:val="00103D5E"/>
    <w:rsid w:val="00104C1F"/>
    <w:rsid w:val="00104EA7"/>
    <w:rsid w:val="00105473"/>
    <w:rsid w:val="00105FAD"/>
    <w:rsid w:val="0010700A"/>
    <w:rsid w:val="00111412"/>
    <w:rsid w:val="0011155B"/>
    <w:rsid w:val="00111A6A"/>
    <w:rsid w:val="001121C1"/>
    <w:rsid w:val="00113A17"/>
    <w:rsid w:val="001157B0"/>
    <w:rsid w:val="00121BF1"/>
    <w:rsid w:val="001224A8"/>
    <w:rsid w:val="00122BFB"/>
    <w:rsid w:val="001232B7"/>
    <w:rsid w:val="00125D10"/>
    <w:rsid w:val="00127A8B"/>
    <w:rsid w:val="00131DC3"/>
    <w:rsid w:val="00134BE5"/>
    <w:rsid w:val="0013636B"/>
    <w:rsid w:val="00136370"/>
    <w:rsid w:val="00141650"/>
    <w:rsid w:val="00141A17"/>
    <w:rsid w:val="0014221E"/>
    <w:rsid w:val="001423E3"/>
    <w:rsid w:val="00145736"/>
    <w:rsid w:val="001475EA"/>
    <w:rsid w:val="001504F5"/>
    <w:rsid w:val="00150F8F"/>
    <w:rsid w:val="001517BD"/>
    <w:rsid w:val="001530EB"/>
    <w:rsid w:val="0015361E"/>
    <w:rsid w:val="001552EF"/>
    <w:rsid w:val="00162036"/>
    <w:rsid w:val="00162057"/>
    <w:rsid w:val="00162DDC"/>
    <w:rsid w:val="00162E5D"/>
    <w:rsid w:val="0017248D"/>
    <w:rsid w:val="0017272C"/>
    <w:rsid w:val="00173626"/>
    <w:rsid w:val="00175E40"/>
    <w:rsid w:val="0017614A"/>
    <w:rsid w:val="001817CD"/>
    <w:rsid w:val="00181B54"/>
    <w:rsid w:val="0018235E"/>
    <w:rsid w:val="001837C0"/>
    <w:rsid w:val="00186D37"/>
    <w:rsid w:val="001875D3"/>
    <w:rsid w:val="00192BA0"/>
    <w:rsid w:val="0019676C"/>
    <w:rsid w:val="00197013"/>
    <w:rsid w:val="001971C9"/>
    <w:rsid w:val="00197303"/>
    <w:rsid w:val="001A17EA"/>
    <w:rsid w:val="001A7A18"/>
    <w:rsid w:val="001A7CDE"/>
    <w:rsid w:val="001B1565"/>
    <w:rsid w:val="001B166D"/>
    <w:rsid w:val="001B27BB"/>
    <w:rsid w:val="001B28B5"/>
    <w:rsid w:val="001B2975"/>
    <w:rsid w:val="001B7949"/>
    <w:rsid w:val="001C122D"/>
    <w:rsid w:val="001D273F"/>
    <w:rsid w:val="001D2A82"/>
    <w:rsid w:val="001D2F06"/>
    <w:rsid w:val="001D445F"/>
    <w:rsid w:val="001D569B"/>
    <w:rsid w:val="001D74F4"/>
    <w:rsid w:val="001E0EA3"/>
    <w:rsid w:val="001E2E20"/>
    <w:rsid w:val="001E4A90"/>
    <w:rsid w:val="001E5F5F"/>
    <w:rsid w:val="001F43E6"/>
    <w:rsid w:val="00201ECE"/>
    <w:rsid w:val="00203E9E"/>
    <w:rsid w:val="00205267"/>
    <w:rsid w:val="00205C40"/>
    <w:rsid w:val="00207301"/>
    <w:rsid w:val="0021152A"/>
    <w:rsid w:val="00213772"/>
    <w:rsid w:val="00213CAA"/>
    <w:rsid w:val="00213E5E"/>
    <w:rsid w:val="00214F84"/>
    <w:rsid w:val="002150E2"/>
    <w:rsid w:val="00215B5D"/>
    <w:rsid w:val="002170F8"/>
    <w:rsid w:val="00217B22"/>
    <w:rsid w:val="00220749"/>
    <w:rsid w:val="002219A8"/>
    <w:rsid w:val="0022422C"/>
    <w:rsid w:val="0022724E"/>
    <w:rsid w:val="00230458"/>
    <w:rsid w:val="00230666"/>
    <w:rsid w:val="00231153"/>
    <w:rsid w:val="00232144"/>
    <w:rsid w:val="0023252E"/>
    <w:rsid w:val="00232CE7"/>
    <w:rsid w:val="00232D35"/>
    <w:rsid w:val="00233FD3"/>
    <w:rsid w:val="002346DE"/>
    <w:rsid w:val="002364DC"/>
    <w:rsid w:val="002409FB"/>
    <w:rsid w:val="00241C31"/>
    <w:rsid w:val="00244094"/>
    <w:rsid w:val="00246B6B"/>
    <w:rsid w:val="00254988"/>
    <w:rsid w:val="002557C0"/>
    <w:rsid w:val="0026104C"/>
    <w:rsid w:val="00263C52"/>
    <w:rsid w:val="00264C2E"/>
    <w:rsid w:val="002714FD"/>
    <w:rsid w:val="00272BE8"/>
    <w:rsid w:val="00272DBC"/>
    <w:rsid w:val="00275F94"/>
    <w:rsid w:val="002763E8"/>
    <w:rsid w:val="00281B9C"/>
    <w:rsid w:val="002848F2"/>
    <w:rsid w:val="00284C9B"/>
    <w:rsid w:val="00285CBD"/>
    <w:rsid w:val="00287FC5"/>
    <w:rsid w:val="0029011D"/>
    <w:rsid w:val="002909AE"/>
    <w:rsid w:val="00292FCF"/>
    <w:rsid w:val="00295421"/>
    <w:rsid w:val="00295DC0"/>
    <w:rsid w:val="002A141B"/>
    <w:rsid w:val="002A26B6"/>
    <w:rsid w:val="002A3E1C"/>
    <w:rsid w:val="002A557E"/>
    <w:rsid w:val="002A6A4E"/>
    <w:rsid w:val="002A6BFB"/>
    <w:rsid w:val="002A798F"/>
    <w:rsid w:val="002B1124"/>
    <w:rsid w:val="002B3289"/>
    <w:rsid w:val="002B5A0B"/>
    <w:rsid w:val="002B5A85"/>
    <w:rsid w:val="002B63A7"/>
    <w:rsid w:val="002C29A3"/>
    <w:rsid w:val="002C4D47"/>
    <w:rsid w:val="002C5543"/>
    <w:rsid w:val="002D0F7F"/>
    <w:rsid w:val="002D12ED"/>
    <w:rsid w:val="002D1A7C"/>
    <w:rsid w:val="002D2A41"/>
    <w:rsid w:val="002D4532"/>
    <w:rsid w:val="002D514F"/>
    <w:rsid w:val="002D5213"/>
    <w:rsid w:val="002E0198"/>
    <w:rsid w:val="002E1D7C"/>
    <w:rsid w:val="002E2475"/>
    <w:rsid w:val="002E2AA7"/>
    <w:rsid w:val="002E45F5"/>
    <w:rsid w:val="002E7EEC"/>
    <w:rsid w:val="002F201C"/>
    <w:rsid w:val="002F22B5"/>
    <w:rsid w:val="002F40C1"/>
    <w:rsid w:val="002F449B"/>
    <w:rsid w:val="002F4D86"/>
    <w:rsid w:val="002F7C77"/>
    <w:rsid w:val="0030394B"/>
    <w:rsid w:val="0030507D"/>
    <w:rsid w:val="00312D49"/>
    <w:rsid w:val="00315BBD"/>
    <w:rsid w:val="0031753A"/>
    <w:rsid w:val="003200F3"/>
    <w:rsid w:val="00320FDE"/>
    <w:rsid w:val="00322CC2"/>
    <w:rsid w:val="00322D4A"/>
    <w:rsid w:val="00327ABD"/>
    <w:rsid w:val="003307C8"/>
    <w:rsid w:val="00331C46"/>
    <w:rsid w:val="00334B54"/>
    <w:rsid w:val="003373DB"/>
    <w:rsid w:val="00337CCC"/>
    <w:rsid w:val="00340E03"/>
    <w:rsid w:val="00343733"/>
    <w:rsid w:val="0034479E"/>
    <w:rsid w:val="00345323"/>
    <w:rsid w:val="00346B4E"/>
    <w:rsid w:val="003507BF"/>
    <w:rsid w:val="00352B6B"/>
    <w:rsid w:val="00353D19"/>
    <w:rsid w:val="00355761"/>
    <w:rsid w:val="00355886"/>
    <w:rsid w:val="003560D2"/>
    <w:rsid w:val="00356197"/>
    <w:rsid w:val="00356814"/>
    <w:rsid w:val="003572EA"/>
    <w:rsid w:val="003618C4"/>
    <w:rsid w:val="003628B5"/>
    <w:rsid w:val="00366801"/>
    <w:rsid w:val="003716FB"/>
    <w:rsid w:val="003720DD"/>
    <w:rsid w:val="003730D6"/>
    <w:rsid w:val="00374EDE"/>
    <w:rsid w:val="00375E09"/>
    <w:rsid w:val="0038077C"/>
    <w:rsid w:val="00382071"/>
    <w:rsid w:val="00383E9C"/>
    <w:rsid w:val="0038492A"/>
    <w:rsid w:val="003928C7"/>
    <w:rsid w:val="00392E93"/>
    <w:rsid w:val="003936B0"/>
    <w:rsid w:val="003949FB"/>
    <w:rsid w:val="003A0470"/>
    <w:rsid w:val="003A2BF6"/>
    <w:rsid w:val="003A2F25"/>
    <w:rsid w:val="003A438C"/>
    <w:rsid w:val="003A497F"/>
    <w:rsid w:val="003A78DC"/>
    <w:rsid w:val="003B2807"/>
    <w:rsid w:val="003B5CC5"/>
    <w:rsid w:val="003B7D12"/>
    <w:rsid w:val="003B7E7C"/>
    <w:rsid w:val="003C3344"/>
    <w:rsid w:val="003D307B"/>
    <w:rsid w:val="003D4500"/>
    <w:rsid w:val="003D4AF3"/>
    <w:rsid w:val="003D5CFB"/>
    <w:rsid w:val="003E0316"/>
    <w:rsid w:val="003E0C36"/>
    <w:rsid w:val="003E112F"/>
    <w:rsid w:val="003E2636"/>
    <w:rsid w:val="003E2CC5"/>
    <w:rsid w:val="003E2E12"/>
    <w:rsid w:val="003E3AAD"/>
    <w:rsid w:val="003E721B"/>
    <w:rsid w:val="003F0EA4"/>
    <w:rsid w:val="003F39CE"/>
    <w:rsid w:val="003F4127"/>
    <w:rsid w:val="003F5061"/>
    <w:rsid w:val="003F506C"/>
    <w:rsid w:val="003F5BD7"/>
    <w:rsid w:val="00400693"/>
    <w:rsid w:val="00400F7C"/>
    <w:rsid w:val="00401108"/>
    <w:rsid w:val="00402927"/>
    <w:rsid w:val="00403AE9"/>
    <w:rsid w:val="00411009"/>
    <w:rsid w:val="00411833"/>
    <w:rsid w:val="00412F64"/>
    <w:rsid w:val="00417BEB"/>
    <w:rsid w:val="00424129"/>
    <w:rsid w:val="0042412D"/>
    <w:rsid w:val="004263E8"/>
    <w:rsid w:val="00431779"/>
    <w:rsid w:val="004324FF"/>
    <w:rsid w:val="00432A55"/>
    <w:rsid w:val="00435468"/>
    <w:rsid w:val="004374D2"/>
    <w:rsid w:val="00440909"/>
    <w:rsid w:val="0044260A"/>
    <w:rsid w:val="00444D82"/>
    <w:rsid w:val="00446028"/>
    <w:rsid w:val="00451A8D"/>
    <w:rsid w:val="00452F44"/>
    <w:rsid w:val="0045300B"/>
    <w:rsid w:val="00455C4F"/>
    <w:rsid w:val="004564C6"/>
    <w:rsid w:val="004606EA"/>
    <w:rsid w:val="004610CC"/>
    <w:rsid w:val="004615EE"/>
    <w:rsid w:val="00462BF3"/>
    <w:rsid w:val="00465464"/>
    <w:rsid w:val="00465E87"/>
    <w:rsid w:val="00467002"/>
    <w:rsid w:val="0047020D"/>
    <w:rsid w:val="004723BB"/>
    <w:rsid w:val="004725D3"/>
    <w:rsid w:val="00472C04"/>
    <w:rsid w:val="00475970"/>
    <w:rsid w:val="004761BB"/>
    <w:rsid w:val="00476DB8"/>
    <w:rsid w:val="0047786A"/>
    <w:rsid w:val="00477A65"/>
    <w:rsid w:val="00477EDE"/>
    <w:rsid w:val="00480278"/>
    <w:rsid w:val="00480B9F"/>
    <w:rsid w:val="00482DB3"/>
    <w:rsid w:val="00483381"/>
    <w:rsid w:val="0048380B"/>
    <w:rsid w:val="00492501"/>
    <w:rsid w:val="0049411B"/>
    <w:rsid w:val="004963BF"/>
    <w:rsid w:val="0049707A"/>
    <w:rsid w:val="004A0236"/>
    <w:rsid w:val="004A0F60"/>
    <w:rsid w:val="004A369A"/>
    <w:rsid w:val="004A3B3E"/>
    <w:rsid w:val="004A4027"/>
    <w:rsid w:val="004A4C54"/>
    <w:rsid w:val="004B20C7"/>
    <w:rsid w:val="004B3B86"/>
    <w:rsid w:val="004B53A4"/>
    <w:rsid w:val="004C294E"/>
    <w:rsid w:val="004C4D4A"/>
    <w:rsid w:val="004C7E25"/>
    <w:rsid w:val="004C7F51"/>
    <w:rsid w:val="004D00F0"/>
    <w:rsid w:val="004D0173"/>
    <w:rsid w:val="004D0960"/>
    <w:rsid w:val="004D1056"/>
    <w:rsid w:val="004D51D2"/>
    <w:rsid w:val="004D5F23"/>
    <w:rsid w:val="004E293F"/>
    <w:rsid w:val="004E2D51"/>
    <w:rsid w:val="004E729E"/>
    <w:rsid w:val="004E7922"/>
    <w:rsid w:val="004F0DFC"/>
    <w:rsid w:val="004F23EC"/>
    <w:rsid w:val="004F41B2"/>
    <w:rsid w:val="004F4871"/>
    <w:rsid w:val="004F4AFC"/>
    <w:rsid w:val="004F52A5"/>
    <w:rsid w:val="004F6328"/>
    <w:rsid w:val="004F76A0"/>
    <w:rsid w:val="00500889"/>
    <w:rsid w:val="00500C8C"/>
    <w:rsid w:val="00501375"/>
    <w:rsid w:val="00501D7E"/>
    <w:rsid w:val="005022C9"/>
    <w:rsid w:val="0050247C"/>
    <w:rsid w:val="0050267C"/>
    <w:rsid w:val="00502D80"/>
    <w:rsid w:val="0050633E"/>
    <w:rsid w:val="0050779D"/>
    <w:rsid w:val="00510435"/>
    <w:rsid w:val="00511110"/>
    <w:rsid w:val="0051316B"/>
    <w:rsid w:val="00517A23"/>
    <w:rsid w:val="00520BBB"/>
    <w:rsid w:val="00522120"/>
    <w:rsid w:val="00525456"/>
    <w:rsid w:val="00526B1F"/>
    <w:rsid w:val="00531322"/>
    <w:rsid w:val="00531650"/>
    <w:rsid w:val="00532236"/>
    <w:rsid w:val="00535785"/>
    <w:rsid w:val="00537CD2"/>
    <w:rsid w:val="00541DFE"/>
    <w:rsid w:val="00543E6C"/>
    <w:rsid w:val="005457F0"/>
    <w:rsid w:val="005462AE"/>
    <w:rsid w:val="00550D4F"/>
    <w:rsid w:val="00551152"/>
    <w:rsid w:val="00552DD4"/>
    <w:rsid w:val="005545B6"/>
    <w:rsid w:val="005552FD"/>
    <w:rsid w:val="00555ED8"/>
    <w:rsid w:val="0055648C"/>
    <w:rsid w:val="005600E5"/>
    <w:rsid w:val="00560A70"/>
    <w:rsid w:val="005627A7"/>
    <w:rsid w:val="00562BB4"/>
    <w:rsid w:val="00564E8F"/>
    <w:rsid w:val="00571B46"/>
    <w:rsid w:val="00571D7F"/>
    <w:rsid w:val="005728A4"/>
    <w:rsid w:val="00572DB4"/>
    <w:rsid w:val="005740A6"/>
    <w:rsid w:val="0057489B"/>
    <w:rsid w:val="005748A9"/>
    <w:rsid w:val="00576299"/>
    <w:rsid w:val="005763FC"/>
    <w:rsid w:val="00576EB4"/>
    <w:rsid w:val="00582768"/>
    <w:rsid w:val="00582824"/>
    <w:rsid w:val="00583461"/>
    <w:rsid w:val="005856A4"/>
    <w:rsid w:val="00590730"/>
    <w:rsid w:val="00590C2A"/>
    <w:rsid w:val="0059347A"/>
    <w:rsid w:val="005A1745"/>
    <w:rsid w:val="005A3051"/>
    <w:rsid w:val="005A3F43"/>
    <w:rsid w:val="005A4513"/>
    <w:rsid w:val="005A53FE"/>
    <w:rsid w:val="005B0410"/>
    <w:rsid w:val="005B771C"/>
    <w:rsid w:val="005B7D22"/>
    <w:rsid w:val="005C029E"/>
    <w:rsid w:val="005C7FE5"/>
    <w:rsid w:val="005D2394"/>
    <w:rsid w:val="005D2669"/>
    <w:rsid w:val="005D4756"/>
    <w:rsid w:val="005D52C8"/>
    <w:rsid w:val="005E04C4"/>
    <w:rsid w:val="005E085D"/>
    <w:rsid w:val="005E1B17"/>
    <w:rsid w:val="005E32C7"/>
    <w:rsid w:val="005E3FA7"/>
    <w:rsid w:val="005E7963"/>
    <w:rsid w:val="005F218C"/>
    <w:rsid w:val="005F59CC"/>
    <w:rsid w:val="005F5AD2"/>
    <w:rsid w:val="005F790C"/>
    <w:rsid w:val="006005F2"/>
    <w:rsid w:val="00601D4D"/>
    <w:rsid w:val="006021B4"/>
    <w:rsid w:val="00602FF6"/>
    <w:rsid w:val="006038FF"/>
    <w:rsid w:val="00604DAF"/>
    <w:rsid w:val="0060533E"/>
    <w:rsid w:val="006062D8"/>
    <w:rsid w:val="00606827"/>
    <w:rsid w:val="00613A53"/>
    <w:rsid w:val="00614E59"/>
    <w:rsid w:val="00615723"/>
    <w:rsid w:val="0061779E"/>
    <w:rsid w:val="00617DCC"/>
    <w:rsid w:val="00620262"/>
    <w:rsid w:val="00620713"/>
    <w:rsid w:val="00620A76"/>
    <w:rsid w:val="00621001"/>
    <w:rsid w:val="00621B4C"/>
    <w:rsid w:val="006229BB"/>
    <w:rsid w:val="00624117"/>
    <w:rsid w:val="006242CB"/>
    <w:rsid w:val="006264F0"/>
    <w:rsid w:val="00626FC9"/>
    <w:rsid w:val="00627465"/>
    <w:rsid w:val="006274FE"/>
    <w:rsid w:val="00627C52"/>
    <w:rsid w:val="00630937"/>
    <w:rsid w:val="00631086"/>
    <w:rsid w:val="0063220A"/>
    <w:rsid w:val="006452A6"/>
    <w:rsid w:val="006470EB"/>
    <w:rsid w:val="00650310"/>
    <w:rsid w:val="00653B84"/>
    <w:rsid w:val="006561C7"/>
    <w:rsid w:val="006623DE"/>
    <w:rsid w:val="006631AC"/>
    <w:rsid w:val="00663538"/>
    <w:rsid w:val="006635CC"/>
    <w:rsid w:val="00665B41"/>
    <w:rsid w:val="00670614"/>
    <w:rsid w:val="0067198C"/>
    <w:rsid w:val="006722B7"/>
    <w:rsid w:val="00672D65"/>
    <w:rsid w:val="00672D8A"/>
    <w:rsid w:val="00675A62"/>
    <w:rsid w:val="006764C7"/>
    <w:rsid w:val="00681CDB"/>
    <w:rsid w:val="00681E95"/>
    <w:rsid w:val="006822E6"/>
    <w:rsid w:val="00685536"/>
    <w:rsid w:val="00685CD1"/>
    <w:rsid w:val="006865C8"/>
    <w:rsid w:val="00686806"/>
    <w:rsid w:val="006869BB"/>
    <w:rsid w:val="00686B48"/>
    <w:rsid w:val="00687038"/>
    <w:rsid w:val="0068714E"/>
    <w:rsid w:val="006909FD"/>
    <w:rsid w:val="00690B51"/>
    <w:rsid w:val="00692548"/>
    <w:rsid w:val="0069297B"/>
    <w:rsid w:val="006929F7"/>
    <w:rsid w:val="0069374A"/>
    <w:rsid w:val="006A2E73"/>
    <w:rsid w:val="006A6E04"/>
    <w:rsid w:val="006B2C51"/>
    <w:rsid w:val="006B6361"/>
    <w:rsid w:val="006C01C9"/>
    <w:rsid w:val="006C3896"/>
    <w:rsid w:val="006C45A6"/>
    <w:rsid w:val="006C560B"/>
    <w:rsid w:val="006C63C1"/>
    <w:rsid w:val="006C7844"/>
    <w:rsid w:val="006D0149"/>
    <w:rsid w:val="006D2A79"/>
    <w:rsid w:val="006D2D53"/>
    <w:rsid w:val="006D2F4B"/>
    <w:rsid w:val="006D360C"/>
    <w:rsid w:val="006D5AC9"/>
    <w:rsid w:val="006D66ED"/>
    <w:rsid w:val="006D7199"/>
    <w:rsid w:val="006E1C1A"/>
    <w:rsid w:val="006E48A0"/>
    <w:rsid w:val="006E6709"/>
    <w:rsid w:val="006E786B"/>
    <w:rsid w:val="006F1DC8"/>
    <w:rsid w:val="006F613A"/>
    <w:rsid w:val="007002B1"/>
    <w:rsid w:val="007008AF"/>
    <w:rsid w:val="0070238A"/>
    <w:rsid w:val="00704EB7"/>
    <w:rsid w:val="00705742"/>
    <w:rsid w:val="00705D85"/>
    <w:rsid w:val="00710478"/>
    <w:rsid w:val="007104FE"/>
    <w:rsid w:val="00713981"/>
    <w:rsid w:val="00714686"/>
    <w:rsid w:val="007176D6"/>
    <w:rsid w:val="007177E6"/>
    <w:rsid w:val="00727D54"/>
    <w:rsid w:val="00731952"/>
    <w:rsid w:val="007344C5"/>
    <w:rsid w:val="00734959"/>
    <w:rsid w:val="007358F6"/>
    <w:rsid w:val="00746EA5"/>
    <w:rsid w:val="00747004"/>
    <w:rsid w:val="00750531"/>
    <w:rsid w:val="00752F0D"/>
    <w:rsid w:val="00754596"/>
    <w:rsid w:val="00754C10"/>
    <w:rsid w:val="007566C5"/>
    <w:rsid w:val="00760247"/>
    <w:rsid w:val="0076193E"/>
    <w:rsid w:val="00761ACF"/>
    <w:rsid w:val="00764B08"/>
    <w:rsid w:val="00767D11"/>
    <w:rsid w:val="00770785"/>
    <w:rsid w:val="00774978"/>
    <w:rsid w:val="00781AB4"/>
    <w:rsid w:val="00785655"/>
    <w:rsid w:val="0078609E"/>
    <w:rsid w:val="007868B9"/>
    <w:rsid w:val="007923B7"/>
    <w:rsid w:val="00792616"/>
    <w:rsid w:val="007926BB"/>
    <w:rsid w:val="00794660"/>
    <w:rsid w:val="00796960"/>
    <w:rsid w:val="007A0283"/>
    <w:rsid w:val="007A2BBB"/>
    <w:rsid w:val="007A3B56"/>
    <w:rsid w:val="007A6B45"/>
    <w:rsid w:val="007B0E72"/>
    <w:rsid w:val="007B37A7"/>
    <w:rsid w:val="007C2B8D"/>
    <w:rsid w:val="007C2DC1"/>
    <w:rsid w:val="007C41A1"/>
    <w:rsid w:val="007C671C"/>
    <w:rsid w:val="007C6BF9"/>
    <w:rsid w:val="007D06C4"/>
    <w:rsid w:val="007D1063"/>
    <w:rsid w:val="007D1B77"/>
    <w:rsid w:val="007D3538"/>
    <w:rsid w:val="007D3A2E"/>
    <w:rsid w:val="007D55DF"/>
    <w:rsid w:val="007D6652"/>
    <w:rsid w:val="007E343D"/>
    <w:rsid w:val="007E5793"/>
    <w:rsid w:val="007F4383"/>
    <w:rsid w:val="007F4599"/>
    <w:rsid w:val="007F540B"/>
    <w:rsid w:val="007F5C81"/>
    <w:rsid w:val="007F6406"/>
    <w:rsid w:val="007F77B2"/>
    <w:rsid w:val="00800A33"/>
    <w:rsid w:val="00800E58"/>
    <w:rsid w:val="00801601"/>
    <w:rsid w:val="008017AB"/>
    <w:rsid w:val="00802F12"/>
    <w:rsid w:val="00805F11"/>
    <w:rsid w:val="00810055"/>
    <w:rsid w:val="008141DE"/>
    <w:rsid w:val="008146A2"/>
    <w:rsid w:val="00814A9B"/>
    <w:rsid w:val="00814F66"/>
    <w:rsid w:val="00817382"/>
    <w:rsid w:val="00817C9E"/>
    <w:rsid w:val="008205AF"/>
    <w:rsid w:val="00821C1A"/>
    <w:rsid w:val="008225E5"/>
    <w:rsid w:val="00830B97"/>
    <w:rsid w:val="00831053"/>
    <w:rsid w:val="008314D2"/>
    <w:rsid w:val="00831D54"/>
    <w:rsid w:val="0083254D"/>
    <w:rsid w:val="0083447A"/>
    <w:rsid w:val="00836249"/>
    <w:rsid w:val="00836F00"/>
    <w:rsid w:val="008376F5"/>
    <w:rsid w:val="008403DB"/>
    <w:rsid w:val="00844605"/>
    <w:rsid w:val="008458D6"/>
    <w:rsid w:val="00846192"/>
    <w:rsid w:val="00850806"/>
    <w:rsid w:val="00852183"/>
    <w:rsid w:val="00853AEE"/>
    <w:rsid w:val="00856592"/>
    <w:rsid w:val="00856A1B"/>
    <w:rsid w:val="00861F82"/>
    <w:rsid w:val="008621C3"/>
    <w:rsid w:val="008627C9"/>
    <w:rsid w:val="00862C1F"/>
    <w:rsid w:val="00864C6F"/>
    <w:rsid w:val="00865486"/>
    <w:rsid w:val="00870209"/>
    <w:rsid w:val="0087159F"/>
    <w:rsid w:val="008726E9"/>
    <w:rsid w:val="00875B6B"/>
    <w:rsid w:val="00875D6B"/>
    <w:rsid w:val="00876275"/>
    <w:rsid w:val="00882B99"/>
    <w:rsid w:val="00883CA1"/>
    <w:rsid w:val="00883E9C"/>
    <w:rsid w:val="0088510E"/>
    <w:rsid w:val="00892D37"/>
    <w:rsid w:val="008943A2"/>
    <w:rsid w:val="00894B1B"/>
    <w:rsid w:val="008A295B"/>
    <w:rsid w:val="008A2A28"/>
    <w:rsid w:val="008A4871"/>
    <w:rsid w:val="008A4E00"/>
    <w:rsid w:val="008A5393"/>
    <w:rsid w:val="008A6604"/>
    <w:rsid w:val="008A6840"/>
    <w:rsid w:val="008A6887"/>
    <w:rsid w:val="008A7A7F"/>
    <w:rsid w:val="008A7FDB"/>
    <w:rsid w:val="008B0ABC"/>
    <w:rsid w:val="008B2BA1"/>
    <w:rsid w:val="008B5482"/>
    <w:rsid w:val="008B7693"/>
    <w:rsid w:val="008B7A43"/>
    <w:rsid w:val="008C11F4"/>
    <w:rsid w:val="008C20A9"/>
    <w:rsid w:val="008C2BEC"/>
    <w:rsid w:val="008C322E"/>
    <w:rsid w:val="008C4939"/>
    <w:rsid w:val="008C6D0E"/>
    <w:rsid w:val="008D09D2"/>
    <w:rsid w:val="008D39C5"/>
    <w:rsid w:val="008D618B"/>
    <w:rsid w:val="008E1D89"/>
    <w:rsid w:val="008E1DE6"/>
    <w:rsid w:val="008E219E"/>
    <w:rsid w:val="008E2A56"/>
    <w:rsid w:val="008E3E3E"/>
    <w:rsid w:val="008F305B"/>
    <w:rsid w:val="008F3E73"/>
    <w:rsid w:val="008F51F5"/>
    <w:rsid w:val="008F562D"/>
    <w:rsid w:val="008F56F0"/>
    <w:rsid w:val="008F5F87"/>
    <w:rsid w:val="008F7724"/>
    <w:rsid w:val="00900A34"/>
    <w:rsid w:val="00901ED3"/>
    <w:rsid w:val="00902C3C"/>
    <w:rsid w:val="00907073"/>
    <w:rsid w:val="0091040F"/>
    <w:rsid w:val="00911A0E"/>
    <w:rsid w:val="00911EF0"/>
    <w:rsid w:val="009161ED"/>
    <w:rsid w:val="00916492"/>
    <w:rsid w:val="009204F1"/>
    <w:rsid w:val="009208F5"/>
    <w:rsid w:val="00920B33"/>
    <w:rsid w:val="009243AA"/>
    <w:rsid w:val="00930B65"/>
    <w:rsid w:val="00932051"/>
    <w:rsid w:val="00932667"/>
    <w:rsid w:val="00932862"/>
    <w:rsid w:val="009346F9"/>
    <w:rsid w:val="009359C0"/>
    <w:rsid w:val="00935D60"/>
    <w:rsid w:val="0094155E"/>
    <w:rsid w:val="009447BB"/>
    <w:rsid w:val="00945016"/>
    <w:rsid w:val="00945991"/>
    <w:rsid w:val="00946335"/>
    <w:rsid w:val="00950B92"/>
    <w:rsid w:val="00950E25"/>
    <w:rsid w:val="009513C4"/>
    <w:rsid w:val="009556EB"/>
    <w:rsid w:val="00955E55"/>
    <w:rsid w:val="009560BF"/>
    <w:rsid w:val="00960279"/>
    <w:rsid w:val="00962200"/>
    <w:rsid w:val="00966451"/>
    <w:rsid w:val="00966F54"/>
    <w:rsid w:val="00967CDD"/>
    <w:rsid w:val="009719EC"/>
    <w:rsid w:val="0097323D"/>
    <w:rsid w:val="00973D72"/>
    <w:rsid w:val="00973F9C"/>
    <w:rsid w:val="00975E61"/>
    <w:rsid w:val="00976E31"/>
    <w:rsid w:val="00977C63"/>
    <w:rsid w:val="00980087"/>
    <w:rsid w:val="00980C0B"/>
    <w:rsid w:val="009900F1"/>
    <w:rsid w:val="00992714"/>
    <w:rsid w:val="00993810"/>
    <w:rsid w:val="00994147"/>
    <w:rsid w:val="00994EC0"/>
    <w:rsid w:val="0099618E"/>
    <w:rsid w:val="009963CD"/>
    <w:rsid w:val="009A2C8B"/>
    <w:rsid w:val="009A50DF"/>
    <w:rsid w:val="009A70EF"/>
    <w:rsid w:val="009B266D"/>
    <w:rsid w:val="009B5CBF"/>
    <w:rsid w:val="009C09A5"/>
    <w:rsid w:val="009C1788"/>
    <w:rsid w:val="009C184A"/>
    <w:rsid w:val="009C221A"/>
    <w:rsid w:val="009C25BB"/>
    <w:rsid w:val="009C68A1"/>
    <w:rsid w:val="009C7037"/>
    <w:rsid w:val="009D1604"/>
    <w:rsid w:val="009D2C69"/>
    <w:rsid w:val="009D5028"/>
    <w:rsid w:val="009D5B52"/>
    <w:rsid w:val="009E311F"/>
    <w:rsid w:val="009E32F5"/>
    <w:rsid w:val="009E7D85"/>
    <w:rsid w:val="009F08D1"/>
    <w:rsid w:val="009F1665"/>
    <w:rsid w:val="009F3105"/>
    <w:rsid w:val="009F3407"/>
    <w:rsid w:val="009F3F89"/>
    <w:rsid w:val="009F480E"/>
    <w:rsid w:val="009F783B"/>
    <w:rsid w:val="00A022A2"/>
    <w:rsid w:val="00A02D15"/>
    <w:rsid w:val="00A0431C"/>
    <w:rsid w:val="00A11403"/>
    <w:rsid w:val="00A14773"/>
    <w:rsid w:val="00A16B8B"/>
    <w:rsid w:val="00A25B76"/>
    <w:rsid w:val="00A262E2"/>
    <w:rsid w:val="00A26B0D"/>
    <w:rsid w:val="00A27F0F"/>
    <w:rsid w:val="00A314FC"/>
    <w:rsid w:val="00A32E7E"/>
    <w:rsid w:val="00A34B09"/>
    <w:rsid w:val="00A36459"/>
    <w:rsid w:val="00A41642"/>
    <w:rsid w:val="00A42F1B"/>
    <w:rsid w:val="00A448A1"/>
    <w:rsid w:val="00A455DD"/>
    <w:rsid w:val="00A511E0"/>
    <w:rsid w:val="00A53B73"/>
    <w:rsid w:val="00A546BC"/>
    <w:rsid w:val="00A567A8"/>
    <w:rsid w:val="00A60DD9"/>
    <w:rsid w:val="00A625A9"/>
    <w:rsid w:val="00A6571D"/>
    <w:rsid w:val="00A65EF8"/>
    <w:rsid w:val="00A74C43"/>
    <w:rsid w:val="00A759F8"/>
    <w:rsid w:val="00A75CD5"/>
    <w:rsid w:val="00A77062"/>
    <w:rsid w:val="00A80D31"/>
    <w:rsid w:val="00A832AF"/>
    <w:rsid w:val="00A86218"/>
    <w:rsid w:val="00A928B6"/>
    <w:rsid w:val="00A952AB"/>
    <w:rsid w:val="00A95428"/>
    <w:rsid w:val="00A95FC3"/>
    <w:rsid w:val="00A97003"/>
    <w:rsid w:val="00AA44A1"/>
    <w:rsid w:val="00AA45E6"/>
    <w:rsid w:val="00AA4ED3"/>
    <w:rsid w:val="00AB1F81"/>
    <w:rsid w:val="00AB225A"/>
    <w:rsid w:val="00AB256B"/>
    <w:rsid w:val="00AB489C"/>
    <w:rsid w:val="00AB4FA3"/>
    <w:rsid w:val="00AB6936"/>
    <w:rsid w:val="00AB6E15"/>
    <w:rsid w:val="00AC0C3B"/>
    <w:rsid w:val="00AC1A56"/>
    <w:rsid w:val="00AC2D63"/>
    <w:rsid w:val="00AC759F"/>
    <w:rsid w:val="00AD03D8"/>
    <w:rsid w:val="00AD0711"/>
    <w:rsid w:val="00AD189F"/>
    <w:rsid w:val="00AD20A4"/>
    <w:rsid w:val="00AD2165"/>
    <w:rsid w:val="00AD3993"/>
    <w:rsid w:val="00AD42F8"/>
    <w:rsid w:val="00AD6740"/>
    <w:rsid w:val="00AE149B"/>
    <w:rsid w:val="00AE1BF8"/>
    <w:rsid w:val="00AE3291"/>
    <w:rsid w:val="00AE5FE0"/>
    <w:rsid w:val="00AE60B7"/>
    <w:rsid w:val="00AF012E"/>
    <w:rsid w:val="00AF2AB7"/>
    <w:rsid w:val="00AF2B1C"/>
    <w:rsid w:val="00AF3B58"/>
    <w:rsid w:val="00AF4D3F"/>
    <w:rsid w:val="00AF5308"/>
    <w:rsid w:val="00B0300B"/>
    <w:rsid w:val="00B05457"/>
    <w:rsid w:val="00B0646A"/>
    <w:rsid w:val="00B06F8A"/>
    <w:rsid w:val="00B115A0"/>
    <w:rsid w:val="00B128A0"/>
    <w:rsid w:val="00B13C73"/>
    <w:rsid w:val="00B157D3"/>
    <w:rsid w:val="00B16AB0"/>
    <w:rsid w:val="00B20240"/>
    <w:rsid w:val="00B20BF2"/>
    <w:rsid w:val="00B21E11"/>
    <w:rsid w:val="00B22DA5"/>
    <w:rsid w:val="00B23281"/>
    <w:rsid w:val="00B24E33"/>
    <w:rsid w:val="00B26574"/>
    <w:rsid w:val="00B27571"/>
    <w:rsid w:val="00B27F4D"/>
    <w:rsid w:val="00B327B7"/>
    <w:rsid w:val="00B329B5"/>
    <w:rsid w:val="00B32E5D"/>
    <w:rsid w:val="00B3527C"/>
    <w:rsid w:val="00B4164B"/>
    <w:rsid w:val="00B51B3B"/>
    <w:rsid w:val="00B52639"/>
    <w:rsid w:val="00B53B32"/>
    <w:rsid w:val="00B5409A"/>
    <w:rsid w:val="00B55574"/>
    <w:rsid w:val="00B55D4D"/>
    <w:rsid w:val="00B565F1"/>
    <w:rsid w:val="00B567FF"/>
    <w:rsid w:val="00B6022A"/>
    <w:rsid w:val="00B63B47"/>
    <w:rsid w:val="00B63F1E"/>
    <w:rsid w:val="00B6525D"/>
    <w:rsid w:val="00B65ABA"/>
    <w:rsid w:val="00B668B3"/>
    <w:rsid w:val="00B6790F"/>
    <w:rsid w:val="00B70111"/>
    <w:rsid w:val="00B71B3B"/>
    <w:rsid w:val="00B72CC6"/>
    <w:rsid w:val="00B73701"/>
    <w:rsid w:val="00B7372B"/>
    <w:rsid w:val="00B7493E"/>
    <w:rsid w:val="00B77D66"/>
    <w:rsid w:val="00B80457"/>
    <w:rsid w:val="00B8118D"/>
    <w:rsid w:val="00B82CE3"/>
    <w:rsid w:val="00B842E5"/>
    <w:rsid w:val="00B85C16"/>
    <w:rsid w:val="00B87D61"/>
    <w:rsid w:val="00B90C80"/>
    <w:rsid w:val="00B93948"/>
    <w:rsid w:val="00BA1489"/>
    <w:rsid w:val="00BA4BC7"/>
    <w:rsid w:val="00BA55B7"/>
    <w:rsid w:val="00BA6C8D"/>
    <w:rsid w:val="00BA7D57"/>
    <w:rsid w:val="00BB18D1"/>
    <w:rsid w:val="00BB2E18"/>
    <w:rsid w:val="00BB3330"/>
    <w:rsid w:val="00BB47D7"/>
    <w:rsid w:val="00BB4845"/>
    <w:rsid w:val="00BB48C8"/>
    <w:rsid w:val="00BB4A62"/>
    <w:rsid w:val="00BB5983"/>
    <w:rsid w:val="00BB5ED8"/>
    <w:rsid w:val="00BC01C1"/>
    <w:rsid w:val="00BC1FA7"/>
    <w:rsid w:val="00BC35B7"/>
    <w:rsid w:val="00BC4D10"/>
    <w:rsid w:val="00BC5480"/>
    <w:rsid w:val="00BD03A6"/>
    <w:rsid w:val="00BD0633"/>
    <w:rsid w:val="00BD0A8E"/>
    <w:rsid w:val="00BD4D47"/>
    <w:rsid w:val="00BD6E05"/>
    <w:rsid w:val="00BD7747"/>
    <w:rsid w:val="00BD77E2"/>
    <w:rsid w:val="00BE44D2"/>
    <w:rsid w:val="00BE54D0"/>
    <w:rsid w:val="00BE575E"/>
    <w:rsid w:val="00BE6E69"/>
    <w:rsid w:val="00BF2518"/>
    <w:rsid w:val="00BF4E4F"/>
    <w:rsid w:val="00BF5710"/>
    <w:rsid w:val="00BF7251"/>
    <w:rsid w:val="00BF7875"/>
    <w:rsid w:val="00BF7F28"/>
    <w:rsid w:val="00C05787"/>
    <w:rsid w:val="00C05A69"/>
    <w:rsid w:val="00C07389"/>
    <w:rsid w:val="00C156D4"/>
    <w:rsid w:val="00C167A3"/>
    <w:rsid w:val="00C2232A"/>
    <w:rsid w:val="00C24D34"/>
    <w:rsid w:val="00C2657D"/>
    <w:rsid w:val="00C278FE"/>
    <w:rsid w:val="00C3025B"/>
    <w:rsid w:val="00C31A13"/>
    <w:rsid w:val="00C31F97"/>
    <w:rsid w:val="00C34AB7"/>
    <w:rsid w:val="00C41477"/>
    <w:rsid w:val="00C416E1"/>
    <w:rsid w:val="00C4340D"/>
    <w:rsid w:val="00C4354E"/>
    <w:rsid w:val="00C43D70"/>
    <w:rsid w:val="00C45AAF"/>
    <w:rsid w:val="00C46BBF"/>
    <w:rsid w:val="00C47BF8"/>
    <w:rsid w:val="00C47CBF"/>
    <w:rsid w:val="00C516DE"/>
    <w:rsid w:val="00C531ED"/>
    <w:rsid w:val="00C535F3"/>
    <w:rsid w:val="00C53DCE"/>
    <w:rsid w:val="00C53FC2"/>
    <w:rsid w:val="00C601CF"/>
    <w:rsid w:val="00C6079B"/>
    <w:rsid w:val="00C6537E"/>
    <w:rsid w:val="00C655F2"/>
    <w:rsid w:val="00C65B61"/>
    <w:rsid w:val="00C70E53"/>
    <w:rsid w:val="00C72979"/>
    <w:rsid w:val="00C730A0"/>
    <w:rsid w:val="00C73A05"/>
    <w:rsid w:val="00C73D14"/>
    <w:rsid w:val="00C7481E"/>
    <w:rsid w:val="00C749F0"/>
    <w:rsid w:val="00C76F8D"/>
    <w:rsid w:val="00C80C33"/>
    <w:rsid w:val="00C81529"/>
    <w:rsid w:val="00C81BA6"/>
    <w:rsid w:val="00C8377C"/>
    <w:rsid w:val="00C83949"/>
    <w:rsid w:val="00C877CD"/>
    <w:rsid w:val="00C87AA3"/>
    <w:rsid w:val="00C902E9"/>
    <w:rsid w:val="00C908B7"/>
    <w:rsid w:val="00C92A6C"/>
    <w:rsid w:val="00C937B3"/>
    <w:rsid w:val="00C94CD0"/>
    <w:rsid w:val="00C96517"/>
    <w:rsid w:val="00C9726C"/>
    <w:rsid w:val="00CA2D9F"/>
    <w:rsid w:val="00CA4150"/>
    <w:rsid w:val="00CA4871"/>
    <w:rsid w:val="00CA6722"/>
    <w:rsid w:val="00CA6D4E"/>
    <w:rsid w:val="00CA7B4B"/>
    <w:rsid w:val="00CB30CE"/>
    <w:rsid w:val="00CB52DD"/>
    <w:rsid w:val="00CC2403"/>
    <w:rsid w:val="00CC3F24"/>
    <w:rsid w:val="00CC4F64"/>
    <w:rsid w:val="00CC6F8C"/>
    <w:rsid w:val="00CC77F0"/>
    <w:rsid w:val="00CD058C"/>
    <w:rsid w:val="00CD09D2"/>
    <w:rsid w:val="00CD3B98"/>
    <w:rsid w:val="00CD4216"/>
    <w:rsid w:val="00CD574B"/>
    <w:rsid w:val="00CD5822"/>
    <w:rsid w:val="00CD733F"/>
    <w:rsid w:val="00CE0942"/>
    <w:rsid w:val="00CE651E"/>
    <w:rsid w:val="00CE7CA5"/>
    <w:rsid w:val="00CF08D1"/>
    <w:rsid w:val="00CF1D81"/>
    <w:rsid w:val="00CF2DC9"/>
    <w:rsid w:val="00D0001E"/>
    <w:rsid w:val="00D031E6"/>
    <w:rsid w:val="00D101AB"/>
    <w:rsid w:val="00D11A62"/>
    <w:rsid w:val="00D1606F"/>
    <w:rsid w:val="00D16429"/>
    <w:rsid w:val="00D16AA4"/>
    <w:rsid w:val="00D26CE6"/>
    <w:rsid w:val="00D26F81"/>
    <w:rsid w:val="00D27066"/>
    <w:rsid w:val="00D311AB"/>
    <w:rsid w:val="00D32727"/>
    <w:rsid w:val="00D332E1"/>
    <w:rsid w:val="00D345EB"/>
    <w:rsid w:val="00D35DC0"/>
    <w:rsid w:val="00D372E3"/>
    <w:rsid w:val="00D414EB"/>
    <w:rsid w:val="00D442AD"/>
    <w:rsid w:val="00D45A15"/>
    <w:rsid w:val="00D45F7F"/>
    <w:rsid w:val="00D4664B"/>
    <w:rsid w:val="00D51015"/>
    <w:rsid w:val="00D530E4"/>
    <w:rsid w:val="00D55398"/>
    <w:rsid w:val="00D56D18"/>
    <w:rsid w:val="00D577F0"/>
    <w:rsid w:val="00D5784B"/>
    <w:rsid w:val="00D57908"/>
    <w:rsid w:val="00D60183"/>
    <w:rsid w:val="00D609AA"/>
    <w:rsid w:val="00D619D9"/>
    <w:rsid w:val="00D61D91"/>
    <w:rsid w:val="00D63C63"/>
    <w:rsid w:val="00D63EFB"/>
    <w:rsid w:val="00D658AF"/>
    <w:rsid w:val="00D65EEF"/>
    <w:rsid w:val="00D66FF3"/>
    <w:rsid w:val="00D67F2D"/>
    <w:rsid w:val="00D702D3"/>
    <w:rsid w:val="00D717AC"/>
    <w:rsid w:val="00D71EF8"/>
    <w:rsid w:val="00D76812"/>
    <w:rsid w:val="00D7787A"/>
    <w:rsid w:val="00D77F9C"/>
    <w:rsid w:val="00D802E8"/>
    <w:rsid w:val="00D80DBB"/>
    <w:rsid w:val="00D81F78"/>
    <w:rsid w:val="00D82AAA"/>
    <w:rsid w:val="00D83DE9"/>
    <w:rsid w:val="00D8450D"/>
    <w:rsid w:val="00D9040C"/>
    <w:rsid w:val="00D93E00"/>
    <w:rsid w:val="00D95AF9"/>
    <w:rsid w:val="00D96AD0"/>
    <w:rsid w:val="00D97C4C"/>
    <w:rsid w:val="00DA00AD"/>
    <w:rsid w:val="00DA09C9"/>
    <w:rsid w:val="00DA0D86"/>
    <w:rsid w:val="00DA1822"/>
    <w:rsid w:val="00DA18B0"/>
    <w:rsid w:val="00DA5CC5"/>
    <w:rsid w:val="00DA7095"/>
    <w:rsid w:val="00DA78D1"/>
    <w:rsid w:val="00DB086B"/>
    <w:rsid w:val="00DB30EB"/>
    <w:rsid w:val="00DB3DF3"/>
    <w:rsid w:val="00DB421E"/>
    <w:rsid w:val="00DB4D19"/>
    <w:rsid w:val="00DB5E1F"/>
    <w:rsid w:val="00DC2613"/>
    <w:rsid w:val="00DC4512"/>
    <w:rsid w:val="00DC719B"/>
    <w:rsid w:val="00DD0838"/>
    <w:rsid w:val="00DD16EC"/>
    <w:rsid w:val="00DD391F"/>
    <w:rsid w:val="00DD5437"/>
    <w:rsid w:val="00DD7E93"/>
    <w:rsid w:val="00DE0ACD"/>
    <w:rsid w:val="00DE24E6"/>
    <w:rsid w:val="00DE2516"/>
    <w:rsid w:val="00DE68AA"/>
    <w:rsid w:val="00DE7ACD"/>
    <w:rsid w:val="00DF07AD"/>
    <w:rsid w:val="00DF233C"/>
    <w:rsid w:val="00DF3364"/>
    <w:rsid w:val="00DF453D"/>
    <w:rsid w:val="00DF4E74"/>
    <w:rsid w:val="00DF5ACB"/>
    <w:rsid w:val="00DF5CF4"/>
    <w:rsid w:val="00DF7765"/>
    <w:rsid w:val="00E00142"/>
    <w:rsid w:val="00E01BE7"/>
    <w:rsid w:val="00E055BB"/>
    <w:rsid w:val="00E1042E"/>
    <w:rsid w:val="00E109C3"/>
    <w:rsid w:val="00E10C93"/>
    <w:rsid w:val="00E11988"/>
    <w:rsid w:val="00E15DA9"/>
    <w:rsid w:val="00E15FE6"/>
    <w:rsid w:val="00E2095D"/>
    <w:rsid w:val="00E22BB8"/>
    <w:rsid w:val="00E26981"/>
    <w:rsid w:val="00E27B33"/>
    <w:rsid w:val="00E27E99"/>
    <w:rsid w:val="00E30414"/>
    <w:rsid w:val="00E32851"/>
    <w:rsid w:val="00E33DB1"/>
    <w:rsid w:val="00E35657"/>
    <w:rsid w:val="00E36ADE"/>
    <w:rsid w:val="00E378DB"/>
    <w:rsid w:val="00E40769"/>
    <w:rsid w:val="00E40B3F"/>
    <w:rsid w:val="00E42C68"/>
    <w:rsid w:val="00E50F56"/>
    <w:rsid w:val="00E51F3E"/>
    <w:rsid w:val="00E53D85"/>
    <w:rsid w:val="00E541D4"/>
    <w:rsid w:val="00E54862"/>
    <w:rsid w:val="00E55417"/>
    <w:rsid w:val="00E55B9F"/>
    <w:rsid w:val="00E6033E"/>
    <w:rsid w:val="00E60F12"/>
    <w:rsid w:val="00E62903"/>
    <w:rsid w:val="00E652FB"/>
    <w:rsid w:val="00E66CDB"/>
    <w:rsid w:val="00E7524F"/>
    <w:rsid w:val="00E7635F"/>
    <w:rsid w:val="00E76839"/>
    <w:rsid w:val="00E82326"/>
    <w:rsid w:val="00E82652"/>
    <w:rsid w:val="00E835F9"/>
    <w:rsid w:val="00E8595E"/>
    <w:rsid w:val="00E8606E"/>
    <w:rsid w:val="00E90882"/>
    <w:rsid w:val="00E914DB"/>
    <w:rsid w:val="00E917CD"/>
    <w:rsid w:val="00E91809"/>
    <w:rsid w:val="00E91FF0"/>
    <w:rsid w:val="00E92A81"/>
    <w:rsid w:val="00E94F17"/>
    <w:rsid w:val="00E95161"/>
    <w:rsid w:val="00EA66AE"/>
    <w:rsid w:val="00EA7EB1"/>
    <w:rsid w:val="00EB2F9C"/>
    <w:rsid w:val="00EB6552"/>
    <w:rsid w:val="00EB65D4"/>
    <w:rsid w:val="00EB763F"/>
    <w:rsid w:val="00EC18E6"/>
    <w:rsid w:val="00EC1984"/>
    <w:rsid w:val="00ED2776"/>
    <w:rsid w:val="00ED3529"/>
    <w:rsid w:val="00ED3A9C"/>
    <w:rsid w:val="00EE397B"/>
    <w:rsid w:val="00EE6CD3"/>
    <w:rsid w:val="00EF20D7"/>
    <w:rsid w:val="00EF3419"/>
    <w:rsid w:val="00EF4A9E"/>
    <w:rsid w:val="00EF6479"/>
    <w:rsid w:val="00F01B36"/>
    <w:rsid w:val="00F02BDB"/>
    <w:rsid w:val="00F036B2"/>
    <w:rsid w:val="00F037E3"/>
    <w:rsid w:val="00F0441B"/>
    <w:rsid w:val="00F07239"/>
    <w:rsid w:val="00F074A6"/>
    <w:rsid w:val="00F07623"/>
    <w:rsid w:val="00F14484"/>
    <w:rsid w:val="00F20479"/>
    <w:rsid w:val="00F25D04"/>
    <w:rsid w:val="00F27828"/>
    <w:rsid w:val="00F3136B"/>
    <w:rsid w:val="00F314F1"/>
    <w:rsid w:val="00F31A43"/>
    <w:rsid w:val="00F327EA"/>
    <w:rsid w:val="00F34379"/>
    <w:rsid w:val="00F3468C"/>
    <w:rsid w:val="00F37CF6"/>
    <w:rsid w:val="00F410F9"/>
    <w:rsid w:val="00F41C3D"/>
    <w:rsid w:val="00F42711"/>
    <w:rsid w:val="00F42842"/>
    <w:rsid w:val="00F46E40"/>
    <w:rsid w:val="00F4760A"/>
    <w:rsid w:val="00F51AD0"/>
    <w:rsid w:val="00F52754"/>
    <w:rsid w:val="00F52B0E"/>
    <w:rsid w:val="00F52B8E"/>
    <w:rsid w:val="00F53C33"/>
    <w:rsid w:val="00F53CFD"/>
    <w:rsid w:val="00F54AF5"/>
    <w:rsid w:val="00F557E3"/>
    <w:rsid w:val="00F56E85"/>
    <w:rsid w:val="00F6108B"/>
    <w:rsid w:val="00F619D2"/>
    <w:rsid w:val="00F61E78"/>
    <w:rsid w:val="00F62822"/>
    <w:rsid w:val="00F62B89"/>
    <w:rsid w:val="00F635C5"/>
    <w:rsid w:val="00F64C10"/>
    <w:rsid w:val="00F66079"/>
    <w:rsid w:val="00F67F98"/>
    <w:rsid w:val="00F7127F"/>
    <w:rsid w:val="00F72244"/>
    <w:rsid w:val="00F728C8"/>
    <w:rsid w:val="00F736E3"/>
    <w:rsid w:val="00F767E8"/>
    <w:rsid w:val="00F77470"/>
    <w:rsid w:val="00F802F4"/>
    <w:rsid w:val="00F80398"/>
    <w:rsid w:val="00F84A0E"/>
    <w:rsid w:val="00F84E2B"/>
    <w:rsid w:val="00F86A3F"/>
    <w:rsid w:val="00F91297"/>
    <w:rsid w:val="00F97730"/>
    <w:rsid w:val="00F97D9A"/>
    <w:rsid w:val="00F97DB0"/>
    <w:rsid w:val="00FA152F"/>
    <w:rsid w:val="00FA6383"/>
    <w:rsid w:val="00FA6D7F"/>
    <w:rsid w:val="00FB0993"/>
    <w:rsid w:val="00FB32A4"/>
    <w:rsid w:val="00FB594D"/>
    <w:rsid w:val="00FB5A01"/>
    <w:rsid w:val="00FB5B13"/>
    <w:rsid w:val="00FC32EA"/>
    <w:rsid w:val="00FC49BB"/>
    <w:rsid w:val="00FC6080"/>
    <w:rsid w:val="00FC6FD6"/>
    <w:rsid w:val="00FD2412"/>
    <w:rsid w:val="00FD3CC9"/>
    <w:rsid w:val="00FD5094"/>
    <w:rsid w:val="00FD616B"/>
    <w:rsid w:val="00FD7658"/>
    <w:rsid w:val="00FD7D9D"/>
    <w:rsid w:val="00FE33CE"/>
    <w:rsid w:val="00FE34F1"/>
    <w:rsid w:val="00FE51D3"/>
    <w:rsid w:val="00FE61D3"/>
    <w:rsid w:val="00FE6EBD"/>
    <w:rsid w:val="00FF0B03"/>
    <w:rsid w:val="00FF29DC"/>
    <w:rsid w:val="00FF3E5B"/>
    <w:rsid w:val="00FF466D"/>
    <w:rsid w:val="00FF495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8B9DC2"/>
  <w15:docId w15:val="{991885F9-47CD-43AF-A97B-70EA1A6F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31C46"/>
    <w:rPr>
      <w:rFonts w:ascii="Cambria" w:hAnsi="Cambria"/>
      <w:lang w:eastAsia="en-US"/>
    </w:rPr>
  </w:style>
  <w:style w:type="paragraph" w:styleId="Heading1">
    <w:name w:val="heading 1"/>
    <w:next w:val="DPCbody"/>
    <w:link w:val="Heading1Char"/>
    <w:uiPriority w:val="1"/>
    <w:qFormat/>
    <w:rsid w:val="00DB3DF3"/>
    <w:pPr>
      <w:keepNext/>
      <w:keepLines/>
      <w:spacing w:after="8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uiPriority w:val="1"/>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uiPriority w:val="1"/>
    <w:qFormat/>
    <w:rsid w:val="00705D85"/>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7F6406"/>
    <w:pPr>
      <w:keepNext/>
      <w:keepLines/>
      <w:spacing w:before="240" w:after="120"/>
      <w:outlineLvl w:val="3"/>
    </w:pPr>
    <w:rPr>
      <w:rFonts w:asciiTheme="majorHAnsi" w:eastAsia="MS Mincho" w:hAnsiTheme="majorHAnsi"/>
      <w:b/>
      <w:bCs/>
      <w:color w:val="0072CE"/>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3DF3"/>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uiPriority w:val="1"/>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05D85"/>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7F6406"/>
    <w:rPr>
      <w:rFonts w:asciiTheme="majorHAnsi" w:eastAsia="MS Mincho" w:hAnsiTheme="majorHAnsi"/>
      <w:b/>
      <w:bCs/>
      <w:color w:val="0072CE"/>
      <w:sz w:val="28"/>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8"/>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
    <w:rsid w:val="00232144"/>
    <w:rPr>
      <w:vertAlign w:val="superscript"/>
    </w:rPr>
  </w:style>
  <w:style w:type="paragraph" w:styleId="FootnoteText">
    <w:name w:val="footnote text"/>
    <w:link w:val="FootnoteTextChar"/>
    <w:uiPriority w:val="8"/>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967CDD"/>
    <w:pPr>
      <w:spacing w:after="160" w:line="300" w:lineRule="atLeast"/>
    </w:pPr>
    <w:rPr>
      <w:rFonts w:asciiTheme="minorHAnsi" w:eastAsia="Times" w:hAnsiTheme="minorHAnsi" w:cs="Arial"/>
      <w:color w:val="000000" w:themeColor="text1"/>
      <w:sz w:val="24"/>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AF530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6"/>
      </w:numPr>
    </w:pPr>
  </w:style>
  <w:style w:type="paragraph" w:customStyle="1" w:styleId="DPCnumberdigitindent">
    <w:name w:val="DPC number digit indent"/>
    <w:basedOn w:val="Normal"/>
    <w:uiPriority w:val="4"/>
    <w:qFormat/>
    <w:rsid w:val="00E36ADE"/>
    <w:pPr>
      <w:numPr>
        <w:ilvl w:val="1"/>
        <w:numId w:val="6"/>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19676C"/>
    <w:pPr>
      <w:spacing w:before="60" w:after="40"/>
    </w:pPr>
    <w:rPr>
      <w:rFonts w:asciiTheme="minorHAnsi" w:hAnsiTheme="minorHAnsi"/>
      <w:color w:val="000000" w:themeColor="text1"/>
      <w:sz w:val="24"/>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11"/>
      </w:numPr>
    </w:pPr>
  </w:style>
  <w:style w:type="numbering" w:customStyle="1" w:styleId="ZZNumbersdigit">
    <w:name w:val="ZZ Numbers digit"/>
    <w:basedOn w:val="NoList"/>
    <w:uiPriority w:val="99"/>
    <w:rsid w:val="00E36ADE"/>
    <w:pPr>
      <w:numPr>
        <w:numId w:val="6"/>
      </w:numPr>
    </w:pPr>
  </w:style>
  <w:style w:type="paragraph" w:customStyle="1" w:styleId="DPCbulletafternumbers1">
    <w:name w:val="DPC bullet after numbers 1"/>
    <w:basedOn w:val="DPCbody"/>
    <w:rsid w:val="00E36ADE"/>
    <w:pPr>
      <w:numPr>
        <w:ilvl w:val="2"/>
        <w:numId w:val="6"/>
      </w:numPr>
    </w:pPr>
  </w:style>
  <w:style w:type="paragraph" w:customStyle="1" w:styleId="DPCbulletafternumbers2">
    <w:name w:val="DPC bullet after numbers 2"/>
    <w:basedOn w:val="DPCbody"/>
    <w:rsid w:val="00E36ADE"/>
    <w:pPr>
      <w:numPr>
        <w:ilvl w:val="3"/>
        <w:numId w:val="6"/>
      </w:numPr>
    </w:pPr>
  </w:style>
  <w:style w:type="paragraph" w:customStyle="1" w:styleId="DPCnumberloweralpha">
    <w:name w:val="DPC number lower alpha"/>
    <w:basedOn w:val="DPCbody"/>
    <w:uiPriority w:val="4"/>
    <w:qFormat/>
    <w:rsid w:val="00E36ADE"/>
    <w:pPr>
      <w:numPr>
        <w:numId w:val="13"/>
      </w:numPr>
    </w:pPr>
    <w:rPr>
      <w:rFonts w:ascii="Arial" w:hAnsi="Arial"/>
    </w:rPr>
  </w:style>
  <w:style w:type="paragraph" w:customStyle="1" w:styleId="DPCnumberloweralphaindent">
    <w:name w:val="DPC number lower alpha indent"/>
    <w:basedOn w:val="DPCbody"/>
    <w:uiPriority w:val="4"/>
    <w:qFormat/>
    <w:rsid w:val="00E36ADE"/>
    <w:pPr>
      <w:numPr>
        <w:ilvl w:val="1"/>
        <w:numId w:val="13"/>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alloonText">
    <w:name w:val="Balloon Text"/>
    <w:basedOn w:val="Normal"/>
    <w:link w:val="BalloonTextChar"/>
    <w:uiPriority w:val="99"/>
    <w:semiHidden/>
    <w:unhideWhenUsed/>
    <w:rsid w:val="00967CDD"/>
    <w:rPr>
      <w:rFonts w:ascii="Tahoma" w:hAnsi="Tahoma" w:cs="Tahoma"/>
      <w:sz w:val="16"/>
      <w:szCs w:val="16"/>
    </w:rPr>
  </w:style>
  <w:style w:type="character" w:customStyle="1" w:styleId="BalloonTextChar">
    <w:name w:val="Balloon Text Char"/>
    <w:basedOn w:val="DefaultParagraphFont"/>
    <w:link w:val="BalloonText"/>
    <w:uiPriority w:val="99"/>
    <w:semiHidden/>
    <w:rsid w:val="00967CDD"/>
    <w:rPr>
      <w:rFonts w:ascii="Tahoma" w:hAnsi="Tahoma" w:cs="Tahoma"/>
      <w:sz w:val="16"/>
      <w:szCs w:val="16"/>
      <w:lang w:eastAsia="en-US"/>
    </w:rPr>
  </w:style>
  <w:style w:type="table" w:styleId="LightShading-Accent1">
    <w:name w:val="Light Shading Accent 1"/>
    <w:basedOn w:val="TableNormal"/>
    <w:uiPriority w:val="60"/>
    <w:rsid w:val="004F4871"/>
    <w:rPr>
      <w:rFonts w:asciiTheme="minorHAnsi" w:eastAsiaTheme="minorEastAsia" w:hAnsiTheme="minorHAnsi" w:cstheme="minorBidi"/>
      <w:color w:val="00559A" w:themeColor="accent1" w:themeShade="BF"/>
      <w:sz w:val="22"/>
      <w:szCs w:val="22"/>
      <w:lang w:val="en-US" w:eastAsia="ja-JP"/>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color w:val="00559A" w:themeColor="accent1" w:themeShade="BF"/>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color w:val="00559A" w:themeColor="accent1" w:themeShade="BF"/>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color w:val="00559A" w:themeColor="accent1" w:themeShade="BF"/>
      </w:rPr>
    </w:tblStylePr>
    <w:tblStylePr w:type="lastCol">
      <w:rPr>
        <w:b/>
        <w:bCs/>
        <w:color w:val="00559A" w:themeColor="accent1" w:themeShade="BF"/>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paragraph" w:customStyle="1" w:styleId="DPCbulletindent">
    <w:name w:val="DPC bullet indent"/>
    <w:basedOn w:val="DPCbody"/>
    <w:rsid w:val="004D51D2"/>
    <w:pPr>
      <w:spacing w:after="60"/>
      <w:ind w:left="680" w:hanging="283"/>
    </w:pPr>
  </w:style>
  <w:style w:type="paragraph" w:customStyle="1" w:styleId="DPCbullet1lastline">
    <w:name w:val="DPC bullet 1 last line"/>
    <w:basedOn w:val="DPCbullet1"/>
    <w:qFormat/>
    <w:rsid w:val="004D51D2"/>
    <w:pPr>
      <w:numPr>
        <w:numId w:val="0"/>
      </w:numPr>
      <w:spacing w:after="160"/>
      <w:ind w:left="284" w:hanging="284"/>
    </w:pPr>
  </w:style>
  <w:style w:type="paragraph" w:customStyle="1" w:styleId="DPCbullet2lastline">
    <w:name w:val="DPC bullet 2 last line"/>
    <w:basedOn w:val="DPCbullet2"/>
    <w:uiPriority w:val="2"/>
    <w:rsid w:val="004D51D2"/>
    <w:pPr>
      <w:numPr>
        <w:ilvl w:val="0"/>
        <w:numId w:val="0"/>
      </w:numPr>
      <w:spacing w:after="160"/>
      <w:ind w:left="567" w:hanging="283"/>
    </w:pPr>
  </w:style>
  <w:style w:type="numbering" w:customStyle="1" w:styleId="Bullets">
    <w:name w:val="Bullets"/>
    <w:rsid w:val="004D51D2"/>
    <w:pPr>
      <w:numPr>
        <w:numId w:val="24"/>
      </w:numPr>
    </w:pPr>
  </w:style>
  <w:style w:type="paragraph" w:customStyle="1" w:styleId="DPCbulletindentlastline">
    <w:name w:val="DPC bullet indent last line"/>
    <w:basedOn w:val="DPCbody"/>
    <w:rsid w:val="004D51D2"/>
    <w:pPr>
      <w:ind w:left="680" w:hanging="283"/>
    </w:pPr>
  </w:style>
  <w:style w:type="character" w:styleId="CommentReference">
    <w:name w:val="annotation reference"/>
    <w:basedOn w:val="DefaultParagraphFont"/>
    <w:uiPriority w:val="99"/>
    <w:semiHidden/>
    <w:unhideWhenUsed/>
    <w:rsid w:val="00214F84"/>
    <w:rPr>
      <w:sz w:val="16"/>
      <w:szCs w:val="16"/>
    </w:rPr>
  </w:style>
  <w:style w:type="paragraph" w:styleId="CommentText">
    <w:name w:val="annotation text"/>
    <w:basedOn w:val="Normal"/>
    <w:link w:val="CommentTextChar"/>
    <w:uiPriority w:val="99"/>
    <w:semiHidden/>
    <w:unhideWhenUsed/>
    <w:rsid w:val="00214F84"/>
  </w:style>
  <w:style w:type="character" w:customStyle="1" w:styleId="CommentTextChar">
    <w:name w:val="Comment Text Char"/>
    <w:basedOn w:val="DefaultParagraphFont"/>
    <w:link w:val="CommentText"/>
    <w:uiPriority w:val="99"/>
    <w:semiHidden/>
    <w:rsid w:val="00214F84"/>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14F84"/>
    <w:rPr>
      <w:b/>
      <w:bCs/>
    </w:rPr>
  </w:style>
  <w:style w:type="character" w:customStyle="1" w:styleId="CommentSubjectChar">
    <w:name w:val="Comment Subject Char"/>
    <w:basedOn w:val="CommentTextChar"/>
    <w:link w:val="CommentSubject"/>
    <w:uiPriority w:val="99"/>
    <w:semiHidden/>
    <w:rsid w:val="00214F84"/>
    <w:rPr>
      <w:rFonts w:ascii="Cambria" w:hAnsi="Cambria"/>
      <w:b/>
      <w:bCs/>
      <w:lang w:eastAsia="en-US"/>
    </w:rPr>
  </w:style>
  <w:style w:type="character" w:customStyle="1" w:styleId="apple-converted-space">
    <w:name w:val="apple-converted-space"/>
    <w:basedOn w:val="DefaultParagraphFont"/>
    <w:rsid w:val="002B5A0B"/>
  </w:style>
  <w:style w:type="numbering" w:customStyle="1" w:styleId="Numbers">
    <w:name w:val="Numbers"/>
    <w:rsid w:val="001121C1"/>
    <w:pPr>
      <w:numPr>
        <w:numId w:val="26"/>
      </w:numPr>
    </w:pPr>
  </w:style>
  <w:style w:type="paragraph" w:styleId="Revision">
    <w:name w:val="Revision"/>
    <w:hidden/>
    <w:uiPriority w:val="71"/>
    <w:rsid w:val="006242CB"/>
    <w:rPr>
      <w:rFonts w:ascii="Cambria" w:hAnsi="Cambria"/>
      <w:lang w:eastAsia="en-US"/>
    </w:rPr>
  </w:style>
  <w:style w:type="paragraph" w:customStyle="1" w:styleId="Bullet">
    <w:name w:val="Bullet"/>
    <w:basedOn w:val="Normal"/>
    <w:qFormat/>
    <w:rsid w:val="008C322E"/>
    <w:pPr>
      <w:numPr>
        <w:numId w:val="28"/>
      </w:numPr>
      <w:spacing w:after="120"/>
    </w:pPr>
    <w:rPr>
      <w:rFonts w:ascii="Arial" w:eastAsia="MS Mincho" w:hAnsi="Arial" w:cs="Arial"/>
      <w:spacing w:val="-4"/>
      <w:szCs w:val="24"/>
      <w:lang w:val="en-US"/>
    </w:rPr>
  </w:style>
  <w:style w:type="paragraph" w:styleId="ListParagraph">
    <w:name w:val="List Paragraph"/>
    <w:basedOn w:val="Normal"/>
    <w:uiPriority w:val="34"/>
    <w:qFormat/>
    <w:rsid w:val="00615723"/>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04C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3239">
      <w:bodyDiv w:val="1"/>
      <w:marLeft w:val="0"/>
      <w:marRight w:val="0"/>
      <w:marTop w:val="0"/>
      <w:marBottom w:val="0"/>
      <w:divBdr>
        <w:top w:val="none" w:sz="0" w:space="0" w:color="auto"/>
        <w:left w:val="none" w:sz="0" w:space="0" w:color="auto"/>
        <w:bottom w:val="none" w:sz="0" w:space="0" w:color="auto"/>
        <w:right w:val="none" w:sz="0" w:space="0" w:color="auto"/>
      </w:divBdr>
    </w:div>
    <w:div w:id="150945315">
      <w:bodyDiv w:val="1"/>
      <w:marLeft w:val="0"/>
      <w:marRight w:val="0"/>
      <w:marTop w:val="0"/>
      <w:marBottom w:val="0"/>
      <w:divBdr>
        <w:top w:val="none" w:sz="0" w:space="0" w:color="auto"/>
        <w:left w:val="none" w:sz="0" w:space="0" w:color="auto"/>
        <w:bottom w:val="none" w:sz="0" w:space="0" w:color="auto"/>
        <w:right w:val="none" w:sz="0" w:space="0" w:color="auto"/>
      </w:divBdr>
    </w:div>
    <w:div w:id="604775667">
      <w:bodyDiv w:val="1"/>
      <w:marLeft w:val="0"/>
      <w:marRight w:val="0"/>
      <w:marTop w:val="0"/>
      <w:marBottom w:val="0"/>
      <w:divBdr>
        <w:top w:val="none" w:sz="0" w:space="0" w:color="auto"/>
        <w:left w:val="none" w:sz="0" w:space="0" w:color="auto"/>
        <w:bottom w:val="none" w:sz="0" w:space="0" w:color="auto"/>
        <w:right w:val="none" w:sz="0" w:space="0" w:color="auto"/>
      </w:divBdr>
    </w:div>
    <w:div w:id="1082528001">
      <w:bodyDiv w:val="1"/>
      <w:marLeft w:val="0"/>
      <w:marRight w:val="0"/>
      <w:marTop w:val="0"/>
      <w:marBottom w:val="0"/>
      <w:divBdr>
        <w:top w:val="none" w:sz="0" w:space="0" w:color="auto"/>
        <w:left w:val="none" w:sz="0" w:space="0" w:color="auto"/>
        <w:bottom w:val="none" w:sz="0" w:space="0" w:color="auto"/>
        <w:right w:val="none" w:sz="0" w:space="0" w:color="auto"/>
      </w:divBdr>
    </w:div>
    <w:div w:id="1126313701">
      <w:bodyDiv w:val="1"/>
      <w:marLeft w:val="0"/>
      <w:marRight w:val="0"/>
      <w:marTop w:val="0"/>
      <w:marBottom w:val="0"/>
      <w:divBdr>
        <w:top w:val="none" w:sz="0" w:space="0" w:color="auto"/>
        <w:left w:val="none" w:sz="0" w:space="0" w:color="auto"/>
        <w:bottom w:val="none" w:sz="0" w:space="0" w:color="auto"/>
        <w:right w:val="none" w:sz="0" w:space="0" w:color="auto"/>
      </w:divBdr>
    </w:div>
    <w:div w:id="1301152529">
      <w:bodyDiv w:val="1"/>
      <w:marLeft w:val="0"/>
      <w:marRight w:val="0"/>
      <w:marTop w:val="0"/>
      <w:marBottom w:val="0"/>
      <w:divBdr>
        <w:top w:val="none" w:sz="0" w:space="0" w:color="auto"/>
        <w:left w:val="none" w:sz="0" w:space="0" w:color="auto"/>
        <w:bottom w:val="none" w:sz="0" w:space="0" w:color="auto"/>
        <w:right w:val="none" w:sz="0" w:space="0" w:color="auto"/>
      </w:divBdr>
    </w:div>
    <w:div w:id="1489128321">
      <w:bodyDiv w:val="1"/>
      <w:marLeft w:val="0"/>
      <w:marRight w:val="0"/>
      <w:marTop w:val="0"/>
      <w:marBottom w:val="0"/>
      <w:divBdr>
        <w:top w:val="none" w:sz="0" w:space="0" w:color="auto"/>
        <w:left w:val="none" w:sz="0" w:space="0" w:color="auto"/>
        <w:bottom w:val="none" w:sz="0" w:space="0" w:color="auto"/>
        <w:right w:val="none" w:sz="0" w:space="0" w:color="auto"/>
      </w:divBdr>
    </w:div>
    <w:div w:id="1623609719">
      <w:bodyDiv w:val="1"/>
      <w:marLeft w:val="0"/>
      <w:marRight w:val="0"/>
      <w:marTop w:val="0"/>
      <w:marBottom w:val="0"/>
      <w:divBdr>
        <w:top w:val="none" w:sz="0" w:space="0" w:color="auto"/>
        <w:left w:val="none" w:sz="0" w:space="0" w:color="auto"/>
        <w:bottom w:val="none" w:sz="0" w:space="0" w:color="auto"/>
        <w:right w:val="none" w:sz="0" w:space="0" w:color="auto"/>
      </w:divBdr>
    </w:div>
    <w:div w:id="1685353080">
      <w:bodyDiv w:val="1"/>
      <w:marLeft w:val="0"/>
      <w:marRight w:val="0"/>
      <w:marTop w:val="0"/>
      <w:marBottom w:val="0"/>
      <w:divBdr>
        <w:top w:val="none" w:sz="0" w:space="0" w:color="auto"/>
        <w:left w:val="none" w:sz="0" w:space="0" w:color="auto"/>
        <w:bottom w:val="none" w:sz="0" w:space="0" w:color="auto"/>
        <w:right w:val="none" w:sz="0" w:space="0" w:color="auto"/>
      </w:divBdr>
    </w:div>
    <w:div w:id="1954357319">
      <w:bodyDiv w:val="1"/>
      <w:marLeft w:val="0"/>
      <w:marRight w:val="0"/>
      <w:marTop w:val="0"/>
      <w:marBottom w:val="0"/>
      <w:divBdr>
        <w:top w:val="none" w:sz="0" w:space="0" w:color="auto"/>
        <w:left w:val="none" w:sz="0" w:space="0" w:color="auto"/>
        <w:bottom w:val="none" w:sz="0" w:space="0" w:color="auto"/>
        <w:right w:val="none" w:sz="0" w:space="0" w:color="auto"/>
      </w:divBdr>
    </w:div>
    <w:div w:id="1955287289">
      <w:bodyDiv w:val="1"/>
      <w:marLeft w:val="0"/>
      <w:marRight w:val="0"/>
      <w:marTop w:val="0"/>
      <w:marBottom w:val="0"/>
      <w:divBdr>
        <w:top w:val="none" w:sz="0" w:space="0" w:color="auto"/>
        <w:left w:val="none" w:sz="0" w:space="0" w:color="auto"/>
        <w:bottom w:val="none" w:sz="0" w:space="0" w:color="auto"/>
        <w:right w:val="none" w:sz="0" w:space="0" w:color="auto"/>
      </w:divBdr>
    </w:div>
    <w:div w:id="195640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c.gov.au/advertising-plans-and-spend" TargetMode="External"/><Relationship Id="rId18" Type="http://schemas.openxmlformats.org/officeDocument/2006/relationships/chart" Target="charts/chart5.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www.vic.gov.au/advertising-government-communications" TargetMode="External"/><Relationship Id="rId7" Type="http://schemas.openxmlformats.org/officeDocument/2006/relationships/footnotes" Target="footnotes.xml"/><Relationship Id="rId12" Type="http://schemas.openxmlformats.org/officeDocument/2006/relationships/hyperlink" Target="https://buyingfor.vic.gov.au/master-agency-media-services-mams-contract" TargetMode="External"/><Relationship Id="rId17" Type="http://schemas.openxmlformats.org/officeDocument/2006/relationships/chart" Target="charts/chart4.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s://www.vic.gov.au/advertising-government-communication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hyperlink" Target="https://www.vic.gov.au/advertising-government-communications" TargetMode="External"/><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financial-reporting-policy/financial-reporting-directions-and-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b="1"/>
              <a:t>Victorian Government</a:t>
            </a:r>
            <a:r>
              <a:rPr lang="en-AU" b="1" baseline="0"/>
              <a:t> advertising expenditure by year </a:t>
            </a:r>
            <a:endParaRPr lang="en-AU" b="1"/>
          </a:p>
        </c:rich>
      </c:tx>
      <c:layout>
        <c:manualLayout>
          <c:xMode val="edge"/>
          <c:yMode val="edge"/>
          <c:x val="0.14954432268167561"/>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70778459922633"/>
          <c:y val="9.878975513650437E-2"/>
          <c:w val="0.85326417614581673"/>
          <c:h val="0.7788347875035182"/>
        </c:manualLayout>
      </c:layout>
      <c:barChart>
        <c:barDir val="col"/>
        <c:grouping val="clustered"/>
        <c:varyColors val="0"/>
        <c:ser>
          <c:idx val="0"/>
          <c:order val="0"/>
          <c:tx>
            <c:strRef>
              <c:f>Sheet1!$B$1</c:f>
              <c:strCache>
                <c:ptCount val="1"/>
                <c:pt idx="0">
                  <c:v>Expenditure </c:v>
                </c:pt>
              </c:strCache>
            </c:strRef>
          </c:tx>
          <c:spPr>
            <a:solidFill>
              <a:schemeClr val="accent1"/>
            </a:solidFill>
            <a:ln>
              <a:noFill/>
            </a:ln>
            <a:effectLst/>
          </c:spPr>
          <c:invertIfNegative val="0"/>
          <c:dLbls>
            <c:dLbl>
              <c:idx val="0"/>
              <c:layout>
                <c:manualLayout>
                  <c:x val="2.002803925495694E-3"/>
                  <c:y val="-2.81452293836193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B4-4F28-BFE6-1719DDDB0F84}"/>
                </c:ext>
              </c:extLst>
            </c:dLbl>
            <c:dLbl>
              <c:idx val="4"/>
              <c:layout>
                <c:manualLayout>
                  <c:x val="2.002803925495694E-3"/>
                  <c:y val="-1.40726146918097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79-4C70-AC44-72B67649B52D}"/>
                </c:ext>
              </c:extLst>
            </c:dLbl>
            <c:dLbl>
              <c:idx val="5"/>
              <c:layout>
                <c:manualLayout>
                  <c:x val="0"/>
                  <c:y val="-3.09597523219814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B4-4F28-BFE6-1719DDDB0F84}"/>
                </c:ext>
              </c:extLst>
            </c:dLbl>
            <c:dLbl>
              <c:idx val="6"/>
              <c:layout>
                <c:manualLayout>
                  <c:x val="0"/>
                  <c:y val="-2.81452293836194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4-4F28-BFE6-1719DDDB0F84}"/>
                </c:ext>
              </c:extLst>
            </c:dLbl>
            <c:dLbl>
              <c:idx val="7"/>
              <c:layout>
                <c:manualLayout>
                  <c:x val="0"/>
                  <c:y val="-1.40726146918097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4-4F28-BFE6-1719DDDB0F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Sheet1!$B$2:$B$12</c:f>
              <c:numCache>
                <c:formatCode>"$"#,##0.0</c:formatCode>
                <c:ptCount val="11"/>
                <c:pt idx="0">
                  <c:v>112.8</c:v>
                </c:pt>
                <c:pt idx="1">
                  <c:v>103.1</c:v>
                </c:pt>
                <c:pt idx="2">
                  <c:v>98.4</c:v>
                </c:pt>
                <c:pt idx="3">
                  <c:v>96.1</c:v>
                </c:pt>
                <c:pt idx="4">
                  <c:v>94.9</c:v>
                </c:pt>
                <c:pt idx="5">
                  <c:v>74.599999999999994</c:v>
                </c:pt>
                <c:pt idx="6">
                  <c:v>82.4</c:v>
                </c:pt>
                <c:pt idx="7">
                  <c:v>105.7</c:v>
                </c:pt>
                <c:pt idx="8">
                  <c:v>102.8</c:v>
                </c:pt>
                <c:pt idx="9">
                  <c:v>84.6</c:v>
                </c:pt>
                <c:pt idx="10">
                  <c:v>147.30000000000001</c:v>
                </c:pt>
              </c:numCache>
            </c:numRef>
          </c:val>
          <c:extLst>
            <c:ext xmlns:c16="http://schemas.microsoft.com/office/drawing/2014/chart" uri="{C3380CC4-5D6E-409C-BE32-E72D297353CC}">
              <c16:uniqueId val="{00000000-6EB4-4F28-BFE6-1719DDDB0F84}"/>
            </c:ext>
          </c:extLst>
        </c:ser>
        <c:dLbls>
          <c:dLblPos val="outEnd"/>
          <c:showLegendKey val="0"/>
          <c:showVal val="1"/>
          <c:showCatName val="0"/>
          <c:showSerName val="0"/>
          <c:showPercent val="0"/>
          <c:showBubbleSize val="0"/>
        </c:dLbls>
        <c:gapWidth val="150"/>
        <c:overlap val="-27"/>
        <c:axId val="461971856"/>
        <c:axId val="461980712"/>
      </c:barChart>
      <c:catAx>
        <c:axId val="4619718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461980712"/>
        <c:crosses val="autoZero"/>
        <c:auto val="0"/>
        <c:lblAlgn val="ctr"/>
        <c:lblOffset val="100"/>
        <c:noMultiLvlLbl val="0"/>
      </c:catAx>
      <c:valAx>
        <c:axId val="461980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Millions</a:t>
                </a:r>
                <a:r>
                  <a:rPr lang="en-AU"/>
                  <a:t> </a:t>
                </a:r>
              </a:p>
            </c:rich>
          </c:tx>
          <c:layout>
            <c:manualLayout>
              <c:xMode val="edge"/>
              <c:yMode val="edge"/>
              <c:x val="1.0014019627478469E-2"/>
              <c:y val="0.394407875424757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7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b="1"/>
              <a:t>Victorian Government</a:t>
            </a:r>
            <a:r>
              <a:rPr lang="en-AU" b="1" baseline="0"/>
              <a:t> campaign advertising expenditure by year - including </a:t>
            </a:r>
            <a:r>
              <a:rPr lang="en-AU" sz="1400" b="1" i="0" u="none" strike="noStrike" baseline="0">
                <a:effectLst/>
              </a:rPr>
              <a:t>COVID-19 public health campaigns</a:t>
            </a:r>
            <a:endParaRPr lang="en-AU" b="1"/>
          </a:p>
        </c:rich>
      </c:tx>
      <c:layout>
        <c:manualLayout>
          <c:xMode val="edge"/>
          <c:yMode val="edge"/>
          <c:x val="0.12373230717638033"/>
          <c:y val="3.908794788273615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31180187763689"/>
          <c:y val="0.19887267348910376"/>
          <c:w val="0.84035818387833805"/>
          <c:h val="0.69514769122914999"/>
        </c:manualLayout>
      </c:layout>
      <c:barChart>
        <c:barDir val="col"/>
        <c:grouping val="stacked"/>
        <c:varyColors val="0"/>
        <c:ser>
          <c:idx val="0"/>
          <c:order val="0"/>
          <c:tx>
            <c:strRef>
              <c:f>Sheet1!$B$1</c:f>
              <c:strCache>
                <c:ptCount val="1"/>
                <c:pt idx="0">
                  <c:v>Non-COVID Campaign Expenditure </c:v>
                </c:pt>
              </c:strCache>
            </c:strRef>
          </c:tx>
          <c:spPr>
            <a:solidFill>
              <a:schemeClr val="accent1"/>
            </a:solidFill>
            <a:ln>
              <a:noFill/>
            </a:ln>
            <a:effectLst/>
          </c:spPr>
          <c:invertIfNegative val="0"/>
          <c:dLbls>
            <c:dLbl>
              <c:idx val="0"/>
              <c:layout>
                <c:manualLayout>
                  <c:x val="2.002803925495694E-3"/>
                  <c:y val="-2.8145229383619349E-3"/>
                </c:manualLayout>
              </c:layout>
              <c:tx>
                <c:rich>
                  <a:bodyPr/>
                  <a:lstStyle/>
                  <a:p>
                    <a:fld id="{D3DC1B88-961B-466F-90B8-217A3208AA3F}"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328-4242-A60A-BA44352E4FC2}"/>
                </c:ext>
              </c:extLst>
            </c:dLbl>
            <c:dLbl>
              <c:idx val="1"/>
              <c:tx>
                <c:rich>
                  <a:bodyPr/>
                  <a:lstStyle/>
                  <a:p>
                    <a:fld id="{EB0B8971-3E89-43FB-A928-0AD16CD34168}"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328-4242-A60A-BA44352E4FC2}"/>
                </c:ext>
              </c:extLst>
            </c:dLbl>
            <c:dLbl>
              <c:idx val="2"/>
              <c:tx>
                <c:rich>
                  <a:bodyPr/>
                  <a:lstStyle/>
                  <a:p>
                    <a:fld id="{A7B8C535-3F05-46B3-9FA4-033D84C90F45}"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328-4242-A60A-BA44352E4FC2}"/>
                </c:ext>
              </c:extLst>
            </c:dLbl>
            <c:dLbl>
              <c:idx val="3"/>
              <c:tx>
                <c:rich>
                  <a:bodyPr/>
                  <a:lstStyle/>
                  <a:p>
                    <a:fld id="{E99AE4D5-58C7-4C19-BE09-AE0537DB6E7D}"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328-4242-A60A-BA44352E4FC2}"/>
                </c:ext>
              </c:extLst>
            </c:dLbl>
            <c:dLbl>
              <c:idx val="4"/>
              <c:layout>
                <c:manualLayout>
                  <c:x val="2.002803925495694E-3"/>
                  <c:y val="-1.4072614691809739E-2"/>
                </c:manualLayout>
              </c:layout>
              <c:tx>
                <c:rich>
                  <a:bodyPr/>
                  <a:lstStyle/>
                  <a:p>
                    <a:fld id="{689C7063-30A9-457F-AF56-EB19326001DA}"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328-4242-A60A-BA44352E4FC2}"/>
                </c:ext>
              </c:extLst>
            </c:dLbl>
            <c:dLbl>
              <c:idx val="5"/>
              <c:layout>
                <c:manualLayout>
                  <c:x val="0"/>
                  <c:y val="-3.0959752321981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28-4242-A60A-BA44352E4FC2}"/>
                </c:ext>
              </c:extLst>
            </c:dLbl>
            <c:dLbl>
              <c:idx val="6"/>
              <c:layout>
                <c:manualLayout>
                  <c:x val="0"/>
                  <c:y val="-2.8145229383619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28-4242-A60A-BA44352E4FC2}"/>
                </c:ext>
              </c:extLst>
            </c:dLbl>
            <c:dLbl>
              <c:idx val="7"/>
              <c:layout>
                <c:manualLayout>
                  <c:x val="0"/>
                  <c:y val="-1.4072614691809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28-4242-A60A-BA44352E4F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"$"#,##0.0</c:formatCode>
                <c:ptCount val="5"/>
                <c:pt idx="0">
                  <c:v>66.5</c:v>
                </c:pt>
                <c:pt idx="1">
                  <c:v>88.7</c:v>
                </c:pt>
                <c:pt idx="2">
                  <c:v>88.5</c:v>
                </c:pt>
                <c:pt idx="3">
                  <c:v>64.3</c:v>
                </c:pt>
                <c:pt idx="4">
                  <c:v>82.3</c:v>
                </c:pt>
              </c:numCache>
            </c:numRef>
          </c:val>
          <c:extLst>
            <c:ext xmlns:c16="http://schemas.microsoft.com/office/drawing/2014/chart" uri="{C3380CC4-5D6E-409C-BE32-E72D297353CC}">
              <c16:uniqueId val="{00000005-B328-4242-A60A-BA44352E4FC2}"/>
            </c:ext>
          </c:extLst>
        </c:ser>
        <c:ser>
          <c:idx val="1"/>
          <c:order val="1"/>
          <c:tx>
            <c:strRef>
              <c:f>Sheet1!$C$1</c:f>
              <c:strCache>
                <c:ptCount val="1"/>
                <c:pt idx="0">
                  <c:v>COVID-19 Public Health Campaign Expenditure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B328-4242-A60A-BA44352E4FC2}"/>
                </c:ext>
              </c:extLst>
            </c:dLbl>
            <c:dLbl>
              <c:idx val="1"/>
              <c:delete val="1"/>
              <c:extLst>
                <c:ext xmlns:c15="http://schemas.microsoft.com/office/drawing/2012/chart" uri="{CE6537A1-D6FC-4f65-9D91-7224C49458BB}"/>
                <c:ext xmlns:c16="http://schemas.microsoft.com/office/drawing/2014/chart" uri="{C3380CC4-5D6E-409C-BE32-E72D297353CC}">
                  <c16:uniqueId val="{00000009-B328-4242-A60A-BA44352E4FC2}"/>
                </c:ext>
              </c:extLst>
            </c:dLbl>
            <c:dLbl>
              <c:idx val="2"/>
              <c:delete val="1"/>
              <c:extLst>
                <c:ext xmlns:c15="http://schemas.microsoft.com/office/drawing/2012/chart" uri="{CE6537A1-D6FC-4f65-9D91-7224C49458BB}"/>
                <c:ext xmlns:c16="http://schemas.microsoft.com/office/drawing/2014/chart" uri="{C3380CC4-5D6E-409C-BE32-E72D297353CC}">
                  <c16:uniqueId val="{0000000C-B328-4242-A60A-BA44352E4FC2}"/>
                </c:ext>
              </c:extLst>
            </c:dLbl>
            <c:dLbl>
              <c:idx val="3"/>
              <c:tx>
                <c:rich>
                  <a:bodyPr/>
                  <a:lstStyle/>
                  <a:p>
                    <a:fld id="{2A926502-CBBF-406E-8280-DDEAD760AF50}"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328-4242-A60A-BA44352E4FC2}"/>
                </c:ext>
              </c:extLst>
            </c:dLbl>
            <c:dLbl>
              <c:idx val="4"/>
              <c:tx>
                <c:rich>
                  <a:bodyPr/>
                  <a:lstStyle/>
                  <a:p>
                    <a:fld id="{829988CC-C761-4458-A2D0-4F738871FDD6}" type="VALUE">
                      <a:rPr lang="en-US"/>
                      <a:pPr/>
                      <a:t>[VALUE]</a:t>
                    </a:fld>
                    <a:r>
                      <a:rPr lang="en-US"/>
                      <a:t>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328-4242-A60A-BA44352E4F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2016-17</c:v>
                </c:pt>
                <c:pt idx="1">
                  <c:v>2017-18</c:v>
                </c:pt>
                <c:pt idx="2">
                  <c:v>2018-19</c:v>
                </c:pt>
                <c:pt idx="3">
                  <c:v>2019-20</c:v>
                </c:pt>
                <c:pt idx="4">
                  <c:v>2020-21</c:v>
                </c:pt>
              </c:strCache>
            </c:strRef>
          </c:cat>
          <c:val>
            <c:numRef>
              <c:f>Sheet1!$C$2:$C$6</c:f>
              <c:numCache>
                <c:formatCode>"$"#,##0.0</c:formatCode>
                <c:ptCount val="5"/>
                <c:pt idx="0">
                  <c:v>0</c:v>
                </c:pt>
                <c:pt idx="1">
                  <c:v>0</c:v>
                </c:pt>
                <c:pt idx="2">
                  <c:v>0</c:v>
                </c:pt>
                <c:pt idx="3">
                  <c:v>8.67</c:v>
                </c:pt>
                <c:pt idx="4">
                  <c:v>53.326000000000001</c:v>
                </c:pt>
              </c:numCache>
            </c:numRef>
          </c:val>
          <c:extLst>
            <c:ext xmlns:c16="http://schemas.microsoft.com/office/drawing/2014/chart" uri="{C3380CC4-5D6E-409C-BE32-E72D297353CC}">
              <c16:uniqueId val="{00000007-B328-4242-A60A-BA44352E4FC2}"/>
            </c:ext>
          </c:extLst>
        </c:ser>
        <c:dLbls>
          <c:showLegendKey val="0"/>
          <c:showVal val="1"/>
          <c:showCatName val="0"/>
          <c:showSerName val="0"/>
          <c:showPercent val="0"/>
          <c:showBubbleSize val="0"/>
        </c:dLbls>
        <c:gapWidth val="50"/>
        <c:overlap val="100"/>
        <c:axId val="461971856"/>
        <c:axId val="461980712"/>
      </c:barChart>
      <c:catAx>
        <c:axId val="4619718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80712"/>
        <c:crosses val="autoZero"/>
        <c:auto val="0"/>
        <c:lblAlgn val="ctr"/>
        <c:lblOffset val="100"/>
        <c:noMultiLvlLbl val="0"/>
      </c:catAx>
      <c:valAx>
        <c:axId val="461980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Millions</a:t>
                </a:r>
                <a:r>
                  <a:rPr lang="en-AU"/>
                  <a:t> </a:t>
                </a:r>
              </a:p>
            </c:rich>
          </c:tx>
          <c:layout>
            <c:manualLayout>
              <c:xMode val="edge"/>
              <c:yMode val="edge"/>
              <c:x val="1.0014019627478469E-2"/>
              <c:y val="0.394407875424757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71856"/>
        <c:crosses val="autoZero"/>
        <c:crossBetween val="between"/>
      </c:valAx>
      <c:spPr>
        <a:noFill/>
        <a:ln>
          <a:noFill/>
        </a:ln>
        <a:effectLst/>
      </c:spPr>
    </c:plotArea>
    <c:legend>
      <c:legendPos val="r"/>
      <c:layout>
        <c:manualLayout>
          <c:xMode val="edge"/>
          <c:yMode val="edge"/>
          <c:x val="0.37197975011136086"/>
          <c:y val="0.30490617011635762"/>
          <c:w val="0.38065522515213668"/>
          <c:h val="0.14796107209937245"/>
        </c:manualLayout>
      </c:layout>
      <c:overlay val="0"/>
      <c:spPr>
        <a:solidFill>
          <a:schemeClr val="bg1"/>
        </a:solidFill>
        <a:ln w="6350">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Victorian Government advertising expenditure by category 2020-21</a:t>
            </a:r>
          </a:p>
        </c:rich>
      </c:tx>
      <c:layout>
        <c:manualLayout>
          <c:xMode val="edge"/>
          <c:yMode val="edge"/>
          <c:x val="0.12602794015654414"/>
          <c:y val="0"/>
        </c:manualLayout>
      </c:layout>
      <c:overlay val="0"/>
      <c:spPr>
        <a:noFill/>
        <a:ln>
          <a:noFill/>
        </a:ln>
        <a:effectLst/>
      </c:spPr>
    </c:title>
    <c:autoTitleDeleted val="0"/>
    <c:plotArea>
      <c:layout/>
      <c:pieChart>
        <c:varyColors val="1"/>
        <c:ser>
          <c:idx val="0"/>
          <c:order val="0"/>
          <c:tx>
            <c:strRef>
              <c:f>Sheet1!$B$1</c:f>
              <c:strCache>
                <c:ptCount val="1"/>
                <c:pt idx="0">
                  <c:v>Advertising expenditure 2020-21 ($m)</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2-B9C8-4E50-8083-CA7CE608CB5F}"/>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4-B9C8-4E50-8083-CA7CE608CB5F}"/>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3-B9C8-4E50-8083-CA7CE608CB5F}"/>
              </c:ext>
            </c:extLst>
          </c:dPt>
          <c:dLbls>
            <c:dLbl>
              <c:idx val="0"/>
              <c:layout>
                <c:manualLayout>
                  <c:x val="0.11294956900822352"/>
                  <c:y val="-3.8832488893047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B3D9B4-CEE8-4B25-B78C-362550A6AC98}" type="CELLRANGE">
                      <a:rPr lang="en-US" sz="900" b="1"/>
                      <a:pPr>
                        <a:defRPr sz="900" b="0" i="0" u="none" strike="noStrike" kern="1200" baseline="0">
                          <a:solidFill>
                            <a:schemeClr val="tx1">
                              <a:lumMod val="75000"/>
                              <a:lumOff val="25000"/>
                            </a:schemeClr>
                          </a:solidFill>
                          <a:latin typeface="+mn-lt"/>
                          <a:ea typeface="+mn-ea"/>
                          <a:cs typeface="+mn-cs"/>
                        </a:defRPr>
                      </a:pPr>
                      <a:t>[CELLRANGE]</a:t>
                    </a:fld>
                    <a:r>
                      <a:rPr lang="en-US" sz="900" b="1"/>
                      <a:t>: </a:t>
                    </a:r>
                    <a:fld id="{6E5E751E-9175-43FF-A39F-657DDA889871}"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 </a:t>
                    </a:r>
                    <a:r>
                      <a:rPr lang="en-US" sz="900" b="0" i="0" u="none" strike="noStrike" kern="1200" baseline="0">
                        <a:solidFill>
                          <a:sysClr val="windowText" lastClr="000000">
                            <a:lumMod val="75000"/>
                            <a:lumOff val="25000"/>
                          </a:sysClr>
                        </a:solidFill>
                      </a:rPr>
                      <a:t>million</a:t>
                    </a:r>
                    <a:br>
                      <a:rPr lang="en-US" sz="900"/>
                    </a:br>
                    <a:r>
                      <a:rPr lang="en-US" sz="900"/>
                      <a:t>(</a:t>
                    </a:r>
                    <a:fld id="{F38D1507-495F-4824-BE46-EF3CE563E7EE}"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1113643118993361"/>
                      <c:h val="0.10404077625826536"/>
                    </c:manualLayout>
                  </c15:layout>
                  <c15:dlblFieldTable/>
                  <c15:showDataLabelsRange val="1"/>
                </c:ext>
                <c:ext xmlns:c16="http://schemas.microsoft.com/office/drawing/2014/chart" uri="{C3380CC4-5D6E-409C-BE32-E72D297353CC}">
                  <c16:uniqueId val="{00000002-B9C8-4E50-8083-CA7CE608CB5F}"/>
                </c:ext>
              </c:extLst>
            </c:dLbl>
            <c:dLbl>
              <c:idx val="1"/>
              <c:layout>
                <c:manualLayout>
                  <c:x val="-1.5852571088873477E-2"/>
                  <c:y val="9.5778689802993432E-3"/>
                </c:manualLayout>
              </c:layout>
              <c:tx>
                <c:rich>
                  <a:bodyPr/>
                  <a:lstStyle/>
                  <a:p>
                    <a:fld id="{0B925AB9-D241-44A4-B88A-D45C9FB5A987}" type="CELLRANGE">
                      <a:rPr lang="en-US" sz="900" b="1"/>
                      <a:pPr/>
                      <a:t>[CELLRANGE]</a:t>
                    </a:fld>
                    <a:fld id="{1A32061F-D173-4A32-83A5-C239D5047AB0}" type="VALUE">
                      <a:rPr lang="en-US" sz="900"/>
                      <a:pPr/>
                      <a:t>[VALUE]</a:t>
                    </a:fld>
                    <a:r>
                      <a:rPr lang="en-US" sz="900"/>
                      <a:t> </a:t>
                    </a:r>
                    <a:r>
                      <a:rPr lang="en-US" sz="900" b="0" i="0" u="none" strike="noStrike" kern="1200" baseline="0">
                        <a:solidFill>
                          <a:sysClr val="windowText" lastClr="000000">
                            <a:lumMod val="75000"/>
                            <a:lumOff val="25000"/>
                          </a:sysClr>
                        </a:solidFill>
                      </a:rPr>
                      <a:t>million</a:t>
                    </a:r>
                    <a:endParaRPr lang="en-US" sz="900"/>
                  </a:p>
                  <a:p>
                    <a:r>
                      <a:rPr lang="en-US" sz="900"/>
                      <a:t>(</a:t>
                    </a:r>
                    <a:fld id="{C08EA746-257F-4D5E-A9A9-F8B9B99E2F52}" type="PERCENTAGE">
                      <a:rPr lang="en-US" sz="900"/>
                      <a:pPr/>
                      <a:t>[PERCENTAGE]</a:t>
                    </a:fld>
                    <a:r>
                      <a:rPr lang="en-US" sz="900"/>
                      <a:t>)</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9C8-4E50-8083-CA7CE608CB5F}"/>
                </c:ext>
              </c:extLst>
            </c:dLbl>
            <c:dLbl>
              <c:idx val="2"/>
              <c:layout>
                <c:manualLayout>
                  <c:x val="9.1152361775643995E-2"/>
                  <c:y val="7.7200112294961432E-3"/>
                </c:manualLayout>
              </c:layout>
              <c:tx>
                <c:rich>
                  <a:bodyPr/>
                  <a:lstStyle/>
                  <a:p>
                    <a:fld id="{37EDFEE2-2E70-429A-B9B2-3C1C823F44A5}" type="CELLRANGE">
                      <a:rPr lang="en-US" b="1"/>
                      <a:pPr/>
                      <a:t>[CELLRANGE]</a:t>
                    </a:fld>
                    <a:r>
                      <a:rPr lang="en-US"/>
                      <a:t>: </a:t>
                    </a:r>
                    <a:fld id="{042646A4-44BF-43C4-819E-5C66767B4AAB}" type="VALUE">
                      <a:rPr lang="en-US"/>
                      <a:pPr/>
                      <a:t>[VALUE]</a:t>
                    </a:fld>
                    <a:r>
                      <a:rPr lang="en-US"/>
                      <a:t> million</a:t>
                    </a:r>
                  </a:p>
                  <a:p>
                    <a:r>
                      <a:rPr lang="en-US"/>
                      <a:t>(</a:t>
                    </a:r>
                    <a:fld id="{F8F94D10-287A-4E44-ADFD-66A214FE0C41}" type="PERCENTAGE">
                      <a:rPr lang="en-US"/>
                      <a:pPr/>
                      <a:t>[PERCENTAGE]</a:t>
                    </a:fld>
                    <a:r>
                      <a:rPr lang="en-US"/>
                      <a:t>)</a:t>
                    </a:r>
                  </a:p>
                </c:rich>
              </c:tx>
              <c:dLblPos val="bestFit"/>
              <c:showLegendKey val="0"/>
              <c:showVal val="1"/>
              <c:showCatName val="0"/>
              <c:showSerName val="0"/>
              <c:showPercent val="1"/>
              <c:showBubbleSize val="0"/>
              <c:extLst>
                <c:ext xmlns:c15="http://schemas.microsoft.com/office/drawing/2012/chart" uri="{CE6537A1-D6FC-4f65-9D91-7224C49458BB}">
                  <c15:layout>
                    <c:manualLayout>
                      <c:w val="0.24870702467056371"/>
                      <c:h val="9.0039786693329987E-2"/>
                    </c:manualLayout>
                  </c15:layout>
                  <c15:dlblFieldTable/>
                  <c15:showDataLabelsRange val="1"/>
                </c:ext>
                <c:ext xmlns:c16="http://schemas.microsoft.com/office/drawing/2014/chart" uri="{C3380CC4-5D6E-409C-BE32-E72D297353CC}">
                  <c16:uniqueId val="{00000003-B9C8-4E50-8083-CA7CE608C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15:showDataLabelsRange val="1"/>
              </c:ext>
            </c:extLst>
          </c:dLbls>
          <c:cat>
            <c:multiLvlStrRef>
              <c:f>Sheet1!$A$1:$C$4</c:f>
              <c:multiLvlStrCache>
                <c:ptCount val="4"/>
                <c:lvl>
                  <c:pt idx="0">
                    <c:v>Percentage of total</c:v>
                  </c:pt>
                  <c:pt idx="1">
                    <c:v>92%</c:v>
                  </c:pt>
                  <c:pt idx="2">
                    <c:v>4%</c:v>
                  </c:pt>
                  <c:pt idx="3">
                    <c:v>4%</c:v>
                  </c:pt>
                </c:lvl>
                <c:lvl>
                  <c:pt idx="0">
                    <c:v>Advertising expenditure 2020-21 ($m)</c:v>
                  </c:pt>
                  <c:pt idx="1">
                    <c:v>$135.6</c:v>
                  </c:pt>
                  <c:pt idx="2">
                    <c:v>$5.7</c:v>
                  </c:pt>
                  <c:pt idx="3">
                    <c:v>$6.0</c:v>
                  </c:pt>
                </c:lvl>
                <c:lvl>
                  <c:pt idx="0">
                    <c:v> </c:v>
                  </c:pt>
                  <c:pt idx="1">
                    <c:v>Campaign</c:v>
                  </c:pt>
                  <c:pt idx="2">
                    <c:v>Functional </c:v>
                  </c:pt>
                  <c:pt idx="3">
                    <c:v>Recruitment</c:v>
                  </c:pt>
                </c:lvl>
              </c:multiLvlStrCache>
            </c:multiLvlStrRef>
          </c:cat>
          <c:val>
            <c:numRef>
              <c:f>Sheet1!$B$2:$B$4</c:f>
              <c:numCache>
                <c:formatCode>"$"#,##0.0</c:formatCode>
                <c:ptCount val="3"/>
                <c:pt idx="0">
                  <c:v>135.6</c:v>
                </c:pt>
                <c:pt idx="1">
                  <c:v>5.7</c:v>
                </c:pt>
                <c:pt idx="2">
                  <c:v>6</c:v>
                </c:pt>
              </c:numCache>
            </c:numRef>
          </c:val>
          <c:extLst>
            <c:ext xmlns:c15="http://schemas.microsoft.com/office/drawing/2012/chart" uri="{02D57815-91ED-43cb-92C2-25804820EDAC}">
              <c15:datalabelsRange>
                <c15:f>Sheet1!$A$2:$A$4</c15:f>
                <c15:dlblRangeCache>
                  <c:ptCount val="3"/>
                  <c:pt idx="0">
                    <c:v>Campaign</c:v>
                  </c:pt>
                  <c:pt idx="1">
                    <c:v>Functional </c:v>
                  </c:pt>
                  <c:pt idx="2">
                    <c:v>Recruitment</c:v>
                  </c:pt>
                </c15:dlblRangeCache>
              </c15:datalabelsRange>
            </c:ext>
            <c:ext xmlns:c16="http://schemas.microsoft.com/office/drawing/2014/chart" uri="{C3380CC4-5D6E-409C-BE32-E72D297353CC}">
              <c16:uniqueId val="{00000000-B9C8-4E50-8083-CA7CE608CB5F}"/>
            </c:ext>
          </c:extLst>
        </c:ser>
        <c:ser>
          <c:idx val="1"/>
          <c:order val="1"/>
          <c:tx>
            <c:strRef>
              <c:f>Sheet1!$C$1</c:f>
              <c:strCache>
                <c:ptCount val="1"/>
                <c:pt idx="0">
                  <c:v>Percentage of total</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7-D901-4AAC-87D5-E7A22958C748}"/>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9-D901-4AAC-87D5-E7A22958C748}"/>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B-D901-4AAC-87D5-E7A22958C748}"/>
              </c:ext>
            </c:extLst>
          </c:dPt>
          <c:cat>
            <c:multiLvlStrRef>
              <c:f>Sheet1!$A$1:$C$4</c:f>
              <c:multiLvlStrCache>
                <c:ptCount val="4"/>
                <c:lvl>
                  <c:pt idx="0">
                    <c:v>Percentage of total</c:v>
                  </c:pt>
                  <c:pt idx="1">
                    <c:v>92%</c:v>
                  </c:pt>
                  <c:pt idx="2">
                    <c:v>4%</c:v>
                  </c:pt>
                  <c:pt idx="3">
                    <c:v>4%</c:v>
                  </c:pt>
                </c:lvl>
                <c:lvl>
                  <c:pt idx="0">
                    <c:v>Advertising expenditure 2020-21 ($m)</c:v>
                  </c:pt>
                  <c:pt idx="1">
                    <c:v>$135.6</c:v>
                  </c:pt>
                  <c:pt idx="2">
                    <c:v>$5.7</c:v>
                  </c:pt>
                  <c:pt idx="3">
                    <c:v>$6.0</c:v>
                  </c:pt>
                </c:lvl>
                <c:lvl>
                  <c:pt idx="0">
                    <c:v> </c:v>
                  </c:pt>
                  <c:pt idx="1">
                    <c:v>Campaign</c:v>
                  </c:pt>
                  <c:pt idx="2">
                    <c:v>Functional </c:v>
                  </c:pt>
                  <c:pt idx="3">
                    <c:v>Recruitment</c:v>
                  </c:pt>
                </c:lvl>
              </c:multiLvlStrCache>
            </c:multiLvlStrRef>
          </c:cat>
          <c:val>
            <c:numRef>
              <c:f>Sheet1!$C$2:$C$4</c:f>
              <c:numCache>
                <c:formatCode>0%</c:formatCode>
                <c:ptCount val="3"/>
                <c:pt idx="0">
                  <c:v>0.92</c:v>
                </c:pt>
                <c:pt idx="1">
                  <c:v>0.04</c:v>
                </c:pt>
                <c:pt idx="2">
                  <c:v>0.04</c:v>
                </c:pt>
              </c:numCache>
            </c:numRef>
          </c:val>
          <c:extLst>
            <c:ext xmlns:c16="http://schemas.microsoft.com/office/drawing/2014/chart" uri="{C3380CC4-5D6E-409C-BE32-E72D297353CC}">
              <c16:uniqueId val="{00000001-B9C8-4E50-8083-CA7CE608CB5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Victorian Government</a:t>
            </a:r>
          </a:p>
          <a:p>
            <a:pPr>
              <a:defRPr sz="1400" b="0" i="0" u="none" strike="noStrike" kern="1200" spc="0" baseline="0">
                <a:solidFill>
                  <a:schemeClr val="tx1">
                    <a:lumMod val="65000"/>
                    <a:lumOff val="35000"/>
                  </a:schemeClr>
                </a:solidFill>
                <a:latin typeface="+mn-lt"/>
                <a:ea typeface="+mn-ea"/>
                <a:cs typeface="+mn-cs"/>
              </a:defRPr>
            </a:pPr>
            <a:r>
              <a:rPr lang="en-US" b="1"/>
              <a:t>campaign</a:t>
            </a:r>
            <a:r>
              <a:rPr lang="en-US" b="1" baseline="0"/>
              <a:t> and non-campaign advertising expenditure by departments and agencies</a:t>
            </a:r>
            <a:r>
              <a:rPr lang="en-US" b="1"/>
              <a:t> 2020-21</a:t>
            </a:r>
          </a:p>
        </c:rich>
      </c:tx>
      <c:layout>
        <c:manualLayout>
          <c:xMode val="edge"/>
          <c:yMode val="edge"/>
          <c:x val="0.12602794015654414"/>
          <c:y val="0"/>
        </c:manualLayout>
      </c:layout>
      <c:overlay val="0"/>
      <c:spPr>
        <a:noFill/>
        <a:ln>
          <a:noFill/>
        </a:ln>
        <a:effectLst/>
      </c:spPr>
    </c:title>
    <c:autoTitleDeleted val="0"/>
    <c:plotArea>
      <c:layout/>
      <c:pieChart>
        <c:varyColors val="1"/>
        <c:ser>
          <c:idx val="0"/>
          <c:order val="0"/>
          <c:tx>
            <c:strRef>
              <c:f>Sheet1!$B$1</c:f>
              <c:strCache>
                <c:ptCount val="1"/>
                <c:pt idx="0">
                  <c:v>Advertising expenditure 2020-21</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B2C2-4921-95B1-78825933B758}"/>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B2C2-4921-95B1-78825933B758}"/>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B2C2-4921-95B1-78825933B758}"/>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E-B2C2-4921-95B1-78825933B758}"/>
              </c:ext>
            </c:extLst>
          </c:dPt>
          <c:dLbls>
            <c:dLbl>
              <c:idx val="0"/>
              <c:layout>
                <c:manualLayout>
                  <c:x val="-1.610788361820626E-2"/>
                  <c:y val="0.1896957358069967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B3D9B4-CEE8-4B25-B78C-362550A6AC98}" type="CELLRANGE">
                      <a:rPr lang="en-US" sz="900" b="1"/>
                      <a:pPr>
                        <a:defRPr sz="900" b="0" i="0" u="none" strike="noStrike" kern="1200" baseline="0">
                          <a:solidFill>
                            <a:schemeClr val="tx1">
                              <a:lumMod val="75000"/>
                              <a:lumOff val="25000"/>
                            </a:schemeClr>
                          </a:solidFill>
                          <a:latin typeface="+mn-lt"/>
                          <a:ea typeface="+mn-ea"/>
                          <a:cs typeface="+mn-cs"/>
                        </a:defRPr>
                      </a:pPr>
                      <a:t>[CELLRANGE]</a:t>
                    </a:fld>
                    <a:r>
                      <a:rPr lang="en-US" sz="900" b="1"/>
                      <a:t>: </a:t>
                    </a:r>
                    <a:br>
                      <a:rPr lang="en-US" sz="900" b="1"/>
                    </a:br>
                    <a:fld id="{6E5E751E-9175-43FF-A39F-657DDA889871}"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 </a:t>
                    </a:r>
                    <a:r>
                      <a:rPr lang="en-US" sz="900" b="0" i="0" u="none" strike="noStrike" kern="1200" baseline="0">
                        <a:solidFill>
                          <a:sysClr val="windowText" lastClr="000000">
                            <a:lumMod val="75000"/>
                            <a:lumOff val="25000"/>
                          </a:sysClr>
                        </a:solidFill>
                      </a:rPr>
                      <a:t>million</a:t>
                    </a:r>
                    <a:br>
                      <a:rPr lang="en-US" sz="900"/>
                    </a:br>
                    <a:r>
                      <a:rPr lang="en-US" sz="900"/>
                      <a:t>(</a:t>
                    </a:r>
                    <a:fld id="{F38D1507-495F-4824-BE46-EF3CE563E7EE}"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111364225309651"/>
                      <c:h val="0.16907253887668594"/>
                    </c:manualLayout>
                  </c15:layout>
                  <c15:dlblFieldTable/>
                  <c15:showDataLabelsRange val="1"/>
                </c:ext>
                <c:ext xmlns:c16="http://schemas.microsoft.com/office/drawing/2014/chart" uri="{C3380CC4-5D6E-409C-BE32-E72D297353CC}">
                  <c16:uniqueId val="{00000001-B2C2-4921-95B1-78825933B758}"/>
                </c:ext>
              </c:extLst>
            </c:dLbl>
            <c:dLbl>
              <c:idx val="1"/>
              <c:layout>
                <c:manualLayout>
                  <c:x val="-3.1243758402150969E-2"/>
                  <c:y val="-1.3698720023010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B925AB9-D241-44A4-B88A-D45C9FB5A987}" type="CELLRANGE">
                      <a:rPr lang="en-US" sz="900" b="1"/>
                      <a:pPr>
                        <a:defRPr sz="900" b="0" i="0" u="none" strike="noStrike" kern="1200" baseline="0">
                          <a:solidFill>
                            <a:schemeClr val="tx1">
                              <a:lumMod val="75000"/>
                              <a:lumOff val="25000"/>
                            </a:schemeClr>
                          </a:solidFill>
                          <a:latin typeface="+mn-lt"/>
                          <a:ea typeface="+mn-ea"/>
                          <a:cs typeface="+mn-cs"/>
                        </a:defRPr>
                      </a:pPr>
                      <a:t>[CELLRANGE]</a:t>
                    </a:fld>
                    <a:r>
                      <a:rPr lang="en-US" sz="900" b="1"/>
                      <a:t>:</a:t>
                    </a:r>
                    <a:br>
                      <a:rPr lang="en-US" sz="900"/>
                    </a:br>
                    <a:fld id="{1A32061F-D173-4A32-83A5-C239D5047AB0}" type="VALUE">
                      <a:rPr lang="en-US" sz="900"/>
                      <a:pPr>
                        <a:defRPr sz="900" b="0" i="0" u="none" strike="noStrike" kern="1200" baseline="0">
                          <a:solidFill>
                            <a:schemeClr val="tx1">
                              <a:lumMod val="75000"/>
                              <a:lumOff val="25000"/>
                            </a:schemeClr>
                          </a:solidFill>
                          <a:latin typeface="+mn-lt"/>
                          <a:ea typeface="+mn-ea"/>
                          <a:cs typeface="+mn-cs"/>
                        </a:defRPr>
                      </a:pPr>
                      <a:t>[VALUE]</a:t>
                    </a:fld>
                    <a:r>
                      <a:rPr lang="en-US" sz="900"/>
                      <a:t> </a:t>
                    </a:r>
                    <a:r>
                      <a:rPr lang="en-US" sz="900" b="0" i="0" u="none" strike="noStrike" kern="1200" baseline="0">
                        <a:solidFill>
                          <a:sysClr val="windowText" lastClr="000000">
                            <a:lumMod val="75000"/>
                            <a:lumOff val="25000"/>
                          </a:sysClr>
                        </a:solidFill>
                      </a:rPr>
                      <a:t>million</a:t>
                    </a:r>
                    <a:endParaRPr lang="en-US" sz="900"/>
                  </a:p>
                  <a:p>
                    <a:pPr>
                      <a:defRPr sz="900" b="0" i="0" u="none" strike="noStrike" kern="1200" baseline="0">
                        <a:solidFill>
                          <a:schemeClr val="tx1">
                            <a:lumMod val="75000"/>
                            <a:lumOff val="25000"/>
                          </a:schemeClr>
                        </a:solidFill>
                        <a:latin typeface="+mn-lt"/>
                        <a:ea typeface="+mn-ea"/>
                        <a:cs typeface="+mn-cs"/>
                      </a:defRPr>
                    </a:pPr>
                    <a:r>
                      <a:rPr lang="en-US" sz="900"/>
                      <a:t>(</a:t>
                    </a:r>
                    <a:fld id="{C08EA746-257F-4D5E-A9A9-F8B9B99E2F52}" type="PERCENTAGE">
                      <a:rPr lang="en-US" sz="900"/>
                      <a:pPr>
                        <a:defRPr sz="900" b="0" i="0" u="none" strike="noStrike" kern="1200" baseline="0">
                          <a:solidFill>
                            <a:schemeClr val="tx1">
                              <a:lumMod val="75000"/>
                              <a:lumOff val="25000"/>
                            </a:schemeClr>
                          </a:solidFill>
                          <a:latin typeface="+mn-lt"/>
                          <a:ea typeface="+mn-ea"/>
                          <a:cs typeface="+mn-cs"/>
                        </a:defRPr>
                      </a:pPr>
                      <a:t>[PERCENTAGE]</a:t>
                    </a:fld>
                    <a:r>
                      <a:rPr lang="en-US" sz="900"/>
                      <a:t>)</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2990973689264449"/>
                      <c:h val="0.161834546457333"/>
                    </c:manualLayout>
                  </c15:layout>
                  <c15:dlblFieldTable/>
                  <c15:showDataLabelsRange val="1"/>
                </c:ext>
                <c:ext xmlns:c16="http://schemas.microsoft.com/office/drawing/2014/chart" uri="{C3380CC4-5D6E-409C-BE32-E72D297353CC}">
                  <c16:uniqueId val="{00000003-B2C2-4921-95B1-78825933B758}"/>
                </c:ext>
              </c:extLst>
            </c:dLbl>
            <c:dLbl>
              <c:idx val="2"/>
              <c:layout>
                <c:manualLayout>
                  <c:x val="1.7778151206708918E-3"/>
                  <c:y val="-0.1626546039621759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7EDFEE2-2E70-429A-B9B2-3C1C823F44A5}" type="CELLRANGE">
                      <a:rPr lang="en-US" b="1"/>
                      <a:pPr>
                        <a:defRPr sz="900" b="0" i="0" u="none" strike="noStrike" kern="1200" baseline="0">
                          <a:solidFill>
                            <a:schemeClr val="tx1">
                              <a:lumMod val="75000"/>
                              <a:lumOff val="25000"/>
                            </a:schemeClr>
                          </a:solidFill>
                          <a:latin typeface="+mn-lt"/>
                          <a:ea typeface="+mn-ea"/>
                          <a:cs typeface="+mn-cs"/>
                        </a:defRPr>
                      </a:pPr>
                      <a:t>[CELLRANGE]</a:t>
                    </a:fld>
                    <a:r>
                      <a:rPr lang="en-US"/>
                      <a:t>: </a:t>
                    </a:r>
                    <a:fld id="{042646A4-44BF-43C4-819E-5C66767B4AAB}" type="VALUE">
                      <a:rPr lang="en-US"/>
                      <a:pPr>
                        <a:defRPr sz="900" b="0" i="0" u="none" strike="noStrike" kern="1200" baseline="0">
                          <a:solidFill>
                            <a:schemeClr val="tx1">
                              <a:lumMod val="75000"/>
                              <a:lumOff val="25000"/>
                            </a:schemeClr>
                          </a:solidFill>
                          <a:latin typeface="+mn-lt"/>
                          <a:ea typeface="+mn-ea"/>
                          <a:cs typeface="+mn-cs"/>
                        </a:defRPr>
                      </a:pPr>
                      <a:t>[VALUE]</a:t>
                    </a:fld>
                    <a:r>
                      <a:rPr lang="en-US"/>
                      <a:t> million</a:t>
                    </a:r>
                  </a:p>
                  <a:p>
                    <a:pPr>
                      <a:defRPr sz="900" b="0" i="0" u="none" strike="noStrike" kern="1200" baseline="0">
                        <a:solidFill>
                          <a:schemeClr val="tx1">
                            <a:lumMod val="75000"/>
                            <a:lumOff val="25000"/>
                          </a:schemeClr>
                        </a:solidFill>
                        <a:latin typeface="+mn-lt"/>
                        <a:ea typeface="+mn-ea"/>
                        <a:cs typeface="+mn-cs"/>
                      </a:defRPr>
                    </a:pPr>
                    <a:r>
                      <a:rPr lang="en-US"/>
                      <a:t>(</a:t>
                    </a:r>
                    <a:fld id="{F8F94D10-287A-4E44-ADFD-66A214FE0C41}" type="PERCENTAGE">
                      <a:rPr lang="en-US"/>
                      <a:pPr>
                        <a:defRPr sz="900" b="0" i="0" u="none" strike="noStrike" kern="1200" baseline="0">
                          <a:solidFill>
                            <a:schemeClr val="tx1">
                              <a:lumMod val="75000"/>
                              <a:lumOff val="25000"/>
                            </a:schemeClr>
                          </a:solidFill>
                          <a:latin typeface="+mn-lt"/>
                          <a:ea typeface="+mn-ea"/>
                          <a:cs typeface="+mn-cs"/>
                        </a:defRPr>
                      </a:pPr>
                      <a:t>[PERCENTAGE]</a:t>
                    </a:fld>
                    <a:r>
                      <a:rPr lang="en-US"/>
                      <a:t>)</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4870702899942382"/>
                      <c:h val="0.12255578539066574"/>
                    </c:manualLayout>
                  </c15:layout>
                  <c15:dlblFieldTable/>
                  <c15:showDataLabelsRange val="1"/>
                </c:ext>
                <c:ext xmlns:c16="http://schemas.microsoft.com/office/drawing/2014/chart" uri="{C3380CC4-5D6E-409C-BE32-E72D297353CC}">
                  <c16:uniqueId val="{00000005-B2C2-4921-95B1-78825933B758}"/>
                </c:ext>
              </c:extLst>
            </c:dLbl>
            <c:dLbl>
              <c:idx val="3"/>
              <c:layout>
                <c:manualLayout>
                  <c:x val="2.6532072210485886E-2"/>
                  <c:y val="3.635494193362816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23B309B-9907-4F20-BC57-6A1B58995A74}" type="CELLRANGE">
                      <a:rPr lang="en-US" b="1"/>
                      <a:pPr>
                        <a:defRPr sz="900" b="0" i="0" u="none" strike="noStrike" kern="1200" baseline="0">
                          <a:solidFill>
                            <a:schemeClr val="tx1">
                              <a:lumMod val="75000"/>
                              <a:lumOff val="25000"/>
                            </a:schemeClr>
                          </a:solidFill>
                          <a:latin typeface="+mn-lt"/>
                          <a:ea typeface="+mn-ea"/>
                          <a:cs typeface="+mn-cs"/>
                        </a:defRPr>
                      </a:pPr>
                      <a:t>[CELLRANGE]</a:t>
                    </a:fld>
                    <a:r>
                      <a:rPr lang="en-US" b="0" baseline="0"/>
                      <a:t>:</a:t>
                    </a:r>
                    <a:endParaRPr lang="en-US" baseline="0"/>
                  </a:p>
                  <a:p>
                    <a:pPr>
                      <a:defRPr sz="900" b="0" i="0" u="none" strike="noStrike" kern="1200" baseline="0">
                        <a:solidFill>
                          <a:schemeClr val="tx1">
                            <a:lumMod val="75000"/>
                            <a:lumOff val="25000"/>
                          </a:schemeClr>
                        </a:solidFill>
                        <a:latin typeface="+mn-lt"/>
                        <a:ea typeface="+mn-ea"/>
                        <a:cs typeface="+mn-cs"/>
                      </a:defRPr>
                    </a:pPr>
                    <a:fld id="{F237231B-98D0-4696-A47E-E79E9730F05F}" type="VALUE">
                      <a:rPr lang="en-US" baseline="0"/>
                      <a:pPr>
                        <a:defRPr sz="900" b="0" i="0" u="none" strike="noStrike" kern="1200" baseline="0">
                          <a:solidFill>
                            <a:schemeClr val="tx1">
                              <a:lumMod val="75000"/>
                              <a:lumOff val="25000"/>
                            </a:schemeClr>
                          </a:solidFill>
                          <a:latin typeface="+mn-lt"/>
                          <a:ea typeface="+mn-ea"/>
                          <a:cs typeface="+mn-cs"/>
                        </a:defRPr>
                      </a:pPr>
                      <a:t>[VALUE]</a:t>
                    </a:fld>
                    <a:r>
                      <a:rPr lang="en-US" baseline="0"/>
                      <a:t> million (</a:t>
                    </a:r>
                    <a:fld id="{F57E4057-00F4-4202-8396-DA23CA1F1FFE}" type="PERCENTAGE">
                      <a:rPr lang="en-US" baseline="0"/>
                      <a:pPr>
                        <a:defRPr sz="900" b="0" i="0" u="none" strike="noStrike" kern="1200" baseline="0">
                          <a:solidFill>
                            <a:schemeClr val="tx1">
                              <a:lumMod val="75000"/>
                              <a:lumOff val="25000"/>
                            </a:schemeClr>
                          </a:solidFill>
                          <a:latin typeface="+mn-lt"/>
                          <a:ea typeface="+mn-ea"/>
                          <a:cs typeface="+mn-cs"/>
                        </a:defRPr>
                      </a:pPr>
                      <a:t>[PERCENTAGE]</a:t>
                    </a:fld>
                    <a:r>
                      <a:rPr lang="en-US" baseline="0"/>
                      <a:t>)</a:t>
                    </a:r>
                  </a:p>
                </c:rich>
              </c:tx>
              <c:spPr>
                <a:noFill/>
                <a:ln>
                  <a:noFill/>
                </a:ln>
                <a:effectLst/>
              </c:sp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4852656485265648"/>
                      <c:h val="0.13922232759788647"/>
                    </c:manualLayout>
                  </c15:layout>
                  <c15:dlblFieldTable/>
                  <c15:showDataLabelsRange val="1"/>
                </c:ext>
                <c:ext xmlns:c16="http://schemas.microsoft.com/office/drawing/2014/chart" uri="{C3380CC4-5D6E-409C-BE32-E72D297353CC}">
                  <c16:uniqueId val="{0000000E-B2C2-4921-95B1-78825933B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15:showDataLabelsRange val="1"/>
              </c:ext>
            </c:extLst>
          </c:dLbls>
          <c:cat>
            <c:multiLvlStrRef>
              <c:f>Sheet1!$A$1:$B$3</c:f>
              <c:multiLvlStrCache>
                <c:ptCount val="3"/>
                <c:lvl>
                  <c:pt idx="0">
                    <c:v>Advertising expenditure 2020-21</c:v>
                  </c:pt>
                  <c:pt idx="1">
                    <c:v>$83.3</c:v>
                  </c:pt>
                  <c:pt idx="2">
                    <c:v>$2.9</c:v>
                  </c:pt>
                </c:lvl>
                <c:lvl>
                  <c:pt idx="0">
                    <c:v> </c:v>
                  </c:pt>
                  <c:pt idx="1">
                    <c:v>Departments - campaign advertising</c:v>
                  </c:pt>
                  <c:pt idx="2">
                    <c:v>Departments - non-campaign advertising</c:v>
                  </c:pt>
                </c:lvl>
              </c:multiLvlStrCache>
            </c:multiLvlStrRef>
          </c:cat>
          <c:val>
            <c:numRef>
              <c:f>Sheet1!$B$2:$B$5</c:f>
              <c:numCache>
                <c:formatCode>"$"#,##0.0</c:formatCode>
                <c:ptCount val="4"/>
                <c:pt idx="0">
                  <c:v>83.3</c:v>
                </c:pt>
                <c:pt idx="1">
                  <c:v>2.87</c:v>
                </c:pt>
                <c:pt idx="2">
                  <c:v>52.29</c:v>
                </c:pt>
                <c:pt idx="3">
                  <c:v>8.85</c:v>
                </c:pt>
              </c:numCache>
            </c:numRef>
          </c:val>
          <c:extLst>
            <c:ext xmlns:c15="http://schemas.microsoft.com/office/drawing/2012/chart" uri="{02D57815-91ED-43cb-92C2-25804820EDAC}">
              <c15:datalabelsRange>
                <c15:f>Sheet1!$A$2:$A$5</c15:f>
                <c15:dlblRangeCache>
                  <c:ptCount val="4"/>
                  <c:pt idx="0">
                    <c:v>Departments - campaign advertising</c:v>
                  </c:pt>
                  <c:pt idx="1">
                    <c:v>Departments - non-campaign advertising</c:v>
                  </c:pt>
                  <c:pt idx="2">
                    <c:v>Agencies - campaign advertising</c:v>
                  </c:pt>
                  <c:pt idx="3">
                    <c:v>Agencies - non-campaign advertising</c:v>
                  </c:pt>
                </c15:dlblRangeCache>
              </c15:datalabelsRange>
            </c:ext>
            <c:ext xmlns:c16="http://schemas.microsoft.com/office/drawing/2014/chart" uri="{C3380CC4-5D6E-409C-BE32-E72D297353CC}">
              <c16:uniqueId val="{00000006-B2C2-4921-95B1-78825933B758}"/>
            </c:ext>
          </c:extLst>
        </c:ser>
        <c:ser>
          <c:idx val="1"/>
          <c:order val="1"/>
          <c:tx>
            <c:strRef>
              <c:f>Sheet1!#REF!</c:f>
              <c:strCache>
                <c:ptCount val="1"/>
                <c:pt idx="0">
                  <c:v>#REF!</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8-B2C2-4921-95B1-78825933B758}"/>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A-B2C2-4921-95B1-78825933B758}"/>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C-B2C2-4921-95B1-78825933B758}"/>
              </c:ext>
            </c:extLst>
          </c:dPt>
          <c:cat>
            <c:multiLvlStrRef>
              <c:f>Sheet1!$A$1:$B$3</c:f>
              <c:multiLvlStrCache>
                <c:ptCount val="3"/>
                <c:lvl>
                  <c:pt idx="0">
                    <c:v>Advertising expenditure 2020-21</c:v>
                  </c:pt>
                  <c:pt idx="1">
                    <c:v>$83.3</c:v>
                  </c:pt>
                  <c:pt idx="2">
                    <c:v>$2.9</c:v>
                  </c:pt>
                </c:lvl>
                <c:lvl>
                  <c:pt idx="0">
                    <c:v> </c:v>
                  </c:pt>
                  <c:pt idx="1">
                    <c:v>Departments - campaign advertising</c:v>
                  </c:pt>
                  <c:pt idx="2">
                    <c:v>Departments - non-campaign advertising</c:v>
                  </c:pt>
                </c:lvl>
              </c:multiLvlStrCache>
            </c:multiLvlStrRef>
          </c:cat>
          <c:val>
            <c:numRef>
              <c:f>Sheet1!#REF!</c:f>
              <c:numCache>
                <c:formatCode>General</c:formatCode>
                <c:ptCount val="1"/>
                <c:pt idx="0">
                  <c:v>1</c:v>
                </c:pt>
              </c:numCache>
            </c:numRef>
          </c:val>
          <c:extLst>
            <c:ext xmlns:c16="http://schemas.microsoft.com/office/drawing/2014/chart" uri="{C3380CC4-5D6E-409C-BE32-E72D297353CC}">
              <c16:uniqueId val="{0000000D-B2C2-4921-95B1-78825933B75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Victorian Government advertising expenditure by channel</a:t>
            </a:r>
            <a:r>
              <a:rPr lang="en-US" b="1" baseline="0"/>
              <a:t> </a:t>
            </a:r>
            <a:r>
              <a:rPr lang="en-US" sz="1400" b="1" i="0" u="none" strike="noStrike" kern="1200" spc="0" baseline="0">
                <a:solidFill>
                  <a:sysClr val="windowText" lastClr="000000">
                    <a:lumMod val="65000"/>
                    <a:lumOff val="35000"/>
                  </a:sysClr>
                </a:solidFill>
                <a:latin typeface="+mn-lt"/>
                <a:ea typeface="+mn-ea"/>
                <a:cs typeface="+mn-cs"/>
              </a:rPr>
              <a:t>2020-21</a:t>
            </a:r>
            <a:endParaRPr lang="en-US" b="1"/>
          </a:p>
        </c:rich>
      </c:tx>
      <c:layout>
        <c:manualLayout>
          <c:xMode val="edge"/>
          <c:yMode val="edge"/>
          <c:x val="0.1423489751028085"/>
          <c:y val="5.1460182683648525E-3"/>
        </c:manualLayout>
      </c:layout>
      <c:overlay val="0"/>
      <c:spPr>
        <a:noFill/>
        <a:ln>
          <a:noFill/>
        </a:ln>
        <a:effectLst/>
      </c:spPr>
    </c:title>
    <c:autoTitleDeleted val="0"/>
    <c:plotArea>
      <c:layout/>
      <c:pieChart>
        <c:varyColors val="1"/>
        <c:ser>
          <c:idx val="0"/>
          <c:order val="0"/>
          <c:tx>
            <c:strRef>
              <c:f>Sheet1!$B$1</c:f>
              <c:strCache>
                <c:ptCount val="1"/>
                <c:pt idx="0">
                  <c:v>Advertising expenditure 2020-21</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F3A9-4C5A-AB77-0E5D23B54CB7}"/>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F3A9-4C5A-AB77-0E5D23B54CB7}"/>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F3A9-4C5A-AB77-0E5D23B54CB7}"/>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F3A9-4C5A-AB77-0E5D23B54CB7}"/>
              </c:ext>
            </c:extLst>
          </c:dPt>
          <c:dPt>
            <c:idx val="4"/>
            <c:bubble3D val="0"/>
            <c:spPr>
              <a:solidFill>
                <a:schemeClr val="accent1">
                  <a:tint val="93000"/>
                </a:schemeClr>
              </a:solidFill>
              <a:ln w="19050">
                <a:solidFill>
                  <a:schemeClr val="lt1"/>
                </a:solidFill>
              </a:ln>
              <a:effectLst/>
            </c:spPr>
            <c:extLst>
              <c:ext xmlns:c16="http://schemas.microsoft.com/office/drawing/2014/chart" uri="{C3380CC4-5D6E-409C-BE32-E72D297353CC}">
                <c16:uniqueId val="{00000010-F3A9-4C5A-AB77-0E5D23B54CB7}"/>
              </c:ext>
            </c:extLst>
          </c:dPt>
          <c:dPt>
            <c:idx val="5"/>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11-F3A9-4C5A-AB77-0E5D23B54CB7}"/>
              </c:ext>
            </c:extLst>
          </c:dPt>
          <c:dPt>
            <c:idx val="6"/>
            <c:bubble3D val="0"/>
            <c:spPr>
              <a:solidFill>
                <a:schemeClr val="accent1">
                  <a:tint val="62000"/>
                </a:schemeClr>
              </a:solidFill>
              <a:ln w="19050">
                <a:solidFill>
                  <a:schemeClr val="lt1"/>
                </a:solidFill>
              </a:ln>
              <a:effectLst/>
            </c:spPr>
            <c:extLst>
              <c:ext xmlns:c16="http://schemas.microsoft.com/office/drawing/2014/chart" uri="{C3380CC4-5D6E-409C-BE32-E72D297353CC}">
                <c16:uniqueId val="{00000012-F3A9-4C5A-AB77-0E5D23B54CB7}"/>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13-F3A9-4C5A-AB77-0E5D23B54CB7}"/>
              </c:ext>
            </c:extLst>
          </c:dPt>
          <c:dLbls>
            <c:dLbl>
              <c:idx val="0"/>
              <c:layout>
                <c:manualLayout>
                  <c:x val="1.1946826484746088E-2"/>
                  <c:y val="-2.6472617206137776E-3"/>
                </c:manualLayout>
              </c:layout>
              <c:tx>
                <c:rich>
                  <a:bodyPr rot="0" spcFirstLastPara="1" vertOverflow="ellipsis" vert="horz" wrap="square" lIns="18000" tIns="19050" rIns="180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AB3D9B4-CEE8-4B25-B78C-362550A6AC98}" type="CELLRANGE">
                      <a:rPr lang="en-US" sz="900" b="0"/>
                      <a:pPr>
                        <a:defRPr sz="900" b="0" i="0" u="none" strike="noStrike" kern="1200" baseline="0">
                          <a:solidFill>
                            <a:schemeClr val="tx1">
                              <a:lumMod val="75000"/>
                              <a:lumOff val="25000"/>
                            </a:schemeClr>
                          </a:solidFill>
                          <a:latin typeface="+mn-lt"/>
                          <a:ea typeface="+mn-ea"/>
                          <a:cs typeface="+mn-cs"/>
                        </a:defRPr>
                      </a:pPr>
                      <a:t>[CELLRANGE]</a:t>
                    </a:fld>
                    <a:r>
                      <a:rPr lang="en-US" sz="900" b="0"/>
                      <a:t>,</a:t>
                    </a:r>
                    <a:r>
                      <a:rPr lang="en-US" sz="900" b="0" baseline="0"/>
                      <a:t> </a:t>
                    </a:r>
                    <a:fld id="{F38D1507-495F-4824-BE46-EF3CE563E7EE}" type="PERCENTAGE">
                      <a:rPr lang="en-US" sz="900"/>
                      <a:pPr>
                        <a:defRPr sz="900" b="0" i="0" u="none" strike="noStrike" kern="1200" baseline="0">
                          <a:solidFill>
                            <a:schemeClr val="tx1">
                              <a:lumMod val="75000"/>
                              <a:lumOff val="25000"/>
                            </a:schemeClr>
                          </a:solidFill>
                          <a:latin typeface="+mn-lt"/>
                          <a:ea typeface="+mn-ea"/>
                          <a:cs typeface="+mn-cs"/>
                        </a:defRPr>
                      </a:pPr>
                      <a:t>[PERCENTAGE]</a:t>
                    </a:fld>
                    <a:endParaRPr lang="en-US" sz="900" b="0" baseline="0"/>
                  </a:p>
                </c:rich>
              </c:tx>
              <c:numFmt formatCode="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2054437501992413"/>
                      <c:h val="6.2720237932435197E-2"/>
                    </c:manualLayout>
                  </c15:layout>
                  <c15:dlblFieldTable/>
                  <c15:showDataLabelsRange val="1"/>
                </c:ext>
                <c:ext xmlns:c16="http://schemas.microsoft.com/office/drawing/2014/chart" uri="{C3380CC4-5D6E-409C-BE32-E72D297353CC}">
                  <c16:uniqueId val="{00000001-F3A9-4C5A-AB77-0E5D23B54CB7}"/>
                </c:ext>
              </c:extLst>
            </c:dLbl>
            <c:dLbl>
              <c:idx val="1"/>
              <c:layout>
                <c:manualLayout>
                  <c:x val="-2.704699117480612E-2"/>
                  <c:y val="1.989884658957955E-3"/>
                </c:manualLayout>
              </c:layout>
              <c:tx>
                <c:rich>
                  <a:bodyPr rot="0" spcFirstLastPara="1" vertOverflow="ellipsis" vert="horz" wrap="square" lIns="18000" tIns="19050" rIns="180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B925AB9-D241-44A4-B88A-D45C9FB5A987}" type="CELLRANGE">
                      <a:rPr lang="en-US" sz="900" b="0"/>
                      <a:pPr>
                        <a:defRPr sz="900" b="0" i="0" u="none" strike="noStrike" kern="1200" baseline="0">
                          <a:solidFill>
                            <a:schemeClr val="tx1">
                              <a:lumMod val="75000"/>
                              <a:lumOff val="25000"/>
                            </a:schemeClr>
                          </a:solidFill>
                          <a:latin typeface="+mn-lt"/>
                          <a:ea typeface="+mn-ea"/>
                          <a:cs typeface="+mn-cs"/>
                        </a:defRPr>
                      </a:pPr>
                      <a:t>[CELLRANGE]</a:t>
                    </a:fld>
                    <a:r>
                      <a:rPr lang="en-US" sz="900" b="0"/>
                      <a:t>,</a:t>
                    </a:r>
                    <a:r>
                      <a:rPr lang="en-US" sz="900" b="0" baseline="0"/>
                      <a:t> </a:t>
                    </a:r>
                    <a:fld id="{C08EA746-257F-4D5E-A9A9-F8B9B99E2F52}" type="PERCENTAGE">
                      <a:rPr lang="en-US" sz="900" b="0"/>
                      <a:pPr>
                        <a:defRPr sz="900" b="0" i="0" u="none" strike="noStrike" kern="1200" baseline="0">
                          <a:solidFill>
                            <a:schemeClr val="tx1">
                              <a:lumMod val="75000"/>
                              <a:lumOff val="25000"/>
                            </a:schemeClr>
                          </a:solidFill>
                          <a:latin typeface="+mn-lt"/>
                          <a:ea typeface="+mn-ea"/>
                          <a:cs typeface="+mn-cs"/>
                        </a:defRPr>
                      </a:pPr>
                      <a:t>[PERCENTAGE]</a:t>
                    </a:fld>
                    <a:endParaRPr lang="en-US" sz="900" b="0" baseline="0"/>
                  </a:p>
                </c:rich>
              </c:tx>
              <c:numFmt formatCode="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6513245560904077"/>
                      <c:h val="9.2363329149660972E-2"/>
                    </c:manualLayout>
                  </c15:layout>
                  <c15:dlblFieldTable/>
                  <c15:showDataLabelsRange val="0"/>
                </c:ext>
                <c:ext xmlns:c16="http://schemas.microsoft.com/office/drawing/2014/chart" uri="{C3380CC4-5D6E-409C-BE32-E72D297353CC}">
                  <c16:uniqueId val="{00000003-F3A9-4C5A-AB77-0E5D23B54CB7}"/>
                </c:ext>
              </c:extLst>
            </c:dLbl>
            <c:dLbl>
              <c:idx val="2"/>
              <c:layout>
                <c:manualLayout>
                  <c:x val="3.2426838598616482E-2"/>
                  <c:y val="-4.6497617940559344E-2"/>
                </c:manualLayout>
              </c:layout>
              <c:tx>
                <c:rich>
                  <a:bodyPr rot="0" spcFirstLastPara="1" vertOverflow="ellipsis" vert="horz" wrap="square" lIns="18000" tIns="19050" rIns="18000" bIns="19050" anchor="ctr" anchorCtr="0">
                    <a:noAutofit/>
                  </a:bodyPr>
                  <a:lstStyle/>
                  <a:p>
                    <a:pPr>
                      <a:defRPr sz="900" b="0" i="0" u="none" strike="noStrike" kern="1200" baseline="0">
                        <a:solidFill>
                          <a:schemeClr val="tx1">
                            <a:lumMod val="75000"/>
                            <a:lumOff val="25000"/>
                          </a:schemeClr>
                        </a:solidFill>
                        <a:latin typeface="+mn-lt"/>
                        <a:ea typeface="+mn-ea"/>
                        <a:cs typeface="+mn-cs"/>
                      </a:defRPr>
                    </a:pPr>
                    <a:fld id="{37EDFEE2-2E70-429A-B9B2-3C1C823F44A5}" type="CELLRANGE">
                      <a:rPr lang="en-US" b="0"/>
                      <a:pPr>
                        <a:defRPr sz="900" b="0" i="0" u="none" strike="noStrike" kern="1200" baseline="0">
                          <a:solidFill>
                            <a:schemeClr val="tx1">
                              <a:lumMod val="75000"/>
                              <a:lumOff val="25000"/>
                            </a:schemeClr>
                          </a:solidFill>
                          <a:latin typeface="+mn-lt"/>
                          <a:ea typeface="+mn-ea"/>
                          <a:cs typeface="+mn-cs"/>
                        </a:defRPr>
                      </a:pPr>
                      <a:t>[CELLRANGE]</a:t>
                    </a:fld>
                    <a:r>
                      <a:rPr lang="en-US" b="0"/>
                      <a:t>,</a:t>
                    </a:r>
                    <a:r>
                      <a:rPr lang="en-US" b="0" baseline="0"/>
                      <a:t> </a:t>
                    </a:r>
                    <a:fld id="{F8F94D10-287A-4E44-ADFD-66A214FE0C41}" type="PERCENTAGE">
                      <a:rPr lang="en-US"/>
                      <a:pPr>
                        <a:defRPr sz="900" b="0" i="0" u="none" strike="noStrike" kern="1200" baseline="0">
                          <a:solidFill>
                            <a:schemeClr val="tx1">
                              <a:lumMod val="75000"/>
                              <a:lumOff val="25000"/>
                            </a:schemeClr>
                          </a:solidFill>
                          <a:latin typeface="+mn-lt"/>
                          <a:ea typeface="+mn-ea"/>
                          <a:cs typeface="+mn-cs"/>
                        </a:defRPr>
                      </a:pPr>
                      <a:t>[PERCENTAGE]</a:t>
                    </a:fld>
                    <a:endParaRPr lang="en-US" b="0" baseline="0"/>
                  </a:p>
                </c:rich>
              </c:tx>
              <c:numFmt formatCode="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5761388632089005"/>
                      <c:h val="4.5365595221091376E-2"/>
                    </c:manualLayout>
                  </c15:layout>
                  <c15:dlblFieldTable/>
                  <c15:showDataLabelsRange val="1"/>
                </c:ext>
                <c:ext xmlns:c16="http://schemas.microsoft.com/office/drawing/2014/chart" uri="{C3380CC4-5D6E-409C-BE32-E72D297353CC}">
                  <c16:uniqueId val="{00000005-F3A9-4C5A-AB77-0E5D23B54CB7}"/>
                </c:ext>
              </c:extLst>
            </c:dLbl>
            <c:dLbl>
              <c:idx val="3"/>
              <c:layout>
                <c:manualLayout>
                  <c:x val="2.5742691829513241E-2"/>
                  <c:y val="6.129910623387428E-2"/>
                </c:manualLayout>
              </c:layout>
              <c:tx>
                <c:rich>
                  <a:bodyPr rot="0" spcFirstLastPara="1" vertOverflow="ellipsis" vert="horz" wrap="square" lIns="18000" tIns="19050" rIns="180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23B309B-9907-4F20-BC57-6A1B58995A74}" type="CELLRANGE">
                      <a:rPr lang="en-US" b="0"/>
                      <a:pPr>
                        <a:defRPr sz="900" b="0" i="0" u="none" strike="noStrike" kern="1200" baseline="0">
                          <a:solidFill>
                            <a:schemeClr val="tx1">
                              <a:lumMod val="75000"/>
                              <a:lumOff val="25000"/>
                            </a:schemeClr>
                          </a:solidFill>
                          <a:latin typeface="+mn-lt"/>
                          <a:ea typeface="+mn-ea"/>
                          <a:cs typeface="+mn-cs"/>
                        </a:defRPr>
                      </a:pPr>
                      <a:t>[CELLRANGE]</a:t>
                    </a:fld>
                    <a:r>
                      <a:rPr lang="en-US" b="0" baseline="0"/>
                      <a:t>, </a:t>
                    </a:r>
                    <a:fld id="{F57E4057-00F4-4202-8396-DA23CA1F1FFE}"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US" b="0" baseline="0"/>
                  </a:p>
                </c:rich>
              </c:tx>
              <c:numFmt formatCode="0.0%" sourceLinked="0"/>
              <c:spPr>
                <a:noFill/>
                <a:ln>
                  <a:noFill/>
                </a:ln>
                <a:effectLst/>
              </c:spPr>
              <c:dLblPos val="bestFit"/>
              <c:showLegendKey val="0"/>
              <c:showVal val="0"/>
              <c:showCatName val="0"/>
              <c:showSerName val="0"/>
              <c:showPercent val="1"/>
              <c:showBubbleSize val="0"/>
              <c:separator>
</c:separator>
              <c:extLst>
                <c:ext xmlns:c15="http://schemas.microsoft.com/office/drawing/2012/chart" uri="{CE6537A1-D6FC-4f65-9D91-7224C49458BB}">
                  <c15:layout>
                    <c:manualLayout>
                      <c:w val="0.13719053842965986"/>
                      <c:h val="3.1155899028638395E-2"/>
                    </c:manualLayout>
                  </c15:layout>
                  <c15:dlblFieldTable/>
                  <c15:showDataLabelsRange val="1"/>
                </c:ext>
                <c:ext xmlns:c16="http://schemas.microsoft.com/office/drawing/2014/chart" uri="{C3380CC4-5D6E-409C-BE32-E72D297353CC}">
                  <c16:uniqueId val="{00000007-F3A9-4C5A-AB77-0E5D23B54CB7}"/>
                </c:ext>
              </c:extLst>
            </c:dLbl>
            <c:dLbl>
              <c:idx val="4"/>
              <c:layout>
                <c:manualLayout>
                  <c:x val="-5.5926005592600636E-2"/>
                  <c:y val="3.4413535990823058E-2"/>
                </c:manualLayout>
              </c:layout>
              <c:tx>
                <c:rich>
                  <a:bodyPr/>
                  <a:lstStyle/>
                  <a:p>
                    <a:fld id="{E4BD0163-AB09-4C26-9F1E-36D65350939C}" type="CELLRANGE">
                      <a:rPr lang="en-US" baseline="0"/>
                      <a:pPr/>
                      <a:t>[CELLRANGE]</a:t>
                    </a:fld>
                    <a:r>
                      <a:rPr lang="en-US" baseline="0"/>
                      <a:t>, </a:t>
                    </a:r>
                    <a:fld id="{6049E2C3-732D-4A0F-9241-D364BB671109}"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3A9-4C5A-AB77-0E5D23B54CB7}"/>
                </c:ext>
              </c:extLst>
            </c:dLbl>
            <c:dLbl>
              <c:idx val="5"/>
              <c:tx>
                <c:rich>
                  <a:bodyPr/>
                  <a:lstStyle/>
                  <a:p>
                    <a:fld id="{C38D9A76-538C-48CE-9C11-1AC37E4C8A85}" type="CELLRANGE">
                      <a:rPr lang="en-AU"/>
                      <a:pPr/>
                      <a:t>[CELLRANGE]</a:t>
                    </a:fld>
                    <a:r>
                      <a:rPr lang="en-AU" baseline="0"/>
                      <a:t>, </a:t>
                    </a:r>
                    <a:fld id="{F3C8BBDE-66EA-4B87-B0AE-F83BC1A05DFB}" type="PERCENTAGE">
                      <a:rPr lang="en-AU" baseline="0"/>
                      <a:pPr/>
                      <a:t>[PERCENTAGE]</a:t>
                    </a:fld>
                    <a:endParaRPr lang="en-AU" baseline="0"/>
                  </a:p>
                </c:rich>
              </c:tx>
              <c:dLblPos val="out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F3A9-4C5A-AB77-0E5D23B54CB7}"/>
                </c:ext>
              </c:extLst>
            </c:dLbl>
            <c:dLbl>
              <c:idx val="6"/>
              <c:tx>
                <c:rich>
                  <a:bodyPr/>
                  <a:lstStyle/>
                  <a:p>
                    <a:fld id="{85381535-4EE5-4F3A-8B95-F841982D4C05}" type="CELLRANGE">
                      <a:rPr lang="en-AU"/>
                      <a:pPr/>
                      <a:t>[CELLRANGE]</a:t>
                    </a:fld>
                    <a:r>
                      <a:rPr lang="en-AU" baseline="0"/>
                      <a:t>, </a:t>
                    </a:r>
                    <a:fld id="{627E4E3B-9649-443B-BDA7-5CAFA151421E}" type="PERCENTAGE">
                      <a:rPr lang="en-AU" baseline="0"/>
                      <a:pPr/>
                      <a:t>[PERCENTAGE]</a:t>
                    </a:fld>
                    <a:endParaRPr lang="en-AU" baseline="0"/>
                  </a:p>
                </c:rich>
              </c:tx>
              <c:dLblPos val="out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F3A9-4C5A-AB77-0E5D23B54CB7}"/>
                </c:ext>
              </c:extLst>
            </c:dLbl>
            <c:dLbl>
              <c:idx val="7"/>
              <c:tx>
                <c:rich>
                  <a:bodyPr/>
                  <a:lstStyle/>
                  <a:p>
                    <a:fld id="{E0475A5E-D4E6-4F91-B3B0-674C452794A5}" type="CELLRANGE">
                      <a:rPr lang="en-AU"/>
                      <a:pPr/>
                      <a:t>[CELLRANGE]</a:t>
                    </a:fld>
                    <a:r>
                      <a:rPr lang="en-AU" baseline="0"/>
                      <a:t>, </a:t>
                    </a:r>
                    <a:fld id="{628B1F0A-34BD-48A5-986C-AB3F419703B4}" type="PERCENTAGE">
                      <a:rPr lang="en-AU" baseline="0"/>
                      <a:pPr/>
                      <a:t>[PERCENTAGE]</a:t>
                    </a:fld>
                    <a:endParaRPr lang="en-AU" baseline="0"/>
                  </a:p>
                </c:rich>
              </c:tx>
              <c:dLblPos val="out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F3A9-4C5A-AB77-0E5D23B54CB7}"/>
                </c:ext>
              </c:extLst>
            </c:dLbl>
            <c:numFmt formatCode="0.0%" sourceLinked="0"/>
            <c:spPr>
              <a:noFill/>
              <a:ln>
                <a:noFill/>
              </a:ln>
              <a:effectLst/>
            </c:spPr>
            <c:txPr>
              <a:bodyPr rot="0" spcFirstLastPara="1" vertOverflow="ellipsis" vert="horz" wrap="square" lIns="18000" tIns="19050" rIns="180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15:showDataLabelsRange val="1"/>
              </c:ext>
            </c:extLst>
          </c:dLbls>
          <c:cat>
            <c:multiLvlStrRef>
              <c:f>Sheet1!$A$1:$B$3</c:f>
              <c:multiLvlStrCache>
                <c:ptCount val="3"/>
                <c:lvl>
                  <c:pt idx="0">
                    <c:v>Advertising expenditure 2020-21</c:v>
                  </c:pt>
                  <c:pt idx="1">
                    <c:v> $226,150 </c:v>
                  </c:pt>
                  <c:pt idx="2">
                    <c:v> $51,860,342 </c:v>
                  </c:pt>
                </c:lvl>
                <c:lvl>
                  <c:pt idx="0">
                    <c:v> </c:v>
                  </c:pt>
                  <c:pt idx="1">
                    <c:v>Cinema</c:v>
                  </c:pt>
                  <c:pt idx="2">
                    <c:v>Digital</c:v>
                  </c:pt>
                </c:lvl>
              </c:multiLvlStrCache>
            </c:multiLvlStrRef>
          </c:cat>
          <c:val>
            <c:numRef>
              <c:f>Sheet1!$B$2:$B$9</c:f>
              <c:numCache>
                <c:formatCode>_-"$"* #,##0_-;\-"$"* #,##0_-;_-"$"* "-"??_-;_-@_-</c:formatCode>
                <c:ptCount val="8"/>
                <c:pt idx="0">
                  <c:v>226149.59999999998</c:v>
                </c:pt>
                <c:pt idx="1">
                  <c:v>51860342.349999912</c:v>
                </c:pt>
                <c:pt idx="2">
                  <c:v>345355.79000000004</c:v>
                </c:pt>
                <c:pt idx="3">
                  <c:v>119315.73999999999</c:v>
                </c:pt>
                <c:pt idx="4">
                  <c:v>17509808.48</c:v>
                </c:pt>
                <c:pt idx="5">
                  <c:v>17227054.98000028</c:v>
                </c:pt>
                <c:pt idx="6">
                  <c:v>27704528.969999962</c:v>
                </c:pt>
                <c:pt idx="7">
                  <c:v>32346073.260000031</c:v>
                </c:pt>
              </c:numCache>
            </c:numRef>
          </c:val>
          <c:extLst>
            <c:ext xmlns:c15="http://schemas.microsoft.com/office/drawing/2012/chart" uri="{02D57815-91ED-43cb-92C2-25804820EDAC}">
              <c15:datalabelsRange>
                <c15:f>Sheet1!$A$2:$A$9</c15:f>
                <c15:dlblRangeCache>
                  <c:ptCount val="8"/>
                  <c:pt idx="0">
                    <c:v>Cinema</c:v>
                  </c:pt>
                  <c:pt idx="1">
                    <c:v>Digital</c:v>
                  </c:pt>
                  <c:pt idx="2">
                    <c:v>Magazines</c:v>
                  </c:pt>
                  <c:pt idx="3">
                    <c:v>Other</c:v>
                  </c:pt>
                  <c:pt idx="4">
                    <c:v>Outdoor</c:v>
                  </c:pt>
                  <c:pt idx="5">
                    <c:v>Press</c:v>
                  </c:pt>
                  <c:pt idx="6">
                    <c:v>Radio</c:v>
                  </c:pt>
                  <c:pt idx="7">
                    <c:v>Television</c:v>
                  </c:pt>
                </c15:dlblRangeCache>
              </c15:datalabelsRange>
            </c:ext>
            <c:ext xmlns:c16="http://schemas.microsoft.com/office/drawing/2014/chart" uri="{C3380CC4-5D6E-409C-BE32-E72D297353CC}">
              <c16:uniqueId val="{00000008-F3A9-4C5A-AB77-0E5D23B54CB7}"/>
            </c:ext>
          </c:extLst>
        </c:ser>
        <c:ser>
          <c:idx val="1"/>
          <c:order val="1"/>
          <c:tx>
            <c:strRef>
              <c:f>Sheet1!#REF!</c:f>
              <c:strCache>
                <c:ptCount val="1"/>
                <c:pt idx="0">
                  <c:v>#REF!</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A-F3A9-4C5A-AB77-0E5D23B54CB7}"/>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C-F3A9-4C5A-AB77-0E5D23B54CB7}"/>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E-F3A9-4C5A-AB77-0E5D23B54CB7}"/>
              </c:ext>
            </c:extLst>
          </c:dPt>
          <c:cat>
            <c:multiLvlStrRef>
              <c:f>Sheet1!$A$1:$B$3</c:f>
              <c:multiLvlStrCache>
                <c:ptCount val="3"/>
                <c:lvl>
                  <c:pt idx="0">
                    <c:v>Advertising expenditure 2020-21</c:v>
                  </c:pt>
                  <c:pt idx="1">
                    <c:v> $226,150 </c:v>
                  </c:pt>
                  <c:pt idx="2">
                    <c:v> $51,860,342 </c:v>
                  </c:pt>
                </c:lvl>
                <c:lvl>
                  <c:pt idx="0">
                    <c:v> </c:v>
                  </c:pt>
                  <c:pt idx="1">
                    <c:v>Cinema</c:v>
                  </c:pt>
                  <c:pt idx="2">
                    <c:v>Digital</c:v>
                  </c:pt>
                </c:lvl>
              </c:multiLvlStrCache>
            </c:multiLvlStrRef>
          </c:cat>
          <c:val>
            <c:numRef>
              <c:f>Sheet1!#REF!</c:f>
              <c:numCache>
                <c:formatCode>General</c:formatCode>
                <c:ptCount val="1"/>
                <c:pt idx="0">
                  <c:v>1</c:v>
                </c:pt>
              </c:numCache>
            </c:numRef>
          </c:val>
          <c:extLst>
            <c:ext xmlns:c16="http://schemas.microsoft.com/office/drawing/2014/chart" uri="{C3380CC4-5D6E-409C-BE32-E72D297353CC}">
              <c16:uniqueId val="{0000000F-F3A9-4C5A-AB77-0E5D23B54CB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Government campaign advertising by communication areas 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775228946026835E-2"/>
          <c:y val="0.22765025993372451"/>
          <c:w val="0.66242744608526427"/>
          <c:h val="0.73622404897212379"/>
        </c:manualLayout>
      </c:layout>
      <c:pieChart>
        <c:varyColors val="1"/>
        <c:ser>
          <c:idx val="0"/>
          <c:order val="0"/>
          <c:tx>
            <c:strRef>
              <c:f>Sheet1!$B$1</c:f>
              <c:strCache>
                <c:ptCount val="1"/>
                <c:pt idx="0">
                  <c:v>Column1</c:v>
                </c:pt>
              </c:strCache>
            </c:strRef>
          </c:tx>
          <c:dPt>
            <c:idx val="0"/>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1-25A7-484C-8844-648542DC5FED}"/>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25A7-484C-8844-648542DC5FED}"/>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5A7-484C-8844-648542DC5FED}"/>
              </c:ext>
            </c:extLst>
          </c:dPt>
          <c:dPt>
            <c:idx val="3"/>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7-25A7-484C-8844-648542DC5FED}"/>
              </c:ext>
            </c:extLst>
          </c:dPt>
          <c:dPt>
            <c:idx val="4"/>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9-25A7-484C-8844-648542DC5FED}"/>
              </c:ext>
            </c:extLst>
          </c:dPt>
          <c:dLbls>
            <c:dLbl>
              <c:idx val="0"/>
              <c:layout>
                <c:manualLayout>
                  <c:x val="-1.5021622297212926E-2"/>
                  <c:y val="-9.641446993038912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A7-484C-8844-648542DC5FED}"/>
                </c:ext>
              </c:extLst>
            </c:dLbl>
            <c:dLbl>
              <c:idx val="1"/>
              <c:layout>
                <c:manualLayout>
                  <c:x val="2.2074740657417823E-3"/>
                  <c:y val="-4.75844345543763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A7-484C-8844-648542DC5FED}"/>
                </c:ext>
              </c:extLst>
            </c:dLbl>
            <c:dLbl>
              <c:idx val="2"/>
              <c:layout>
                <c:manualLayout>
                  <c:x val="2.0434502043450209E-2"/>
                  <c:y val="0.14828805571564496"/>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873301006227738"/>
                      <c:h val="0.17389393893330901"/>
                    </c:manualLayout>
                  </c15:layout>
                </c:ext>
                <c:ext xmlns:c16="http://schemas.microsoft.com/office/drawing/2014/chart" uri="{C3380CC4-5D6E-409C-BE32-E72D297353CC}">
                  <c16:uniqueId val="{00000005-25A7-484C-8844-648542DC5FED}"/>
                </c:ext>
              </c:extLst>
            </c:dLbl>
            <c:dLbl>
              <c:idx val="3"/>
              <c:layout>
                <c:manualLayout>
                  <c:x val="0.19100255240734182"/>
                  <c:y val="-0.2096020450228803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A7-484C-8844-648542DC5FED}"/>
                </c:ext>
              </c:extLst>
            </c:dLbl>
            <c:dLbl>
              <c:idx val="4"/>
              <c:layout>
                <c:manualLayout>
                  <c:x val="-0.18583127109111361"/>
                  <c:y val="3.46967933356156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5A7-484C-8844-648542DC5F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Commercial and Economic Investment</c:v>
                </c:pt>
                <c:pt idx="1">
                  <c:v>Compliance with legislative requirements</c:v>
                </c:pt>
                <c:pt idx="2">
                  <c:v>Generation of revenue for institutions or events</c:v>
                </c:pt>
                <c:pt idx="3">
                  <c:v>Public Safety and Behaviour Change</c:v>
                </c:pt>
                <c:pt idx="4">
                  <c:v>Social cohesion, civic pride and community spirit </c:v>
                </c:pt>
              </c:strCache>
            </c:strRef>
          </c:cat>
          <c:val>
            <c:numRef>
              <c:f>Sheet1!$B$2:$B$6</c:f>
              <c:numCache>
                <c:formatCode>0.0%</c:formatCode>
                <c:ptCount val="5"/>
                <c:pt idx="0">
                  <c:v>0.20337183499871056</c:v>
                </c:pt>
                <c:pt idx="1">
                  <c:v>5.8638011323709329E-3</c:v>
                </c:pt>
                <c:pt idx="2">
                  <c:v>4.336376840217776E-2</c:v>
                </c:pt>
                <c:pt idx="3">
                  <c:v>0.73083513870177508</c:v>
                </c:pt>
                <c:pt idx="4">
                  <c:v>1.6565456764965559E-2</c:v>
                </c:pt>
              </c:numCache>
            </c:numRef>
          </c:val>
          <c:extLst>
            <c:ext xmlns:c16="http://schemas.microsoft.com/office/drawing/2014/chart" uri="{C3380CC4-5D6E-409C-BE32-E72D297353CC}">
              <c16:uniqueId val="{0000000A-25A7-484C-8844-648542DC5FE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B8A038F-10B6-4E5E-8008-EB219F85B681}">
  <ds:schemaRefs>
    <ds:schemaRef ds:uri="http://schemas.openxmlformats.org/officeDocument/2006/bibliography"/>
  </ds:schemaRefs>
</ds:datastoreItem>
</file>

<file path=customXml/itemProps2.xml><?xml version="1.0" encoding="utf-8"?>
<ds:datastoreItem xmlns:ds="http://schemas.openxmlformats.org/officeDocument/2006/customXml" ds:itemID="{B937703B-995A-4DC3-8E15-CCD8CC3EF32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16</Pages>
  <Words>2630</Words>
  <Characters>14995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17590</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McGrath</dc:creator>
  <cp:lastModifiedBy>Jonathan McGrath (DPC)</cp:lastModifiedBy>
  <cp:revision>49</cp:revision>
  <cp:lastPrinted>2020-01-10T01:42:00Z</cp:lastPrinted>
  <dcterms:created xsi:type="dcterms:W3CDTF">2022-01-05T04:06:00Z</dcterms:created>
  <dcterms:modified xsi:type="dcterms:W3CDTF">2022-05-18T21:54:00Z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8f35e873-c72d-4f74-a272-8c0f5c3f7647</vt:lpwstr>
  </property>
  <property fmtid="{D5CDD505-2E9C-101B-9397-08002B2CF9AE}" pid="4" name="PSPFClassification">
    <vt:lpwstr>Do Not Mark</vt:lpwstr>
  </property>
  <property fmtid="{D5CDD505-2E9C-101B-9397-08002B2CF9AE}" pid="5" name="MSIP_Label_7158ebbd-6c5e-441f-bfc9-4eb8c11e3978_Enabled">
    <vt:lpwstr>true</vt:lpwstr>
  </property>
  <property fmtid="{D5CDD505-2E9C-101B-9397-08002B2CF9AE}" pid="6" name="MSIP_Label_7158ebbd-6c5e-441f-bfc9-4eb8c11e3978_SetDate">
    <vt:lpwstr>2022-05-18T21:54:30Z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bb5feefe-51d6-4792-8893-de50c8ef7574</vt:lpwstr>
  </property>
  <property fmtid="{D5CDD505-2E9C-101B-9397-08002B2CF9AE}" pid="11" name="MSIP_Label_7158ebbd-6c5e-441f-bfc9-4eb8c11e3978_ContentBits">
    <vt:lpwstr>2</vt:lpwstr>
  </property>
</Properties>
</file>