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DAD3" w14:textId="77777777" w:rsidR="000C09DA" w:rsidRPr="000C09DA" w:rsidRDefault="000C09DA" w:rsidP="00205704">
      <w:pPr>
        <w:pStyle w:val="ESTableintroheading"/>
        <w:keepNext w:val="0"/>
        <w:rPr>
          <w:rFonts w:ascii="Calibri" w:hAnsi="Calibri" w:cs="Calibri"/>
          <w:color w:val="C00000"/>
        </w:rPr>
      </w:pPr>
      <w:r w:rsidRPr="000C09DA">
        <w:rPr>
          <w:rFonts w:ascii="Calibri" w:hAnsi="Calibri" w:cs="Calibri"/>
          <w:color w:val="C00000"/>
        </w:rPr>
        <w:t xml:space="preserve">Capital projects with a TEI of $10 million or greater completed </w:t>
      </w:r>
      <w:bookmarkStart w:id="0" w:name="_Hlk110840565"/>
      <w:r w:rsidRPr="000C09DA">
        <w:rPr>
          <w:rFonts w:ascii="Calibri" w:hAnsi="Calibri" w:cs="Calibri"/>
          <w:color w:val="C00000"/>
        </w:rPr>
        <w:t>during the financial year ended 30 June 2022</w:t>
      </w:r>
      <w:bookmarkEnd w:id="0"/>
    </w:p>
    <w:tbl>
      <w:tblPr>
        <w:tblStyle w:val="TableGrid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58"/>
        <w:gridCol w:w="989"/>
        <w:gridCol w:w="1027"/>
        <w:gridCol w:w="992"/>
        <w:gridCol w:w="1630"/>
        <w:gridCol w:w="2256"/>
        <w:gridCol w:w="945"/>
        <w:gridCol w:w="1086"/>
        <w:gridCol w:w="1546"/>
        <w:gridCol w:w="1419"/>
      </w:tblGrid>
      <w:tr w:rsidR="000C09DA" w:rsidRPr="000C09DA" w14:paraId="4DCDD80C" w14:textId="77777777" w:rsidTr="000C09DA">
        <w:trPr>
          <w:cantSplit/>
          <w:trHeight w:val="242"/>
          <w:tblHeader/>
        </w:trPr>
        <w:tc>
          <w:tcPr>
            <w:tcW w:w="2059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797E23A5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="SimHei" w:hAnsi="Calibri" w:cs="Calibri"/>
                <w:color w:val="FFFFFF"/>
                <w:sz w:val="16"/>
                <w:szCs w:val="16"/>
              </w:rPr>
            </w:pPr>
            <w:bookmarkStart w:id="1" w:name="_Hlk109907377"/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Project name</w:t>
            </w:r>
          </w:p>
        </w:tc>
        <w:tc>
          <w:tcPr>
            <w:tcW w:w="989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772A57E4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Original completion date</w:t>
            </w:r>
          </w:p>
        </w:tc>
        <w:tc>
          <w:tcPr>
            <w:tcW w:w="1027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2E7AB5D9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Latest approved completion date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349F0E97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Actual completion date</w:t>
            </w:r>
          </w:p>
        </w:tc>
        <w:tc>
          <w:tcPr>
            <w:tcW w:w="1630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54FF78A4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Reason for variance in completion dates</w:t>
            </w:r>
          </w:p>
        </w:tc>
        <w:tc>
          <w:tcPr>
            <w:tcW w:w="2257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67C417D9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Original approved TEI</w:t>
            </w: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br/>
              <w:t>budget ($ million)</w:t>
            </w:r>
          </w:p>
        </w:tc>
        <w:tc>
          <w:tcPr>
            <w:tcW w:w="945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68D3CBBA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Latest approved TEI</w:t>
            </w: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br/>
              <w:t xml:space="preserve">budget   </w:t>
            </w:r>
            <w:proofErr w:type="gramStart"/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 xml:space="preserve">   (</w:t>
            </w:r>
            <w:proofErr w:type="gramEnd"/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$ million)</w:t>
            </w:r>
          </w:p>
        </w:tc>
        <w:tc>
          <w:tcPr>
            <w:tcW w:w="1086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203B8DFE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Actual TEI</w:t>
            </w: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br/>
              <w:t xml:space="preserve">cost           </w:t>
            </w:r>
            <w:proofErr w:type="gramStart"/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 xml:space="preserve">   (</w:t>
            </w:r>
            <w:proofErr w:type="gramEnd"/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$ million)</w:t>
            </w:r>
          </w:p>
        </w:tc>
        <w:tc>
          <w:tcPr>
            <w:tcW w:w="1546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27C30093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 xml:space="preserve">Variation between actual cost and latest approved TEI budget                   </w:t>
            </w:r>
            <w:proofErr w:type="gramStart"/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 xml:space="preserve">   (</w:t>
            </w:r>
            <w:proofErr w:type="gramEnd"/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$ million)</w:t>
            </w:r>
          </w:p>
        </w:tc>
        <w:tc>
          <w:tcPr>
            <w:tcW w:w="1419" w:type="dxa"/>
            <w:tcBorders>
              <w:bottom w:val="single" w:sz="4" w:space="0" w:color="FFFFFF"/>
            </w:tcBorders>
            <w:shd w:val="clear" w:color="auto" w:fill="AF272F"/>
            <w:vAlign w:val="center"/>
          </w:tcPr>
          <w:p w14:paraId="7EF9BCD3" w14:textId="77777777" w:rsidR="000C09DA" w:rsidRPr="000C09DA" w:rsidRDefault="000C09DA" w:rsidP="000C09DA">
            <w:pPr>
              <w:pStyle w:val="ESTableheadingwhite"/>
              <w:jc w:val="center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C09DA">
              <w:rPr>
                <w:rFonts w:ascii="Calibri" w:eastAsiaTheme="minorEastAsia" w:hAnsi="Calibri" w:cs="Calibri"/>
                <w:sz w:val="16"/>
                <w:szCs w:val="16"/>
              </w:rPr>
              <w:t>Reason for variance from latest approved TEI budget</w:t>
            </w:r>
          </w:p>
        </w:tc>
      </w:tr>
      <w:tr w:rsidR="000C09DA" w:rsidRPr="000C09DA" w14:paraId="5D12B6E8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D9D9D6"/>
            <w:vAlign w:val="center"/>
          </w:tcPr>
          <w:p w14:paraId="6CE625B0" w14:textId="38CF135D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bookmarkStart w:id="2" w:name="_Hlk109663710"/>
            <w:r w:rsidRPr="00812E69">
              <w:rPr>
                <w:rFonts w:ascii="Calibri" w:eastAsiaTheme="minorEastAsia" w:hAnsi="Calibri" w:cs="Calibri"/>
                <w:sz w:val="16"/>
                <w:szCs w:val="16"/>
                <w:lang w:val="en-US"/>
              </w:rPr>
              <w:t>Bass Coast College</w:t>
            </w:r>
            <w:bookmarkEnd w:id="2"/>
          </w:p>
        </w:tc>
        <w:tc>
          <w:tcPr>
            <w:tcW w:w="98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440CF4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30/09/2023</w:t>
            </w:r>
          </w:p>
        </w:tc>
        <w:tc>
          <w:tcPr>
            <w:tcW w:w="1027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555C4722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30/09/2023</w:t>
            </w: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5021BE9D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30/11/2021</w:t>
            </w:r>
          </w:p>
        </w:tc>
        <w:tc>
          <w:tcPr>
            <w:tcW w:w="163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399A7004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4C8214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In 2020, the school received $5 million in funding and in the 2020–21 State Budget $32.2 million.</w:t>
            </w:r>
          </w:p>
        </w:tc>
        <w:tc>
          <w:tcPr>
            <w:tcW w:w="945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3CB12969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37.200</w:t>
            </w:r>
          </w:p>
        </w:tc>
        <w:tc>
          <w:tcPr>
            <w:tcW w:w="1086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738E76C9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21.269</w:t>
            </w:r>
          </w:p>
        </w:tc>
        <w:tc>
          <w:tcPr>
            <w:tcW w:w="1546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3B6FEE76" w14:textId="77777777" w:rsidR="000C09DA" w:rsidRPr="000C09DA" w:rsidRDefault="000C09DA" w:rsidP="000C09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15.931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501BFF01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Actual TEI cost is subject to project financial close in the </w:t>
            </w:r>
            <w:proofErr w:type="gramStart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defects</w:t>
            </w:r>
            <w:proofErr w:type="gramEnd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liability period.</w:t>
            </w:r>
          </w:p>
        </w:tc>
      </w:tr>
      <w:bookmarkEnd w:id="1"/>
      <w:tr w:rsidR="000C09DA" w:rsidRPr="000C09DA" w14:paraId="44DE504F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31FFD18D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812E69">
              <w:rPr>
                <w:rFonts w:ascii="Calibri" w:eastAsiaTheme="minorEastAsia" w:hAnsi="Calibri" w:cs="Calibri"/>
                <w:sz w:val="16"/>
                <w:szCs w:val="16"/>
                <w:lang w:val="en-US"/>
              </w:rPr>
              <w:t>Beaumaris Secondary College – Stage 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DDF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D70F2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BA3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28/01/2022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DF88A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4A0F3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18.968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F4373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14.468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B5CF5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14.248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9F61A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0.220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07C8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The TEI has decreased by $4.5 million due to a </w:t>
            </w: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reprioritisation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being redirected from this program to other school projects.</w:t>
            </w:r>
          </w:p>
        </w:tc>
      </w:tr>
      <w:tr w:rsidR="000C09DA" w:rsidRPr="000C09DA" w14:paraId="5954A31B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1FBBB992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Clyde Secondary College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AEBD4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62365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8AB71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22/12/2021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5C80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83E77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37.908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276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37.348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29CB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35.573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439E9" w14:textId="77777777" w:rsidR="000C09DA" w:rsidRPr="000C09DA" w:rsidRDefault="000C09DA" w:rsidP="000C09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1.775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5020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The TEI has decreased by $0.56 million due to certain expenditure being reclassified as operating instead of capital, in line with accounting standards.</w:t>
            </w:r>
          </w:p>
        </w:tc>
      </w:tr>
      <w:tr w:rsidR="000C09DA" w:rsidRPr="000C09DA" w14:paraId="1D8B5FD2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1F022797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lastRenderedPageBreak/>
              <w:t>Deanside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Primary School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58B19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FD3F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387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21/01/2022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F5019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08B07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25.793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24B02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25.352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5FCC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23.723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BE74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1.629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57F2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TEI has decreased by $0.441 million due to certain expenditure being reclassified as operating instead of capital in line with accounting standards.</w:t>
            </w:r>
          </w:p>
        </w:tc>
      </w:tr>
      <w:tr w:rsidR="000C09DA" w:rsidRPr="000C09DA" w14:paraId="75F5962C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06E7C9AB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Dohertys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Creek P</w:t>
            </w: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noBreakHyphen/>
              <w:t>9 College – Stage 2 – Years 7–9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5873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F784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D3E38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26/11/2021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8DE2E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083DE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11.230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D0D6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11.230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B7EE0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9.481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F4F1C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1.749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AC93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Actual TEI cost is subject to project financial close in the </w:t>
            </w:r>
            <w:proofErr w:type="gramStart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defects</w:t>
            </w:r>
            <w:proofErr w:type="gramEnd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liability period.</w:t>
            </w:r>
          </w:p>
        </w:tc>
      </w:tr>
      <w:tr w:rsidR="000C09DA" w:rsidRPr="000C09DA" w14:paraId="55CC457A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698EFE5B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Edgars Creek Secondary College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0EA50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31/12/2022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BF33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8F3F4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2/02/2022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384C0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87A91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6862C4B8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22.800</w:t>
            </w:r>
          </w:p>
          <w:p w14:paraId="3021C1F4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A71D4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21.982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90BC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20.761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310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1.221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6E67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TEI includes reprioritisation in line with revised cost within project schedule.</w:t>
            </w:r>
          </w:p>
        </w:tc>
      </w:tr>
      <w:tr w:rsidR="000C09DA" w:rsidRPr="000C09DA" w14:paraId="0B04AF02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18922DEB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Endeavour Hills Specialist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8469F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A08B8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D5535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21/12/2021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AE58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2282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45.240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BCC6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44.845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BE28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36.039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1B383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8.806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7E28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TEI has decreased by $0.395 million due to certain expenditure being reclassified as operating instead of capital, in line with accounting standards.</w:t>
            </w:r>
          </w:p>
        </w:tc>
      </w:tr>
      <w:tr w:rsidR="000C09DA" w:rsidRPr="000C09DA" w14:paraId="48C60DC7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4DBA9779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proofErr w:type="spellStart"/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lastRenderedPageBreak/>
              <w:t>Footscray</w:t>
            </w:r>
            <w:proofErr w:type="spellEnd"/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 xml:space="preserve"> North Primary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DC3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1879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C972D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18/02/2022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05C30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COVID-19 pandemic (reduced workforce) delayed the project by 3 weeks.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D5D51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In 2020, the school shared $130.106 million allocated for school upgrades – growth for 2022 (metropolitan various).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1AD47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5703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3B5E0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53D86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</w:tr>
      <w:tr w:rsidR="000C09DA" w:rsidRPr="000C09DA" w14:paraId="182BB3B7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710B6BCC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Frankston North Education Precinct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6F83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9DEE9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9872F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09/08/2021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D757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E019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11.268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0176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11.429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6F8BE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1.775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14193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9.654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9938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TEI includes co-contribution from the schools and reclassification of some costs as operating expenditure.</w:t>
            </w:r>
          </w:p>
        </w:tc>
      </w:tr>
      <w:tr w:rsidR="000C09DA" w:rsidRPr="000C09DA" w14:paraId="36757CE4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5F9A3A10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Gilgai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Plains Primary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255B3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E7E5B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24A18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20/01/2022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136D0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096F6" w14:textId="77777777" w:rsidR="000C09DA" w:rsidRPr="000C09DA" w:rsidRDefault="000C09DA" w:rsidP="000C09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25.793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4D8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25.504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39E5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23.102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1E2F5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2.402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C7F8A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TEI has decreased by $0.289 million due to certain expenditure being reclassified as operating instead of capital, in line with accounting standards.</w:t>
            </w:r>
          </w:p>
        </w:tc>
      </w:tr>
      <w:tr w:rsidR="000C09DA" w:rsidRPr="000C09DA" w14:paraId="1B99848E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544513AA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Gisborne Primary School – Stage 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3C9E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6DC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9AF20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9/03/2022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03E03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Staging and decanting requirements delayed the project by over 6 months.</w:t>
            </w:r>
          </w:p>
          <w:p w14:paraId="1707B556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project was delivered in 3 separable portions.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45938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10.000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F7CE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10.000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88A28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7.794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8F63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2.206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BC74D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Actual TEI cost is subject to project financial close in the </w:t>
            </w:r>
            <w:proofErr w:type="gramStart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defects</w:t>
            </w:r>
            <w:proofErr w:type="gramEnd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liability period.</w:t>
            </w:r>
          </w:p>
        </w:tc>
      </w:tr>
      <w:tr w:rsidR="000C09DA" w:rsidRPr="000C09DA" w14:paraId="3435C464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6B7EFC2C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lastRenderedPageBreak/>
              <w:t xml:space="preserve">Greater </w:t>
            </w: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Shepparton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Secondary College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D13DB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F736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A1A45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E99B9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C38C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119.000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B992B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123.022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BCCC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123.021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A9E1A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0.001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00392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TEI has increased by $4.022 million due to a revised project scope, funded by a co</w:t>
            </w:r>
            <w:r w:rsidRPr="000C09DA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en-AU"/>
              </w:rPr>
              <w:t>‑</w:t>
            </w: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contribution of $3.962 million from the school and by a co</w:t>
            </w:r>
            <w:r w:rsidRPr="000C09DA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en-AU"/>
              </w:rPr>
              <w:t>‑</w:t>
            </w: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contribution of $0.06 million from local government.</w:t>
            </w:r>
          </w:p>
        </w:tc>
      </w:tr>
      <w:tr w:rsidR="000C09DA" w:rsidRPr="000C09DA" w14:paraId="02245477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0DBC0DB1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Greenvale Secondary College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FF38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B880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EBFFA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21/12/2021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8A27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BB3B7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27.942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512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27.583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ADDE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27.583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E4A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C88C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TEI has decreased by $0.359 million due to certain expenditure being reclassified as operating instead of capital, in line with accounting standards.</w:t>
            </w:r>
          </w:p>
        </w:tc>
      </w:tr>
      <w:tr w:rsidR="000C09DA" w:rsidRPr="000C09DA" w14:paraId="2D4EB2C9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46C91626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  <w:t>McKinnon Secondary College – East Campus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7D2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45D37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8D4FB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15/12/2021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F7E65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C108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In the 2019–20 State Budget, the school shared in $624.8 million allocated for new schools.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2FAA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6BD7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D0435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7045A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</w:tr>
      <w:tr w:rsidR="000C09DA" w:rsidRPr="000C09DA" w14:paraId="6C4F1FDE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3F2D9B71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Miners Rest Primary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1065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31/12/2022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E46F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45D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11/10/2021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97EC6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16AF0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15.390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06070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15.390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08E37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14.768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CB28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0.622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3AD0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Actual TEI cost is subject to project financial close in the </w:t>
            </w:r>
            <w:proofErr w:type="gramStart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defects</w:t>
            </w:r>
            <w:proofErr w:type="gramEnd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liability period.</w:t>
            </w:r>
          </w:p>
        </w:tc>
      </w:tr>
      <w:tr w:rsidR="000C09DA" w:rsidRPr="000C09DA" w14:paraId="42053EC5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3286847B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lastRenderedPageBreak/>
              <w:t xml:space="preserve">Port Melbourne Secondary College (formerly </w:t>
            </w: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Fishermans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Bend Secondary School)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52DD6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4BB4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0EDAA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17/11/2021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7238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918E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In the 2019–20 State Budget, the school shared in $624.8 million allocated for new schools.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8CBCE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F61CC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79F49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674A2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</w:tr>
      <w:tr w:rsidR="000C09DA" w:rsidRPr="000C09DA" w14:paraId="3ABDFBDF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5E45F630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  <w:t>Sanctuary Lakes South: Saltwater P-9 College – Stage 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27B7C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1B0A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240E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15/11/2021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DE343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44155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13.060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B11FF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9.860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E65B7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9.525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0DD8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0.335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002F3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TEI excludes $3.2 million reprioritisation in line with revised costs within the project schedule.</w:t>
            </w:r>
          </w:p>
        </w:tc>
      </w:tr>
      <w:tr w:rsidR="000C09DA" w:rsidRPr="000C09DA" w14:paraId="0FEF3A05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25745A74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St Kilda Primary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ECFB5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3C1A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9A45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14/04/2022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C275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Project delayed 2 weeks obtaining permits from Heritage Victoria.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D8853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9.991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3A49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9.991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A618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8.026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C8E0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1.965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1143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Actual TEI cost is subject to project financial close in the </w:t>
            </w:r>
            <w:proofErr w:type="gramStart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defects</w:t>
            </w:r>
            <w:proofErr w:type="gramEnd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liability period.</w:t>
            </w:r>
          </w:p>
        </w:tc>
      </w:tr>
      <w:tr w:rsidR="000C09DA" w:rsidRPr="000C09DA" w14:paraId="5C508551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67917CE6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 w:eastAsia="en-AU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Strathtulloh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Primary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16E67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4002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5575A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21/12/2021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149A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429F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25.793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BCB2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25.310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0411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22.893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A771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2.417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546B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TEI has decreased by $0.483 million due to certain expenditure being reclassified as operating instead of capital, in line with accounting standards.</w:t>
            </w:r>
          </w:p>
        </w:tc>
      </w:tr>
      <w:tr w:rsidR="000C09DA" w:rsidRPr="000C09DA" w14:paraId="4492D027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181760ED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Upwey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High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E182C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31/12/2021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3309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31/12/2021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CE56A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A0B2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B4D9C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10.000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1D1B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10.000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80ED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10.000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9087E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7C87B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</w:tr>
      <w:tr w:rsidR="000C09DA" w:rsidRPr="000C09DA" w14:paraId="54C371D8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4F484E38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Victoria University Secondary College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DA352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31/12/2022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F469F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31/12/2021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526B0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68A218E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17/08/2021</w:t>
            </w:r>
          </w:p>
          <w:p w14:paraId="4C36028D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CBD61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A0A21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23.946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3704C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23.946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80B6C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23.054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F2C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0.892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1374D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Actual TEI cost is subject to project financial close in the </w:t>
            </w:r>
            <w:proofErr w:type="gramStart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defects</w:t>
            </w:r>
            <w:proofErr w:type="gramEnd"/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liability period.</w:t>
            </w:r>
          </w:p>
        </w:tc>
      </w:tr>
      <w:tr w:rsidR="000C09DA" w:rsidRPr="000C09DA" w14:paraId="7A4A25FF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68F34262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lastRenderedPageBreak/>
              <w:t>Warringa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Park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69E6A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8292A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30/06/2021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163C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28/02/2022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DDCD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Staging requirements delayed the project by over 6 months.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6F1CA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12.400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6B6F0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14.091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4E5E2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14.041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00F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0.050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6EDB5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TEI includes co-contribution from the school.</w:t>
            </w:r>
          </w:p>
        </w:tc>
      </w:tr>
      <w:tr w:rsidR="000C09DA" w:rsidRPr="000C09DA" w14:paraId="04A8E892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09A0A18C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Willowbank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Primary School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23FB6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30BD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93CF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15/12/2021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03B2D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AF20F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24.425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4F295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24.166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AFC6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24.166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865B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3EFB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TEI has decreased by $0.259 million due to certain expenditure being reclassified as operating instead of capital, in line with accounting standards.</w:t>
            </w:r>
          </w:p>
        </w:tc>
      </w:tr>
      <w:tr w:rsidR="000C09DA" w:rsidRPr="000C09DA" w14:paraId="70C27F9A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5EEEE428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/>
              </w:rPr>
            </w:pPr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Wollert Primary School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3B870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31/01/2022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7555D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</w:pPr>
            <w:r w:rsidRPr="000C09DA">
              <w:rPr>
                <w:rFonts w:ascii="Calibri" w:eastAsia="SimHei" w:hAnsi="Calibri" w:cs="Calibri"/>
                <w:color w:val="000000"/>
                <w:sz w:val="16"/>
                <w:szCs w:val="16"/>
                <w:lang w:val="en-US"/>
              </w:rPr>
              <w:t>31/01/2022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29EDD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20/12/2021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421B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B3AA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32.143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A60E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39.526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3E664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39.526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A62D2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DD99E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TEI includes co-contribution from local government.</w:t>
            </w:r>
          </w:p>
        </w:tc>
      </w:tr>
      <w:tr w:rsidR="000C09DA" w:rsidRPr="000C09DA" w14:paraId="7838FF51" w14:textId="77777777" w:rsidTr="000C09DA">
        <w:trPr>
          <w:cantSplit/>
          <w:trHeight w:val="227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6"/>
            <w:vAlign w:val="center"/>
          </w:tcPr>
          <w:p w14:paraId="70A624CA" w14:textId="77777777" w:rsidR="000C09DA" w:rsidRPr="000C09DA" w:rsidRDefault="000C09DA" w:rsidP="000C09DA">
            <w:pPr>
              <w:spacing w:before="120" w:after="120"/>
              <w:rPr>
                <w:rFonts w:ascii="Calibri" w:eastAsia="SimHei" w:hAnsi="Calibri" w:cs="Calibri"/>
                <w:sz w:val="16"/>
                <w:szCs w:val="16"/>
                <w:lang w:val="en-US"/>
              </w:rPr>
            </w:pPr>
            <w:proofErr w:type="spellStart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>Wurun</w:t>
            </w:r>
            <w:proofErr w:type="spellEnd"/>
            <w:r w:rsidRPr="000C09DA">
              <w:rPr>
                <w:rFonts w:ascii="Calibri" w:eastAsia="SimHei" w:hAnsi="Calibri" w:cs="Calibri"/>
                <w:sz w:val="16"/>
                <w:szCs w:val="16"/>
                <w:lang w:val="en-US"/>
              </w:rPr>
              <w:t xml:space="preserve"> Senior Campus (formerly Fitzroy Gasworks Senior Campus)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E3E50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95050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31/03/2022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AF151" w14:textId="77777777" w:rsidR="000C09DA" w:rsidRPr="000C09DA" w:rsidRDefault="000C09DA" w:rsidP="000C09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C09DA">
              <w:rPr>
                <w:rFonts w:ascii="Calibri" w:hAnsi="Calibri" w:cs="Calibri"/>
                <w:color w:val="000000"/>
                <w:sz w:val="16"/>
                <w:szCs w:val="16"/>
              </w:rPr>
              <w:t>24/01/2022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8B9E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0E20D" w14:textId="77777777" w:rsidR="000C09DA" w:rsidRPr="000C09DA" w:rsidRDefault="000C09DA" w:rsidP="000C09DA">
            <w:pPr>
              <w:spacing w:before="120" w:after="120"/>
              <w:rPr>
                <w:rFonts w:ascii="Arial" w:eastAsia="SimHei" w:hAnsi="Arial" w:cs="Arial"/>
                <w:sz w:val="20"/>
                <w:szCs w:val="18"/>
                <w:lang w:val="en-US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In the 2019–20 State Budget, the school shared in $624.8 million allocated for new schools.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CC24B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B293" w14:textId="77777777" w:rsidR="000C09DA" w:rsidRPr="000C09DA" w:rsidRDefault="000C09DA" w:rsidP="000C09DA">
            <w:pPr>
              <w:spacing w:before="12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DB102" w14:textId="77777777" w:rsidR="000C09DA" w:rsidRPr="000C09DA" w:rsidRDefault="000C09DA" w:rsidP="000C09DA">
            <w:pPr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5A17" w14:textId="77777777" w:rsidR="000C09DA" w:rsidRPr="000C09DA" w:rsidRDefault="000C09DA" w:rsidP="000C09DA">
            <w:pPr>
              <w:spacing w:before="120" w:after="120"/>
              <w:rPr>
                <w:rFonts w:ascii="Arial" w:eastAsia="SimHei" w:hAnsi="Arial" w:cs="Arial"/>
                <w:sz w:val="20"/>
                <w:szCs w:val="18"/>
                <w:lang w:val="en-US"/>
              </w:rPr>
            </w:pPr>
            <w:r w:rsidRPr="000C0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</w:p>
        </w:tc>
      </w:tr>
    </w:tbl>
    <w:p w14:paraId="60B17127" w14:textId="77777777" w:rsidR="00334DD8" w:rsidRDefault="00334DD8"/>
    <w:sectPr w:rsidR="00334DD8" w:rsidSect="000C09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A"/>
    <w:rsid w:val="000C09DA"/>
    <w:rsid w:val="00205704"/>
    <w:rsid w:val="00334DD8"/>
    <w:rsid w:val="008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5D21"/>
  <w15:chartTrackingRefBased/>
  <w15:docId w15:val="{2024FDE8-B043-4393-9C07-783232D7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9DA"/>
    <w:pPr>
      <w:spacing w:after="0" w:line="240" w:lineRule="auto"/>
    </w:pPr>
    <w:rPr>
      <w:rFonts w:eastAsia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ableheadingwhite">
    <w:name w:val="ES_Table heading white"/>
    <w:basedOn w:val="Normal"/>
    <w:link w:val="ESTableheadingwhiteChar"/>
    <w:qFormat/>
    <w:rsid w:val="000C09DA"/>
    <w:pPr>
      <w:spacing w:before="80" w:after="80" w:line="240" w:lineRule="auto"/>
    </w:pPr>
    <w:rPr>
      <w:rFonts w:ascii="Arial" w:hAnsi="Arial" w:cs="Arial"/>
      <w:b/>
      <w:color w:val="FFFFFF" w:themeColor="background1"/>
      <w:sz w:val="19"/>
      <w:szCs w:val="18"/>
      <w:lang w:val="en-US" w:eastAsia="en-US"/>
    </w:rPr>
  </w:style>
  <w:style w:type="character" w:customStyle="1" w:styleId="ESTableheadingwhiteChar">
    <w:name w:val="ES_Table heading white Char"/>
    <w:basedOn w:val="DefaultParagraphFont"/>
    <w:link w:val="ESTableheadingwhite"/>
    <w:rsid w:val="000C09DA"/>
    <w:rPr>
      <w:rFonts w:ascii="Arial" w:hAnsi="Arial" w:cs="Arial"/>
      <w:b/>
      <w:color w:val="FFFFFF" w:themeColor="background1"/>
      <w:sz w:val="19"/>
      <w:szCs w:val="18"/>
      <w:lang w:val="en-US" w:eastAsia="en-US"/>
    </w:rPr>
  </w:style>
  <w:style w:type="paragraph" w:customStyle="1" w:styleId="ESTableintroheading">
    <w:name w:val="ES_Table intro heading"/>
    <w:basedOn w:val="Normal"/>
    <w:link w:val="ESTableintroheadingChar"/>
    <w:qFormat/>
    <w:rsid w:val="00205704"/>
    <w:pPr>
      <w:keepNext/>
      <w:spacing w:before="120" w:after="120" w:line="240" w:lineRule="auto"/>
    </w:pPr>
    <w:rPr>
      <w:rFonts w:ascii="Arial" w:hAnsi="Arial" w:cs="Arial"/>
      <w:b/>
      <w:color w:val="FFC000" w:themeColor="accent4"/>
      <w:sz w:val="20"/>
      <w:szCs w:val="18"/>
      <w:lang w:val="en-US" w:eastAsia="en-US"/>
    </w:rPr>
  </w:style>
  <w:style w:type="character" w:customStyle="1" w:styleId="ESTableintroheadingChar">
    <w:name w:val="ES_Table intro heading Char"/>
    <w:basedOn w:val="DefaultParagraphFont"/>
    <w:link w:val="ESTableintroheading"/>
    <w:rsid w:val="00205704"/>
    <w:rPr>
      <w:rFonts w:ascii="Arial" w:hAnsi="Arial" w:cs="Arial"/>
      <w:b/>
      <w:color w:val="FFC000" w:themeColor="accent4"/>
      <w:sz w:val="20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888</Words>
  <Characters>5066</Characters>
  <Application>Microsoft Office Word</Application>
  <DocSecurity>0</DocSecurity>
  <Lines>42</Lines>
  <Paragraphs>11</Paragraphs>
  <ScaleCrop>false</ScaleCrop>
  <Company>DET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Wu</dc:creator>
  <cp:keywords/>
  <dc:description/>
  <cp:lastModifiedBy>Elaine Wu</cp:lastModifiedBy>
  <cp:revision>3</cp:revision>
  <dcterms:created xsi:type="dcterms:W3CDTF">2022-09-07T04:32:00Z</dcterms:created>
  <dcterms:modified xsi:type="dcterms:W3CDTF">2022-09-07T04:45:00Z</dcterms:modified>
</cp:coreProperties>
</file>