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7DFA8" w14:textId="77777777" w:rsidR="00301632" w:rsidRPr="00F947E7" w:rsidRDefault="00301632" w:rsidP="00F947E7">
      <w:pPr>
        <w:pStyle w:val="ESHeading2"/>
      </w:pPr>
      <w:bookmarkStart w:id="0" w:name="_Toc9432481"/>
      <w:bookmarkStart w:id="1" w:name="_Toc11158248"/>
      <w:bookmarkStart w:id="2" w:name="_Toc11336255"/>
      <w:bookmarkStart w:id="3" w:name="_Toc13656689"/>
      <w:bookmarkStart w:id="4" w:name="_Toc14965481"/>
      <w:bookmarkStart w:id="5" w:name="_Toc15985275"/>
      <w:bookmarkStart w:id="6" w:name="_Toc19272060"/>
      <w:bookmarkStart w:id="7" w:name="_Toc19272426"/>
      <w:bookmarkStart w:id="8" w:name="_Toc19273761"/>
      <w:bookmarkStart w:id="9" w:name="_Toc48402796"/>
      <w:bookmarkStart w:id="10" w:name="_Toc48403033"/>
      <w:bookmarkStart w:id="11" w:name="_Toc51332776"/>
      <w:bookmarkStart w:id="12" w:name="_Toc106874050"/>
      <w:bookmarkStart w:id="13" w:name="_Toc111706190"/>
      <w:bookmarkStart w:id="14" w:name="_Toc112673447"/>
      <w:bookmarkStart w:id="15" w:name="_Toc112684019"/>
      <w:bookmarkStart w:id="16" w:name="_Toc112685298"/>
      <w:bookmarkStart w:id="17" w:name="_Toc112685657"/>
      <w:r w:rsidRPr="00F947E7">
        <w:t>Government advertising expenditure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580C1EC6" w14:textId="77777777" w:rsidR="00301632" w:rsidRPr="00301632" w:rsidRDefault="00301632" w:rsidP="00301632">
      <w:pPr>
        <w:pStyle w:val="ESTableintroheading"/>
        <w:rPr>
          <w:rFonts w:ascii="Calibri" w:eastAsia="SimHei" w:hAnsi="Calibri" w:cs="Calibri"/>
          <w:color w:val="AF272F"/>
        </w:rPr>
      </w:pPr>
      <w:r w:rsidRPr="00301632">
        <w:rPr>
          <w:rFonts w:ascii="Calibri" w:eastAsia="SimHei" w:hAnsi="Calibri" w:cs="Calibri"/>
          <w:color w:val="AF272F"/>
        </w:rPr>
        <w:t>Campaigns with a media spend of $100,000 or greater (excluding GST) during 2021–22</w:t>
      </w:r>
    </w:p>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413"/>
        <w:gridCol w:w="4536"/>
        <w:gridCol w:w="1417"/>
        <w:gridCol w:w="1134"/>
        <w:gridCol w:w="1418"/>
        <w:gridCol w:w="1136"/>
        <w:gridCol w:w="943"/>
        <w:gridCol w:w="900"/>
        <w:gridCol w:w="1053"/>
      </w:tblGrid>
      <w:tr w:rsidR="00301632" w:rsidRPr="00301632" w14:paraId="3ECA4DEA" w14:textId="77777777" w:rsidTr="00301632">
        <w:trPr>
          <w:cantSplit/>
          <w:trHeight w:val="242"/>
          <w:tblHeader/>
        </w:trPr>
        <w:tc>
          <w:tcPr>
            <w:tcW w:w="1413" w:type="dxa"/>
            <w:tcBorders>
              <w:bottom w:val="nil"/>
            </w:tcBorders>
            <w:shd w:val="clear" w:color="auto" w:fill="AF272F"/>
          </w:tcPr>
          <w:p w14:paraId="12E38329" w14:textId="77777777" w:rsidR="00301632" w:rsidRPr="00301632" w:rsidRDefault="00301632" w:rsidP="00301632">
            <w:pPr>
              <w:pStyle w:val="ESTableheadingwhite"/>
              <w:rPr>
                <w:rFonts w:ascii="Calibri" w:eastAsiaTheme="minorEastAsia" w:hAnsi="Calibri" w:cs="Calibri"/>
                <w:sz w:val="18"/>
                <w:lang w:val="en-AU"/>
              </w:rPr>
            </w:pPr>
            <w:r w:rsidRPr="00301632">
              <w:rPr>
                <w:rFonts w:ascii="Calibri" w:eastAsiaTheme="minorEastAsia" w:hAnsi="Calibri" w:cs="Calibri"/>
                <w:sz w:val="18"/>
                <w:lang w:val="en-AU"/>
              </w:rPr>
              <w:t>Campaign</w:t>
            </w:r>
          </w:p>
        </w:tc>
        <w:tc>
          <w:tcPr>
            <w:tcW w:w="4536" w:type="dxa"/>
            <w:tcBorders>
              <w:bottom w:val="nil"/>
            </w:tcBorders>
            <w:shd w:val="clear" w:color="auto" w:fill="AF272F"/>
          </w:tcPr>
          <w:p w14:paraId="3D2B7152" w14:textId="77777777" w:rsidR="00301632" w:rsidRPr="00301632" w:rsidRDefault="00301632" w:rsidP="00301632">
            <w:pPr>
              <w:spacing w:before="80" w:after="80"/>
              <w:rPr>
                <w:rFonts w:ascii="Calibri" w:eastAsiaTheme="minorEastAsia" w:hAnsi="Calibri" w:cs="Calibri"/>
                <w:b/>
                <w:color w:val="FFFFFF" w:themeColor="background1"/>
                <w:sz w:val="18"/>
                <w:szCs w:val="18"/>
                <w:lang w:val="en-AU"/>
              </w:rPr>
            </w:pPr>
            <w:r w:rsidRPr="00301632">
              <w:rPr>
                <w:rFonts w:ascii="Calibri" w:eastAsiaTheme="minorEastAsia" w:hAnsi="Calibri" w:cs="Calibri"/>
                <w:b/>
                <w:color w:val="FFFFFF" w:themeColor="background1"/>
                <w:sz w:val="18"/>
                <w:szCs w:val="18"/>
                <w:lang w:val="en-AU"/>
              </w:rPr>
              <w:t>Summary</w:t>
            </w:r>
          </w:p>
        </w:tc>
        <w:tc>
          <w:tcPr>
            <w:tcW w:w="1417" w:type="dxa"/>
            <w:tcBorders>
              <w:bottom w:val="nil"/>
            </w:tcBorders>
            <w:shd w:val="clear" w:color="auto" w:fill="AF272F"/>
          </w:tcPr>
          <w:p w14:paraId="46A71DD2" w14:textId="77777777" w:rsidR="00301632" w:rsidRPr="00301632" w:rsidRDefault="00301632" w:rsidP="00301632">
            <w:pPr>
              <w:spacing w:before="80" w:after="80"/>
              <w:rPr>
                <w:rFonts w:ascii="Calibri" w:eastAsiaTheme="minorEastAsia" w:hAnsi="Calibri" w:cs="Calibri"/>
                <w:b/>
                <w:color w:val="FFFFFF" w:themeColor="background1"/>
                <w:sz w:val="18"/>
                <w:szCs w:val="18"/>
                <w:lang w:val="en-AU"/>
              </w:rPr>
            </w:pPr>
            <w:r w:rsidRPr="00301632">
              <w:rPr>
                <w:rFonts w:ascii="Calibri" w:eastAsiaTheme="minorEastAsia" w:hAnsi="Calibri" w:cs="Calibri"/>
                <w:b/>
                <w:color w:val="FFFFFF" w:themeColor="background1"/>
                <w:sz w:val="18"/>
                <w:szCs w:val="18"/>
                <w:lang w:val="en-AU"/>
              </w:rPr>
              <w:t>Start/end</w:t>
            </w:r>
          </w:p>
        </w:tc>
        <w:tc>
          <w:tcPr>
            <w:tcW w:w="1134" w:type="dxa"/>
            <w:tcBorders>
              <w:bottom w:val="nil"/>
            </w:tcBorders>
            <w:shd w:val="clear" w:color="auto" w:fill="AF272F"/>
          </w:tcPr>
          <w:p w14:paraId="142FE2A0" w14:textId="77777777" w:rsidR="00301632" w:rsidRPr="00301632" w:rsidRDefault="00301632" w:rsidP="00301632">
            <w:pPr>
              <w:spacing w:before="80" w:after="80"/>
              <w:rPr>
                <w:rFonts w:ascii="Calibri" w:eastAsiaTheme="minorEastAsia" w:hAnsi="Calibri" w:cs="Calibri"/>
                <w:b/>
                <w:color w:val="FFFFFF" w:themeColor="background1"/>
                <w:sz w:val="18"/>
                <w:szCs w:val="18"/>
                <w:lang w:val="en-AU"/>
              </w:rPr>
            </w:pPr>
            <w:r w:rsidRPr="00301632">
              <w:rPr>
                <w:rFonts w:ascii="Calibri" w:eastAsiaTheme="minorEastAsia" w:hAnsi="Calibri" w:cs="Calibri"/>
                <w:b/>
                <w:color w:val="FFFFFF" w:themeColor="background1"/>
                <w:sz w:val="18"/>
                <w:szCs w:val="18"/>
                <w:lang w:val="en-AU"/>
              </w:rPr>
              <w:t xml:space="preserve">Advertising (media) </w:t>
            </w:r>
          </w:p>
        </w:tc>
        <w:tc>
          <w:tcPr>
            <w:tcW w:w="1418" w:type="dxa"/>
            <w:tcBorders>
              <w:bottom w:val="nil"/>
            </w:tcBorders>
            <w:shd w:val="clear" w:color="auto" w:fill="AF272F"/>
          </w:tcPr>
          <w:p w14:paraId="0C15C5BB" w14:textId="77777777" w:rsidR="00301632" w:rsidRPr="00301632" w:rsidRDefault="00301632" w:rsidP="00301632">
            <w:pPr>
              <w:spacing w:before="80" w:after="80"/>
              <w:rPr>
                <w:rFonts w:ascii="Calibri" w:eastAsiaTheme="minorEastAsia" w:hAnsi="Calibri" w:cs="Calibri"/>
                <w:b/>
                <w:color w:val="FFFFFF" w:themeColor="background1"/>
                <w:sz w:val="18"/>
                <w:szCs w:val="18"/>
                <w:lang w:val="en-AU"/>
              </w:rPr>
            </w:pPr>
            <w:r w:rsidRPr="00301632">
              <w:rPr>
                <w:rFonts w:ascii="Calibri" w:eastAsiaTheme="minorEastAsia" w:hAnsi="Calibri" w:cs="Calibri"/>
                <w:b/>
                <w:color w:val="FFFFFF" w:themeColor="background1"/>
                <w:sz w:val="18"/>
                <w:szCs w:val="18"/>
                <w:lang w:val="en-AU"/>
              </w:rPr>
              <w:t>Creative and campaign development</w:t>
            </w:r>
          </w:p>
        </w:tc>
        <w:tc>
          <w:tcPr>
            <w:tcW w:w="1136" w:type="dxa"/>
            <w:tcBorders>
              <w:bottom w:val="nil"/>
            </w:tcBorders>
            <w:shd w:val="clear" w:color="auto" w:fill="AF272F"/>
          </w:tcPr>
          <w:p w14:paraId="3A4F53DA" w14:textId="77777777" w:rsidR="00301632" w:rsidRPr="00301632" w:rsidRDefault="00301632" w:rsidP="00301632">
            <w:pPr>
              <w:spacing w:before="80" w:after="80"/>
              <w:rPr>
                <w:rFonts w:ascii="Calibri" w:eastAsiaTheme="minorEastAsia" w:hAnsi="Calibri" w:cs="Calibri"/>
                <w:b/>
                <w:color w:val="FFFFFF" w:themeColor="background1"/>
                <w:sz w:val="18"/>
                <w:szCs w:val="18"/>
                <w:lang w:val="en-AU"/>
              </w:rPr>
            </w:pPr>
            <w:r w:rsidRPr="00301632">
              <w:rPr>
                <w:rFonts w:ascii="Calibri" w:eastAsiaTheme="minorEastAsia" w:hAnsi="Calibri" w:cs="Calibri"/>
                <w:b/>
                <w:color w:val="FFFFFF" w:themeColor="background1"/>
                <w:sz w:val="18"/>
                <w:szCs w:val="18"/>
                <w:lang w:val="en-AU"/>
              </w:rPr>
              <w:t>Research and evaluation</w:t>
            </w:r>
          </w:p>
        </w:tc>
        <w:tc>
          <w:tcPr>
            <w:tcW w:w="943" w:type="dxa"/>
            <w:tcBorders>
              <w:bottom w:val="nil"/>
            </w:tcBorders>
            <w:shd w:val="clear" w:color="auto" w:fill="AF272F"/>
          </w:tcPr>
          <w:p w14:paraId="10509F86" w14:textId="77777777" w:rsidR="00301632" w:rsidRPr="00301632" w:rsidRDefault="00301632" w:rsidP="00301632">
            <w:pPr>
              <w:spacing w:before="80" w:after="80"/>
              <w:rPr>
                <w:rFonts w:ascii="Calibri" w:eastAsiaTheme="minorEastAsia" w:hAnsi="Calibri" w:cs="Calibri"/>
                <w:b/>
                <w:color w:val="FFFFFF" w:themeColor="background1"/>
                <w:sz w:val="18"/>
                <w:szCs w:val="18"/>
                <w:lang w:val="en-AU"/>
              </w:rPr>
            </w:pPr>
            <w:r w:rsidRPr="00301632">
              <w:rPr>
                <w:rFonts w:ascii="Calibri" w:eastAsiaTheme="minorEastAsia" w:hAnsi="Calibri" w:cs="Calibri"/>
                <w:b/>
                <w:color w:val="FFFFFF" w:themeColor="background1"/>
                <w:sz w:val="18"/>
                <w:szCs w:val="18"/>
                <w:lang w:val="en-AU"/>
              </w:rPr>
              <w:t>Print and collateral</w:t>
            </w:r>
          </w:p>
        </w:tc>
        <w:tc>
          <w:tcPr>
            <w:tcW w:w="900" w:type="dxa"/>
            <w:tcBorders>
              <w:bottom w:val="nil"/>
            </w:tcBorders>
            <w:shd w:val="clear" w:color="auto" w:fill="AF272F"/>
          </w:tcPr>
          <w:p w14:paraId="00049C8B" w14:textId="77777777" w:rsidR="00301632" w:rsidRPr="00301632" w:rsidRDefault="00301632" w:rsidP="00301632">
            <w:pPr>
              <w:spacing w:before="80" w:after="80"/>
              <w:rPr>
                <w:rFonts w:ascii="Calibri" w:eastAsiaTheme="minorEastAsia" w:hAnsi="Calibri" w:cs="Calibri"/>
                <w:b/>
                <w:color w:val="FFFFFF" w:themeColor="background1"/>
                <w:sz w:val="18"/>
                <w:szCs w:val="18"/>
                <w:lang w:val="en-AU"/>
              </w:rPr>
            </w:pPr>
            <w:r w:rsidRPr="00301632">
              <w:rPr>
                <w:rFonts w:ascii="Calibri" w:eastAsiaTheme="minorEastAsia" w:hAnsi="Calibri" w:cs="Calibri"/>
                <w:b/>
                <w:color w:val="FFFFFF" w:themeColor="background1"/>
                <w:sz w:val="18"/>
                <w:szCs w:val="18"/>
                <w:lang w:val="en-AU"/>
              </w:rPr>
              <w:t>Other</w:t>
            </w:r>
          </w:p>
        </w:tc>
        <w:tc>
          <w:tcPr>
            <w:tcW w:w="1053" w:type="dxa"/>
            <w:tcBorders>
              <w:bottom w:val="nil"/>
            </w:tcBorders>
            <w:shd w:val="clear" w:color="auto" w:fill="AF272F"/>
          </w:tcPr>
          <w:p w14:paraId="4BF63133" w14:textId="77777777" w:rsidR="00301632" w:rsidRPr="00301632" w:rsidRDefault="00301632" w:rsidP="00301632">
            <w:pPr>
              <w:spacing w:before="80" w:after="80"/>
              <w:jc w:val="center"/>
              <w:rPr>
                <w:rFonts w:ascii="Calibri" w:eastAsiaTheme="minorEastAsia" w:hAnsi="Calibri" w:cs="Calibri"/>
                <w:b/>
                <w:color w:val="FFFFFF" w:themeColor="background1"/>
                <w:sz w:val="18"/>
                <w:szCs w:val="18"/>
                <w:lang w:val="en-AU"/>
              </w:rPr>
            </w:pPr>
            <w:r w:rsidRPr="00301632">
              <w:rPr>
                <w:rFonts w:ascii="Calibri" w:eastAsiaTheme="minorEastAsia" w:hAnsi="Calibri" w:cs="Calibri"/>
                <w:b/>
                <w:color w:val="FFFFFF" w:themeColor="background1"/>
                <w:sz w:val="18"/>
                <w:szCs w:val="18"/>
                <w:lang w:val="en-AU"/>
              </w:rPr>
              <w:t>Total</w:t>
            </w:r>
          </w:p>
        </w:tc>
      </w:tr>
      <w:tr w:rsidR="00301632" w:rsidRPr="00301632" w14:paraId="66D14788" w14:textId="77777777" w:rsidTr="00301632">
        <w:trPr>
          <w:cantSplit/>
        </w:trPr>
        <w:tc>
          <w:tcPr>
            <w:tcW w:w="1413" w:type="dxa"/>
            <w:tcBorders>
              <w:top w:val="nil"/>
              <w:left w:val="nil"/>
              <w:bottom w:val="single" w:sz="4" w:space="0" w:color="auto"/>
              <w:right w:val="nil"/>
            </w:tcBorders>
            <w:shd w:val="clear" w:color="auto" w:fill="auto"/>
          </w:tcPr>
          <w:p w14:paraId="721BF048" w14:textId="77777777" w:rsidR="00301632" w:rsidRPr="00301632" w:rsidRDefault="00301632" w:rsidP="00301632">
            <w:pPr>
              <w:spacing w:before="120" w:after="120"/>
              <w:rPr>
                <w:rFonts w:ascii="Calibri" w:eastAsia="SimHei" w:hAnsi="Calibri" w:cs="Calibri"/>
                <w:color w:val="FF0000"/>
                <w:sz w:val="16"/>
                <w:szCs w:val="16"/>
              </w:rPr>
            </w:pPr>
            <w:bookmarkStart w:id="18" w:name="_Hlk75958825"/>
            <w:r w:rsidRPr="00301632">
              <w:rPr>
                <w:rFonts w:ascii="Calibri" w:eastAsia="Times New Roman" w:hAnsi="Calibri" w:cs="Calibri"/>
                <w:sz w:val="16"/>
                <w:szCs w:val="16"/>
                <w:lang w:val="en-US"/>
              </w:rPr>
              <w:t xml:space="preserve">Boosting Apprenticeships </w:t>
            </w:r>
            <w:bookmarkEnd w:id="18"/>
          </w:p>
        </w:tc>
        <w:tc>
          <w:tcPr>
            <w:tcW w:w="4536" w:type="dxa"/>
            <w:tcBorders>
              <w:top w:val="nil"/>
              <w:left w:val="nil"/>
              <w:bottom w:val="single" w:sz="4" w:space="0" w:color="auto"/>
              <w:right w:val="nil"/>
            </w:tcBorders>
          </w:tcPr>
          <w:p w14:paraId="34DDF809" w14:textId="77777777" w:rsidR="00301632" w:rsidRPr="00301632" w:rsidRDefault="00301632" w:rsidP="00301632">
            <w:pPr>
              <w:spacing w:before="120" w:after="120"/>
              <w:rPr>
                <w:rFonts w:ascii="Calibri" w:eastAsia="Times New Roman" w:hAnsi="Calibri" w:cs="Calibri"/>
                <w:b/>
                <w:sz w:val="16"/>
                <w:szCs w:val="16"/>
                <w:lang w:val="en-US"/>
              </w:rPr>
            </w:pPr>
            <w:r w:rsidRPr="00301632">
              <w:rPr>
                <w:rFonts w:ascii="Calibri" w:eastAsia="Times New Roman" w:hAnsi="Calibri" w:cs="Calibri"/>
                <w:sz w:val="16"/>
                <w:szCs w:val="16"/>
              </w:rPr>
              <w:t xml:space="preserve">The campaign aimed to inform employers and potential apprentices about the Boosting Apprenticeship Commencements Wage Subsidy. </w:t>
            </w:r>
          </w:p>
          <w:p w14:paraId="4281511A" w14:textId="77777777" w:rsidR="00301632" w:rsidRPr="00301632" w:rsidRDefault="00301632" w:rsidP="00301632">
            <w:pPr>
              <w:spacing w:before="120" w:after="120"/>
              <w:rPr>
                <w:rFonts w:ascii="Calibri" w:eastAsia="SimHei" w:hAnsi="Calibri" w:cs="Calibri"/>
                <w:color w:val="FF0000"/>
                <w:sz w:val="16"/>
                <w:szCs w:val="16"/>
              </w:rPr>
            </w:pPr>
            <w:r w:rsidRPr="00301632">
              <w:rPr>
                <w:rFonts w:ascii="Calibri" w:eastAsia="Times New Roman" w:hAnsi="Calibri" w:cs="Calibri"/>
                <w:sz w:val="16"/>
                <w:szCs w:val="16"/>
                <w:lang w:val="en-US"/>
              </w:rPr>
              <w:t>The Commonwealth scheme supported businesses to take on new apprentices and trainees through a wage subsidy and quarterly payment.</w:t>
            </w:r>
          </w:p>
        </w:tc>
        <w:tc>
          <w:tcPr>
            <w:tcW w:w="1417" w:type="dxa"/>
            <w:tcBorders>
              <w:top w:val="nil"/>
              <w:left w:val="nil"/>
              <w:bottom w:val="single" w:sz="4" w:space="0" w:color="auto"/>
              <w:right w:val="nil"/>
            </w:tcBorders>
          </w:tcPr>
          <w:p w14:paraId="7611387F" w14:textId="77777777" w:rsidR="00301632" w:rsidRPr="00301632" w:rsidRDefault="00301632" w:rsidP="00301632">
            <w:pPr>
              <w:spacing w:before="120" w:after="120"/>
              <w:rPr>
                <w:rFonts w:ascii="Calibri" w:eastAsia="SimHei" w:hAnsi="Calibri" w:cs="Calibri"/>
                <w:color w:val="FF0000"/>
                <w:sz w:val="16"/>
                <w:szCs w:val="16"/>
              </w:rPr>
            </w:pPr>
            <w:r w:rsidRPr="00301632">
              <w:rPr>
                <w:rFonts w:ascii="Calibri" w:eastAsia="Times New Roman" w:hAnsi="Calibri" w:cs="Calibri"/>
                <w:sz w:val="16"/>
                <w:szCs w:val="16"/>
                <w:lang w:val="en-US"/>
              </w:rPr>
              <w:t>18 May – 30 June 2022</w:t>
            </w:r>
          </w:p>
        </w:tc>
        <w:tc>
          <w:tcPr>
            <w:tcW w:w="1134" w:type="dxa"/>
            <w:tcBorders>
              <w:top w:val="nil"/>
              <w:left w:val="nil"/>
              <w:bottom w:val="single" w:sz="4" w:space="0" w:color="auto"/>
              <w:right w:val="nil"/>
            </w:tcBorders>
          </w:tcPr>
          <w:p w14:paraId="0DB1491D" w14:textId="77777777" w:rsidR="00301632" w:rsidRPr="00301632" w:rsidRDefault="00301632" w:rsidP="00301632">
            <w:pPr>
              <w:spacing w:before="120" w:after="120"/>
              <w:jc w:val="center"/>
              <w:rPr>
                <w:rFonts w:ascii="Calibri" w:eastAsia="SimHei" w:hAnsi="Calibri" w:cs="Calibri"/>
                <w:color w:val="FF0000"/>
                <w:sz w:val="16"/>
                <w:szCs w:val="16"/>
              </w:rPr>
            </w:pPr>
            <w:r w:rsidRPr="00301632">
              <w:rPr>
                <w:rFonts w:ascii="Calibri" w:eastAsia="Times New Roman" w:hAnsi="Calibri" w:cs="Calibri"/>
                <w:sz w:val="16"/>
                <w:szCs w:val="16"/>
                <w:lang w:val="en-US"/>
              </w:rPr>
              <w:t>394,974</w:t>
            </w:r>
          </w:p>
        </w:tc>
        <w:tc>
          <w:tcPr>
            <w:tcW w:w="1418" w:type="dxa"/>
            <w:tcBorders>
              <w:top w:val="nil"/>
              <w:left w:val="nil"/>
              <w:bottom w:val="single" w:sz="4" w:space="0" w:color="auto"/>
              <w:right w:val="nil"/>
            </w:tcBorders>
          </w:tcPr>
          <w:p w14:paraId="654EA371" w14:textId="77777777" w:rsidR="00301632" w:rsidRPr="00301632" w:rsidRDefault="00301632" w:rsidP="00301632">
            <w:pPr>
              <w:spacing w:before="120" w:after="120"/>
              <w:jc w:val="center"/>
              <w:rPr>
                <w:rFonts w:ascii="Calibri" w:eastAsia="Times New Roman" w:hAnsi="Calibri" w:cs="Calibri"/>
                <w:sz w:val="16"/>
                <w:szCs w:val="16"/>
              </w:rPr>
            </w:pPr>
            <w:r w:rsidRPr="00301632">
              <w:rPr>
                <w:rFonts w:ascii="Calibri" w:eastAsia="Times New Roman" w:hAnsi="Calibri" w:cs="Calibri"/>
                <w:sz w:val="16"/>
                <w:szCs w:val="16"/>
              </w:rPr>
              <w:t>255,480</w:t>
            </w:r>
          </w:p>
          <w:p w14:paraId="14E111F3" w14:textId="77777777" w:rsidR="00301632" w:rsidRPr="00301632" w:rsidRDefault="00301632" w:rsidP="00301632">
            <w:pPr>
              <w:spacing w:before="120" w:after="120"/>
              <w:jc w:val="center"/>
              <w:rPr>
                <w:rFonts w:ascii="Calibri" w:eastAsia="SimHei" w:hAnsi="Calibri" w:cs="Calibri"/>
                <w:color w:val="FF0000"/>
                <w:sz w:val="16"/>
                <w:szCs w:val="16"/>
              </w:rPr>
            </w:pPr>
          </w:p>
        </w:tc>
        <w:tc>
          <w:tcPr>
            <w:tcW w:w="1136" w:type="dxa"/>
            <w:tcBorders>
              <w:top w:val="nil"/>
              <w:left w:val="nil"/>
              <w:bottom w:val="single" w:sz="4" w:space="0" w:color="auto"/>
              <w:right w:val="nil"/>
            </w:tcBorders>
          </w:tcPr>
          <w:p w14:paraId="197A6056" w14:textId="77777777" w:rsidR="00301632" w:rsidRPr="00301632" w:rsidRDefault="00301632" w:rsidP="00301632">
            <w:pPr>
              <w:spacing w:before="120" w:after="120"/>
              <w:jc w:val="center"/>
              <w:rPr>
                <w:rFonts w:ascii="Calibri" w:eastAsia="SimHei" w:hAnsi="Calibri" w:cs="Calibri"/>
                <w:color w:val="FF0000"/>
                <w:sz w:val="16"/>
                <w:szCs w:val="16"/>
              </w:rPr>
            </w:pPr>
            <w:r w:rsidRPr="00301632">
              <w:rPr>
                <w:rFonts w:ascii="Calibri" w:eastAsia="Times New Roman" w:hAnsi="Calibri" w:cs="Calibri"/>
                <w:sz w:val="16"/>
                <w:szCs w:val="16"/>
                <w:lang w:val="en-US"/>
              </w:rPr>
              <w:t>21,608</w:t>
            </w:r>
          </w:p>
        </w:tc>
        <w:tc>
          <w:tcPr>
            <w:tcW w:w="943" w:type="dxa"/>
            <w:tcBorders>
              <w:top w:val="nil"/>
              <w:left w:val="nil"/>
              <w:bottom w:val="single" w:sz="4" w:space="0" w:color="auto"/>
              <w:right w:val="nil"/>
            </w:tcBorders>
          </w:tcPr>
          <w:p w14:paraId="06CE7A8B"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SimHei" w:hAnsi="Calibri" w:cs="Calibri"/>
                <w:sz w:val="16"/>
                <w:szCs w:val="16"/>
              </w:rPr>
              <w:t>–</w:t>
            </w:r>
          </w:p>
        </w:tc>
        <w:tc>
          <w:tcPr>
            <w:tcW w:w="900" w:type="dxa"/>
            <w:tcBorders>
              <w:top w:val="nil"/>
              <w:left w:val="nil"/>
              <w:bottom w:val="single" w:sz="4" w:space="0" w:color="auto"/>
              <w:right w:val="nil"/>
            </w:tcBorders>
          </w:tcPr>
          <w:p w14:paraId="3A3FDBEC"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SimHei" w:hAnsi="Calibri" w:cs="Calibri"/>
                <w:sz w:val="16"/>
                <w:szCs w:val="16"/>
              </w:rPr>
              <w:t>–</w:t>
            </w:r>
          </w:p>
        </w:tc>
        <w:tc>
          <w:tcPr>
            <w:tcW w:w="1053" w:type="dxa"/>
            <w:tcBorders>
              <w:top w:val="nil"/>
              <w:left w:val="nil"/>
              <w:bottom w:val="single" w:sz="4" w:space="0" w:color="auto"/>
              <w:right w:val="nil"/>
            </w:tcBorders>
            <w:shd w:val="clear" w:color="auto" w:fill="D9D9D6"/>
          </w:tcPr>
          <w:p w14:paraId="3EE4B3C4" w14:textId="77777777" w:rsidR="00301632" w:rsidRPr="00301632" w:rsidRDefault="00301632" w:rsidP="00301632">
            <w:pPr>
              <w:spacing w:before="120" w:after="120"/>
              <w:jc w:val="center"/>
              <w:rPr>
                <w:rFonts w:ascii="Calibri" w:eastAsia="SimHei" w:hAnsi="Calibri" w:cs="Calibri"/>
                <w:color w:val="FF0000"/>
                <w:sz w:val="16"/>
                <w:szCs w:val="16"/>
              </w:rPr>
            </w:pPr>
            <w:r w:rsidRPr="00301632">
              <w:rPr>
                <w:rFonts w:ascii="Calibri" w:eastAsia="Times New Roman" w:hAnsi="Calibri" w:cs="Calibri"/>
                <w:sz w:val="16"/>
                <w:szCs w:val="16"/>
                <w:lang w:val="en-US"/>
              </w:rPr>
              <w:t>672,062</w:t>
            </w:r>
          </w:p>
        </w:tc>
      </w:tr>
      <w:tr w:rsidR="00301632" w:rsidRPr="00301632" w14:paraId="5BDAA4D5" w14:textId="77777777" w:rsidTr="00301632">
        <w:trPr>
          <w:cantSplit/>
        </w:trPr>
        <w:tc>
          <w:tcPr>
            <w:tcW w:w="1413" w:type="dxa"/>
            <w:tcBorders>
              <w:top w:val="single" w:sz="4" w:space="0" w:color="auto"/>
              <w:left w:val="nil"/>
              <w:bottom w:val="single" w:sz="4" w:space="0" w:color="auto"/>
              <w:right w:val="nil"/>
            </w:tcBorders>
            <w:shd w:val="clear" w:color="auto" w:fill="auto"/>
          </w:tcPr>
          <w:p w14:paraId="05B22ABD" w14:textId="77777777" w:rsidR="00301632" w:rsidRPr="00301632" w:rsidRDefault="00301632" w:rsidP="00301632">
            <w:pPr>
              <w:spacing w:before="120" w:after="120"/>
              <w:rPr>
                <w:rFonts w:ascii="Calibri" w:eastAsia="SimHei" w:hAnsi="Calibri" w:cs="Calibri"/>
                <w:sz w:val="16"/>
                <w:szCs w:val="16"/>
              </w:rPr>
            </w:pPr>
            <w:r w:rsidRPr="00301632">
              <w:rPr>
                <w:rFonts w:ascii="Calibri" w:eastAsia="Times New Roman" w:hAnsi="Calibri" w:cs="Calibri"/>
                <w:sz w:val="16"/>
                <w:szCs w:val="16"/>
                <w:lang w:val="en-US"/>
              </w:rPr>
              <w:t>TAFE Brand</w:t>
            </w:r>
          </w:p>
        </w:tc>
        <w:tc>
          <w:tcPr>
            <w:tcW w:w="4536" w:type="dxa"/>
            <w:tcBorders>
              <w:top w:val="single" w:sz="4" w:space="0" w:color="auto"/>
              <w:left w:val="nil"/>
              <w:bottom w:val="single" w:sz="4" w:space="0" w:color="auto"/>
              <w:right w:val="nil"/>
            </w:tcBorders>
          </w:tcPr>
          <w:p w14:paraId="1F1E5194" w14:textId="77777777" w:rsidR="00301632" w:rsidRPr="00301632" w:rsidRDefault="00301632" w:rsidP="00301632">
            <w:pPr>
              <w:autoSpaceDE w:val="0"/>
              <w:autoSpaceDN w:val="0"/>
              <w:rPr>
                <w:rFonts w:ascii="Calibri" w:eastAsia="Times New Roman" w:hAnsi="Calibri" w:cs="Calibri"/>
                <w:sz w:val="16"/>
                <w:szCs w:val="16"/>
              </w:rPr>
            </w:pPr>
            <w:r w:rsidRPr="00301632">
              <w:rPr>
                <w:rFonts w:ascii="Calibri" w:eastAsia="Times New Roman" w:hAnsi="Calibri" w:cs="Calibri"/>
                <w:sz w:val="16"/>
                <w:szCs w:val="16"/>
              </w:rPr>
              <w:t xml:space="preserve">The campaign aimed to challenge perceptions of TAFE and the TAFE Victorian brand by showcasing the high quality of Victoria’s TAFE courses, </w:t>
            </w:r>
            <w:proofErr w:type="gramStart"/>
            <w:r w:rsidRPr="00301632">
              <w:rPr>
                <w:rFonts w:ascii="Calibri" w:eastAsia="Times New Roman" w:hAnsi="Calibri" w:cs="Calibri"/>
                <w:sz w:val="16"/>
                <w:szCs w:val="16"/>
              </w:rPr>
              <w:t>qualifications</w:t>
            </w:r>
            <w:proofErr w:type="gramEnd"/>
            <w:r w:rsidRPr="00301632">
              <w:rPr>
                <w:rFonts w:ascii="Calibri" w:eastAsia="Times New Roman" w:hAnsi="Calibri" w:cs="Calibri"/>
                <w:sz w:val="16"/>
                <w:szCs w:val="16"/>
              </w:rPr>
              <w:t xml:space="preserve"> and successful outcomes of learners. </w:t>
            </w:r>
          </w:p>
        </w:tc>
        <w:tc>
          <w:tcPr>
            <w:tcW w:w="1417" w:type="dxa"/>
            <w:tcBorders>
              <w:top w:val="single" w:sz="4" w:space="0" w:color="auto"/>
              <w:left w:val="nil"/>
              <w:bottom w:val="single" w:sz="4" w:space="0" w:color="auto"/>
              <w:right w:val="nil"/>
            </w:tcBorders>
          </w:tcPr>
          <w:p w14:paraId="692C6817" w14:textId="77777777" w:rsidR="00301632" w:rsidRPr="00301632" w:rsidRDefault="00301632" w:rsidP="00301632">
            <w:pPr>
              <w:spacing w:before="120" w:after="120"/>
              <w:rPr>
                <w:rFonts w:ascii="Calibri" w:eastAsia="SimHei" w:hAnsi="Calibri" w:cs="Calibri"/>
                <w:sz w:val="16"/>
                <w:szCs w:val="16"/>
              </w:rPr>
            </w:pPr>
            <w:r w:rsidRPr="00301632">
              <w:rPr>
                <w:rFonts w:ascii="Calibri" w:eastAsia="Times New Roman" w:hAnsi="Calibri" w:cs="Calibri"/>
                <w:sz w:val="16"/>
                <w:szCs w:val="16"/>
                <w:lang w:val="en-US"/>
              </w:rPr>
              <w:t>1 July 2021 – 31 May 2022</w:t>
            </w:r>
          </w:p>
        </w:tc>
        <w:tc>
          <w:tcPr>
            <w:tcW w:w="1134" w:type="dxa"/>
            <w:tcBorders>
              <w:top w:val="single" w:sz="4" w:space="0" w:color="auto"/>
              <w:left w:val="nil"/>
              <w:bottom w:val="single" w:sz="4" w:space="0" w:color="auto"/>
              <w:right w:val="nil"/>
            </w:tcBorders>
          </w:tcPr>
          <w:p w14:paraId="67A22593"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SimHei" w:hAnsi="Calibri" w:cs="Calibri"/>
                <w:sz w:val="16"/>
                <w:szCs w:val="16"/>
              </w:rPr>
              <w:t>–</w:t>
            </w:r>
          </w:p>
        </w:tc>
        <w:tc>
          <w:tcPr>
            <w:tcW w:w="1418" w:type="dxa"/>
            <w:tcBorders>
              <w:top w:val="single" w:sz="4" w:space="0" w:color="auto"/>
              <w:left w:val="nil"/>
              <w:bottom w:val="single" w:sz="4" w:space="0" w:color="auto"/>
              <w:right w:val="nil"/>
            </w:tcBorders>
          </w:tcPr>
          <w:p w14:paraId="528875D5"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549,690</w:t>
            </w:r>
          </w:p>
        </w:tc>
        <w:tc>
          <w:tcPr>
            <w:tcW w:w="1136" w:type="dxa"/>
            <w:tcBorders>
              <w:top w:val="single" w:sz="4" w:space="0" w:color="auto"/>
              <w:left w:val="nil"/>
              <w:bottom w:val="single" w:sz="4" w:space="0" w:color="auto"/>
              <w:right w:val="nil"/>
            </w:tcBorders>
          </w:tcPr>
          <w:p w14:paraId="581D48C4"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57,960</w:t>
            </w:r>
          </w:p>
        </w:tc>
        <w:tc>
          <w:tcPr>
            <w:tcW w:w="943" w:type="dxa"/>
            <w:tcBorders>
              <w:top w:val="single" w:sz="4" w:space="0" w:color="auto"/>
              <w:left w:val="nil"/>
              <w:bottom w:val="single" w:sz="4" w:space="0" w:color="auto"/>
              <w:right w:val="nil"/>
            </w:tcBorders>
          </w:tcPr>
          <w:p w14:paraId="767D5F9E"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SimHei" w:hAnsi="Calibri" w:cs="Calibri"/>
                <w:sz w:val="16"/>
                <w:szCs w:val="16"/>
              </w:rPr>
              <w:t>–</w:t>
            </w:r>
          </w:p>
        </w:tc>
        <w:tc>
          <w:tcPr>
            <w:tcW w:w="900" w:type="dxa"/>
            <w:tcBorders>
              <w:top w:val="single" w:sz="4" w:space="0" w:color="auto"/>
              <w:left w:val="nil"/>
              <w:bottom w:val="single" w:sz="4" w:space="0" w:color="auto"/>
              <w:right w:val="nil"/>
            </w:tcBorders>
          </w:tcPr>
          <w:p w14:paraId="42CA1720"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SimHei" w:hAnsi="Calibri" w:cs="Calibri"/>
                <w:sz w:val="16"/>
                <w:szCs w:val="16"/>
              </w:rPr>
              <w:t>–</w:t>
            </w:r>
          </w:p>
        </w:tc>
        <w:tc>
          <w:tcPr>
            <w:tcW w:w="1053" w:type="dxa"/>
            <w:tcBorders>
              <w:top w:val="single" w:sz="4" w:space="0" w:color="auto"/>
              <w:left w:val="nil"/>
              <w:bottom w:val="single" w:sz="4" w:space="0" w:color="auto"/>
              <w:right w:val="nil"/>
            </w:tcBorders>
            <w:shd w:val="clear" w:color="auto" w:fill="D9D9D6"/>
          </w:tcPr>
          <w:p w14:paraId="5DE601A9"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607,650</w:t>
            </w:r>
          </w:p>
        </w:tc>
      </w:tr>
      <w:tr w:rsidR="00301632" w:rsidRPr="00301632" w14:paraId="4E515EA0" w14:textId="77777777" w:rsidTr="00301632">
        <w:trPr>
          <w:cantSplit/>
        </w:trPr>
        <w:tc>
          <w:tcPr>
            <w:tcW w:w="1413" w:type="dxa"/>
            <w:tcBorders>
              <w:top w:val="single" w:sz="4" w:space="0" w:color="auto"/>
              <w:left w:val="nil"/>
              <w:bottom w:val="single" w:sz="4" w:space="0" w:color="auto"/>
              <w:right w:val="nil"/>
            </w:tcBorders>
            <w:shd w:val="clear" w:color="auto" w:fill="auto"/>
          </w:tcPr>
          <w:p w14:paraId="6DF2638E" w14:textId="77777777" w:rsidR="00301632" w:rsidRPr="00301632" w:rsidRDefault="00301632" w:rsidP="00301632">
            <w:pPr>
              <w:spacing w:before="120" w:after="120"/>
              <w:rPr>
                <w:rFonts w:ascii="Calibri" w:eastAsia="SimHei" w:hAnsi="Calibri" w:cs="Calibri"/>
                <w:sz w:val="16"/>
                <w:szCs w:val="16"/>
              </w:rPr>
            </w:pPr>
            <w:r w:rsidRPr="00301632">
              <w:rPr>
                <w:rFonts w:ascii="Calibri" w:eastAsia="Times New Roman" w:hAnsi="Calibri" w:cs="Calibri"/>
                <w:sz w:val="16"/>
                <w:szCs w:val="16"/>
                <w:lang w:val="en-US"/>
              </w:rPr>
              <w:t>TAFE Boost</w:t>
            </w:r>
          </w:p>
        </w:tc>
        <w:tc>
          <w:tcPr>
            <w:tcW w:w="4536" w:type="dxa"/>
            <w:tcBorders>
              <w:top w:val="single" w:sz="4" w:space="0" w:color="auto"/>
              <w:left w:val="nil"/>
              <w:bottom w:val="single" w:sz="4" w:space="0" w:color="auto"/>
              <w:right w:val="nil"/>
            </w:tcBorders>
          </w:tcPr>
          <w:p w14:paraId="06E2392C" w14:textId="77777777" w:rsidR="00301632" w:rsidRPr="00301632" w:rsidRDefault="00301632" w:rsidP="00301632">
            <w:pPr>
              <w:spacing w:before="120" w:after="120"/>
              <w:rPr>
                <w:rFonts w:ascii="Calibri" w:eastAsia="SimHei" w:hAnsi="Calibri" w:cs="Calibri"/>
                <w:sz w:val="16"/>
                <w:szCs w:val="16"/>
              </w:rPr>
            </w:pPr>
            <w:r w:rsidRPr="00301632">
              <w:rPr>
                <w:rFonts w:ascii="Calibri" w:eastAsia="Times New Roman" w:hAnsi="Calibri" w:cs="Calibri"/>
                <w:sz w:val="16"/>
                <w:szCs w:val="16"/>
                <w:lang w:val="en-US"/>
              </w:rPr>
              <w:t>The campaign aimed to support existing TAFE enrolment campaigns through a departmental investment boost.</w:t>
            </w:r>
          </w:p>
        </w:tc>
        <w:tc>
          <w:tcPr>
            <w:tcW w:w="1417" w:type="dxa"/>
            <w:tcBorders>
              <w:top w:val="single" w:sz="4" w:space="0" w:color="auto"/>
              <w:left w:val="nil"/>
              <w:bottom w:val="single" w:sz="4" w:space="0" w:color="auto"/>
              <w:right w:val="nil"/>
            </w:tcBorders>
          </w:tcPr>
          <w:p w14:paraId="2FB806C1" w14:textId="77777777" w:rsidR="00301632" w:rsidRPr="00301632" w:rsidRDefault="00301632" w:rsidP="00301632">
            <w:pPr>
              <w:spacing w:before="120" w:after="120"/>
              <w:rPr>
                <w:rFonts w:ascii="Calibri" w:eastAsia="SimHei" w:hAnsi="Calibri" w:cs="Calibri"/>
                <w:sz w:val="16"/>
                <w:szCs w:val="16"/>
              </w:rPr>
            </w:pPr>
            <w:r w:rsidRPr="00301632">
              <w:rPr>
                <w:rFonts w:ascii="Calibri" w:eastAsia="Times New Roman" w:hAnsi="Calibri" w:cs="Calibri"/>
                <w:sz w:val="16"/>
                <w:szCs w:val="16"/>
                <w:lang w:val="en-US"/>
              </w:rPr>
              <w:t>21 March – 30 June 2022</w:t>
            </w:r>
          </w:p>
        </w:tc>
        <w:tc>
          <w:tcPr>
            <w:tcW w:w="1134" w:type="dxa"/>
            <w:tcBorders>
              <w:top w:val="single" w:sz="4" w:space="0" w:color="auto"/>
              <w:left w:val="nil"/>
              <w:bottom w:val="single" w:sz="4" w:space="0" w:color="auto"/>
              <w:right w:val="nil"/>
            </w:tcBorders>
          </w:tcPr>
          <w:p w14:paraId="41E7F5AD"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150,000</w:t>
            </w:r>
          </w:p>
        </w:tc>
        <w:tc>
          <w:tcPr>
            <w:tcW w:w="1418" w:type="dxa"/>
            <w:tcBorders>
              <w:top w:val="single" w:sz="4" w:space="0" w:color="auto"/>
              <w:left w:val="nil"/>
              <w:bottom w:val="single" w:sz="4" w:space="0" w:color="auto"/>
              <w:right w:val="nil"/>
            </w:tcBorders>
          </w:tcPr>
          <w:p w14:paraId="7AC8C656"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SimHei" w:hAnsi="Calibri" w:cs="Calibri"/>
                <w:sz w:val="16"/>
                <w:szCs w:val="16"/>
              </w:rPr>
              <w:t>–</w:t>
            </w:r>
          </w:p>
        </w:tc>
        <w:tc>
          <w:tcPr>
            <w:tcW w:w="1136" w:type="dxa"/>
            <w:tcBorders>
              <w:top w:val="single" w:sz="4" w:space="0" w:color="auto"/>
              <w:left w:val="nil"/>
              <w:bottom w:val="single" w:sz="4" w:space="0" w:color="auto"/>
              <w:right w:val="nil"/>
            </w:tcBorders>
          </w:tcPr>
          <w:p w14:paraId="036DBEF1"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SimHei" w:hAnsi="Calibri" w:cs="Calibri"/>
                <w:sz w:val="16"/>
                <w:szCs w:val="16"/>
              </w:rPr>
              <w:t>–</w:t>
            </w:r>
          </w:p>
        </w:tc>
        <w:tc>
          <w:tcPr>
            <w:tcW w:w="943" w:type="dxa"/>
            <w:tcBorders>
              <w:top w:val="single" w:sz="4" w:space="0" w:color="auto"/>
              <w:left w:val="nil"/>
              <w:bottom w:val="single" w:sz="4" w:space="0" w:color="auto"/>
              <w:right w:val="nil"/>
            </w:tcBorders>
          </w:tcPr>
          <w:p w14:paraId="2442D408"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SimHei" w:hAnsi="Calibri" w:cs="Calibri"/>
                <w:sz w:val="16"/>
                <w:szCs w:val="16"/>
              </w:rPr>
              <w:t>–</w:t>
            </w:r>
          </w:p>
        </w:tc>
        <w:tc>
          <w:tcPr>
            <w:tcW w:w="900" w:type="dxa"/>
            <w:tcBorders>
              <w:top w:val="single" w:sz="4" w:space="0" w:color="auto"/>
              <w:left w:val="nil"/>
              <w:bottom w:val="single" w:sz="4" w:space="0" w:color="auto"/>
              <w:right w:val="nil"/>
            </w:tcBorders>
          </w:tcPr>
          <w:p w14:paraId="32CCFE64"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SimHei" w:hAnsi="Calibri" w:cs="Calibri"/>
                <w:sz w:val="16"/>
                <w:szCs w:val="16"/>
              </w:rPr>
              <w:t>–</w:t>
            </w:r>
          </w:p>
        </w:tc>
        <w:tc>
          <w:tcPr>
            <w:tcW w:w="1053" w:type="dxa"/>
            <w:tcBorders>
              <w:top w:val="single" w:sz="4" w:space="0" w:color="auto"/>
              <w:left w:val="nil"/>
              <w:bottom w:val="single" w:sz="4" w:space="0" w:color="auto"/>
              <w:right w:val="nil"/>
            </w:tcBorders>
            <w:shd w:val="clear" w:color="auto" w:fill="D9D9D6"/>
          </w:tcPr>
          <w:p w14:paraId="7D4800BD"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150,000</w:t>
            </w:r>
          </w:p>
        </w:tc>
      </w:tr>
      <w:tr w:rsidR="00301632" w:rsidRPr="00301632" w14:paraId="6CF444D9" w14:textId="77777777" w:rsidTr="00301632">
        <w:trPr>
          <w:cantSplit/>
        </w:trPr>
        <w:tc>
          <w:tcPr>
            <w:tcW w:w="1413" w:type="dxa"/>
            <w:tcBorders>
              <w:top w:val="single" w:sz="4" w:space="0" w:color="auto"/>
              <w:left w:val="nil"/>
              <w:bottom w:val="single" w:sz="4" w:space="0" w:color="auto"/>
              <w:right w:val="nil"/>
            </w:tcBorders>
            <w:shd w:val="clear" w:color="auto" w:fill="auto"/>
          </w:tcPr>
          <w:p w14:paraId="22A805A8" w14:textId="77777777" w:rsidR="00301632" w:rsidRPr="00301632" w:rsidRDefault="00301632" w:rsidP="00301632">
            <w:pPr>
              <w:spacing w:before="120" w:after="120"/>
              <w:rPr>
                <w:rFonts w:ascii="Calibri" w:eastAsia="SimHei" w:hAnsi="Calibri" w:cs="Calibri"/>
                <w:sz w:val="16"/>
                <w:szCs w:val="16"/>
              </w:rPr>
            </w:pPr>
            <w:r w:rsidRPr="00301632">
              <w:rPr>
                <w:rFonts w:ascii="Calibri" w:eastAsia="Times New Roman" w:hAnsi="Calibri" w:cs="Calibri"/>
                <w:sz w:val="16"/>
                <w:szCs w:val="16"/>
                <w:lang w:val="en-US"/>
              </w:rPr>
              <w:t>Free TAFE</w:t>
            </w:r>
          </w:p>
        </w:tc>
        <w:tc>
          <w:tcPr>
            <w:tcW w:w="4536" w:type="dxa"/>
            <w:tcBorders>
              <w:top w:val="single" w:sz="4" w:space="0" w:color="auto"/>
              <w:left w:val="nil"/>
              <w:bottom w:val="single" w:sz="4" w:space="0" w:color="auto"/>
              <w:right w:val="nil"/>
            </w:tcBorders>
          </w:tcPr>
          <w:p w14:paraId="22EDB63B" w14:textId="77777777" w:rsidR="00301632" w:rsidRPr="00301632" w:rsidRDefault="00301632" w:rsidP="00301632">
            <w:pPr>
              <w:spacing w:before="120" w:after="120"/>
              <w:rPr>
                <w:rFonts w:ascii="Calibri" w:eastAsia="SimHei" w:hAnsi="Calibri" w:cs="Calibri"/>
                <w:sz w:val="16"/>
                <w:szCs w:val="16"/>
              </w:rPr>
            </w:pPr>
            <w:r w:rsidRPr="00301632">
              <w:rPr>
                <w:rFonts w:ascii="Calibri" w:eastAsia="Times New Roman" w:hAnsi="Calibri" w:cs="Calibri"/>
                <w:sz w:val="16"/>
                <w:szCs w:val="16"/>
                <w:lang w:val="en-US"/>
              </w:rPr>
              <w:t>The campaign aimed to support the Free TAFE initiative by promoting the range of courses available and encouraging enrolments. It included targeted social media to address local needs. Key messages included being job-ready and financially rewarding.</w:t>
            </w:r>
          </w:p>
        </w:tc>
        <w:tc>
          <w:tcPr>
            <w:tcW w:w="1417" w:type="dxa"/>
            <w:tcBorders>
              <w:top w:val="single" w:sz="4" w:space="0" w:color="auto"/>
              <w:left w:val="nil"/>
              <w:bottom w:val="single" w:sz="4" w:space="0" w:color="auto"/>
              <w:right w:val="nil"/>
            </w:tcBorders>
          </w:tcPr>
          <w:p w14:paraId="1474B1C1" w14:textId="77777777" w:rsidR="00301632" w:rsidRPr="00301632" w:rsidRDefault="00301632" w:rsidP="00301632">
            <w:pPr>
              <w:spacing w:before="120" w:after="120"/>
              <w:rPr>
                <w:rFonts w:ascii="Calibri" w:eastAsia="SimHei" w:hAnsi="Calibri" w:cs="Calibri"/>
                <w:sz w:val="16"/>
                <w:szCs w:val="16"/>
              </w:rPr>
            </w:pPr>
            <w:r w:rsidRPr="00301632">
              <w:rPr>
                <w:rFonts w:ascii="Calibri" w:eastAsia="Times New Roman" w:hAnsi="Calibri" w:cs="Calibri"/>
                <w:sz w:val="16"/>
                <w:szCs w:val="16"/>
                <w:lang w:val="en-US"/>
              </w:rPr>
              <w:t>1 – 30 June 2022</w:t>
            </w:r>
          </w:p>
        </w:tc>
        <w:tc>
          <w:tcPr>
            <w:tcW w:w="1134" w:type="dxa"/>
            <w:tcBorders>
              <w:top w:val="single" w:sz="4" w:space="0" w:color="auto"/>
              <w:left w:val="nil"/>
              <w:bottom w:val="single" w:sz="4" w:space="0" w:color="auto"/>
              <w:right w:val="nil"/>
            </w:tcBorders>
          </w:tcPr>
          <w:p w14:paraId="5BD3F50E"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SimHei" w:hAnsi="Calibri" w:cs="Calibri"/>
                <w:sz w:val="16"/>
                <w:szCs w:val="16"/>
              </w:rPr>
              <w:t>–</w:t>
            </w:r>
          </w:p>
        </w:tc>
        <w:tc>
          <w:tcPr>
            <w:tcW w:w="1418" w:type="dxa"/>
            <w:tcBorders>
              <w:top w:val="single" w:sz="4" w:space="0" w:color="auto"/>
              <w:left w:val="nil"/>
              <w:bottom w:val="single" w:sz="4" w:space="0" w:color="auto"/>
              <w:right w:val="nil"/>
            </w:tcBorders>
          </w:tcPr>
          <w:p w14:paraId="6D6CFFE9"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170,544</w:t>
            </w:r>
          </w:p>
        </w:tc>
        <w:tc>
          <w:tcPr>
            <w:tcW w:w="1136" w:type="dxa"/>
            <w:tcBorders>
              <w:top w:val="single" w:sz="4" w:space="0" w:color="auto"/>
              <w:left w:val="nil"/>
              <w:bottom w:val="single" w:sz="4" w:space="0" w:color="auto"/>
              <w:right w:val="nil"/>
            </w:tcBorders>
          </w:tcPr>
          <w:p w14:paraId="09A28815"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45,000</w:t>
            </w:r>
          </w:p>
        </w:tc>
        <w:tc>
          <w:tcPr>
            <w:tcW w:w="943" w:type="dxa"/>
            <w:tcBorders>
              <w:top w:val="single" w:sz="4" w:space="0" w:color="auto"/>
              <w:left w:val="nil"/>
              <w:bottom w:val="single" w:sz="4" w:space="0" w:color="auto"/>
              <w:right w:val="nil"/>
            </w:tcBorders>
          </w:tcPr>
          <w:p w14:paraId="3B4B399D"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SimHei" w:hAnsi="Calibri" w:cs="Calibri"/>
                <w:sz w:val="16"/>
                <w:szCs w:val="16"/>
              </w:rPr>
              <w:t>–</w:t>
            </w:r>
          </w:p>
        </w:tc>
        <w:tc>
          <w:tcPr>
            <w:tcW w:w="900" w:type="dxa"/>
            <w:tcBorders>
              <w:top w:val="single" w:sz="4" w:space="0" w:color="auto"/>
              <w:left w:val="nil"/>
              <w:bottom w:val="single" w:sz="4" w:space="0" w:color="auto"/>
              <w:right w:val="nil"/>
            </w:tcBorders>
          </w:tcPr>
          <w:p w14:paraId="4FEE076A"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SimHei" w:hAnsi="Calibri" w:cs="Calibri"/>
                <w:sz w:val="16"/>
                <w:szCs w:val="16"/>
              </w:rPr>
              <w:t>–</w:t>
            </w:r>
          </w:p>
        </w:tc>
        <w:tc>
          <w:tcPr>
            <w:tcW w:w="1053" w:type="dxa"/>
            <w:tcBorders>
              <w:top w:val="single" w:sz="4" w:space="0" w:color="auto"/>
              <w:left w:val="nil"/>
              <w:bottom w:val="single" w:sz="4" w:space="0" w:color="auto"/>
              <w:right w:val="nil"/>
            </w:tcBorders>
            <w:shd w:val="clear" w:color="auto" w:fill="D9D9D6"/>
          </w:tcPr>
          <w:p w14:paraId="799F3D01"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215,544</w:t>
            </w:r>
          </w:p>
        </w:tc>
      </w:tr>
      <w:tr w:rsidR="00301632" w:rsidRPr="00301632" w14:paraId="507F155D" w14:textId="77777777" w:rsidTr="00301632">
        <w:trPr>
          <w:cantSplit/>
        </w:trPr>
        <w:tc>
          <w:tcPr>
            <w:tcW w:w="1413" w:type="dxa"/>
            <w:tcBorders>
              <w:top w:val="single" w:sz="4" w:space="0" w:color="auto"/>
              <w:left w:val="nil"/>
              <w:bottom w:val="single" w:sz="4" w:space="0" w:color="auto"/>
              <w:right w:val="nil"/>
            </w:tcBorders>
            <w:shd w:val="clear" w:color="auto" w:fill="auto"/>
          </w:tcPr>
          <w:p w14:paraId="720231D7" w14:textId="77777777" w:rsidR="00301632" w:rsidRPr="00301632" w:rsidRDefault="00301632" w:rsidP="00301632">
            <w:pPr>
              <w:spacing w:before="120" w:after="120"/>
              <w:rPr>
                <w:rFonts w:ascii="Calibri" w:eastAsia="SimHei" w:hAnsi="Calibri" w:cs="Calibri"/>
                <w:sz w:val="16"/>
                <w:szCs w:val="16"/>
              </w:rPr>
            </w:pPr>
            <w:bookmarkStart w:id="19" w:name="_Hlk109739316"/>
            <w:bookmarkStart w:id="20" w:name="_Hlk109739267"/>
            <w:r w:rsidRPr="00301632">
              <w:rPr>
                <w:rFonts w:ascii="Calibri" w:eastAsia="Times New Roman" w:hAnsi="Calibri" w:cs="Calibri"/>
                <w:sz w:val="16"/>
                <w:szCs w:val="16"/>
                <w:lang w:val="en-US"/>
              </w:rPr>
              <w:t xml:space="preserve">Skills Set Skills First </w:t>
            </w:r>
            <w:bookmarkEnd w:id="19"/>
          </w:p>
        </w:tc>
        <w:tc>
          <w:tcPr>
            <w:tcW w:w="4536" w:type="dxa"/>
            <w:tcBorders>
              <w:top w:val="single" w:sz="4" w:space="0" w:color="auto"/>
              <w:left w:val="nil"/>
              <w:bottom w:val="single" w:sz="4" w:space="0" w:color="auto"/>
              <w:right w:val="nil"/>
            </w:tcBorders>
          </w:tcPr>
          <w:p w14:paraId="593EEC6E" w14:textId="77777777" w:rsidR="00301632" w:rsidRPr="00301632" w:rsidRDefault="00301632" w:rsidP="00301632">
            <w:pPr>
              <w:autoSpaceDE w:val="0"/>
              <w:autoSpaceDN w:val="0"/>
              <w:rPr>
                <w:rFonts w:ascii="Calibri" w:eastAsia="Times New Roman" w:hAnsi="Calibri" w:cs="Calibri"/>
                <w:color w:val="000000"/>
                <w:sz w:val="16"/>
                <w:szCs w:val="16"/>
              </w:rPr>
            </w:pPr>
            <w:r w:rsidRPr="00301632">
              <w:rPr>
                <w:rFonts w:ascii="Calibri" w:eastAsia="Times New Roman" w:hAnsi="Calibri" w:cs="Calibri"/>
                <w:color w:val="000000"/>
                <w:sz w:val="16"/>
                <w:szCs w:val="16"/>
              </w:rPr>
              <w:t xml:space="preserve">The campaign sought to raise awareness among industry experts about the opportunity to be a TAFE teacher by raising awareness of the teaching vacancies and encouraging industry experts or other audiences to consider a career change, or a return to work.  </w:t>
            </w:r>
          </w:p>
        </w:tc>
        <w:tc>
          <w:tcPr>
            <w:tcW w:w="1417" w:type="dxa"/>
            <w:tcBorders>
              <w:top w:val="single" w:sz="4" w:space="0" w:color="auto"/>
              <w:left w:val="nil"/>
              <w:bottom w:val="single" w:sz="4" w:space="0" w:color="auto"/>
              <w:right w:val="nil"/>
            </w:tcBorders>
          </w:tcPr>
          <w:p w14:paraId="5E012461" w14:textId="77777777" w:rsidR="00301632" w:rsidRPr="00301632" w:rsidRDefault="00301632" w:rsidP="00301632">
            <w:pPr>
              <w:spacing w:before="120" w:after="120"/>
              <w:rPr>
                <w:rFonts w:ascii="Calibri" w:eastAsia="SimHei" w:hAnsi="Calibri" w:cs="Calibri"/>
                <w:sz w:val="16"/>
                <w:szCs w:val="16"/>
              </w:rPr>
            </w:pPr>
            <w:r w:rsidRPr="00301632">
              <w:rPr>
                <w:rFonts w:ascii="Calibri" w:eastAsia="Times New Roman" w:hAnsi="Calibri" w:cs="Calibri"/>
                <w:sz w:val="16"/>
                <w:szCs w:val="16"/>
                <w:lang w:val="en-US"/>
              </w:rPr>
              <w:t>1 July 2021 – 31 December 2021</w:t>
            </w:r>
          </w:p>
        </w:tc>
        <w:tc>
          <w:tcPr>
            <w:tcW w:w="1134" w:type="dxa"/>
            <w:tcBorders>
              <w:top w:val="single" w:sz="4" w:space="0" w:color="auto"/>
              <w:left w:val="nil"/>
              <w:bottom w:val="single" w:sz="4" w:space="0" w:color="auto"/>
              <w:right w:val="nil"/>
            </w:tcBorders>
          </w:tcPr>
          <w:p w14:paraId="6CDD9712" w14:textId="77777777" w:rsidR="00301632" w:rsidRPr="00301632" w:rsidRDefault="00301632" w:rsidP="00301632">
            <w:pPr>
              <w:spacing w:before="120" w:after="120"/>
              <w:jc w:val="center"/>
              <w:rPr>
                <w:rFonts w:ascii="Calibri" w:eastAsia="Times New Roman" w:hAnsi="Calibri" w:cs="Calibri"/>
                <w:sz w:val="16"/>
                <w:szCs w:val="16"/>
              </w:rPr>
            </w:pPr>
            <w:r w:rsidRPr="00301632">
              <w:rPr>
                <w:rFonts w:ascii="Calibri" w:eastAsia="Times New Roman" w:hAnsi="Calibri" w:cs="Calibri"/>
                <w:sz w:val="16"/>
                <w:szCs w:val="16"/>
              </w:rPr>
              <w:t>331,310</w:t>
            </w:r>
          </w:p>
          <w:p w14:paraId="0BF974B8" w14:textId="77777777" w:rsidR="00301632" w:rsidRPr="00301632" w:rsidRDefault="00301632" w:rsidP="00301632">
            <w:pPr>
              <w:spacing w:before="120" w:after="120"/>
              <w:jc w:val="center"/>
              <w:rPr>
                <w:rFonts w:ascii="Calibri" w:eastAsia="SimHei" w:hAnsi="Calibri" w:cs="Calibri"/>
                <w:sz w:val="16"/>
                <w:szCs w:val="16"/>
              </w:rPr>
            </w:pPr>
          </w:p>
        </w:tc>
        <w:tc>
          <w:tcPr>
            <w:tcW w:w="1418" w:type="dxa"/>
            <w:tcBorders>
              <w:top w:val="single" w:sz="4" w:space="0" w:color="auto"/>
              <w:left w:val="nil"/>
              <w:bottom w:val="single" w:sz="4" w:space="0" w:color="auto"/>
              <w:right w:val="nil"/>
            </w:tcBorders>
          </w:tcPr>
          <w:p w14:paraId="7BFF6EF6" w14:textId="77777777" w:rsidR="00301632" w:rsidRPr="00301632" w:rsidRDefault="00301632" w:rsidP="00301632">
            <w:pPr>
              <w:spacing w:before="120" w:after="120"/>
              <w:jc w:val="center"/>
              <w:rPr>
                <w:rFonts w:ascii="Calibri" w:eastAsia="Times New Roman" w:hAnsi="Calibri" w:cs="Calibri"/>
                <w:sz w:val="16"/>
                <w:szCs w:val="16"/>
              </w:rPr>
            </w:pPr>
            <w:r w:rsidRPr="00301632">
              <w:rPr>
                <w:rFonts w:ascii="Calibri" w:eastAsia="Times New Roman" w:hAnsi="Calibri" w:cs="Calibri"/>
                <w:sz w:val="16"/>
                <w:szCs w:val="16"/>
              </w:rPr>
              <w:t>12,310</w:t>
            </w:r>
          </w:p>
          <w:p w14:paraId="1150D572" w14:textId="77777777" w:rsidR="00301632" w:rsidRPr="00301632" w:rsidRDefault="00301632" w:rsidP="00301632">
            <w:pPr>
              <w:spacing w:before="120" w:after="120"/>
              <w:jc w:val="center"/>
              <w:rPr>
                <w:rFonts w:ascii="Calibri" w:eastAsia="SimHei" w:hAnsi="Calibri" w:cs="Calibri"/>
                <w:sz w:val="16"/>
                <w:szCs w:val="16"/>
              </w:rPr>
            </w:pPr>
          </w:p>
        </w:tc>
        <w:tc>
          <w:tcPr>
            <w:tcW w:w="1136" w:type="dxa"/>
            <w:tcBorders>
              <w:top w:val="single" w:sz="4" w:space="0" w:color="auto"/>
              <w:left w:val="nil"/>
              <w:bottom w:val="single" w:sz="4" w:space="0" w:color="auto"/>
              <w:right w:val="nil"/>
            </w:tcBorders>
          </w:tcPr>
          <w:p w14:paraId="6519367A"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SimHei" w:hAnsi="Calibri" w:cs="Calibri"/>
                <w:sz w:val="16"/>
                <w:szCs w:val="16"/>
              </w:rPr>
              <w:t>–</w:t>
            </w:r>
          </w:p>
        </w:tc>
        <w:tc>
          <w:tcPr>
            <w:tcW w:w="943" w:type="dxa"/>
            <w:tcBorders>
              <w:top w:val="single" w:sz="4" w:space="0" w:color="auto"/>
              <w:left w:val="nil"/>
              <w:bottom w:val="single" w:sz="4" w:space="0" w:color="auto"/>
              <w:right w:val="nil"/>
            </w:tcBorders>
          </w:tcPr>
          <w:p w14:paraId="134BCBC7"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SimHei" w:hAnsi="Calibri" w:cs="Calibri"/>
                <w:sz w:val="16"/>
                <w:szCs w:val="16"/>
              </w:rPr>
              <w:t>–</w:t>
            </w:r>
          </w:p>
        </w:tc>
        <w:tc>
          <w:tcPr>
            <w:tcW w:w="900" w:type="dxa"/>
            <w:tcBorders>
              <w:top w:val="single" w:sz="4" w:space="0" w:color="auto"/>
              <w:left w:val="nil"/>
              <w:bottom w:val="single" w:sz="4" w:space="0" w:color="auto"/>
              <w:right w:val="nil"/>
            </w:tcBorders>
          </w:tcPr>
          <w:p w14:paraId="5DD54285"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16,500</w:t>
            </w:r>
          </w:p>
        </w:tc>
        <w:tc>
          <w:tcPr>
            <w:tcW w:w="1053" w:type="dxa"/>
            <w:tcBorders>
              <w:top w:val="single" w:sz="4" w:space="0" w:color="auto"/>
              <w:left w:val="nil"/>
              <w:bottom w:val="single" w:sz="4" w:space="0" w:color="auto"/>
              <w:right w:val="nil"/>
            </w:tcBorders>
            <w:shd w:val="clear" w:color="auto" w:fill="D9D9D6"/>
          </w:tcPr>
          <w:p w14:paraId="5965CF1E" w14:textId="77777777" w:rsidR="00301632" w:rsidRPr="00301632" w:rsidRDefault="00301632" w:rsidP="00301632">
            <w:pPr>
              <w:spacing w:before="120" w:after="120"/>
              <w:jc w:val="center"/>
              <w:rPr>
                <w:rFonts w:ascii="Calibri" w:eastAsia="Times New Roman" w:hAnsi="Calibri" w:cs="Calibri"/>
                <w:sz w:val="16"/>
                <w:szCs w:val="16"/>
              </w:rPr>
            </w:pPr>
            <w:r w:rsidRPr="00301632">
              <w:rPr>
                <w:rFonts w:ascii="Calibri" w:eastAsia="Times New Roman" w:hAnsi="Calibri" w:cs="Calibri"/>
                <w:sz w:val="16"/>
                <w:szCs w:val="16"/>
              </w:rPr>
              <w:t>360,120</w:t>
            </w:r>
          </w:p>
          <w:p w14:paraId="31C793D5" w14:textId="77777777" w:rsidR="00301632" w:rsidRPr="00301632" w:rsidRDefault="00301632" w:rsidP="00301632">
            <w:pPr>
              <w:spacing w:before="120" w:after="120"/>
              <w:jc w:val="center"/>
              <w:rPr>
                <w:rFonts w:ascii="Calibri" w:eastAsia="SimHei" w:hAnsi="Calibri" w:cs="Calibri"/>
                <w:sz w:val="16"/>
                <w:szCs w:val="16"/>
              </w:rPr>
            </w:pPr>
          </w:p>
        </w:tc>
      </w:tr>
      <w:bookmarkEnd w:id="20"/>
      <w:tr w:rsidR="00301632" w:rsidRPr="00301632" w14:paraId="2614B1F1" w14:textId="77777777" w:rsidTr="00301632">
        <w:trPr>
          <w:cantSplit/>
        </w:trPr>
        <w:tc>
          <w:tcPr>
            <w:tcW w:w="1413" w:type="dxa"/>
            <w:tcBorders>
              <w:top w:val="single" w:sz="4" w:space="0" w:color="auto"/>
              <w:left w:val="nil"/>
              <w:bottom w:val="single" w:sz="4" w:space="0" w:color="auto"/>
              <w:right w:val="nil"/>
            </w:tcBorders>
            <w:shd w:val="clear" w:color="auto" w:fill="auto"/>
          </w:tcPr>
          <w:p w14:paraId="36637976" w14:textId="77777777" w:rsidR="00301632" w:rsidRPr="00301632" w:rsidRDefault="00301632" w:rsidP="00301632">
            <w:pPr>
              <w:spacing w:before="120" w:after="120"/>
              <w:rPr>
                <w:rFonts w:ascii="Calibri" w:eastAsia="SimHei" w:hAnsi="Calibri" w:cs="Calibri"/>
                <w:sz w:val="16"/>
                <w:szCs w:val="16"/>
              </w:rPr>
            </w:pPr>
            <w:r w:rsidRPr="00301632">
              <w:rPr>
                <w:rFonts w:ascii="Calibri" w:eastAsia="Times New Roman" w:hAnsi="Calibri" w:cs="Calibri"/>
                <w:sz w:val="16"/>
                <w:szCs w:val="16"/>
                <w:lang w:val="en-US"/>
              </w:rPr>
              <w:t xml:space="preserve">Career </w:t>
            </w:r>
            <w:proofErr w:type="spellStart"/>
            <w:r w:rsidRPr="00301632">
              <w:rPr>
                <w:rFonts w:ascii="Calibri" w:eastAsia="Times New Roman" w:hAnsi="Calibri" w:cs="Calibri"/>
                <w:sz w:val="16"/>
                <w:szCs w:val="16"/>
                <w:lang w:val="en-US"/>
              </w:rPr>
              <w:t>Quickstarter</w:t>
            </w:r>
            <w:proofErr w:type="spellEnd"/>
          </w:p>
        </w:tc>
        <w:tc>
          <w:tcPr>
            <w:tcW w:w="4536" w:type="dxa"/>
            <w:tcBorders>
              <w:top w:val="single" w:sz="4" w:space="0" w:color="auto"/>
              <w:left w:val="nil"/>
              <w:bottom w:val="single" w:sz="4" w:space="0" w:color="auto"/>
              <w:right w:val="nil"/>
            </w:tcBorders>
          </w:tcPr>
          <w:p w14:paraId="21377431" w14:textId="77777777" w:rsidR="00301632" w:rsidRPr="00301632" w:rsidRDefault="00301632" w:rsidP="00301632">
            <w:pPr>
              <w:spacing w:before="120" w:after="120"/>
              <w:rPr>
                <w:rFonts w:ascii="Calibri" w:eastAsia="Times New Roman" w:hAnsi="Calibri" w:cs="Calibri"/>
                <w:sz w:val="16"/>
                <w:szCs w:val="16"/>
              </w:rPr>
            </w:pPr>
            <w:r w:rsidRPr="00301632">
              <w:rPr>
                <w:rFonts w:ascii="Calibri" w:eastAsia="Times New Roman" w:hAnsi="Calibri" w:cs="Calibri"/>
                <w:sz w:val="16"/>
                <w:szCs w:val="16"/>
              </w:rPr>
              <w:t xml:space="preserve">The campaign aimed to raise awareness about the introduction of Skills First Skill Sets and the Funded Skills Set List. It also sought to inform providers, students, </w:t>
            </w:r>
            <w:proofErr w:type="gramStart"/>
            <w:r w:rsidRPr="00301632">
              <w:rPr>
                <w:rFonts w:ascii="Calibri" w:eastAsia="Times New Roman" w:hAnsi="Calibri" w:cs="Calibri"/>
                <w:sz w:val="16"/>
                <w:szCs w:val="16"/>
              </w:rPr>
              <w:t>employers</w:t>
            </w:r>
            <w:proofErr w:type="gramEnd"/>
            <w:r w:rsidRPr="00301632">
              <w:rPr>
                <w:rFonts w:ascii="Calibri" w:eastAsia="Times New Roman" w:hAnsi="Calibri" w:cs="Calibri"/>
                <w:sz w:val="16"/>
                <w:szCs w:val="16"/>
              </w:rPr>
              <w:t xml:space="preserve"> and industry about policy settings (including eligibility), available training and the process.</w:t>
            </w:r>
          </w:p>
        </w:tc>
        <w:tc>
          <w:tcPr>
            <w:tcW w:w="1417" w:type="dxa"/>
            <w:tcBorders>
              <w:top w:val="single" w:sz="4" w:space="0" w:color="auto"/>
              <w:left w:val="nil"/>
              <w:bottom w:val="single" w:sz="4" w:space="0" w:color="auto"/>
              <w:right w:val="nil"/>
            </w:tcBorders>
          </w:tcPr>
          <w:p w14:paraId="67714AD9" w14:textId="77777777" w:rsidR="00301632" w:rsidRPr="00301632" w:rsidRDefault="00301632" w:rsidP="00301632">
            <w:pPr>
              <w:spacing w:before="120" w:after="120"/>
              <w:rPr>
                <w:rFonts w:ascii="Calibri" w:eastAsia="SimHei" w:hAnsi="Calibri" w:cs="Calibri"/>
                <w:sz w:val="16"/>
                <w:szCs w:val="16"/>
              </w:rPr>
            </w:pPr>
            <w:r w:rsidRPr="00301632">
              <w:rPr>
                <w:rFonts w:ascii="Calibri" w:eastAsia="Times New Roman" w:hAnsi="Calibri" w:cs="Calibri"/>
                <w:sz w:val="16"/>
                <w:szCs w:val="16"/>
                <w:lang w:val="en-US"/>
              </w:rPr>
              <w:t>30 September 2021 – 31 May 2022</w:t>
            </w:r>
          </w:p>
        </w:tc>
        <w:tc>
          <w:tcPr>
            <w:tcW w:w="1134" w:type="dxa"/>
            <w:tcBorders>
              <w:top w:val="single" w:sz="4" w:space="0" w:color="auto"/>
              <w:left w:val="nil"/>
              <w:bottom w:val="single" w:sz="4" w:space="0" w:color="auto"/>
              <w:right w:val="nil"/>
            </w:tcBorders>
          </w:tcPr>
          <w:p w14:paraId="005158E1"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SimHei" w:hAnsi="Calibri" w:cs="Calibri"/>
                <w:sz w:val="16"/>
                <w:szCs w:val="16"/>
              </w:rPr>
              <w:t>–</w:t>
            </w:r>
          </w:p>
        </w:tc>
        <w:tc>
          <w:tcPr>
            <w:tcW w:w="1418" w:type="dxa"/>
            <w:tcBorders>
              <w:top w:val="single" w:sz="4" w:space="0" w:color="auto"/>
              <w:left w:val="nil"/>
              <w:bottom w:val="single" w:sz="4" w:space="0" w:color="auto"/>
              <w:right w:val="nil"/>
            </w:tcBorders>
          </w:tcPr>
          <w:p w14:paraId="4BCB4E62"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37,580</w:t>
            </w:r>
          </w:p>
        </w:tc>
        <w:tc>
          <w:tcPr>
            <w:tcW w:w="1136" w:type="dxa"/>
            <w:tcBorders>
              <w:top w:val="single" w:sz="4" w:space="0" w:color="auto"/>
              <w:left w:val="nil"/>
              <w:bottom w:val="single" w:sz="4" w:space="0" w:color="auto"/>
              <w:right w:val="nil"/>
            </w:tcBorders>
          </w:tcPr>
          <w:p w14:paraId="518AEA9B"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29,940</w:t>
            </w:r>
          </w:p>
        </w:tc>
        <w:tc>
          <w:tcPr>
            <w:tcW w:w="943" w:type="dxa"/>
            <w:tcBorders>
              <w:top w:val="single" w:sz="4" w:space="0" w:color="auto"/>
              <w:left w:val="nil"/>
              <w:bottom w:val="single" w:sz="4" w:space="0" w:color="auto"/>
              <w:right w:val="nil"/>
            </w:tcBorders>
          </w:tcPr>
          <w:p w14:paraId="59571ED7"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SimHei" w:hAnsi="Calibri" w:cs="Calibri"/>
                <w:sz w:val="16"/>
                <w:szCs w:val="16"/>
              </w:rPr>
              <w:t>–</w:t>
            </w:r>
          </w:p>
        </w:tc>
        <w:tc>
          <w:tcPr>
            <w:tcW w:w="900" w:type="dxa"/>
            <w:tcBorders>
              <w:top w:val="single" w:sz="4" w:space="0" w:color="auto"/>
              <w:left w:val="nil"/>
              <w:bottom w:val="single" w:sz="4" w:space="0" w:color="auto"/>
              <w:right w:val="nil"/>
            </w:tcBorders>
          </w:tcPr>
          <w:p w14:paraId="7E46F279"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SimHei" w:hAnsi="Calibri" w:cs="Calibri"/>
                <w:sz w:val="16"/>
                <w:szCs w:val="16"/>
              </w:rPr>
              <w:t>–</w:t>
            </w:r>
          </w:p>
        </w:tc>
        <w:tc>
          <w:tcPr>
            <w:tcW w:w="1053" w:type="dxa"/>
            <w:tcBorders>
              <w:top w:val="single" w:sz="4" w:space="0" w:color="auto"/>
              <w:left w:val="nil"/>
              <w:bottom w:val="single" w:sz="4" w:space="0" w:color="auto"/>
              <w:right w:val="nil"/>
            </w:tcBorders>
            <w:shd w:val="clear" w:color="auto" w:fill="D9D9D6"/>
          </w:tcPr>
          <w:p w14:paraId="02D0FA08"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67,520</w:t>
            </w:r>
          </w:p>
        </w:tc>
      </w:tr>
      <w:tr w:rsidR="00301632" w:rsidRPr="00301632" w14:paraId="681F89DD" w14:textId="77777777" w:rsidTr="00301632">
        <w:trPr>
          <w:cantSplit/>
        </w:trPr>
        <w:tc>
          <w:tcPr>
            <w:tcW w:w="1413" w:type="dxa"/>
            <w:tcBorders>
              <w:top w:val="single" w:sz="4" w:space="0" w:color="auto"/>
              <w:left w:val="nil"/>
              <w:bottom w:val="single" w:sz="4" w:space="0" w:color="auto"/>
              <w:right w:val="nil"/>
            </w:tcBorders>
            <w:shd w:val="clear" w:color="auto" w:fill="auto"/>
          </w:tcPr>
          <w:p w14:paraId="02FB2467" w14:textId="77777777" w:rsidR="00301632" w:rsidRPr="00301632" w:rsidRDefault="00301632" w:rsidP="00301632">
            <w:pPr>
              <w:spacing w:before="120" w:after="120"/>
              <w:rPr>
                <w:rFonts w:ascii="Calibri" w:eastAsia="SimHei" w:hAnsi="Calibri" w:cs="Calibri"/>
                <w:sz w:val="16"/>
                <w:szCs w:val="16"/>
              </w:rPr>
            </w:pPr>
            <w:r w:rsidRPr="00301632">
              <w:rPr>
                <w:rFonts w:ascii="Calibri" w:eastAsia="Times New Roman" w:hAnsi="Calibri" w:cs="Calibri"/>
                <w:sz w:val="16"/>
                <w:szCs w:val="16"/>
                <w:lang w:val="en-US"/>
              </w:rPr>
              <w:lastRenderedPageBreak/>
              <w:t xml:space="preserve">Three-Year-Old Kinder: public awareness and enrolment </w:t>
            </w:r>
          </w:p>
        </w:tc>
        <w:tc>
          <w:tcPr>
            <w:tcW w:w="4536" w:type="dxa"/>
            <w:tcBorders>
              <w:top w:val="single" w:sz="4" w:space="0" w:color="auto"/>
              <w:left w:val="nil"/>
              <w:bottom w:val="single" w:sz="4" w:space="0" w:color="auto"/>
              <w:right w:val="nil"/>
            </w:tcBorders>
          </w:tcPr>
          <w:p w14:paraId="77B03039" w14:textId="77777777" w:rsidR="00301632" w:rsidRPr="00301632" w:rsidRDefault="00301632" w:rsidP="00301632">
            <w:pPr>
              <w:spacing w:before="120" w:after="120"/>
              <w:rPr>
                <w:rFonts w:ascii="Calibri" w:eastAsia="Times New Roman" w:hAnsi="Calibri" w:cs="Calibri"/>
                <w:sz w:val="16"/>
                <w:szCs w:val="16"/>
              </w:rPr>
            </w:pPr>
            <w:r w:rsidRPr="00301632">
              <w:rPr>
                <w:rFonts w:ascii="Calibri" w:eastAsia="Times New Roman" w:hAnsi="Calibri" w:cs="Calibri"/>
                <w:sz w:val="16"/>
                <w:szCs w:val="16"/>
              </w:rPr>
              <w:t xml:space="preserve">The campaign aimed to inform families of the </w:t>
            </w:r>
            <w:proofErr w:type="spellStart"/>
            <w:r w:rsidRPr="00301632">
              <w:rPr>
                <w:rFonts w:ascii="Calibri" w:eastAsia="Times New Roman" w:hAnsi="Calibri" w:cs="Calibri"/>
                <w:sz w:val="16"/>
                <w:szCs w:val="16"/>
              </w:rPr>
              <w:t>statewide</w:t>
            </w:r>
            <w:proofErr w:type="spellEnd"/>
            <w:r w:rsidRPr="00301632">
              <w:rPr>
                <w:rFonts w:ascii="Calibri" w:eastAsia="Times New Roman" w:hAnsi="Calibri" w:cs="Calibri"/>
                <w:sz w:val="16"/>
                <w:szCs w:val="16"/>
              </w:rPr>
              <w:t xml:space="preserve"> roll-out of Three-Year-Old Kindergarten and encourage families of eligible children to enrol in preparation for 2022 and 2023.</w:t>
            </w:r>
          </w:p>
          <w:p w14:paraId="3D36EC60" w14:textId="77777777" w:rsidR="00301632" w:rsidRPr="00301632" w:rsidRDefault="00301632" w:rsidP="00301632">
            <w:pPr>
              <w:spacing w:before="120" w:after="120"/>
              <w:rPr>
                <w:rFonts w:ascii="Calibri" w:eastAsia="Times New Roman" w:hAnsi="Calibri" w:cs="Calibri"/>
                <w:sz w:val="16"/>
                <w:szCs w:val="16"/>
              </w:rPr>
            </w:pPr>
            <w:r w:rsidRPr="00301632">
              <w:rPr>
                <w:rFonts w:ascii="Calibri" w:eastAsia="Times New Roman" w:hAnsi="Calibri" w:cs="Calibri"/>
                <w:sz w:val="16"/>
                <w:szCs w:val="16"/>
              </w:rPr>
              <w:t xml:space="preserve">A dedicated campaign aimed to raise awareness of Three-Year-Old Kindergarten and to encourage enrolment among culturally and linguistically diverse groups and families. </w:t>
            </w:r>
          </w:p>
        </w:tc>
        <w:tc>
          <w:tcPr>
            <w:tcW w:w="1417" w:type="dxa"/>
            <w:tcBorders>
              <w:top w:val="single" w:sz="4" w:space="0" w:color="auto"/>
              <w:left w:val="nil"/>
              <w:bottom w:val="single" w:sz="4" w:space="0" w:color="auto"/>
              <w:right w:val="nil"/>
            </w:tcBorders>
          </w:tcPr>
          <w:p w14:paraId="7F16FE68" w14:textId="77777777" w:rsidR="00301632" w:rsidRPr="00301632" w:rsidRDefault="00301632" w:rsidP="00301632">
            <w:pPr>
              <w:spacing w:before="120" w:after="120"/>
              <w:rPr>
                <w:rFonts w:ascii="Calibri" w:eastAsia="SimHei" w:hAnsi="Calibri" w:cs="Calibri"/>
                <w:sz w:val="16"/>
                <w:szCs w:val="16"/>
              </w:rPr>
            </w:pPr>
            <w:r w:rsidRPr="00301632">
              <w:rPr>
                <w:rFonts w:ascii="Calibri" w:eastAsia="Times New Roman" w:hAnsi="Calibri" w:cs="Calibri"/>
                <w:sz w:val="16"/>
                <w:szCs w:val="16"/>
                <w:lang w:val="en-US"/>
              </w:rPr>
              <w:t>21 July 2021 – 30 June 2022</w:t>
            </w:r>
          </w:p>
        </w:tc>
        <w:tc>
          <w:tcPr>
            <w:tcW w:w="1134" w:type="dxa"/>
            <w:tcBorders>
              <w:top w:val="single" w:sz="4" w:space="0" w:color="auto"/>
              <w:left w:val="nil"/>
              <w:bottom w:val="single" w:sz="4" w:space="0" w:color="auto"/>
              <w:right w:val="nil"/>
            </w:tcBorders>
          </w:tcPr>
          <w:p w14:paraId="302ACC53"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1,755,471</w:t>
            </w:r>
          </w:p>
        </w:tc>
        <w:tc>
          <w:tcPr>
            <w:tcW w:w="1418" w:type="dxa"/>
            <w:tcBorders>
              <w:top w:val="single" w:sz="4" w:space="0" w:color="auto"/>
              <w:left w:val="nil"/>
              <w:bottom w:val="single" w:sz="4" w:space="0" w:color="auto"/>
              <w:right w:val="nil"/>
            </w:tcBorders>
          </w:tcPr>
          <w:p w14:paraId="74ED5F65"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211,780</w:t>
            </w:r>
          </w:p>
        </w:tc>
        <w:tc>
          <w:tcPr>
            <w:tcW w:w="1136" w:type="dxa"/>
            <w:tcBorders>
              <w:top w:val="single" w:sz="4" w:space="0" w:color="auto"/>
              <w:left w:val="nil"/>
              <w:bottom w:val="single" w:sz="4" w:space="0" w:color="auto"/>
              <w:right w:val="nil"/>
            </w:tcBorders>
          </w:tcPr>
          <w:p w14:paraId="51719E53"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11,000</w:t>
            </w:r>
          </w:p>
        </w:tc>
        <w:tc>
          <w:tcPr>
            <w:tcW w:w="943" w:type="dxa"/>
            <w:tcBorders>
              <w:top w:val="single" w:sz="4" w:space="0" w:color="auto"/>
              <w:left w:val="nil"/>
              <w:bottom w:val="single" w:sz="4" w:space="0" w:color="auto"/>
              <w:right w:val="nil"/>
            </w:tcBorders>
          </w:tcPr>
          <w:p w14:paraId="0ED3C114"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109,436</w:t>
            </w:r>
          </w:p>
        </w:tc>
        <w:tc>
          <w:tcPr>
            <w:tcW w:w="900" w:type="dxa"/>
            <w:tcBorders>
              <w:top w:val="single" w:sz="4" w:space="0" w:color="auto"/>
              <w:left w:val="nil"/>
              <w:bottom w:val="single" w:sz="4" w:space="0" w:color="auto"/>
              <w:right w:val="nil"/>
            </w:tcBorders>
          </w:tcPr>
          <w:p w14:paraId="6CA2D775"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375,676</w:t>
            </w:r>
          </w:p>
        </w:tc>
        <w:tc>
          <w:tcPr>
            <w:tcW w:w="1053" w:type="dxa"/>
            <w:tcBorders>
              <w:top w:val="single" w:sz="4" w:space="0" w:color="auto"/>
              <w:left w:val="nil"/>
              <w:bottom w:val="single" w:sz="4" w:space="0" w:color="auto"/>
              <w:right w:val="nil"/>
            </w:tcBorders>
            <w:shd w:val="clear" w:color="auto" w:fill="D9D9D6"/>
          </w:tcPr>
          <w:p w14:paraId="3E309060"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2,463,365</w:t>
            </w:r>
          </w:p>
        </w:tc>
      </w:tr>
      <w:tr w:rsidR="00301632" w:rsidRPr="00301632" w14:paraId="102E80AA" w14:textId="77777777" w:rsidTr="00301632">
        <w:trPr>
          <w:cantSplit/>
        </w:trPr>
        <w:tc>
          <w:tcPr>
            <w:tcW w:w="1413" w:type="dxa"/>
            <w:tcBorders>
              <w:top w:val="single" w:sz="4" w:space="0" w:color="auto"/>
              <w:left w:val="nil"/>
              <w:bottom w:val="single" w:sz="4" w:space="0" w:color="auto"/>
              <w:right w:val="nil"/>
            </w:tcBorders>
            <w:shd w:val="clear" w:color="auto" w:fill="auto"/>
          </w:tcPr>
          <w:p w14:paraId="1CF8DF12" w14:textId="77777777" w:rsidR="00301632" w:rsidRPr="00301632" w:rsidRDefault="00301632" w:rsidP="00301632">
            <w:pPr>
              <w:spacing w:before="120" w:after="120"/>
              <w:rPr>
                <w:rFonts w:ascii="Calibri" w:eastAsia="SimHei" w:hAnsi="Calibri" w:cs="Calibri"/>
                <w:sz w:val="16"/>
                <w:szCs w:val="16"/>
              </w:rPr>
            </w:pPr>
            <w:r w:rsidRPr="00301632">
              <w:rPr>
                <w:rFonts w:ascii="Calibri" w:eastAsia="Times New Roman" w:hAnsi="Calibri" w:cs="Calibri"/>
                <w:sz w:val="16"/>
                <w:szCs w:val="16"/>
                <w:lang w:val="en-US"/>
              </w:rPr>
              <w:t xml:space="preserve">Three-Year-Old Kinder: workforce recruitment </w:t>
            </w:r>
          </w:p>
        </w:tc>
        <w:tc>
          <w:tcPr>
            <w:tcW w:w="4536" w:type="dxa"/>
            <w:tcBorders>
              <w:top w:val="single" w:sz="4" w:space="0" w:color="auto"/>
              <w:left w:val="nil"/>
              <w:bottom w:val="single" w:sz="4" w:space="0" w:color="auto"/>
              <w:right w:val="nil"/>
            </w:tcBorders>
          </w:tcPr>
          <w:p w14:paraId="12926BB7" w14:textId="77777777" w:rsidR="00301632" w:rsidRPr="00301632" w:rsidRDefault="00301632" w:rsidP="00301632">
            <w:pPr>
              <w:spacing w:before="120" w:after="120"/>
              <w:rPr>
                <w:rFonts w:ascii="Calibri" w:eastAsia="Times New Roman" w:hAnsi="Calibri" w:cs="Calibri"/>
                <w:b/>
                <w:sz w:val="16"/>
                <w:szCs w:val="16"/>
                <w:lang w:val="en-US"/>
              </w:rPr>
            </w:pPr>
            <w:r w:rsidRPr="00301632">
              <w:rPr>
                <w:rFonts w:ascii="Calibri" w:eastAsia="Times New Roman" w:hAnsi="Calibri" w:cs="Calibri"/>
                <w:sz w:val="16"/>
                <w:szCs w:val="16"/>
              </w:rPr>
              <w:t xml:space="preserve">The </w:t>
            </w:r>
            <w:r w:rsidRPr="00301632">
              <w:rPr>
                <w:rFonts w:ascii="Calibri" w:eastAsia="Times New Roman" w:hAnsi="Calibri" w:cs="Calibri"/>
                <w:sz w:val="16"/>
                <w:szCs w:val="16"/>
                <w:lang w:val="en-US"/>
              </w:rPr>
              <w:t>campaign aimed to increase enrolments in workforce pathways by promoting early childhood teaching as a career, and financial support to study. It also sought to promote the financial incentives available for qualified early childhood teachers in both Victoria and interstate (excluding New Zealand) to take up a position at priority services across Victoria</w:t>
            </w:r>
            <w:r w:rsidRPr="00301632">
              <w:rPr>
                <w:rFonts w:ascii="Calibri" w:hAnsi="Calibri" w:cs="Calibri"/>
                <w:bCs/>
                <w:sz w:val="16"/>
                <w:szCs w:val="16"/>
              </w:rPr>
              <w:t xml:space="preserve">.   </w:t>
            </w:r>
          </w:p>
        </w:tc>
        <w:tc>
          <w:tcPr>
            <w:tcW w:w="1417" w:type="dxa"/>
            <w:tcBorders>
              <w:top w:val="single" w:sz="4" w:space="0" w:color="auto"/>
              <w:left w:val="nil"/>
              <w:bottom w:val="single" w:sz="4" w:space="0" w:color="auto"/>
              <w:right w:val="nil"/>
            </w:tcBorders>
          </w:tcPr>
          <w:p w14:paraId="163B0B79" w14:textId="77777777" w:rsidR="00301632" w:rsidRPr="00301632" w:rsidRDefault="00301632" w:rsidP="00301632">
            <w:pPr>
              <w:spacing w:before="120" w:after="120"/>
              <w:rPr>
                <w:rFonts w:ascii="Calibri" w:eastAsia="SimHei" w:hAnsi="Calibri" w:cs="Calibri"/>
                <w:sz w:val="16"/>
                <w:szCs w:val="16"/>
              </w:rPr>
            </w:pPr>
            <w:r w:rsidRPr="00301632">
              <w:rPr>
                <w:rFonts w:ascii="Calibri" w:eastAsia="Times New Roman" w:hAnsi="Calibri" w:cs="Calibri"/>
                <w:sz w:val="16"/>
                <w:szCs w:val="16"/>
                <w:lang w:val="en-US"/>
              </w:rPr>
              <w:t>5 September 2021 – 30 June 2022</w:t>
            </w:r>
          </w:p>
        </w:tc>
        <w:tc>
          <w:tcPr>
            <w:tcW w:w="1134" w:type="dxa"/>
            <w:tcBorders>
              <w:top w:val="single" w:sz="4" w:space="0" w:color="auto"/>
              <w:left w:val="nil"/>
              <w:bottom w:val="single" w:sz="4" w:space="0" w:color="auto"/>
              <w:right w:val="nil"/>
            </w:tcBorders>
          </w:tcPr>
          <w:p w14:paraId="7233D913"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3,941,570</w:t>
            </w:r>
          </w:p>
        </w:tc>
        <w:tc>
          <w:tcPr>
            <w:tcW w:w="1418" w:type="dxa"/>
            <w:tcBorders>
              <w:top w:val="single" w:sz="4" w:space="0" w:color="auto"/>
              <w:left w:val="nil"/>
              <w:bottom w:val="single" w:sz="4" w:space="0" w:color="auto"/>
              <w:right w:val="nil"/>
            </w:tcBorders>
          </w:tcPr>
          <w:p w14:paraId="4A1BAFFA"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162,485</w:t>
            </w:r>
          </w:p>
        </w:tc>
        <w:tc>
          <w:tcPr>
            <w:tcW w:w="1136" w:type="dxa"/>
            <w:tcBorders>
              <w:top w:val="single" w:sz="4" w:space="0" w:color="auto"/>
              <w:left w:val="nil"/>
              <w:bottom w:val="single" w:sz="4" w:space="0" w:color="auto"/>
              <w:right w:val="nil"/>
            </w:tcBorders>
          </w:tcPr>
          <w:p w14:paraId="233AF040"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46,723</w:t>
            </w:r>
          </w:p>
        </w:tc>
        <w:tc>
          <w:tcPr>
            <w:tcW w:w="943" w:type="dxa"/>
            <w:tcBorders>
              <w:top w:val="single" w:sz="4" w:space="0" w:color="auto"/>
              <w:left w:val="nil"/>
              <w:bottom w:val="single" w:sz="4" w:space="0" w:color="auto"/>
              <w:right w:val="nil"/>
            </w:tcBorders>
          </w:tcPr>
          <w:p w14:paraId="271F8657"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15,656</w:t>
            </w:r>
          </w:p>
        </w:tc>
        <w:tc>
          <w:tcPr>
            <w:tcW w:w="900" w:type="dxa"/>
            <w:tcBorders>
              <w:top w:val="single" w:sz="4" w:space="0" w:color="auto"/>
              <w:left w:val="nil"/>
              <w:bottom w:val="single" w:sz="4" w:space="0" w:color="auto"/>
              <w:right w:val="nil"/>
            </w:tcBorders>
          </w:tcPr>
          <w:p w14:paraId="7F718F31"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482,008</w:t>
            </w:r>
          </w:p>
        </w:tc>
        <w:tc>
          <w:tcPr>
            <w:tcW w:w="1053" w:type="dxa"/>
            <w:tcBorders>
              <w:top w:val="single" w:sz="4" w:space="0" w:color="auto"/>
              <w:left w:val="nil"/>
              <w:bottom w:val="single" w:sz="4" w:space="0" w:color="auto"/>
              <w:right w:val="nil"/>
            </w:tcBorders>
            <w:shd w:val="clear" w:color="auto" w:fill="D9D9D6"/>
          </w:tcPr>
          <w:p w14:paraId="428F57F7"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4,648,443</w:t>
            </w:r>
          </w:p>
        </w:tc>
      </w:tr>
      <w:tr w:rsidR="00301632" w:rsidRPr="00301632" w14:paraId="109944CC" w14:textId="77777777" w:rsidTr="00301632">
        <w:trPr>
          <w:cantSplit/>
        </w:trPr>
        <w:tc>
          <w:tcPr>
            <w:tcW w:w="1413" w:type="dxa"/>
            <w:tcBorders>
              <w:top w:val="single" w:sz="4" w:space="0" w:color="auto"/>
              <w:left w:val="nil"/>
              <w:bottom w:val="single" w:sz="4" w:space="0" w:color="auto"/>
              <w:right w:val="nil"/>
            </w:tcBorders>
            <w:shd w:val="clear" w:color="auto" w:fill="auto"/>
          </w:tcPr>
          <w:p w14:paraId="630ABCBE" w14:textId="77777777" w:rsidR="00301632" w:rsidRPr="00301632" w:rsidRDefault="00301632" w:rsidP="00301632">
            <w:pPr>
              <w:spacing w:before="120" w:after="120"/>
              <w:rPr>
                <w:rFonts w:ascii="Calibri" w:eastAsia="SimHei" w:hAnsi="Calibri" w:cs="Calibri"/>
                <w:sz w:val="16"/>
                <w:szCs w:val="16"/>
              </w:rPr>
            </w:pPr>
            <w:r w:rsidRPr="00301632">
              <w:rPr>
                <w:rFonts w:ascii="Calibri" w:eastAsia="Times New Roman" w:hAnsi="Calibri" w:cs="Calibri"/>
                <w:sz w:val="16"/>
                <w:szCs w:val="16"/>
                <w:lang w:val="en-US"/>
              </w:rPr>
              <w:t xml:space="preserve">Kinder Tick </w:t>
            </w:r>
          </w:p>
        </w:tc>
        <w:tc>
          <w:tcPr>
            <w:tcW w:w="4536" w:type="dxa"/>
            <w:tcBorders>
              <w:top w:val="single" w:sz="4" w:space="0" w:color="auto"/>
              <w:left w:val="nil"/>
              <w:bottom w:val="single" w:sz="4" w:space="0" w:color="auto"/>
              <w:right w:val="nil"/>
            </w:tcBorders>
          </w:tcPr>
          <w:p w14:paraId="2DF7ADB3" w14:textId="77777777" w:rsidR="00301632" w:rsidRPr="00301632" w:rsidRDefault="00301632" w:rsidP="00301632">
            <w:pPr>
              <w:spacing w:before="120" w:after="120"/>
              <w:rPr>
                <w:rFonts w:ascii="Calibri" w:eastAsia="Times New Roman" w:hAnsi="Calibri" w:cs="Calibri"/>
                <w:sz w:val="16"/>
                <w:szCs w:val="16"/>
                <w:lang w:val="en-US"/>
              </w:rPr>
            </w:pPr>
            <w:r w:rsidRPr="00301632">
              <w:rPr>
                <w:rFonts w:ascii="Calibri" w:eastAsia="Times New Roman" w:hAnsi="Calibri" w:cs="Calibri"/>
                <w:sz w:val="16"/>
                <w:szCs w:val="16"/>
                <w:lang w:val="en-US"/>
              </w:rPr>
              <w:t xml:space="preserve">The campaign aimed to inform families about the Kinder Tick and encouraged families to enroll in Victorian Government funded and approved kindergarten programs. </w:t>
            </w:r>
          </w:p>
          <w:p w14:paraId="11CF7C5B" w14:textId="77777777" w:rsidR="00301632" w:rsidRPr="00301632" w:rsidRDefault="00301632" w:rsidP="00301632">
            <w:pPr>
              <w:spacing w:before="120" w:after="120"/>
              <w:rPr>
                <w:rFonts w:ascii="Calibri" w:eastAsia="SimHei" w:hAnsi="Calibri" w:cs="Calibri"/>
                <w:sz w:val="16"/>
                <w:szCs w:val="16"/>
              </w:rPr>
            </w:pPr>
            <w:r w:rsidRPr="00301632">
              <w:rPr>
                <w:rFonts w:ascii="Calibri" w:eastAsia="Times New Roman" w:hAnsi="Calibri" w:cs="Calibri"/>
                <w:sz w:val="16"/>
                <w:szCs w:val="16"/>
                <w:lang w:val="en-US"/>
              </w:rPr>
              <w:t xml:space="preserve">The Kinder Tick brand helps families identify Victorian Government-funded and approved kindergarten programs in </w:t>
            </w:r>
            <w:proofErr w:type="gramStart"/>
            <w:r w:rsidRPr="00301632">
              <w:rPr>
                <w:rFonts w:ascii="Calibri" w:eastAsia="Times New Roman" w:hAnsi="Calibri" w:cs="Calibri"/>
                <w:sz w:val="16"/>
                <w:szCs w:val="16"/>
                <w:lang w:val="en-US"/>
              </w:rPr>
              <w:t>both  long</w:t>
            </w:r>
            <w:proofErr w:type="gramEnd"/>
            <w:r w:rsidRPr="00301632">
              <w:rPr>
                <w:rFonts w:ascii="Calibri" w:eastAsia="Times New Roman" w:hAnsi="Calibri" w:cs="Calibri"/>
                <w:sz w:val="16"/>
                <w:szCs w:val="16"/>
                <w:lang w:val="en-US"/>
              </w:rPr>
              <w:t xml:space="preserve"> day care and standalone (sessional) kindergarten settings.</w:t>
            </w:r>
          </w:p>
        </w:tc>
        <w:tc>
          <w:tcPr>
            <w:tcW w:w="1417" w:type="dxa"/>
            <w:tcBorders>
              <w:top w:val="single" w:sz="4" w:space="0" w:color="auto"/>
              <w:left w:val="nil"/>
              <w:bottom w:val="single" w:sz="4" w:space="0" w:color="auto"/>
              <w:right w:val="nil"/>
            </w:tcBorders>
          </w:tcPr>
          <w:p w14:paraId="5FE257BE" w14:textId="77777777" w:rsidR="00301632" w:rsidRPr="00301632" w:rsidRDefault="00301632" w:rsidP="00301632">
            <w:pPr>
              <w:spacing w:before="120" w:after="120"/>
              <w:rPr>
                <w:rFonts w:ascii="Calibri" w:eastAsia="SimHei" w:hAnsi="Calibri" w:cs="Calibri"/>
                <w:sz w:val="16"/>
                <w:szCs w:val="16"/>
              </w:rPr>
            </w:pPr>
            <w:r w:rsidRPr="00301632">
              <w:rPr>
                <w:rFonts w:ascii="Calibri" w:eastAsia="Times New Roman" w:hAnsi="Calibri" w:cs="Calibri"/>
                <w:sz w:val="16"/>
                <w:szCs w:val="16"/>
                <w:lang w:val="en-US"/>
              </w:rPr>
              <w:t>3 September 2021 – 30 June 2022</w:t>
            </w:r>
          </w:p>
        </w:tc>
        <w:tc>
          <w:tcPr>
            <w:tcW w:w="1134" w:type="dxa"/>
            <w:tcBorders>
              <w:top w:val="single" w:sz="4" w:space="0" w:color="auto"/>
              <w:left w:val="nil"/>
              <w:bottom w:val="single" w:sz="4" w:space="0" w:color="auto"/>
              <w:right w:val="nil"/>
            </w:tcBorders>
          </w:tcPr>
          <w:p w14:paraId="094D0611"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542,349</w:t>
            </w:r>
          </w:p>
        </w:tc>
        <w:tc>
          <w:tcPr>
            <w:tcW w:w="1418" w:type="dxa"/>
            <w:tcBorders>
              <w:top w:val="single" w:sz="4" w:space="0" w:color="auto"/>
              <w:left w:val="nil"/>
              <w:bottom w:val="single" w:sz="4" w:space="0" w:color="auto"/>
              <w:right w:val="nil"/>
            </w:tcBorders>
          </w:tcPr>
          <w:p w14:paraId="6AEE7F2F"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19,098</w:t>
            </w:r>
          </w:p>
        </w:tc>
        <w:tc>
          <w:tcPr>
            <w:tcW w:w="1136" w:type="dxa"/>
            <w:tcBorders>
              <w:top w:val="single" w:sz="4" w:space="0" w:color="auto"/>
              <w:left w:val="nil"/>
              <w:bottom w:val="single" w:sz="4" w:space="0" w:color="auto"/>
              <w:right w:val="nil"/>
            </w:tcBorders>
          </w:tcPr>
          <w:p w14:paraId="5A921314"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SimHei" w:hAnsi="Calibri" w:cs="Calibri"/>
                <w:sz w:val="16"/>
                <w:szCs w:val="16"/>
              </w:rPr>
              <w:t>–</w:t>
            </w:r>
          </w:p>
        </w:tc>
        <w:tc>
          <w:tcPr>
            <w:tcW w:w="943" w:type="dxa"/>
            <w:tcBorders>
              <w:top w:val="single" w:sz="4" w:space="0" w:color="auto"/>
              <w:left w:val="nil"/>
              <w:bottom w:val="single" w:sz="4" w:space="0" w:color="auto"/>
              <w:right w:val="nil"/>
            </w:tcBorders>
          </w:tcPr>
          <w:p w14:paraId="30F2BA69"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18,746</w:t>
            </w:r>
          </w:p>
        </w:tc>
        <w:tc>
          <w:tcPr>
            <w:tcW w:w="900" w:type="dxa"/>
            <w:tcBorders>
              <w:top w:val="single" w:sz="4" w:space="0" w:color="auto"/>
              <w:left w:val="nil"/>
              <w:bottom w:val="single" w:sz="4" w:space="0" w:color="auto"/>
              <w:right w:val="nil"/>
            </w:tcBorders>
          </w:tcPr>
          <w:p w14:paraId="6AE6274F"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1,776</w:t>
            </w:r>
          </w:p>
        </w:tc>
        <w:tc>
          <w:tcPr>
            <w:tcW w:w="1053" w:type="dxa"/>
            <w:tcBorders>
              <w:top w:val="single" w:sz="4" w:space="0" w:color="auto"/>
              <w:left w:val="nil"/>
              <w:bottom w:val="single" w:sz="4" w:space="0" w:color="auto"/>
              <w:right w:val="nil"/>
            </w:tcBorders>
            <w:shd w:val="clear" w:color="auto" w:fill="D9D9D6"/>
          </w:tcPr>
          <w:p w14:paraId="1A7EE163"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581,969</w:t>
            </w:r>
          </w:p>
        </w:tc>
      </w:tr>
      <w:tr w:rsidR="00301632" w:rsidRPr="00301632" w14:paraId="321197DC" w14:textId="77777777" w:rsidTr="00301632">
        <w:trPr>
          <w:cantSplit/>
        </w:trPr>
        <w:tc>
          <w:tcPr>
            <w:tcW w:w="1413" w:type="dxa"/>
            <w:tcBorders>
              <w:top w:val="single" w:sz="4" w:space="0" w:color="auto"/>
              <w:left w:val="nil"/>
              <w:bottom w:val="single" w:sz="4" w:space="0" w:color="auto"/>
              <w:right w:val="nil"/>
            </w:tcBorders>
            <w:shd w:val="clear" w:color="auto" w:fill="auto"/>
          </w:tcPr>
          <w:p w14:paraId="62F0F191" w14:textId="77777777" w:rsidR="00301632" w:rsidRPr="00301632" w:rsidRDefault="00301632" w:rsidP="00301632">
            <w:pPr>
              <w:spacing w:before="120" w:after="120"/>
              <w:rPr>
                <w:rFonts w:ascii="Calibri" w:eastAsia="Times New Roman" w:hAnsi="Calibri" w:cs="Calibri"/>
                <w:sz w:val="16"/>
                <w:szCs w:val="16"/>
              </w:rPr>
            </w:pPr>
            <w:r w:rsidRPr="00301632">
              <w:rPr>
                <w:rFonts w:ascii="Calibri" w:eastAsia="Times New Roman" w:hAnsi="Calibri" w:cs="Calibri"/>
                <w:sz w:val="16"/>
                <w:szCs w:val="16"/>
              </w:rPr>
              <w:t xml:space="preserve">Teacher Recruitment </w:t>
            </w:r>
          </w:p>
          <w:p w14:paraId="50702F00" w14:textId="77777777" w:rsidR="00301632" w:rsidRPr="00301632" w:rsidRDefault="00301632" w:rsidP="00301632">
            <w:pPr>
              <w:spacing w:before="120" w:after="120"/>
              <w:rPr>
                <w:rFonts w:ascii="Calibri" w:eastAsia="SimHei" w:hAnsi="Calibri" w:cs="Calibri"/>
                <w:sz w:val="16"/>
                <w:szCs w:val="16"/>
              </w:rPr>
            </w:pPr>
            <w:r w:rsidRPr="00301632">
              <w:rPr>
                <w:rFonts w:ascii="Calibri" w:eastAsia="Times New Roman" w:hAnsi="Calibri" w:cs="Calibri"/>
                <w:sz w:val="16"/>
                <w:szCs w:val="16"/>
                <w:lang w:val="en-US"/>
              </w:rPr>
              <w:t>‘Teach the Future’</w:t>
            </w:r>
          </w:p>
        </w:tc>
        <w:tc>
          <w:tcPr>
            <w:tcW w:w="4536" w:type="dxa"/>
            <w:tcBorders>
              <w:top w:val="single" w:sz="4" w:space="0" w:color="auto"/>
              <w:left w:val="nil"/>
              <w:bottom w:val="single" w:sz="4" w:space="0" w:color="auto"/>
              <w:right w:val="nil"/>
            </w:tcBorders>
          </w:tcPr>
          <w:p w14:paraId="7AC7FF58" w14:textId="77777777" w:rsidR="00301632" w:rsidRPr="00301632" w:rsidRDefault="00301632" w:rsidP="00301632">
            <w:pPr>
              <w:spacing w:before="120" w:after="120"/>
              <w:rPr>
                <w:rFonts w:ascii="Calibri" w:hAnsi="Calibri" w:cs="Calibri"/>
                <w:sz w:val="16"/>
                <w:szCs w:val="16"/>
              </w:rPr>
            </w:pPr>
            <w:r w:rsidRPr="00301632">
              <w:rPr>
                <w:rFonts w:ascii="Calibri" w:eastAsia="Times New Roman" w:hAnsi="Calibri" w:cs="Calibri"/>
                <w:sz w:val="16"/>
                <w:szCs w:val="16"/>
              </w:rPr>
              <w:t>The campaign aimed to generate an uplift in enrolments in teaching courses to help meet an anticipated shortfall in new qualified teacher numbers over the coming years. The campaign targeted year 12 school leavers and career switchers.</w:t>
            </w:r>
          </w:p>
        </w:tc>
        <w:tc>
          <w:tcPr>
            <w:tcW w:w="1417" w:type="dxa"/>
            <w:tcBorders>
              <w:top w:val="single" w:sz="4" w:space="0" w:color="auto"/>
              <w:left w:val="nil"/>
              <w:bottom w:val="single" w:sz="4" w:space="0" w:color="auto"/>
              <w:right w:val="nil"/>
            </w:tcBorders>
          </w:tcPr>
          <w:p w14:paraId="659BC5D5" w14:textId="77777777" w:rsidR="00301632" w:rsidRPr="00301632" w:rsidRDefault="00301632" w:rsidP="00301632">
            <w:pPr>
              <w:spacing w:before="120" w:after="120"/>
              <w:rPr>
                <w:rFonts w:ascii="Calibri" w:eastAsia="SimHei" w:hAnsi="Calibri" w:cs="Calibri"/>
                <w:sz w:val="16"/>
                <w:szCs w:val="16"/>
              </w:rPr>
            </w:pPr>
            <w:r w:rsidRPr="00301632">
              <w:rPr>
                <w:rFonts w:ascii="Calibri" w:eastAsia="Times New Roman" w:hAnsi="Calibri" w:cs="Calibri"/>
                <w:sz w:val="16"/>
                <w:szCs w:val="16"/>
                <w:lang w:val="en-US"/>
              </w:rPr>
              <w:t>1 August 2021 – 30 June 2022</w:t>
            </w:r>
          </w:p>
        </w:tc>
        <w:tc>
          <w:tcPr>
            <w:tcW w:w="1134" w:type="dxa"/>
            <w:tcBorders>
              <w:top w:val="single" w:sz="4" w:space="0" w:color="auto"/>
              <w:left w:val="nil"/>
              <w:bottom w:val="single" w:sz="4" w:space="0" w:color="auto"/>
              <w:right w:val="nil"/>
            </w:tcBorders>
          </w:tcPr>
          <w:p w14:paraId="240167C1"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2,721,836</w:t>
            </w:r>
          </w:p>
        </w:tc>
        <w:tc>
          <w:tcPr>
            <w:tcW w:w="1418" w:type="dxa"/>
            <w:tcBorders>
              <w:top w:val="single" w:sz="4" w:space="0" w:color="auto"/>
              <w:left w:val="nil"/>
              <w:bottom w:val="single" w:sz="4" w:space="0" w:color="auto"/>
              <w:right w:val="nil"/>
            </w:tcBorders>
          </w:tcPr>
          <w:p w14:paraId="64F615C0"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460,323</w:t>
            </w:r>
          </w:p>
        </w:tc>
        <w:tc>
          <w:tcPr>
            <w:tcW w:w="1136" w:type="dxa"/>
            <w:tcBorders>
              <w:top w:val="single" w:sz="4" w:space="0" w:color="auto"/>
              <w:left w:val="nil"/>
              <w:bottom w:val="single" w:sz="4" w:space="0" w:color="auto"/>
              <w:right w:val="nil"/>
            </w:tcBorders>
          </w:tcPr>
          <w:p w14:paraId="4FAD6142"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184,264</w:t>
            </w:r>
          </w:p>
        </w:tc>
        <w:tc>
          <w:tcPr>
            <w:tcW w:w="943" w:type="dxa"/>
            <w:tcBorders>
              <w:top w:val="single" w:sz="4" w:space="0" w:color="auto"/>
              <w:left w:val="nil"/>
              <w:bottom w:val="single" w:sz="4" w:space="0" w:color="auto"/>
              <w:right w:val="nil"/>
            </w:tcBorders>
          </w:tcPr>
          <w:p w14:paraId="4978FA24"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1,420</w:t>
            </w:r>
          </w:p>
        </w:tc>
        <w:tc>
          <w:tcPr>
            <w:tcW w:w="900" w:type="dxa"/>
            <w:tcBorders>
              <w:top w:val="single" w:sz="4" w:space="0" w:color="auto"/>
              <w:left w:val="nil"/>
              <w:bottom w:val="single" w:sz="4" w:space="0" w:color="auto"/>
              <w:right w:val="nil"/>
            </w:tcBorders>
          </w:tcPr>
          <w:p w14:paraId="412116C3"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186,950</w:t>
            </w:r>
          </w:p>
        </w:tc>
        <w:tc>
          <w:tcPr>
            <w:tcW w:w="1053" w:type="dxa"/>
            <w:tcBorders>
              <w:top w:val="single" w:sz="4" w:space="0" w:color="auto"/>
              <w:left w:val="nil"/>
              <w:bottom w:val="single" w:sz="4" w:space="0" w:color="auto"/>
              <w:right w:val="nil"/>
            </w:tcBorders>
            <w:shd w:val="clear" w:color="auto" w:fill="D9D9D6"/>
          </w:tcPr>
          <w:p w14:paraId="2D730EF5"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3,554,793</w:t>
            </w:r>
          </w:p>
        </w:tc>
      </w:tr>
      <w:tr w:rsidR="00301632" w:rsidRPr="00301632" w14:paraId="0CA3E6F2" w14:textId="77777777" w:rsidTr="00301632">
        <w:trPr>
          <w:cantSplit/>
        </w:trPr>
        <w:tc>
          <w:tcPr>
            <w:tcW w:w="1413" w:type="dxa"/>
            <w:tcBorders>
              <w:top w:val="single" w:sz="4" w:space="0" w:color="auto"/>
              <w:left w:val="nil"/>
              <w:bottom w:val="single" w:sz="4" w:space="0" w:color="auto"/>
              <w:right w:val="nil"/>
            </w:tcBorders>
            <w:shd w:val="clear" w:color="auto" w:fill="auto"/>
          </w:tcPr>
          <w:p w14:paraId="67FB9801" w14:textId="77777777" w:rsidR="00301632" w:rsidRPr="00301632" w:rsidRDefault="00301632" w:rsidP="00301632">
            <w:pPr>
              <w:spacing w:before="120" w:after="120"/>
              <w:rPr>
                <w:rFonts w:ascii="Calibri" w:eastAsia="SimHei" w:hAnsi="Calibri" w:cs="Calibri"/>
                <w:sz w:val="16"/>
                <w:szCs w:val="16"/>
              </w:rPr>
            </w:pPr>
            <w:r w:rsidRPr="00301632">
              <w:rPr>
                <w:rFonts w:ascii="Calibri" w:eastAsia="Times New Roman" w:hAnsi="Calibri" w:cs="Calibri"/>
                <w:sz w:val="16"/>
                <w:szCs w:val="16"/>
                <w:lang w:val="en-US"/>
              </w:rPr>
              <w:t>Senior Secondary Pathways (Many talents One VCE)</w:t>
            </w:r>
          </w:p>
        </w:tc>
        <w:tc>
          <w:tcPr>
            <w:tcW w:w="4536" w:type="dxa"/>
            <w:tcBorders>
              <w:top w:val="single" w:sz="4" w:space="0" w:color="auto"/>
              <w:left w:val="nil"/>
              <w:bottom w:val="single" w:sz="4" w:space="0" w:color="auto"/>
              <w:right w:val="nil"/>
            </w:tcBorders>
          </w:tcPr>
          <w:p w14:paraId="3A034A56" w14:textId="77777777" w:rsidR="00301632" w:rsidRPr="00301632" w:rsidRDefault="00301632" w:rsidP="00301632">
            <w:pPr>
              <w:spacing w:before="120" w:after="120"/>
              <w:rPr>
                <w:rFonts w:ascii="Calibri" w:hAnsi="Calibri" w:cs="Calibri"/>
                <w:sz w:val="16"/>
                <w:szCs w:val="16"/>
              </w:rPr>
            </w:pPr>
            <w:r w:rsidRPr="00301632">
              <w:rPr>
                <w:rFonts w:ascii="Calibri" w:eastAsia="Times New Roman" w:hAnsi="Calibri" w:cs="Calibri"/>
                <w:sz w:val="16"/>
                <w:szCs w:val="16"/>
              </w:rPr>
              <w:t>The campaign aimed to raise awareness of the new VCE Vocational Major replacing VCAL from 2023. The campaign targeted students, parents/guardians, and people from diverse cultural communities.</w:t>
            </w:r>
          </w:p>
        </w:tc>
        <w:tc>
          <w:tcPr>
            <w:tcW w:w="1417" w:type="dxa"/>
            <w:tcBorders>
              <w:top w:val="single" w:sz="4" w:space="0" w:color="auto"/>
              <w:left w:val="nil"/>
              <w:bottom w:val="single" w:sz="4" w:space="0" w:color="auto"/>
              <w:right w:val="nil"/>
            </w:tcBorders>
          </w:tcPr>
          <w:p w14:paraId="2B479544" w14:textId="77777777" w:rsidR="00301632" w:rsidRPr="00301632" w:rsidRDefault="00301632" w:rsidP="00301632">
            <w:pPr>
              <w:spacing w:before="120" w:after="120"/>
              <w:rPr>
                <w:rFonts w:ascii="Calibri" w:eastAsia="SimHei" w:hAnsi="Calibri" w:cs="Calibri"/>
                <w:sz w:val="16"/>
                <w:szCs w:val="16"/>
              </w:rPr>
            </w:pPr>
            <w:r w:rsidRPr="00301632">
              <w:rPr>
                <w:rFonts w:ascii="Calibri" w:eastAsia="Times New Roman" w:hAnsi="Calibri" w:cs="Calibri"/>
                <w:sz w:val="16"/>
                <w:szCs w:val="16"/>
                <w:lang w:val="en-US"/>
              </w:rPr>
              <w:t>22 May – 30 June 2022</w:t>
            </w:r>
          </w:p>
        </w:tc>
        <w:tc>
          <w:tcPr>
            <w:tcW w:w="1134" w:type="dxa"/>
            <w:tcBorders>
              <w:top w:val="single" w:sz="4" w:space="0" w:color="auto"/>
              <w:left w:val="nil"/>
              <w:bottom w:val="single" w:sz="4" w:space="0" w:color="auto"/>
              <w:right w:val="nil"/>
            </w:tcBorders>
          </w:tcPr>
          <w:p w14:paraId="74362B3D"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277,000</w:t>
            </w:r>
          </w:p>
        </w:tc>
        <w:tc>
          <w:tcPr>
            <w:tcW w:w="1418" w:type="dxa"/>
            <w:tcBorders>
              <w:top w:val="single" w:sz="4" w:space="0" w:color="auto"/>
              <w:left w:val="nil"/>
              <w:bottom w:val="single" w:sz="4" w:space="0" w:color="auto"/>
              <w:right w:val="nil"/>
            </w:tcBorders>
          </w:tcPr>
          <w:p w14:paraId="5D25C5AF"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51,157</w:t>
            </w:r>
          </w:p>
        </w:tc>
        <w:tc>
          <w:tcPr>
            <w:tcW w:w="1136" w:type="dxa"/>
            <w:tcBorders>
              <w:top w:val="single" w:sz="4" w:space="0" w:color="auto"/>
              <w:left w:val="nil"/>
              <w:bottom w:val="single" w:sz="4" w:space="0" w:color="auto"/>
              <w:right w:val="nil"/>
            </w:tcBorders>
          </w:tcPr>
          <w:p w14:paraId="0D1DB49A"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69,850</w:t>
            </w:r>
          </w:p>
        </w:tc>
        <w:tc>
          <w:tcPr>
            <w:tcW w:w="943" w:type="dxa"/>
            <w:tcBorders>
              <w:top w:val="single" w:sz="4" w:space="0" w:color="auto"/>
              <w:left w:val="nil"/>
              <w:bottom w:val="single" w:sz="4" w:space="0" w:color="auto"/>
              <w:right w:val="nil"/>
            </w:tcBorders>
          </w:tcPr>
          <w:p w14:paraId="47A62C3F"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SimHei" w:hAnsi="Calibri" w:cs="Calibri"/>
                <w:sz w:val="16"/>
                <w:szCs w:val="16"/>
              </w:rPr>
              <w:t>–</w:t>
            </w:r>
          </w:p>
        </w:tc>
        <w:tc>
          <w:tcPr>
            <w:tcW w:w="900" w:type="dxa"/>
            <w:tcBorders>
              <w:top w:val="single" w:sz="4" w:space="0" w:color="auto"/>
              <w:left w:val="nil"/>
              <w:bottom w:val="single" w:sz="4" w:space="0" w:color="auto"/>
              <w:right w:val="nil"/>
            </w:tcBorders>
          </w:tcPr>
          <w:p w14:paraId="4CFC3E7C"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SimHei" w:hAnsi="Calibri" w:cs="Calibri"/>
                <w:sz w:val="16"/>
                <w:szCs w:val="16"/>
              </w:rPr>
              <w:t>–</w:t>
            </w:r>
          </w:p>
        </w:tc>
        <w:tc>
          <w:tcPr>
            <w:tcW w:w="1053" w:type="dxa"/>
            <w:tcBorders>
              <w:top w:val="single" w:sz="4" w:space="0" w:color="auto"/>
              <w:left w:val="nil"/>
              <w:bottom w:val="single" w:sz="4" w:space="0" w:color="auto"/>
              <w:right w:val="nil"/>
            </w:tcBorders>
            <w:shd w:val="clear" w:color="auto" w:fill="D9D9D6"/>
          </w:tcPr>
          <w:p w14:paraId="03F5ED79"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398,007</w:t>
            </w:r>
          </w:p>
        </w:tc>
      </w:tr>
      <w:tr w:rsidR="00301632" w:rsidRPr="00301632" w14:paraId="7B98D2BD" w14:textId="77777777" w:rsidTr="00301632">
        <w:trPr>
          <w:cantSplit/>
        </w:trPr>
        <w:tc>
          <w:tcPr>
            <w:tcW w:w="1413" w:type="dxa"/>
            <w:tcBorders>
              <w:top w:val="single" w:sz="4" w:space="0" w:color="auto"/>
              <w:left w:val="nil"/>
              <w:bottom w:val="single" w:sz="4" w:space="0" w:color="auto"/>
              <w:right w:val="nil"/>
            </w:tcBorders>
            <w:shd w:val="clear" w:color="auto" w:fill="auto"/>
          </w:tcPr>
          <w:p w14:paraId="06DF76EF" w14:textId="77777777" w:rsidR="00301632" w:rsidRPr="00301632" w:rsidRDefault="00301632" w:rsidP="00301632">
            <w:pPr>
              <w:spacing w:before="120" w:after="120"/>
              <w:rPr>
                <w:rFonts w:ascii="Calibri" w:eastAsia="Times New Roman" w:hAnsi="Calibri" w:cs="Calibri"/>
                <w:sz w:val="16"/>
                <w:szCs w:val="16"/>
                <w:lang w:val="en-US"/>
              </w:rPr>
            </w:pPr>
            <w:r w:rsidRPr="00301632">
              <w:rPr>
                <w:rFonts w:ascii="Calibri" w:eastAsia="Times New Roman" w:hAnsi="Calibri" w:cs="Calibri"/>
                <w:sz w:val="16"/>
                <w:szCs w:val="16"/>
                <w:lang w:val="en-US"/>
              </w:rPr>
              <w:lastRenderedPageBreak/>
              <w:t xml:space="preserve">Active Schools ‘Get Your Move On’ </w:t>
            </w:r>
          </w:p>
        </w:tc>
        <w:tc>
          <w:tcPr>
            <w:tcW w:w="4536" w:type="dxa"/>
            <w:tcBorders>
              <w:top w:val="single" w:sz="4" w:space="0" w:color="auto"/>
              <w:left w:val="nil"/>
              <w:bottom w:val="single" w:sz="4" w:space="0" w:color="auto"/>
              <w:right w:val="nil"/>
            </w:tcBorders>
          </w:tcPr>
          <w:p w14:paraId="45E257F6" w14:textId="77777777" w:rsidR="00301632" w:rsidRPr="00301632" w:rsidRDefault="00301632" w:rsidP="00301632">
            <w:pPr>
              <w:spacing w:before="120" w:after="120"/>
              <w:rPr>
                <w:rFonts w:ascii="Calibri" w:eastAsia="Times New Roman" w:hAnsi="Calibri" w:cs="Calibri"/>
                <w:b/>
                <w:sz w:val="16"/>
                <w:szCs w:val="16"/>
                <w:lang w:val="en-US"/>
              </w:rPr>
            </w:pPr>
            <w:r w:rsidRPr="00301632">
              <w:rPr>
                <w:rFonts w:ascii="Calibri" w:eastAsia="Times New Roman" w:hAnsi="Calibri" w:cs="Calibri"/>
                <w:sz w:val="16"/>
                <w:szCs w:val="16"/>
              </w:rPr>
              <w:t xml:space="preserve">The campaign aimed to increase the number of Victorian students participating in physical activity outside school hours. It also sought to inspire students and young people to participate in physical activity and increase family awareness of the value of physical education and activity. </w:t>
            </w:r>
          </w:p>
          <w:p w14:paraId="1755477F" w14:textId="77777777" w:rsidR="00301632" w:rsidRPr="00301632" w:rsidRDefault="00301632" w:rsidP="00301632">
            <w:pPr>
              <w:spacing w:before="120" w:after="120"/>
              <w:rPr>
                <w:rFonts w:ascii="Calibri" w:eastAsia="Times New Roman" w:hAnsi="Calibri" w:cs="Calibri"/>
                <w:sz w:val="16"/>
                <w:szCs w:val="16"/>
              </w:rPr>
            </w:pPr>
            <w:r w:rsidRPr="00301632">
              <w:rPr>
                <w:rFonts w:ascii="Calibri" w:eastAsia="Times New Roman" w:hAnsi="Calibri" w:cs="Calibri"/>
                <w:sz w:val="16"/>
                <w:szCs w:val="16"/>
              </w:rPr>
              <w:t xml:space="preserve">This campaign launched in April 2021 and will continue until June 2023. </w:t>
            </w:r>
          </w:p>
        </w:tc>
        <w:tc>
          <w:tcPr>
            <w:tcW w:w="1417" w:type="dxa"/>
            <w:tcBorders>
              <w:top w:val="single" w:sz="4" w:space="0" w:color="auto"/>
              <w:left w:val="nil"/>
              <w:bottom w:val="single" w:sz="4" w:space="0" w:color="auto"/>
              <w:right w:val="nil"/>
            </w:tcBorders>
          </w:tcPr>
          <w:p w14:paraId="3DA47F6B" w14:textId="77777777" w:rsidR="00301632" w:rsidRPr="00301632" w:rsidRDefault="00301632" w:rsidP="00301632">
            <w:pPr>
              <w:spacing w:before="120" w:after="120"/>
              <w:rPr>
                <w:rFonts w:ascii="Calibri" w:eastAsia="Times New Roman" w:hAnsi="Calibri" w:cs="Calibri"/>
                <w:sz w:val="16"/>
                <w:szCs w:val="16"/>
                <w:lang w:val="en-US"/>
              </w:rPr>
            </w:pPr>
            <w:r w:rsidRPr="00301632">
              <w:rPr>
                <w:rFonts w:ascii="Calibri" w:eastAsia="Times New Roman" w:hAnsi="Calibri" w:cs="Calibri"/>
                <w:sz w:val="16"/>
                <w:szCs w:val="16"/>
                <w:lang w:val="en-US"/>
              </w:rPr>
              <w:t>1 July 2021 – 30 June 2022</w:t>
            </w:r>
          </w:p>
        </w:tc>
        <w:tc>
          <w:tcPr>
            <w:tcW w:w="1134" w:type="dxa"/>
            <w:tcBorders>
              <w:top w:val="single" w:sz="4" w:space="0" w:color="auto"/>
              <w:left w:val="nil"/>
              <w:bottom w:val="single" w:sz="4" w:space="0" w:color="auto"/>
              <w:right w:val="nil"/>
            </w:tcBorders>
          </w:tcPr>
          <w:p w14:paraId="6AB9131F" w14:textId="77777777" w:rsidR="00301632" w:rsidRPr="00301632" w:rsidRDefault="00301632" w:rsidP="00301632">
            <w:pPr>
              <w:spacing w:before="120" w:after="120"/>
              <w:jc w:val="center"/>
              <w:rPr>
                <w:rFonts w:ascii="Calibri" w:eastAsia="Times New Roman" w:hAnsi="Calibri" w:cs="Calibri"/>
                <w:sz w:val="16"/>
                <w:szCs w:val="16"/>
                <w:lang w:val="en-US"/>
              </w:rPr>
            </w:pPr>
            <w:r w:rsidRPr="00301632">
              <w:rPr>
                <w:rFonts w:ascii="Calibri" w:eastAsia="Times New Roman" w:hAnsi="Calibri" w:cs="Calibri"/>
                <w:sz w:val="16"/>
                <w:szCs w:val="16"/>
                <w:lang w:val="en-US"/>
              </w:rPr>
              <w:t>705,115</w:t>
            </w:r>
          </w:p>
        </w:tc>
        <w:tc>
          <w:tcPr>
            <w:tcW w:w="1418" w:type="dxa"/>
            <w:tcBorders>
              <w:top w:val="single" w:sz="4" w:space="0" w:color="auto"/>
              <w:left w:val="nil"/>
              <w:bottom w:val="single" w:sz="4" w:space="0" w:color="auto"/>
              <w:right w:val="nil"/>
            </w:tcBorders>
          </w:tcPr>
          <w:p w14:paraId="591F71A3" w14:textId="77777777" w:rsidR="00301632" w:rsidRPr="00301632" w:rsidRDefault="00301632" w:rsidP="00301632">
            <w:pPr>
              <w:spacing w:before="120" w:after="120"/>
              <w:jc w:val="center"/>
              <w:rPr>
                <w:rFonts w:ascii="Calibri" w:eastAsia="Times New Roman" w:hAnsi="Calibri" w:cs="Calibri"/>
                <w:sz w:val="16"/>
                <w:szCs w:val="16"/>
                <w:lang w:val="en-US"/>
              </w:rPr>
            </w:pPr>
            <w:r w:rsidRPr="00301632">
              <w:rPr>
                <w:rFonts w:ascii="Calibri" w:eastAsia="Times New Roman" w:hAnsi="Calibri" w:cs="Calibri"/>
                <w:sz w:val="16"/>
                <w:szCs w:val="16"/>
                <w:lang w:val="en-US"/>
              </w:rPr>
              <w:t>23,272</w:t>
            </w:r>
          </w:p>
        </w:tc>
        <w:tc>
          <w:tcPr>
            <w:tcW w:w="1136" w:type="dxa"/>
            <w:tcBorders>
              <w:top w:val="single" w:sz="4" w:space="0" w:color="auto"/>
              <w:left w:val="nil"/>
              <w:bottom w:val="single" w:sz="4" w:space="0" w:color="auto"/>
              <w:right w:val="nil"/>
            </w:tcBorders>
          </w:tcPr>
          <w:p w14:paraId="26577134" w14:textId="77777777" w:rsidR="00301632" w:rsidRPr="00301632" w:rsidRDefault="00301632" w:rsidP="00301632">
            <w:pPr>
              <w:spacing w:before="120" w:after="120"/>
              <w:jc w:val="center"/>
              <w:rPr>
                <w:rFonts w:ascii="Calibri" w:eastAsia="Times New Roman" w:hAnsi="Calibri" w:cs="Calibri"/>
                <w:sz w:val="16"/>
                <w:szCs w:val="16"/>
                <w:lang w:val="en-US"/>
              </w:rPr>
            </w:pPr>
            <w:r w:rsidRPr="00301632">
              <w:rPr>
                <w:rFonts w:ascii="Calibri" w:eastAsia="Times New Roman" w:hAnsi="Calibri" w:cs="Calibri"/>
                <w:sz w:val="16"/>
                <w:szCs w:val="16"/>
                <w:lang w:val="en-US"/>
              </w:rPr>
              <w:t>49,990</w:t>
            </w:r>
          </w:p>
        </w:tc>
        <w:tc>
          <w:tcPr>
            <w:tcW w:w="943" w:type="dxa"/>
            <w:tcBorders>
              <w:top w:val="single" w:sz="4" w:space="0" w:color="auto"/>
              <w:left w:val="nil"/>
              <w:bottom w:val="single" w:sz="4" w:space="0" w:color="auto"/>
              <w:right w:val="nil"/>
            </w:tcBorders>
          </w:tcPr>
          <w:p w14:paraId="039E9C74"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30,160</w:t>
            </w:r>
          </w:p>
        </w:tc>
        <w:tc>
          <w:tcPr>
            <w:tcW w:w="900" w:type="dxa"/>
            <w:tcBorders>
              <w:top w:val="single" w:sz="4" w:space="0" w:color="auto"/>
              <w:left w:val="nil"/>
              <w:bottom w:val="single" w:sz="4" w:space="0" w:color="auto"/>
              <w:right w:val="nil"/>
            </w:tcBorders>
          </w:tcPr>
          <w:p w14:paraId="76E4C955"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Times New Roman" w:hAnsi="Calibri" w:cs="Calibri"/>
                <w:sz w:val="16"/>
                <w:szCs w:val="16"/>
                <w:lang w:val="en-US"/>
              </w:rPr>
              <w:t>482,835</w:t>
            </w:r>
          </w:p>
        </w:tc>
        <w:tc>
          <w:tcPr>
            <w:tcW w:w="1053" w:type="dxa"/>
            <w:tcBorders>
              <w:top w:val="single" w:sz="4" w:space="0" w:color="auto"/>
              <w:left w:val="nil"/>
              <w:bottom w:val="single" w:sz="4" w:space="0" w:color="auto"/>
              <w:right w:val="nil"/>
            </w:tcBorders>
            <w:shd w:val="clear" w:color="auto" w:fill="D9D9D6"/>
          </w:tcPr>
          <w:p w14:paraId="420CAEC0" w14:textId="77777777" w:rsidR="00301632" w:rsidRPr="00301632" w:rsidRDefault="00301632" w:rsidP="00301632">
            <w:pPr>
              <w:spacing w:before="120" w:after="120"/>
              <w:jc w:val="center"/>
              <w:rPr>
                <w:rFonts w:ascii="Calibri" w:eastAsia="Times New Roman" w:hAnsi="Calibri" w:cs="Calibri"/>
                <w:sz w:val="16"/>
                <w:szCs w:val="16"/>
                <w:lang w:val="en-US"/>
              </w:rPr>
            </w:pPr>
            <w:r w:rsidRPr="00301632">
              <w:rPr>
                <w:rFonts w:ascii="Calibri" w:eastAsia="Times New Roman" w:hAnsi="Calibri" w:cs="Calibri"/>
                <w:sz w:val="16"/>
                <w:szCs w:val="16"/>
                <w:lang w:val="en-US"/>
              </w:rPr>
              <w:t>1,291,373</w:t>
            </w:r>
          </w:p>
        </w:tc>
      </w:tr>
      <w:tr w:rsidR="00301632" w:rsidRPr="00301632" w14:paraId="6EA9B830" w14:textId="77777777" w:rsidTr="00301632">
        <w:trPr>
          <w:cantSplit/>
        </w:trPr>
        <w:tc>
          <w:tcPr>
            <w:tcW w:w="1413" w:type="dxa"/>
            <w:tcBorders>
              <w:top w:val="single" w:sz="4" w:space="0" w:color="auto"/>
              <w:left w:val="nil"/>
              <w:bottom w:val="single" w:sz="4" w:space="0" w:color="auto"/>
              <w:right w:val="nil"/>
            </w:tcBorders>
            <w:shd w:val="clear" w:color="auto" w:fill="auto"/>
          </w:tcPr>
          <w:p w14:paraId="30D99871" w14:textId="77777777" w:rsidR="00301632" w:rsidRPr="00301632" w:rsidRDefault="00301632" w:rsidP="00301632">
            <w:pPr>
              <w:spacing w:before="120" w:after="120"/>
              <w:rPr>
                <w:rFonts w:ascii="Calibri" w:eastAsia="Times New Roman" w:hAnsi="Calibri" w:cs="Calibri"/>
                <w:sz w:val="16"/>
                <w:szCs w:val="16"/>
                <w:lang w:val="en-US"/>
              </w:rPr>
            </w:pPr>
            <w:r w:rsidRPr="00301632">
              <w:rPr>
                <w:rFonts w:ascii="Calibri" w:eastAsia="Times New Roman" w:hAnsi="Calibri" w:cs="Calibri"/>
                <w:sz w:val="16"/>
                <w:szCs w:val="16"/>
                <w:lang w:val="en-US"/>
              </w:rPr>
              <w:t xml:space="preserve">Keeping our schools and early childhood services COVID Safe campaign </w:t>
            </w:r>
          </w:p>
        </w:tc>
        <w:tc>
          <w:tcPr>
            <w:tcW w:w="4536" w:type="dxa"/>
            <w:tcBorders>
              <w:top w:val="single" w:sz="4" w:space="0" w:color="auto"/>
              <w:left w:val="nil"/>
              <w:bottom w:val="single" w:sz="4" w:space="0" w:color="auto"/>
              <w:right w:val="nil"/>
            </w:tcBorders>
          </w:tcPr>
          <w:p w14:paraId="26BA0397" w14:textId="77777777" w:rsidR="00301632" w:rsidRPr="00301632" w:rsidRDefault="00301632" w:rsidP="00301632">
            <w:pPr>
              <w:spacing w:before="120" w:after="120"/>
              <w:rPr>
                <w:rFonts w:ascii="Calibri" w:eastAsia="Times New Roman" w:hAnsi="Calibri" w:cs="Calibri"/>
                <w:sz w:val="16"/>
                <w:szCs w:val="16"/>
              </w:rPr>
            </w:pPr>
            <w:r w:rsidRPr="00301632">
              <w:rPr>
                <w:rFonts w:ascii="Calibri" w:eastAsia="Times New Roman" w:hAnsi="Calibri" w:cs="Calibri"/>
                <w:sz w:val="16"/>
                <w:szCs w:val="16"/>
              </w:rPr>
              <w:t xml:space="preserve">The campaign aimed to raise awareness of the return to face-to-face learning in Term 1, 2022 and the promotion of RATs, wearing face masks as required, and staying home if unwell. </w:t>
            </w:r>
          </w:p>
        </w:tc>
        <w:tc>
          <w:tcPr>
            <w:tcW w:w="1417" w:type="dxa"/>
            <w:tcBorders>
              <w:top w:val="single" w:sz="4" w:space="0" w:color="auto"/>
              <w:left w:val="nil"/>
              <w:bottom w:val="single" w:sz="4" w:space="0" w:color="auto"/>
              <w:right w:val="nil"/>
            </w:tcBorders>
          </w:tcPr>
          <w:p w14:paraId="492877D8" w14:textId="77777777" w:rsidR="00301632" w:rsidRPr="00301632" w:rsidRDefault="00301632" w:rsidP="00301632">
            <w:pPr>
              <w:spacing w:before="120" w:after="120"/>
              <w:rPr>
                <w:rFonts w:ascii="Calibri" w:eastAsia="Times New Roman" w:hAnsi="Calibri" w:cs="Calibri"/>
                <w:sz w:val="16"/>
                <w:szCs w:val="16"/>
                <w:lang w:val="en-US"/>
              </w:rPr>
            </w:pPr>
            <w:r w:rsidRPr="00301632">
              <w:rPr>
                <w:rFonts w:ascii="Calibri" w:eastAsia="Times New Roman" w:hAnsi="Calibri" w:cs="Calibri"/>
                <w:sz w:val="16"/>
                <w:szCs w:val="16"/>
                <w:lang w:val="en-US"/>
              </w:rPr>
              <w:t>31 January – 25 April 2022</w:t>
            </w:r>
          </w:p>
        </w:tc>
        <w:tc>
          <w:tcPr>
            <w:tcW w:w="1134" w:type="dxa"/>
            <w:tcBorders>
              <w:top w:val="single" w:sz="4" w:space="0" w:color="auto"/>
              <w:left w:val="nil"/>
              <w:bottom w:val="single" w:sz="4" w:space="0" w:color="auto"/>
              <w:right w:val="nil"/>
            </w:tcBorders>
          </w:tcPr>
          <w:p w14:paraId="308A77F4" w14:textId="77777777" w:rsidR="00301632" w:rsidRPr="00301632" w:rsidRDefault="00301632" w:rsidP="00301632">
            <w:pPr>
              <w:spacing w:before="120" w:after="120"/>
              <w:jc w:val="center"/>
              <w:rPr>
                <w:rFonts w:ascii="Calibri" w:eastAsia="Times New Roman" w:hAnsi="Calibri" w:cs="Calibri"/>
                <w:sz w:val="16"/>
                <w:szCs w:val="16"/>
                <w:lang w:val="en-US"/>
              </w:rPr>
            </w:pPr>
            <w:r w:rsidRPr="00301632">
              <w:rPr>
                <w:rFonts w:ascii="Calibri" w:eastAsia="Times New Roman" w:hAnsi="Calibri" w:cs="Calibri"/>
                <w:sz w:val="16"/>
                <w:szCs w:val="16"/>
                <w:lang w:val="en-US"/>
              </w:rPr>
              <w:t>167,073</w:t>
            </w:r>
          </w:p>
        </w:tc>
        <w:tc>
          <w:tcPr>
            <w:tcW w:w="1418" w:type="dxa"/>
            <w:tcBorders>
              <w:top w:val="single" w:sz="4" w:space="0" w:color="auto"/>
              <w:left w:val="nil"/>
              <w:bottom w:val="single" w:sz="4" w:space="0" w:color="auto"/>
              <w:right w:val="nil"/>
            </w:tcBorders>
          </w:tcPr>
          <w:p w14:paraId="4B28A75A" w14:textId="77777777" w:rsidR="00301632" w:rsidRPr="00301632" w:rsidRDefault="00301632" w:rsidP="00301632">
            <w:pPr>
              <w:spacing w:before="120" w:after="120"/>
              <w:jc w:val="center"/>
              <w:rPr>
                <w:rFonts w:ascii="Calibri" w:eastAsia="Times New Roman" w:hAnsi="Calibri" w:cs="Calibri"/>
                <w:sz w:val="16"/>
                <w:szCs w:val="16"/>
                <w:lang w:val="en-US"/>
              </w:rPr>
            </w:pPr>
            <w:r w:rsidRPr="00301632">
              <w:rPr>
                <w:rFonts w:ascii="Calibri" w:eastAsia="Times New Roman" w:hAnsi="Calibri" w:cs="Calibri"/>
                <w:sz w:val="16"/>
                <w:szCs w:val="16"/>
                <w:lang w:val="en-US"/>
              </w:rPr>
              <w:t>50,199</w:t>
            </w:r>
          </w:p>
        </w:tc>
        <w:tc>
          <w:tcPr>
            <w:tcW w:w="1136" w:type="dxa"/>
            <w:tcBorders>
              <w:top w:val="single" w:sz="4" w:space="0" w:color="auto"/>
              <w:left w:val="nil"/>
              <w:bottom w:val="single" w:sz="4" w:space="0" w:color="auto"/>
              <w:right w:val="nil"/>
            </w:tcBorders>
          </w:tcPr>
          <w:p w14:paraId="71A90E1F" w14:textId="77777777" w:rsidR="00301632" w:rsidRPr="00301632" w:rsidRDefault="00301632" w:rsidP="00301632">
            <w:pPr>
              <w:spacing w:before="120" w:after="120"/>
              <w:jc w:val="center"/>
              <w:rPr>
                <w:rFonts w:ascii="Calibri" w:eastAsia="Times New Roman" w:hAnsi="Calibri" w:cs="Calibri"/>
                <w:sz w:val="16"/>
                <w:szCs w:val="16"/>
                <w:lang w:val="en-US"/>
              </w:rPr>
            </w:pPr>
            <w:r w:rsidRPr="00301632">
              <w:rPr>
                <w:rFonts w:ascii="Calibri" w:eastAsia="SimHei" w:hAnsi="Calibri" w:cs="Calibri"/>
                <w:sz w:val="16"/>
                <w:szCs w:val="16"/>
              </w:rPr>
              <w:t>–</w:t>
            </w:r>
          </w:p>
        </w:tc>
        <w:tc>
          <w:tcPr>
            <w:tcW w:w="943" w:type="dxa"/>
            <w:tcBorders>
              <w:top w:val="single" w:sz="4" w:space="0" w:color="auto"/>
              <w:left w:val="nil"/>
              <w:bottom w:val="single" w:sz="4" w:space="0" w:color="auto"/>
              <w:right w:val="nil"/>
            </w:tcBorders>
          </w:tcPr>
          <w:p w14:paraId="7D8FA0B6"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SimHei" w:hAnsi="Calibri" w:cs="Calibri"/>
                <w:sz w:val="16"/>
                <w:szCs w:val="16"/>
              </w:rPr>
              <w:t>–</w:t>
            </w:r>
          </w:p>
        </w:tc>
        <w:tc>
          <w:tcPr>
            <w:tcW w:w="900" w:type="dxa"/>
            <w:tcBorders>
              <w:top w:val="single" w:sz="4" w:space="0" w:color="auto"/>
              <w:left w:val="nil"/>
              <w:bottom w:val="single" w:sz="4" w:space="0" w:color="auto"/>
              <w:right w:val="nil"/>
            </w:tcBorders>
          </w:tcPr>
          <w:p w14:paraId="0A15643A" w14:textId="77777777" w:rsidR="00301632" w:rsidRPr="00301632" w:rsidRDefault="00301632" w:rsidP="00301632">
            <w:pPr>
              <w:spacing w:before="120" w:after="120"/>
              <w:jc w:val="center"/>
              <w:rPr>
                <w:rFonts w:ascii="Calibri" w:eastAsia="SimHei" w:hAnsi="Calibri" w:cs="Calibri"/>
                <w:sz w:val="16"/>
                <w:szCs w:val="16"/>
              </w:rPr>
            </w:pPr>
            <w:r w:rsidRPr="00301632">
              <w:rPr>
                <w:rFonts w:ascii="Calibri" w:eastAsia="SimHei" w:hAnsi="Calibri" w:cs="Calibri"/>
                <w:sz w:val="16"/>
                <w:szCs w:val="16"/>
              </w:rPr>
              <w:t>–</w:t>
            </w:r>
          </w:p>
        </w:tc>
        <w:tc>
          <w:tcPr>
            <w:tcW w:w="1053" w:type="dxa"/>
            <w:tcBorders>
              <w:top w:val="single" w:sz="4" w:space="0" w:color="auto"/>
              <w:left w:val="nil"/>
              <w:bottom w:val="single" w:sz="4" w:space="0" w:color="auto"/>
              <w:right w:val="nil"/>
            </w:tcBorders>
            <w:shd w:val="clear" w:color="auto" w:fill="D9D9D6"/>
          </w:tcPr>
          <w:p w14:paraId="71B2AD27" w14:textId="77777777" w:rsidR="00301632" w:rsidRPr="00301632" w:rsidRDefault="00301632" w:rsidP="00301632">
            <w:pPr>
              <w:spacing w:before="120" w:after="120"/>
              <w:jc w:val="center"/>
              <w:rPr>
                <w:rFonts w:ascii="Calibri" w:eastAsia="Times New Roman" w:hAnsi="Calibri" w:cs="Calibri"/>
                <w:sz w:val="16"/>
                <w:szCs w:val="16"/>
                <w:lang w:val="en-US"/>
              </w:rPr>
            </w:pPr>
            <w:r w:rsidRPr="00301632">
              <w:rPr>
                <w:rFonts w:ascii="Calibri" w:eastAsia="Times New Roman" w:hAnsi="Calibri" w:cs="Calibri"/>
                <w:sz w:val="16"/>
                <w:szCs w:val="16"/>
                <w:lang w:val="en-US"/>
              </w:rPr>
              <w:t>217,272</w:t>
            </w:r>
          </w:p>
        </w:tc>
      </w:tr>
    </w:tbl>
    <w:p w14:paraId="0A54B6B8" w14:textId="77777777" w:rsidR="00334DD8" w:rsidRPr="00301632" w:rsidRDefault="00334DD8">
      <w:pPr>
        <w:rPr>
          <w:lang w:val="en-US"/>
        </w:rPr>
      </w:pPr>
    </w:p>
    <w:sectPr w:rsidR="00334DD8" w:rsidRPr="00301632" w:rsidSect="0030163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32"/>
    <w:rsid w:val="00301632"/>
    <w:rsid w:val="00334DD8"/>
    <w:rsid w:val="00F947E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0096"/>
  <w15:chartTrackingRefBased/>
  <w15:docId w15:val="{E55B142E-87B5-4178-BAC8-72D57254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1632"/>
    <w:pPr>
      <w:spacing w:after="0" w:line="240" w:lineRule="auto"/>
    </w:pPr>
    <w:rPr>
      <w:rFonts w:eastAsia="Arial"/>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Heading2">
    <w:name w:val="ES_Heading 2"/>
    <w:basedOn w:val="Normal"/>
    <w:link w:val="ESHeading2Char"/>
    <w:autoRedefine/>
    <w:qFormat/>
    <w:rsid w:val="00F947E7"/>
    <w:pPr>
      <w:spacing w:before="240" w:after="180" w:line="240" w:lineRule="atLeast"/>
      <w:outlineLvl w:val="0"/>
    </w:pPr>
    <w:rPr>
      <w:rFonts w:ascii="Calibri" w:eastAsiaTheme="majorEastAsia" w:hAnsi="Calibri" w:cs="Calibri"/>
      <w:bCs/>
      <w:color w:val="8A0000"/>
      <w:spacing w:val="5"/>
      <w:kern w:val="28"/>
      <w:sz w:val="28"/>
      <w:szCs w:val="20"/>
      <w:lang w:val="en-US" w:eastAsia="en-US"/>
    </w:rPr>
  </w:style>
  <w:style w:type="character" w:customStyle="1" w:styleId="ESHeading2Char">
    <w:name w:val="ES_Heading 2 Char"/>
    <w:basedOn w:val="DefaultParagraphFont"/>
    <w:link w:val="ESHeading2"/>
    <w:rsid w:val="00F947E7"/>
    <w:rPr>
      <w:rFonts w:ascii="Calibri" w:eastAsiaTheme="majorEastAsia" w:hAnsi="Calibri" w:cs="Calibri"/>
      <w:bCs/>
      <w:color w:val="8A0000"/>
      <w:spacing w:val="5"/>
      <w:kern w:val="28"/>
      <w:sz w:val="28"/>
      <w:szCs w:val="20"/>
      <w:lang w:val="en-US" w:eastAsia="en-US"/>
    </w:rPr>
  </w:style>
  <w:style w:type="paragraph" w:customStyle="1" w:styleId="ESTableintroheading">
    <w:name w:val="ES_Table intro heading"/>
    <w:basedOn w:val="Normal"/>
    <w:link w:val="ESTableintroheadingChar"/>
    <w:qFormat/>
    <w:rsid w:val="00301632"/>
    <w:pPr>
      <w:keepNext/>
      <w:spacing w:before="120" w:after="120" w:line="240" w:lineRule="auto"/>
    </w:pPr>
    <w:rPr>
      <w:rFonts w:ascii="Arial" w:hAnsi="Arial" w:cs="Arial"/>
      <w:b/>
      <w:color w:val="FFC000" w:themeColor="accent4"/>
      <w:sz w:val="20"/>
      <w:szCs w:val="18"/>
      <w:lang w:val="en-US" w:eastAsia="en-US"/>
    </w:rPr>
  </w:style>
  <w:style w:type="character" w:customStyle="1" w:styleId="ESTableintroheadingChar">
    <w:name w:val="ES_Table intro heading Char"/>
    <w:basedOn w:val="DefaultParagraphFont"/>
    <w:link w:val="ESTableintroheading"/>
    <w:rsid w:val="00301632"/>
    <w:rPr>
      <w:rFonts w:ascii="Arial" w:hAnsi="Arial" w:cs="Arial"/>
      <w:b/>
      <w:color w:val="FFC000" w:themeColor="accent4"/>
      <w:sz w:val="20"/>
      <w:szCs w:val="18"/>
      <w:lang w:val="en-US" w:eastAsia="en-US"/>
    </w:rPr>
  </w:style>
  <w:style w:type="paragraph" w:customStyle="1" w:styleId="ESTableheadingwhite">
    <w:name w:val="ES_Table heading white"/>
    <w:basedOn w:val="Normal"/>
    <w:link w:val="ESTableheadingwhiteChar"/>
    <w:qFormat/>
    <w:rsid w:val="00301632"/>
    <w:pPr>
      <w:spacing w:before="80" w:after="80" w:line="240" w:lineRule="auto"/>
    </w:pPr>
    <w:rPr>
      <w:rFonts w:ascii="Arial" w:hAnsi="Arial" w:cs="Arial"/>
      <w:b/>
      <w:color w:val="FFFFFF" w:themeColor="background1"/>
      <w:sz w:val="19"/>
      <w:szCs w:val="18"/>
      <w:lang w:val="en-US" w:eastAsia="en-US"/>
    </w:rPr>
  </w:style>
  <w:style w:type="character" w:customStyle="1" w:styleId="ESTableheadingwhiteChar">
    <w:name w:val="ES_Table heading white Char"/>
    <w:basedOn w:val="DefaultParagraphFont"/>
    <w:link w:val="ESTableheadingwhite"/>
    <w:rsid w:val="00301632"/>
    <w:rPr>
      <w:rFonts w:ascii="Arial" w:hAnsi="Arial" w:cs="Arial"/>
      <w:b/>
      <w:color w:val="FFFFFF" w:themeColor="background1"/>
      <w:sz w:val="19"/>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728</Words>
  <Characters>4154</Characters>
  <Application>Microsoft Office Word</Application>
  <DocSecurity>0</DocSecurity>
  <Lines>34</Lines>
  <Paragraphs>9</Paragraphs>
  <ScaleCrop>false</ScaleCrop>
  <Company>DET</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Wu</dc:creator>
  <cp:keywords/>
  <dc:description/>
  <cp:lastModifiedBy>Elaine Wu</cp:lastModifiedBy>
  <cp:revision>2</cp:revision>
  <dcterms:created xsi:type="dcterms:W3CDTF">2022-09-07T04:53:00Z</dcterms:created>
  <dcterms:modified xsi:type="dcterms:W3CDTF">2022-09-07T05:37:00Z</dcterms:modified>
</cp:coreProperties>
</file>