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0C62" w14:textId="77777777" w:rsidR="00B50732" w:rsidRDefault="00BA54DA" w:rsidP="00B50732">
      <w:pPr>
        <w:pStyle w:val="Title"/>
      </w:pPr>
      <w:r w:rsidRPr="00BA54DA">
        <w:t>The impact of post-consumer plastics export ban on Victoria</w:t>
      </w:r>
    </w:p>
    <w:p w14:paraId="31CFE78A" w14:textId="77777777" w:rsidR="004E1FE1" w:rsidRPr="00B50732" w:rsidRDefault="004E1FE1" w:rsidP="00B50732">
      <w:pPr>
        <w:rPr>
          <w:iCs/>
          <w:color w:val="004C97" w:themeColor="accent3"/>
        </w:rPr>
      </w:pPr>
      <w:r w:rsidRPr="00B50732">
        <w:rPr>
          <w:color w:val="004C97" w:themeColor="accent3"/>
          <w:lang w:val="en-US"/>
        </w:rPr>
        <w:t>This Recycling Victoria report was prepared by Blue Environment</w:t>
      </w:r>
    </w:p>
    <w:p w14:paraId="0FF26E1B" w14:textId="77777777" w:rsidR="00B50732" w:rsidRPr="00B50732" w:rsidRDefault="00B50732" w:rsidP="00B50732">
      <w:pPr>
        <w:pStyle w:val="BodyText"/>
        <w:rPr>
          <w:lang w:eastAsia="en-AU"/>
        </w:rPr>
        <w:sectPr w:rsidR="00B50732" w:rsidRPr="00B50732"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r w:rsidRPr="00B50732">
        <w:rPr>
          <w:rFonts w:cs="Arial"/>
          <w:color w:val="004C97" w:themeColor="accent3"/>
          <w:lang w:val="en-US"/>
        </w:rPr>
        <w:t>September 2022</w:t>
      </w:r>
    </w:p>
    <w:p w14:paraId="6276B489" w14:textId="77777777" w:rsidR="002B476A" w:rsidRDefault="002B476A" w:rsidP="00BA54DA">
      <w:pPr>
        <w:spacing w:before="60" w:after="120" w:line="260" w:lineRule="atLeast"/>
        <w:rPr>
          <w:rFonts w:cs="Times New Roman"/>
        </w:rPr>
      </w:pPr>
      <w:r w:rsidRPr="002B476A">
        <w:rPr>
          <w:rFonts w:cs="Times New Roman"/>
        </w:rPr>
        <w:t>The Australian Harmoni</w:t>
      </w:r>
      <w:r w:rsidR="00935F27">
        <w:rPr>
          <w:rFonts w:cs="Times New Roman"/>
        </w:rPr>
        <w:t>s</w:t>
      </w:r>
      <w:r w:rsidRPr="002B476A">
        <w:rPr>
          <w:rFonts w:cs="Times New Roman"/>
        </w:rPr>
        <w:t>ed Export Commodity Classification (AHECC) is the product classification used to identify goods being exported from Australia</w:t>
      </w:r>
      <w:r>
        <w:rPr>
          <w:rFonts w:cs="Times New Roman"/>
        </w:rPr>
        <w:t>.</w:t>
      </w:r>
    </w:p>
    <w:p w14:paraId="7EF8C47B" w14:textId="77777777" w:rsidR="00BA54DA" w:rsidRPr="00464167" w:rsidRDefault="00BA54DA" w:rsidP="00BA54DA">
      <w:pPr>
        <w:spacing w:before="60" w:after="120" w:line="260" w:lineRule="atLeast"/>
        <w:rPr>
          <w:rFonts w:cs="Times New Roman"/>
        </w:rPr>
      </w:pPr>
      <w:r w:rsidRPr="00464167">
        <w:rPr>
          <w:rFonts w:cs="Times New Roman"/>
        </w:rPr>
        <w:t xml:space="preserve">Since July 2021, additional details have become available on the export of unprocessed scrap plastics. The number of AHECC codes relating to scrap plastics has more than doubled from </w:t>
      </w:r>
      <w:r w:rsidR="00AA25BA">
        <w:rPr>
          <w:rFonts w:cs="Times New Roman"/>
        </w:rPr>
        <w:t>4 to 9</w:t>
      </w:r>
      <w:r w:rsidRPr="00464167">
        <w:rPr>
          <w:rFonts w:cs="Times New Roman"/>
        </w:rPr>
        <w:t xml:space="preserve">, under chapter 3915 of the AHECC codes. The list of 3915 codes current from 1 July 2021 are available </w:t>
      </w:r>
      <w:hyperlink r:id="rId20" w:anchor="plastic-waste" w:history="1">
        <w:r w:rsidRPr="00464167">
          <w:rPr>
            <w:rFonts w:ascii="Arial" w:hAnsi="Arial"/>
            <w:u w:val="single"/>
          </w:rPr>
          <w:t>here</w:t>
        </w:r>
      </w:hyperlink>
      <w:r w:rsidRPr="00464167">
        <w:rPr>
          <w:rFonts w:cs="Times New Roman"/>
        </w:rPr>
        <w:t>.</w:t>
      </w:r>
    </w:p>
    <w:p w14:paraId="2896A549" w14:textId="77777777" w:rsidR="00BA54DA" w:rsidRPr="00464167" w:rsidRDefault="00BA54DA" w:rsidP="00BA54DA">
      <w:pPr>
        <w:spacing w:before="60" w:after="120" w:line="260" w:lineRule="atLeast"/>
        <w:rPr>
          <w:rFonts w:cs="Times New Roman"/>
        </w:rPr>
      </w:pPr>
      <w:r w:rsidRPr="00464167">
        <w:rPr>
          <w:rFonts w:cs="Times New Roman"/>
        </w:rPr>
        <w:t>These new details allow for a new analysis to be undertaken on the unprocessed singlepolymer plastics which have been exported over 10 months in the 2020–21 financial year. This also allows for the opportunity to compare these exported quantities to the local reprocessing capacity that is available to process this material from July 2022.</w:t>
      </w:r>
    </w:p>
    <w:p w14:paraId="364FAC13" w14:textId="77777777" w:rsidR="00BA54DA" w:rsidRPr="00464167" w:rsidRDefault="00BA54DA" w:rsidP="00BA54DA">
      <w:pPr>
        <w:spacing w:before="60" w:after="120" w:line="260" w:lineRule="atLeast"/>
        <w:rPr>
          <w:rFonts w:cs="Times New Roman"/>
        </w:rPr>
      </w:pPr>
      <w:r w:rsidRPr="00464167">
        <w:rPr>
          <w:rFonts w:cs="Times New Roman"/>
        </w:rPr>
        <w:t>Exporters can still apply for temporary exemptions to export unprocessed single polymer scrap plastics (post July 2022), however these are granted on a case by case basis.</w:t>
      </w:r>
    </w:p>
    <w:p w14:paraId="2989247A" w14:textId="77777777" w:rsidR="00BA54DA" w:rsidRPr="00464167" w:rsidRDefault="00BA54DA" w:rsidP="00BA54DA">
      <w:pPr>
        <w:spacing w:before="60" w:after="120" w:line="260" w:lineRule="atLeast"/>
        <w:rPr>
          <w:rFonts w:cs="Times New Roman"/>
        </w:rPr>
      </w:pPr>
      <w:r w:rsidRPr="00464167">
        <w:rPr>
          <w:rFonts w:cs="Times New Roman"/>
        </w:rPr>
        <w:t xml:space="preserve">The 3915 codes do not apply to reprocessed plastics that have been transformed into primary forms. This means that recovered single polymer plastics </w:t>
      </w:r>
      <w:r w:rsidR="003B520B">
        <w:rPr>
          <w:rFonts w:cs="Times New Roman"/>
        </w:rPr>
        <w:t xml:space="preserve">that </w:t>
      </w:r>
      <w:r w:rsidRPr="00464167">
        <w:rPr>
          <w:rFonts w:cs="Times New Roman"/>
        </w:rPr>
        <w:t>have been processed into clean flake or pellets are considered primary resins and are exported under the same codes as virgin plastics, which are across chapters 3901–3914 of the AHECC.</w:t>
      </w:r>
    </w:p>
    <w:p w14:paraId="0D49326B" w14:textId="77777777" w:rsidR="00BA54DA" w:rsidRPr="00464167" w:rsidRDefault="00BA54DA" w:rsidP="00BA54DA">
      <w:pPr>
        <w:spacing w:before="60" w:after="120" w:line="260" w:lineRule="atLeast"/>
        <w:rPr>
          <w:rFonts w:cs="Times New Roman"/>
        </w:rPr>
      </w:pPr>
      <w:r w:rsidRPr="00464167">
        <w:rPr>
          <w:rFonts w:cs="Times New Roman"/>
        </w:rPr>
        <w:t>This is due to processed recycled polymer often being considered a virgin equivalent, or close to, when properly sorted, cleaned, and flaked or pelletised. However, this change may have the negative impact of hiding data on the international trade of recycled plastics from July 2022, as it is now able to be combined with the trade of virgin plastics.</w:t>
      </w:r>
    </w:p>
    <w:p w14:paraId="4C1FDB08" w14:textId="77777777" w:rsidR="00BA54DA" w:rsidRPr="00464167" w:rsidRDefault="00BA54DA" w:rsidP="00BA54DA">
      <w:pPr>
        <w:spacing w:before="60" w:after="120" w:line="260" w:lineRule="atLeast"/>
        <w:rPr>
          <w:rFonts w:cs="Times New Roman"/>
        </w:rPr>
      </w:pPr>
      <w:r w:rsidRPr="00464167">
        <w:rPr>
          <w:rFonts w:cs="Times New Roman"/>
        </w:rPr>
        <w:t xml:space="preserve">Table </w:t>
      </w:r>
      <w:r w:rsidR="002B476A">
        <w:rPr>
          <w:rFonts w:cs="Times New Roman"/>
        </w:rPr>
        <w:t>1 s</w:t>
      </w:r>
      <w:r w:rsidRPr="00464167">
        <w:rPr>
          <w:rFonts w:cs="Times New Roman"/>
        </w:rPr>
        <w:t>ummarises Victorian and national exports from 2021–22 by polymer type and data on committed new reprocessing capacity nationally. The national scrap exports total is available, but not the polymer level splits, so the Victorian polymer export ratios have been used to approximate national exports by polymer type.</w:t>
      </w:r>
    </w:p>
    <w:p w14:paraId="7D22A987" w14:textId="77777777" w:rsidR="00BA54DA" w:rsidRDefault="00BA54DA" w:rsidP="00BA54DA">
      <w:r w:rsidRPr="00464167">
        <w:br w:type="page"/>
      </w:r>
    </w:p>
    <w:p w14:paraId="35CEA843" w14:textId="77777777" w:rsidR="000F2235" w:rsidRPr="00464167" w:rsidRDefault="000F2235" w:rsidP="00BA54DA">
      <w:pPr>
        <w:rPr>
          <w:b/>
          <w:bCs/>
        </w:rPr>
      </w:pPr>
    </w:p>
    <w:p w14:paraId="5419F4DF" w14:textId="77777777" w:rsidR="00BA54DA" w:rsidRPr="00464167" w:rsidRDefault="00BA54DA" w:rsidP="00BA54DA">
      <w:pPr>
        <w:keepNext/>
        <w:spacing w:before="60" w:after="120" w:line="200" w:lineRule="atLeast"/>
        <w:rPr>
          <w:b/>
          <w:bCs/>
        </w:rPr>
      </w:pPr>
      <w:r w:rsidRPr="00464167">
        <w:rPr>
          <w:b/>
          <w:bCs/>
        </w:rPr>
        <w:t xml:space="preserve">Table </w:t>
      </w:r>
      <w:r w:rsidR="002A4989">
        <w:rPr>
          <w:b/>
          <w:bCs/>
        </w:rPr>
        <w:t>1</w:t>
      </w:r>
      <w:r w:rsidRPr="00464167">
        <w:rPr>
          <w:b/>
          <w:bCs/>
        </w:rPr>
        <w:t>: Exports of unprocessed single polymer scrap plastics in 2021–-22.</w:t>
      </w:r>
      <w:r w:rsidRPr="00464167">
        <w:rPr>
          <w:b/>
          <w:bCs/>
          <w:vertAlign w:val="superscript"/>
        </w:rPr>
        <w:t>a</w:t>
      </w:r>
    </w:p>
    <w:tbl>
      <w:tblPr>
        <w:tblStyle w:val="TableGrid"/>
        <w:tblW w:w="5000" w:type="pct"/>
        <w:tblLook w:val="04A0" w:firstRow="1" w:lastRow="0" w:firstColumn="1" w:lastColumn="0" w:noHBand="0" w:noVBand="1"/>
      </w:tblPr>
      <w:tblGrid>
        <w:gridCol w:w="1483"/>
        <w:gridCol w:w="1249"/>
        <w:gridCol w:w="1123"/>
        <w:gridCol w:w="1123"/>
        <w:gridCol w:w="1354"/>
        <w:gridCol w:w="1354"/>
        <w:gridCol w:w="2519"/>
      </w:tblGrid>
      <w:tr w:rsidR="00BA54DA" w:rsidRPr="00464167" w14:paraId="192CB833" w14:textId="77777777" w:rsidTr="00971447">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585" w:type="pct"/>
            <w:noWrap/>
            <w:hideMark/>
          </w:tcPr>
          <w:p w14:paraId="02D3E363" w14:textId="77777777" w:rsidR="00BA54DA" w:rsidRPr="00464167" w:rsidRDefault="00BA54DA" w:rsidP="00971447">
            <w:pPr>
              <w:keepNext/>
              <w:keepLines/>
              <w:spacing w:line="240" w:lineRule="atLeast"/>
              <w:rPr>
                <w:rFonts w:eastAsia="Arial"/>
                <w:b/>
                <w:color w:val="FFFFFF"/>
              </w:rPr>
            </w:pPr>
            <w:r w:rsidRPr="00464167">
              <w:rPr>
                <w:rFonts w:eastAsia="Arial"/>
                <w:b/>
                <w:color w:val="FFFFFF"/>
              </w:rPr>
              <w:t>Polymer type</w:t>
            </w:r>
          </w:p>
        </w:tc>
        <w:tc>
          <w:tcPr>
            <w:tcW w:w="584" w:type="pct"/>
          </w:tcPr>
          <w:p w14:paraId="15C6EE50"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Vic kerbside generation</w:t>
            </w:r>
          </w:p>
        </w:tc>
        <w:tc>
          <w:tcPr>
            <w:tcW w:w="584" w:type="pct"/>
            <w:hideMark/>
          </w:tcPr>
          <w:p w14:paraId="0BB12006"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Vic export</w:t>
            </w:r>
          </w:p>
          <w:p w14:paraId="25265010"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(tonnes)</w:t>
            </w:r>
          </w:p>
        </w:tc>
        <w:tc>
          <w:tcPr>
            <w:tcW w:w="584" w:type="pct"/>
          </w:tcPr>
          <w:p w14:paraId="49DA2D09"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National exports</w:t>
            </w:r>
            <w:r w:rsidRPr="00464167">
              <w:rPr>
                <w:rFonts w:eastAsia="Arial"/>
                <w:b/>
                <w:color w:val="FFFFFF"/>
                <w:vertAlign w:val="superscript"/>
              </w:rPr>
              <w:t>b</w:t>
            </w:r>
          </w:p>
          <w:p w14:paraId="51FE8716"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(tonnes)</w:t>
            </w:r>
          </w:p>
        </w:tc>
        <w:tc>
          <w:tcPr>
            <w:tcW w:w="697" w:type="pct"/>
          </w:tcPr>
          <w:p w14:paraId="2C914883"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New capacity in Australia</w:t>
            </w:r>
            <w:r w:rsidRPr="00464167">
              <w:rPr>
                <w:rFonts w:eastAsia="Arial"/>
                <w:b/>
                <w:color w:val="FFFFFF"/>
                <w:vertAlign w:val="superscript"/>
              </w:rPr>
              <w:t>c</w:t>
            </w:r>
          </w:p>
          <w:p w14:paraId="5C97842F"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(tonnes)</w:t>
            </w:r>
          </w:p>
        </w:tc>
        <w:tc>
          <w:tcPr>
            <w:tcW w:w="697" w:type="pct"/>
          </w:tcPr>
          <w:p w14:paraId="3BB6DA90"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Capacity shortfall</w:t>
            </w:r>
          </w:p>
        </w:tc>
        <w:tc>
          <w:tcPr>
            <w:tcW w:w="1268" w:type="pct"/>
          </w:tcPr>
          <w:p w14:paraId="70EB97D5" w14:textId="77777777" w:rsidR="00BA54DA" w:rsidRPr="00464167" w:rsidRDefault="00BA54DA" w:rsidP="00971447">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eastAsia="Arial"/>
                <w:b/>
                <w:color w:val="FFFFFF"/>
              </w:rPr>
            </w:pPr>
            <w:r w:rsidRPr="00464167">
              <w:rPr>
                <w:rFonts w:eastAsia="Arial"/>
                <w:b/>
                <w:color w:val="FFFFFF"/>
              </w:rPr>
              <w:t>Comments</w:t>
            </w:r>
          </w:p>
        </w:tc>
      </w:tr>
      <w:tr w:rsidR="00BA54DA" w:rsidRPr="00464167" w14:paraId="24F1B3E0" w14:textId="77777777" w:rsidTr="00971447">
        <w:trPr>
          <w:trHeight w:val="286"/>
        </w:trPr>
        <w:tc>
          <w:tcPr>
            <w:tcW w:w="0" w:type="pct"/>
            <w:shd w:val="clear" w:color="auto" w:fill="DBF4F5" w:themeFill="background2"/>
            <w:noWrap/>
          </w:tcPr>
          <w:p w14:paraId="63A32CB4" w14:textId="77777777" w:rsidR="00BA54DA" w:rsidRPr="00464167" w:rsidRDefault="00BA54DA" w:rsidP="00971447">
            <w:pPr>
              <w:rPr>
                <w:rFonts w:cs="Arial"/>
                <w:color w:val="000000" w:themeColor="text1"/>
              </w:rPr>
            </w:pPr>
            <w:r w:rsidRPr="00464167">
              <w:rPr>
                <w:rFonts w:cs="Arial"/>
                <w:color w:val="000000" w:themeColor="text1"/>
              </w:rPr>
              <w:t>PET (1)</w:t>
            </w:r>
          </w:p>
        </w:tc>
        <w:tc>
          <w:tcPr>
            <w:tcW w:w="0" w:type="pct"/>
          </w:tcPr>
          <w:p w14:paraId="05F6EDBB" w14:textId="77777777" w:rsidR="00BA54DA" w:rsidRPr="00464167" w:rsidRDefault="00BA54DA" w:rsidP="00971447">
            <w:pPr>
              <w:jc w:val="right"/>
              <w:rPr>
                <w:rFonts w:cs="Arial"/>
                <w:color w:val="000000" w:themeColor="text1"/>
              </w:rPr>
            </w:pPr>
            <w:r w:rsidRPr="00464167">
              <w:rPr>
                <w:rFonts w:cs="Arial"/>
                <w:color w:val="000000" w:themeColor="text1"/>
              </w:rPr>
              <w:t>18,000</w:t>
            </w:r>
          </w:p>
        </w:tc>
        <w:tc>
          <w:tcPr>
            <w:tcW w:w="0" w:type="pct"/>
            <w:shd w:val="clear" w:color="auto" w:fill="DBF4F5" w:themeFill="background2"/>
            <w:noWrap/>
          </w:tcPr>
          <w:p w14:paraId="6D0AC778" w14:textId="77777777" w:rsidR="00BA54DA" w:rsidRPr="00464167" w:rsidRDefault="00BA54DA" w:rsidP="00971447">
            <w:pPr>
              <w:jc w:val="right"/>
              <w:rPr>
                <w:rFonts w:cs="Arial"/>
                <w:color w:val="000000" w:themeColor="text1"/>
              </w:rPr>
            </w:pPr>
            <w:r w:rsidRPr="00464167">
              <w:rPr>
                <w:rFonts w:cs="Arial"/>
                <w:color w:val="000000" w:themeColor="text1"/>
              </w:rPr>
              <w:t>15,900</w:t>
            </w:r>
          </w:p>
        </w:tc>
        <w:tc>
          <w:tcPr>
            <w:tcW w:w="0" w:type="pct"/>
          </w:tcPr>
          <w:p w14:paraId="51932AB2" w14:textId="77777777" w:rsidR="00BA54DA" w:rsidRPr="00464167" w:rsidRDefault="00BA54DA" w:rsidP="00971447">
            <w:pPr>
              <w:jc w:val="right"/>
              <w:rPr>
                <w:rFonts w:cs="Arial"/>
                <w:color w:val="000000" w:themeColor="text1"/>
              </w:rPr>
            </w:pPr>
            <w:r w:rsidRPr="00464167">
              <w:rPr>
                <w:rFonts w:cs="Arial"/>
                <w:color w:val="000000" w:themeColor="text1"/>
              </w:rPr>
              <w:t>57,500</w:t>
            </w:r>
          </w:p>
        </w:tc>
        <w:tc>
          <w:tcPr>
            <w:tcW w:w="0" w:type="pct"/>
            <w:shd w:val="clear" w:color="auto" w:fill="DBF4F5" w:themeFill="background2"/>
          </w:tcPr>
          <w:p w14:paraId="15D9E248" w14:textId="77777777" w:rsidR="00BA54DA" w:rsidRPr="00464167" w:rsidRDefault="00BA54DA" w:rsidP="00971447">
            <w:pPr>
              <w:jc w:val="right"/>
              <w:rPr>
                <w:rFonts w:cs="Arial"/>
                <w:color w:val="000000" w:themeColor="text1"/>
              </w:rPr>
            </w:pPr>
            <w:r w:rsidRPr="00464167">
              <w:rPr>
                <w:rFonts w:cs="Arial"/>
                <w:color w:val="000000" w:themeColor="text1"/>
              </w:rPr>
              <w:t>~80,000</w:t>
            </w:r>
          </w:p>
        </w:tc>
        <w:tc>
          <w:tcPr>
            <w:tcW w:w="0" w:type="pct"/>
          </w:tcPr>
          <w:p w14:paraId="62CAA20C" w14:textId="77777777" w:rsidR="00BA54DA" w:rsidRPr="00464167" w:rsidRDefault="00BA54DA" w:rsidP="00971447">
            <w:pPr>
              <w:rPr>
                <w:rFonts w:cs="Arial"/>
                <w:color w:val="000000" w:themeColor="text1"/>
              </w:rPr>
            </w:pPr>
            <w:r w:rsidRPr="00464167">
              <w:rPr>
                <w:rFonts w:cs="Arial"/>
                <w:color w:val="000000" w:themeColor="text1"/>
              </w:rPr>
              <w:t>None</w:t>
            </w:r>
          </w:p>
        </w:tc>
        <w:tc>
          <w:tcPr>
            <w:tcW w:w="0" w:type="pct"/>
            <w:shd w:val="clear" w:color="auto" w:fill="DBF4F5" w:themeFill="background2"/>
          </w:tcPr>
          <w:p w14:paraId="12B7818D" w14:textId="77777777" w:rsidR="00BA54DA" w:rsidRPr="00464167" w:rsidRDefault="00BA54DA" w:rsidP="00971447">
            <w:pPr>
              <w:rPr>
                <w:rFonts w:cs="Arial"/>
                <w:color w:val="000000" w:themeColor="text1"/>
              </w:rPr>
            </w:pPr>
            <w:r w:rsidRPr="00464167">
              <w:rPr>
                <w:rFonts w:cs="Arial"/>
                <w:color w:val="000000" w:themeColor="text1"/>
              </w:rPr>
              <w:t xml:space="preserve">Some new capacity won’t be in operation until late 2023. </w:t>
            </w:r>
          </w:p>
        </w:tc>
      </w:tr>
      <w:tr w:rsidR="00BA54DA" w:rsidRPr="00464167" w14:paraId="6A085ECB" w14:textId="77777777" w:rsidTr="00971447">
        <w:trPr>
          <w:trHeight w:val="286"/>
        </w:trPr>
        <w:tc>
          <w:tcPr>
            <w:tcW w:w="0" w:type="pct"/>
            <w:shd w:val="clear" w:color="auto" w:fill="DBF4F5" w:themeFill="background2"/>
            <w:noWrap/>
          </w:tcPr>
          <w:p w14:paraId="678E4DF2" w14:textId="77777777" w:rsidR="00BA54DA" w:rsidRPr="00464167" w:rsidRDefault="00BA54DA" w:rsidP="00971447">
            <w:pPr>
              <w:rPr>
                <w:rFonts w:cs="Arial"/>
                <w:color w:val="000000" w:themeColor="text1"/>
              </w:rPr>
            </w:pPr>
            <w:r w:rsidRPr="00464167">
              <w:rPr>
                <w:rFonts w:cs="Arial"/>
                <w:color w:val="000000" w:themeColor="text1"/>
              </w:rPr>
              <w:t>HDPE (2)</w:t>
            </w:r>
          </w:p>
        </w:tc>
        <w:tc>
          <w:tcPr>
            <w:tcW w:w="0" w:type="pct"/>
          </w:tcPr>
          <w:p w14:paraId="5951383F" w14:textId="77777777" w:rsidR="00BA54DA" w:rsidRPr="00464167" w:rsidRDefault="00BA54DA" w:rsidP="00971447">
            <w:pPr>
              <w:jc w:val="right"/>
              <w:rPr>
                <w:rFonts w:cs="Arial"/>
                <w:color w:val="000000" w:themeColor="text1"/>
              </w:rPr>
            </w:pPr>
            <w:r w:rsidRPr="00464167">
              <w:rPr>
                <w:rFonts w:cs="Arial"/>
                <w:color w:val="000000" w:themeColor="text1"/>
              </w:rPr>
              <w:t>22,000</w:t>
            </w:r>
          </w:p>
        </w:tc>
        <w:tc>
          <w:tcPr>
            <w:tcW w:w="0" w:type="pct"/>
            <w:shd w:val="clear" w:color="auto" w:fill="DBF4F5" w:themeFill="background2"/>
            <w:noWrap/>
          </w:tcPr>
          <w:p w14:paraId="1BE7A1FB" w14:textId="77777777" w:rsidR="00BA54DA" w:rsidRPr="00464167" w:rsidRDefault="00BA54DA" w:rsidP="00971447">
            <w:pPr>
              <w:jc w:val="right"/>
              <w:rPr>
                <w:rFonts w:cs="Arial"/>
                <w:color w:val="000000" w:themeColor="text1"/>
              </w:rPr>
            </w:pPr>
            <w:r w:rsidRPr="00464167">
              <w:rPr>
                <w:rFonts w:cs="Arial"/>
                <w:color w:val="000000" w:themeColor="text1"/>
              </w:rPr>
              <w:t>10,600</w:t>
            </w:r>
          </w:p>
        </w:tc>
        <w:tc>
          <w:tcPr>
            <w:tcW w:w="0" w:type="pct"/>
          </w:tcPr>
          <w:p w14:paraId="203DCC8A" w14:textId="77777777" w:rsidR="00BA54DA" w:rsidRPr="00464167" w:rsidRDefault="00BA54DA" w:rsidP="00971447">
            <w:pPr>
              <w:jc w:val="right"/>
              <w:rPr>
                <w:rFonts w:cs="Arial"/>
                <w:color w:val="000000" w:themeColor="text1"/>
              </w:rPr>
            </w:pPr>
            <w:r w:rsidRPr="00464167">
              <w:rPr>
                <w:rFonts w:cs="Arial"/>
                <w:color w:val="000000" w:themeColor="text1"/>
              </w:rPr>
              <w:t>38,300</w:t>
            </w:r>
          </w:p>
        </w:tc>
        <w:tc>
          <w:tcPr>
            <w:tcW w:w="0" w:type="pct"/>
            <w:shd w:val="clear" w:color="auto" w:fill="DBF4F5" w:themeFill="background2"/>
          </w:tcPr>
          <w:p w14:paraId="7DDC8001" w14:textId="77777777" w:rsidR="00BA54DA" w:rsidRPr="00464167" w:rsidRDefault="00BA54DA" w:rsidP="00971447">
            <w:pPr>
              <w:jc w:val="right"/>
              <w:rPr>
                <w:rFonts w:cs="Arial"/>
                <w:color w:val="000000" w:themeColor="text1"/>
              </w:rPr>
            </w:pPr>
            <w:r w:rsidRPr="00464167">
              <w:rPr>
                <w:rFonts w:cs="Arial"/>
                <w:color w:val="000000" w:themeColor="text1"/>
              </w:rPr>
              <w:t>~30,000</w:t>
            </w:r>
          </w:p>
        </w:tc>
        <w:tc>
          <w:tcPr>
            <w:tcW w:w="0" w:type="pct"/>
          </w:tcPr>
          <w:p w14:paraId="0F279735" w14:textId="77777777" w:rsidR="00BA54DA" w:rsidRPr="00464167" w:rsidRDefault="00BA54DA" w:rsidP="00971447">
            <w:pPr>
              <w:rPr>
                <w:rFonts w:cs="Arial"/>
                <w:color w:val="000000" w:themeColor="text1"/>
              </w:rPr>
            </w:pPr>
            <w:r w:rsidRPr="00464167">
              <w:rPr>
                <w:rFonts w:cs="Arial"/>
                <w:color w:val="000000" w:themeColor="text1"/>
              </w:rPr>
              <w:t>Probably minimal</w:t>
            </w:r>
          </w:p>
        </w:tc>
        <w:tc>
          <w:tcPr>
            <w:tcW w:w="0" w:type="pct"/>
            <w:shd w:val="clear" w:color="auto" w:fill="DBF4F5" w:themeFill="background2"/>
          </w:tcPr>
          <w:p w14:paraId="7CE09502" w14:textId="77777777" w:rsidR="00BA54DA" w:rsidRPr="00464167" w:rsidRDefault="00BA54DA" w:rsidP="00971447">
            <w:pPr>
              <w:rPr>
                <w:rFonts w:cs="Arial"/>
                <w:color w:val="000000" w:themeColor="text1"/>
              </w:rPr>
            </w:pPr>
            <w:r w:rsidRPr="00464167">
              <w:rPr>
                <w:rFonts w:cs="Arial"/>
                <w:color w:val="000000" w:themeColor="text1"/>
              </w:rPr>
              <w:t>Some new capacity won’t be in operation until late 2023.</w:t>
            </w:r>
          </w:p>
          <w:p w14:paraId="4EC155E0" w14:textId="77777777" w:rsidR="00BA54DA" w:rsidRPr="00464167" w:rsidRDefault="00BA54DA" w:rsidP="00971447">
            <w:pPr>
              <w:rPr>
                <w:rFonts w:cs="Arial"/>
                <w:color w:val="000000" w:themeColor="text1"/>
              </w:rPr>
            </w:pPr>
            <w:r w:rsidRPr="00464167">
              <w:rPr>
                <w:rFonts w:cs="Arial"/>
                <w:color w:val="000000" w:themeColor="text1"/>
              </w:rPr>
              <w:t>This HDPE is not all kerbside material, however the kerbside versus non-kerbside split is unknown.</w:t>
            </w:r>
          </w:p>
        </w:tc>
      </w:tr>
      <w:tr w:rsidR="00BA54DA" w:rsidRPr="00464167" w14:paraId="62FB0927" w14:textId="77777777" w:rsidTr="00971447">
        <w:trPr>
          <w:trHeight w:val="286"/>
        </w:trPr>
        <w:tc>
          <w:tcPr>
            <w:tcW w:w="0" w:type="pct"/>
            <w:shd w:val="clear" w:color="auto" w:fill="DBF4F5" w:themeFill="background2"/>
            <w:noWrap/>
          </w:tcPr>
          <w:p w14:paraId="5E298B94" w14:textId="77777777" w:rsidR="00BA54DA" w:rsidRPr="00464167" w:rsidRDefault="00BA54DA" w:rsidP="00971447">
            <w:pPr>
              <w:rPr>
                <w:rFonts w:cs="Arial"/>
                <w:color w:val="000000" w:themeColor="text1"/>
              </w:rPr>
            </w:pPr>
            <w:r w:rsidRPr="00464167">
              <w:rPr>
                <w:rFonts w:cs="Arial"/>
                <w:color w:val="000000" w:themeColor="text1"/>
              </w:rPr>
              <w:t>PVC (3)</w:t>
            </w:r>
          </w:p>
        </w:tc>
        <w:tc>
          <w:tcPr>
            <w:tcW w:w="0" w:type="pct"/>
          </w:tcPr>
          <w:p w14:paraId="7ADC93F0" w14:textId="77777777" w:rsidR="00BA54DA" w:rsidRPr="00464167" w:rsidRDefault="00BA54DA" w:rsidP="00971447">
            <w:pPr>
              <w:jc w:val="right"/>
              <w:rPr>
                <w:rFonts w:cs="Arial"/>
                <w:color w:val="000000" w:themeColor="text1"/>
              </w:rPr>
            </w:pPr>
            <w:r w:rsidRPr="00464167">
              <w:rPr>
                <w:rFonts w:cs="Arial"/>
                <w:color w:val="000000" w:themeColor="text1"/>
              </w:rPr>
              <w:t>0</w:t>
            </w:r>
          </w:p>
        </w:tc>
        <w:tc>
          <w:tcPr>
            <w:tcW w:w="0" w:type="pct"/>
            <w:shd w:val="clear" w:color="auto" w:fill="DBF4F5" w:themeFill="background2"/>
            <w:noWrap/>
          </w:tcPr>
          <w:p w14:paraId="7B2462F5" w14:textId="77777777" w:rsidR="00BA54DA" w:rsidRPr="00464167" w:rsidRDefault="00BA54DA" w:rsidP="00971447">
            <w:pPr>
              <w:jc w:val="right"/>
              <w:rPr>
                <w:rFonts w:cs="Arial"/>
                <w:color w:val="000000" w:themeColor="text1"/>
              </w:rPr>
            </w:pPr>
            <w:r w:rsidRPr="00464167">
              <w:rPr>
                <w:rFonts w:cs="Arial"/>
                <w:color w:val="000000" w:themeColor="text1"/>
              </w:rPr>
              <w:t>0</w:t>
            </w:r>
          </w:p>
        </w:tc>
        <w:tc>
          <w:tcPr>
            <w:tcW w:w="0" w:type="pct"/>
          </w:tcPr>
          <w:p w14:paraId="3DF54C1D" w14:textId="77777777" w:rsidR="00BA54DA" w:rsidRPr="00464167" w:rsidRDefault="00BA54DA" w:rsidP="00971447">
            <w:pPr>
              <w:jc w:val="right"/>
              <w:rPr>
                <w:rFonts w:cs="Arial"/>
                <w:color w:val="000000" w:themeColor="text1"/>
              </w:rPr>
            </w:pPr>
            <w:r w:rsidRPr="00464167">
              <w:rPr>
                <w:rFonts w:cs="Arial"/>
                <w:color w:val="000000" w:themeColor="text1"/>
              </w:rPr>
              <w:t>0</w:t>
            </w:r>
          </w:p>
        </w:tc>
        <w:tc>
          <w:tcPr>
            <w:tcW w:w="0" w:type="pct"/>
            <w:shd w:val="clear" w:color="auto" w:fill="DBF4F5" w:themeFill="background2"/>
          </w:tcPr>
          <w:p w14:paraId="0675B8CC" w14:textId="77777777" w:rsidR="00BA54DA" w:rsidRPr="00464167" w:rsidRDefault="00BA54DA" w:rsidP="00971447">
            <w:pPr>
              <w:jc w:val="right"/>
              <w:rPr>
                <w:rFonts w:cs="Arial"/>
                <w:color w:val="000000" w:themeColor="text1"/>
              </w:rPr>
            </w:pPr>
            <w:r w:rsidRPr="00464167">
              <w:rPr>
                <w:rFonts w:cs="Arial"/>
                <w:color w:val="000000" w:themeColor="text1"/>
              </w:rPr>
              <w:t>0</w:t>
            </w:r>
          </w:p>
        </w:tc>
        <w:tc>
          <w:tcPr>
            <w:tcW w:w="0" w:type="pct"/>
          </w:tcPr>
          <w:p w14:paraId="6D3F2FCA" w14:textId="77777777" w:rsidR="00BA54DA" w:rsidRPr="00464167" w:rsidRDefault="00BA54DA" w:rsidP="00971447">
            <w:pPr>
              <w:rPr>
                <w:rFonts w:cs="Arial"/>
                <w:color w:val="000000" w:themeColor="text1"/>
              </w:rPr>
            </w:pPr>
            <w:r w:rsidRPr="00464167">
              <w:rPr>
                <w:rFonts w:cs="Arial"/>
                <w:color w:val="000000" w:themeColor="text1"/>
              </w:rPr>
              <w:t>Phase-out</w:t>
            </w:r>
          </w:p>
        </w:tc>
        <w:tc>
          <w:tcPr>
            <w:tcW w:w="0" w:type="pct"/>
            <w:shd w:val="clear" w:color="auto" w:fill="DBF4F5" w:themeFill="background2"/>
          </w:tcPr>
          <w:p w14:paraId="2C1955BD" w14:textId="77777777" w:rsidR="00BA54DA" w:rsidRPr="00464167" w:rsidRDefault="00BA54DA" w:rsidP="00971447">
            <w:pPr>
              <w:rPr>
                <w:rFonts w:cs="Arial"/>
                <w:color w:val="000000" w:themeColor="text1"/>
              </w:rPr>
            </w:pPr>
            <w:r w:rsidRPr="00464167">
              <w:rPr>
                <w:rFonts w:cs="Arial"/>
                <w:color w:val="000000" w:themeColor="text1"/>
              </w:rPr>
              <w:t>Negligible exports.</w:t>
            </w:r>
          </w:p>
        </w:tc>
      </w:tr>
      <w:tr w:rsidR="00BA54DA" w:rsidRPr="00464167" w14:paraId="3B07E064" w14:textId="77777777" w:rsidTr="00971447">
        <w:trPr>
          <w:trHeight w:val="286"/>
        </w:trPr>
        <w:tc>
          <w:tcPr>
            <w:tcW w:w="0" w:type="pct"/>
            <w:shd w:val="clear" w:color="auto" w:fill="DBF4F5" w:themeFill="background2"/>
            <w:noWrap/>
          </w:tcPr>
          <w:p w14:paraId="539B00AC" w14:textId="77777777" w:rsidR="00BA54DA" w:rsidRPr="00464167" w:rsidRDefault="00BA54DA" w:rsidP="00971447">
            <w:pPr>
              <w:rPr>
                <w:rFonts w:cs="Arial"/>
                <w:color w:val="000000" w:themeColor="text1"/>
              </w:rPr>
            </w:pPr>
            <w:r w:rsidRPr="00464167">
              <w:rPr>
                <w:rFonts w:cs="Arial"/>
                <w:color w:val="000000" w:themeColor="text1"/>
              </w:rPr>
              <w:t>LDPE (4)</w:t>
            </w:r>
          </w:p>
        </w:tc>
        <w:tc>
          <w:tcPr>
            <w:tcW w:w="0" w:type="pct"/>
          </w:tcPr>
          <w:p w14:paraId="7C75A8B6" w14:textId="77777777" w:rsidR="00BA54DA" w:rsidRPr="00464167" w:rsidRDefault="00BA54DA" w:rsidP="00971447">
            <w:pPr>
              <w:jc w:val="right"/>
              <w:rPr>
                <w:rFonts w:cs="Arial"/>
                <w:color w:val="000000" w:themeColor="text1"/>
              </w:rPr>
            </w:pPr>
            <w:r w:rsidRPr="00464167">
              <w:rPr>
                <w:rFonts w:cs="Arial"/>
                <w:color w:val="000000" w:themeColor="text1"/>
              </w:rPr>
              <w:t>~0</w:t>
            </w:r>
          </w:p>
        </w:tc>
        <w:tc>
          <w:tcPr>
            <w:tcW w:w="0" w:type="pct"/>
            <w:shd w:val="clear" w:color="auto" w:fill="DBF4F5" w:themeFill="background2"/>
            <w:noWrap/>
          </w:tcPr>
          <w:p w14:paraId="48D65357" w14:textId="77777777" w:rsidR="00BA54DA" w:rsidRPr="00464167" w:rsidRDefault="00BA54DA" w:rsidP="00971447">
            <w:pPr>
              <w:jc w:val="right"/>
              <w:rPr>
                <w:rFonts w:cs="Arial"/>
                <w:color w:val="000000" w:themeColor="text1"/>
              </w:rPr>
            </w:pPr>
            <w:r w:rsidRPr="00464167">
              <w:rPr>
                <w:rFonts w:cs="Arial"/>
                <w:color w:val="000000" w:themeColor="text1"/>
              </w:rPr>
              <w:t>18,400</w:t>
            </w:r>
          </w:p>
        </w:tc>
        <w:tc>
          <w:tcPr>
            <w:tcW w:w="0" w:type="pct"/>
          </w:tcPr>
          <w:p w14:paraId="614808F2" w14:textId="77777777" w:rsidR="00BA54DA" w:rsidRPr="00464167" w:rsidRDefault="00BA54DA" w:rsidP="00971447">
            <w:pPr>
              <w:jc w:val="right"/>
              <w:rPr>
                <w:rFonts w:cs="Arial"/>
                <w:color w:val="000000" w:themeColor="text1"/>
              </w:rPr>
            </w:pPr>
            <w:r w:rsidRPr="00464167">
              <w:rPr>
                <w:rFonts w:cs="Arial"/>
                <w:color w:val="000000" w:themeColor="text1"/>
              </w:rPr>
              <w:t>66,500</w:t>
            </w:r>
          </w:p>
        </w:tc>
        <w:tc>
          <w:tcPr>
            <w:tcW w:w="0" w:type="pct"/>
            <w:shd w:val="clear" w:color="auto" w:fill="DBF4F5" w:themeFill="background2"/>
          </w:tcPr>
          <w:p w14:paraId="238C0BAD" w14:textId="77777777" w:rsidR="00BA54DA" w:rsidRPr="00464167" w:rsidRDefault="00BA54DA" w:rsidP="00971447">
            <w:pPr>
              <w:jc w:val="right"/>
              <w:rPr>
                <w:rFonts w:cs="Arial"/>
                <w:color w:val="000000" w:themeColor="text1"/>
              </w:rPr>
            </w:pPr>
            <w:r w:rsidRPr="00464167">
              <w:rPr>
                <w:rFonts w:cs="Arial"/>
                <w:color w:val="000000" w:themeColor="text1"/>
              </w:rPr>
              <w:t>&lt;30,000</w:t>
            </w:r>
          </w:p>
        </w:tc>
        <w:tc>
          <w:tcPr>
            <w:tcW w:w="0" w:type="pct"/>
          </w:tcPr>
          <w:p w14:paraId="4EA8A491" w14:textId="77777777" w:rsidR="00BA54DA" w:rsidRPr="00464167" w:rsidRDefault="00BA54DA" w:rsidP="00971447">
            <w:pPr>
              <w:rPr>
                <w:rFonts w:cs="Arial"/>
                <w:color w:val="000000" w:themeColor="text1"/>
              </w:rPr>
            </w:pPr>
            <w:r w:rsidRPr="00464167">
              <w:rPr>
                <w:rFonts w:cs="Arial"/>
                <w:color w:val="000000" w:themeColor="text1"/>
              </w:rPr>
              <w:t>Large</w:t>
            </w:r>
          </w:p>
        </w:tc>
        <w:tc>
          <w:tcPr>
            <w:tcW w:w="0" w:type="pct"/>
            <w:shd w:val="clear" w:color="auto" w:fill="DBF4F5" w:themeFill="background2"/>
          </w:tcPr>
          <w:p w14:paraId="36BE3BC6" w14:textId="77777777" w:rsidR="00BA54DA" w:rsidRPr="00464167" w:rsidRDefault="00BA54DA" w:rsidP="00971447">
            <w:pPr>
              <w:rPr>
                <w:rFonts w:cs="Arial"/>
                <w:color w:val="000000" w:themeColor="text1"/>
              </w:rPr>
            </w:pPr>
            <w:r w:rsidRPr="00464167">
              <w:rPr>
                <w:rFonts w:cs="Arial"/>
                <w:color w:val="000000" w:themeColor="text1"/>
              </w:rPr>
              <w:t>This is C&amp;I material, not kerbside. Capacity estimate is  uncertain.</w:t>
            </w:r>
          </w:p>
        </w:tc>
      </w:tr>
      <w:tr w:rsidR="00BA54DA" w:rsidRPr="00464167" w14:paraId="31E79718" w14:textId="77777777" w:rsidTr="00971447">
        <w:trPr>
          <w:trHeight w:val="286"/>
        </w:trPr>
        <w:tc>
          <w:tcPr>
            <w:tcW w:w="0" w:type="pct"/>
            <w:shd w:val="clear" w:color="auto" w:fill="DBF4F5" w:themeFill="background2"/>
            <w:noWrap/>
          </w:tcPr>
          <w:p w14:paraId="38381E6A" w14:textId="77777777" w:rsidR="00BA54DA" w:rsidRPr="00464167" w:rsidRDefault="00BA54DA" w:rsidP="00971447">
            <w:pPr>
              <w:rPr>
                <w:rFonts w:cs="Arial"/>
                <w:color w:val="000000" w:themeColor="text1"/>
              </w:rPr>
            </w:pPr>
            <w:r w:rsidRPr="00464167">
              <w:rPr>
                <w:rFonts w:cs="Arial"/>
                <w:color w:val="000000" w:themeColor="text1"/>
              </w:rPr>
              <w:t>PP (5)</w:t>
            </w:r>
          </w:p>
        </w:tc>
        <w:tc>
          <w:tcPr>
            <w:tcW w:w="0" w:type="pct"/>
          </w:tcPr>
          <w:p w14:paraId="5BF3AA4A" w14:textId="77777777" w:rsidR="00BA54DA" w:rsidRPr="00464167" w:rsidRDefault="00BA54DA" w:rsidP="00971447">
            <w:pPr>
              <w:jc w:val="right"/>
              <w:rPr>
                <w:rFonts w:cs="Arial"/>
                <w:color w:val="000000" w:themeColor="text1"/>
              </w:rPr>
            </w:pPr>
            <w:r w:rsidRPr="00464167">
              <w:rPr>
                <w:rFonts w:cs="Arial"/>
                <w:color w:val="000000" w:themeColor="text1"/>
              </w:rPr>
              <w:t>17,000</w:t>
            </w:r>
          </w:p>
        </w:tc>
        <w:tc>
          <w:tcPr>
            <w:tcW w:w="0" w:type="pct"/>
            <w:shd w:val="clear" w:color="auto" w:fill="DBF4F5" w:themeFill="background2"/>
            <w:noWrap/>
          </w:tcPr>
          <w:p w14:paraId="2DD8B44C" w14:textId="77777777" w:rsidR="00BA54DA" w:rsidRPr="00464167" w:rsidRDefault="00BA54DA" w:rsidP="00971447">
            <w:pPr>
              <w:jc w:val="right"/>
              <w:rPr>
                <w:rFonts w:cs="Arial"/>
                <w:color w:val="000000" w:themeColor="text1"/>
              </w:rPr>
            </w:pPr>
            <w:r w:rsidRPr="00464167">
              <w:rPr>
                <w:rFonts w:cs="Arial"/>
                <w:color w:val="000000" w:themeColor="text1"/>
              </w:rPr>
              <w:t>400</w:t>
            </w:r>
          </w:p>
        </w:tc>
        <w:tc>
          <w:tcPr>
            <w:tcW w:w="0" w:type="pct"/>
          </w:tcPr>
          <w:p w14:paraId="6D899229" w14:textId="77777777" w:rsidR="00BA54DA" w:rsidRPr="00464167" w:rsidRDefault="00BA54DA" w:rsidP="00971447">
            <w:pPr>
              <w:jc w:val="right"/>
              <w:rPr>
                <w:rFonts w:cs="Arial"/>
                <w:color w:val="000000" w:themeColor="text1"/>
              </w:rPr>
            </w:pPr>
            <w:r w:rsidRPr="00464167">
              <w:rPr>
                <w:rFonts w:cs="Arial"/>
                <w:color w:val="000000" w:themeColor="text1"/>
              </w:rPr>
              <w:t>1,400</w:t>
            </w:r>
          </w:p>
        </w:tc>
        <w:tc>
          <w:tcPr>
            <w:tcW w:w="0" w:type="pct"/>
            <w:shd w:val="clear" w:color="auto" w:fill="DBF4F5" w:themeFill="background2"/>
          </w:tcPr>
          <w:p w14:paraId="51B924D5" w14:textId="77777777" w:rsidR="00BA54DA" w:rsidRPr="00464167" w:rsidRDefault="00BA54DA" w:rsidP="00971447">
            <w:pPr>
              <w:jc w:val="right"/>
              <w:rPr>
                <w:rFonts w:cs="Arial"/>
                <w:color w:val="000000" w:themeColor="text1"/>
              </w:rPr>
            </w:pPr>
            <w:r w:rsidRPr="00464167">
              <w:rPr>
                <w:rFonts w:cs="Arial"/>
                <w:color w:val="000000" w:themeColor="text1"/>
              </w:rPr>
              <w:t>~20,000</w:t>
            </w:r>
          </w:p>
        </w:tc>
        <w:tc>
          <w:tcPr>
            <w:tcW w:w="0" w:type="pct"/>
          </w:tcPr>
          <w:p w14:paraId="46C6D59F" w14:textId="77777777" w:rsidR="00BA54DA" w:rsidRPr="00464167" w:rsidRDefault="00BA54DA" w:rsidP="00971447">
            <w:pPr>
              <w:rPr>
                <w:rFonts w:cs="Arial"/>
                <w:color w:val="000000" w:themeColor="text1"/>
              </w:rPr>
            </w:pPr>
            <w:r w:rsidRPr="00464167">
              <w:rPr>
                <w:rFonts w:cs="Arial"/>
                <w:color w:val="000000" w:themeColor="text1"/>
              </w:rPr>
              <w:t>Probably minimal</w:t>
            </w:r>
          </w:p>
        </w:tc>
        <w:tc>
          <w:tcPr>
            <w:tcW w:w="0" w:type="pct"/>
            <w:shd w:val="clear" w:color="auto" w:fill="DBF4F5" w:themeFill="background2"/>
          </w:tcPr>
          <w:p w14:paraId="54FE1139" w14:textId="77777777" w:rsidR="00BA54DA" w:rsidRPr="00464167" w:rsidRDefault="00BA54DA" w:rsidP="00971447">
            <w:pPr>
              <w:rPr>
                <w:rFonts w:cs="Arial"/>
                <w:color w:val="000000" w:themeColor="text1"/>
              </w:rPr>
            </w:pPr>
            <w:r w:rsidRPr="00464167">
              <w:rPr>
                <w:rFonts w:cs="Arial"/>
                <w:color w:val="000000" w:themeColor="text1"/>
              </w:rPr>
              <w:t xml:space="preserve">Some new capacity won’t be in operation until late 2023. </w:t>
            </w:r>
          </w:p>
        </w:tc>
      </w:tr>
      <w:tr w:rsidR="00BA54DA" w:rsidRPr="00464167" w14:paraId="4C01DAA9" w14:textId="77777777" w:rsidTr="00971447">
        <w:trPr>
          <w:trHeight w:val="286"/>
        </w:trPr>
        <w:tc>
          <w:tcPr>
            <w:tcW w:w="0" w:type="pct"/>
            <w:shd w:val="clear" w:color="auto" w:fill="DBF4F5" w:themeFill="background2"/>
            <w:noWrap/>
          </w:tcPr>
          <w:p w14:paraId="1C9C2FF7" w14:textId="77777777" w:rsidR="00BA54DA" w:rsidRPr="00464167" w:rsidRDefault="00BA54DA" w:rsidP="00971447">
            <w:pPr>
              <w:rPr>
                <w:rFonts w:cs="Arial"/>
                <w:color w:val="000000" w:themeColor="text1"/>
              </w:rPr>
            </w:pPr>
            <w:r w:rsidRPr="00464167">
              <w:rPr>
                <w:rFonts w:cs="Arial"/>
                <w:color w:val="000000" w:themeColor="text1"/>
              </w:rPr>
              <w:t>PS (6)</w:t>
            </w:r>
          </w:p>
        </w:tc>
        <w:tc>
          <w:tcPr>
            <w:tcW w:w="0" w:type="pct"/>
          </w:tcPr>
          <w:p w14:paraId="2EE8CBB5" w14:textId="77777777" w:rsidR="00BA54DA" w:rsidRPr="00464167" w:rsidRDefault="00BA54DA" w:rsidP="00971447">
            <w:pPr>
              <w:jc w:val="right"/>
              <w:rPr>
                <w:rFonts w:cs="Arial"/>
                <w:color w:val="000000" w:themeColor="text1"/>
              </w:rPr>
            </w:pPr>
            <w:r w:rsidRPr="00464167">
              <w:rPr>
                <w:rFonts w:cs="Arial"/>
                <w:color w:val="000000" w:themeColor="text1"/>
              </w:rPr>
              <w:t>3,000</w:t>
            </w:r>
          </w:p>
        </w:tc>
        <w:tc>
          <w:tcPr>
            <w:tcW w:w="0" w:type="pct"/>
            <w:shd w:val="clear" w:color="auto" w:fill="DBF4F5" w:themeFill="background2"/>
            <w:noWrap/>
          </w:tcPr>
          <w:p w14:paraId="33DBA257" w14:textId="77777777" w:rsidR="00BA54DA" w:rsidRPr="00464167" w:rsidRDefault="00BA54DA" w:rsidP="00971447">
            <w:pPr>
              <w:jc w:val="right"/>
              <w:rPr>
                <w:rFonts w:cs="Arial"/>
                <w:color w:val="000000" w:themeColor="text1"/>
              </w:rPr>
            </w:pPr>
            <w:r w:rsidRPr="00464167">
              <w:rPr>
                <w:rFonts w:cs="Arial"/>
                <w:color w:val="000000" w:themeColor="text1"/>
              </w:rPr>
              <w:t>200</w:t>
            </w:r>
          </w:p>
        </w:tc>
        <w:tc>
          <w:tcPr>
            <w:tcW w:w="0" w:type="pct"/>
          </w:tcPr>
          <w:p w14:paraId="0BEFB74E" w14:textId="77777777" w:rsidR="00BA54DA" w:rsidRPr="00464167" w:rsidRDefault="00BA54DA" w:rsidP="00971447">
            <w:pPr>
              <w:jc w:val="right"/>
              <w:rPr>
                <w:rFonts w:cs="Arial"/>
                <w:color w:val="000000" w:themeColor="text1"/>
              </w:rPr>
            </w:pPr>
            <w:r w:rsidRPr="00464167">
              <w:rPr>
                <w:rFonts w:cs="Arial"/>
                <w:color w:val="000000" w:themeColor="text1"/>
              </w:rPr>
              <w:t>700</w:t>
            </w:r>
          </w:p>
        </w:tc>
        <w:tc>
          <w:tcPr>
            <w:tcW w:w="0" w:type="pct"/>
            <w:shd w:val="clear" w:color="auto" w:fill="DBF4F5" w:themeFill="background2"/>
          </w:tcPr>
          <w:p w14:paraId="0657DAB2" w14:textId="77777777" w:rsidR="00BA54DA" w:rsidRPr="00464167" w:rsidRDefault="00BA54DA" w:rsidP="00971447">
            <w:pPr>
              <w:jc w:val="right"/>
              <w:rPr>
                <w:rFonts w:cs="Arial"/>
                <w:color w:val="000000" w:themeColor="text1"/>
              </w:rPr>
            </w:pPr>
            <w:r w:rsidRPr="00464167">
              <w:rPr>
                <w:rFonts w:cs="Arial"/>
                <w:color w:val="000000" w:themeColor="text1"/>
              </w:rPr>
              <w:t>0</w:t>
            </w:r>
          </w:p>
        </w:tc>
        <w:tc>
          <w:tcPr>
            <w:tcW w:w="0" w:type="pct"/>
          </w:tcPr>
          <w:p w14:paraId="736D8A58" w14:textId="77777777" w:rsidR="00BA54DA" w:rsidRPr="00464167" w:rsidRDefault="00BA54DA" w:rsidP="00971447">
            <w:pPr>
              <w:rPr>
                <w:rFonts w:cs="Arial"/>
                <w:color w:val="000000" w:themeColor="text1"/>
              </w:rPr>
            </w:pPr>
            <w:r w:rsidRPr="00464167">
              <w:rPr>
                <w:rFonts w:cs="Arial"/>
                <w:color w:val="000000" w:themeColor="text1"/>
              </w:rPr>
              <w:t>Phase-out</w:t>
            </w:r>
          </w:p>
        </w:tc>
        <w:tc>
          <w:tcPr>
            <w:tcW w:w="0" w:type="pct"/>
            <w:shd w:val="clear" w:color="auto" w:fill="DBF4F5" w:themeFill="background2"/>
          </w:tcPr>
          <w:p w14:paraId="4C614E33" w14:textId="77777777" w:rsidR="00BA54DA" w:rsidRPr="00464167" w:rsidRDefault="00BA54DA" w:rsidP="00971447">
            <w:pPr>
              <w:rPr>
                <w:rFonts w:cs="Arial"/>
                <w:color w:val="000000" w:themeColor="text1"/>
              </w:rPr>
            </w:pPr>
            <w:r w:rsidRPr="00464167">
              <w:rPr>
                <w:rFonts w:cs="Arial"/>
                <w:color w:val="000000" w:themeColor="text1"/>
              </w:rPr>
              <w:t>Negligible exports.</w:t>
            </w:r>
          </w:p>
        </w:tc>
      </w:tr>
      <w:tr w:rsidR="00BA54DA" w:rsidRPr="00464167" w14:paraId="43F60D35" w14:textId="77777777" w:rsidTr="00971447">
        <w:trPr>
          <w:trHeight w:val="286"/>
        </w:trPr>
        <w:tc>
          <w:tcPr>
            <w:tcW w:w="0" w:type="pct"/>
            <w:shd w:val="clear" w:color="auto" w:fill="DBF4F5" w:themeFill="background2"/>
            <w:noWrap/>
          </w:tcPr>
          <w:p w14:paraId="7E2E60F4" w14:textId="77777777" w:rsidR="00BA54DA" w:rsidRPr="00464167" w:rsidRDefault="00BA54DA" w:rsidP="00971447">
            <w:pPr>
              <w:rPr>
                <w:rFonts w:cs="Arial"/>
                <w:b/>
                <w:bCs/>
                <w:color w:val="000000" w:themeColor="text1"/>
              </w:rPr>
            </w:pPr>
            <w:r w:rsidRPr="00464167">
              <w:rPr>
                <w:rFonts w:cs="Arial"/>
                <w:b/>
                <w:bCs/>
                <w:color w:val="000000" w:themeColor="text1"/>
              </w:rPr>
              <w:t>Total</w:t>
            </w:r>
          </w:p>
        </w:tc>
        <w:tc>
          <w:tcPr>
            <w:tcW w:w="0" w:type="pct"/>
          </w:tcPr>
          <w:p w14:paraId="544A6F7E" w14:textId="77777777" w:rsidR="00BA54DA" w:rsidRPr="00464167" w:rsidRDefault="00BA54DA" w:rsidP="00971447">
            <w:pPr>
              <w:jc w:val="right"/>
              <w:rPr>
                <w:rFonts w:cs="Arial"/>
                <w:b/>
                <w:bCs/>
                <w:color w:val="000000" w:themeColor="text1"/>
              </w:rPr>
            </w:pPr>
            <w:r w:rsidRPr="00464167">
              <w:rPr>
                <w:rFonts w:cs="Arial"/>
                <w:b/>
                <w:bCs/>
                <w:color w:val="000000" w:themeColor="text1"/>
              </w:rPr>
              <w:t>60,000</w:t>
            </w:r>
          </w:p>
        </w:tc>
        <w:tc>
          <w:tcPr>
            <w:tcW w:w="0" w:type="pct"/>
            <w:shd w:val="clear" w:color="auto" w:fill="DBF4F5" w:themeFill="background2"/>
            <w:noWrap/>
          </w:tcPr>
          <w:p w14:paraId="46A4228B" w14:textId="77777777" w:rsidR="00BA54DA" w:rsidRPr="00464167" w:rsidRDefault="00BA54DA" w:rsidP="00971447">
            <w:pPr>
              <w:jc w:val="right"/>
              <w:rPr>
                <w:rFonts w:cs="Arial"/>
                <w:b/>
                <w:bCs/>
                <w:color w:val="000000" w:themeColor="text1"/>
              </w:rPr>
            </w:pPr>
            <w:r w:rsidRPr="00464167">
              <w:rPr>
                <w:rFonts w:cs="Arial"/>
                <w:b/>
                <w:bCs/>
                <w:color w:val="000000" w:themeColor="text1"/>
              </w:rPr>
              <w:t>45,600</w:t>
            </w:r>
          </w:p>
        </w:tc>
        <w:tc>
          <w:tcPr>
            <w:tcW w:w="0" w:type="pct"/>
          </w:tcPr>
          <w:p w14:paraId="21CE0C4F" w14:textId="77777777" w:rsidR="00BA54DA" w:rsidRPr="00464167" w:rsidRDefault="00BA54DA" w:rsidP="00971447">
            <w:pPr>
              <w:jc w:val="right"/>
              <w:rPr>
                <w:rFonts w:cs="Arial"/>
                <w:b/>
                <w:bCs/>
                <w:color w:val="000000" w:themeColor="text1"/>
              </w:rPr>
            </w:pPr>
            <w:r w:rsidRPr="00464167">
              <w:rPr>
                <w:rFonts w:cs="Arial"/>
                <w:b/>
                <w:bCs/>
                <w:color w:val="000000" w:themeColor="text1"/>
              </w:rPr>
              <w:t>164,900</w:t>
            </w:r>
          </w:p>
        </w:tc>
        <w:tc>
          <w:tcPr>
            <w:tcW w:w="0" w:type="pct"/>
            <w:shd w:val="clear" w:color="auto" w:fill="DBF4F5" w:themeFill="background2"/>
          </w:tcPr>
          <w:p w14:paraId="78BAF60E" w14:textId="77777777" w:rsidR="00BA54DA" w:rsidRPr="00464167" w:rsidRDefault="00BA54DA" w:rsidP="00971447">
            <w:pPr>
              <w:jc w:val="right"/>
              <w:rPr>
                <w:rFonts w:cs="Arial"/>
                <w:b/>
                <w:bCs/>
                <w:color w:val="000000" w:themeColor="text1"/>
              </w:rPr>
            </w:pPr>
            <w:r w:rsidRPr="00464167">
              <w:rPr>
                <w:rFonts w:cs="Arial"/>
                <w:b/>
                <w:bCs/>
                <w:color w:val="000000" w:themeColor="text1"/>
              </w:rPr>
              <w:t>~160,000</w:t>
            </w:r>
          </w:p>
        </w:tc>
        <w:tc>
          <w:tcPr>
            <w:tcW w:w="0" w:type="pct"/>
          </w:tcPr>
          <w:p w14:paraId="377E829A" w14:textId="77777777" w:rsidR="00BA54DA" w:rsidRPr="00464167" w:rsidRDefault="00BA54DA" w:rsidP="00971447">
            <w:pPr>
              <w:spacing w:line="240" w:lineRule="atLeast"/>
              <w:rPr>
                <w:rFonts w:cs="Arial"/>
                <w:b/>
                <w:color w:val="000000" w:themeColor="text1"/>
              </w:rPr>
            </w:pPr>
            <w:r w:rsidRPr="00464167">
              <w:rPr>
                <w:rFonts w:cs="Arial"/>
                <w:b/>
                <w:color w:val="000000" w:themeColor="text1"/>
              </w:rPr>
              <w:t>-</w:t>
            </w:r>
          </w:p>
        </w:tc>
        <w:tc>
          <w:tcPr>
            <w:tcW w:w="0" w:type="pct"/>
            <w:shd w:val="clear" w:color="auto" w:fill="DBF4F5" w:themeFill="background2"/>
          </w:tcPr>
          <w:p w14:paraId="0B65302E" w14:textId="77777777" w:rsidR="00BA54DA" w:rsidRPr="00464167" w:rsidRDefault="00BA54DA" w:rsidP="00971447">
            <w:pPr>
              <w:widowControl w:val="0"/>
              <w:spacing w:after="0" w:line="240" w:lineRule="auto"/>
              <w:jc w:val="both"/>
              <w:rPr>
                <w:rFonts w:ascii="Arial" w:hAnsi="Arial" w:cs="Arial"/>
                <w:b/>
                <w:bCs/>
                <w:color w:val="201547"/>
                <w:szCs w:val="18"/>
              </w:rPr>
            </w:pPr>
          </w:p>
        </w:tc>
      </w:tr>
    </w:tbl>
    <w:p w14:paraId="51658272" w14:textId="77777777" w:rsidR="00BA54DA" w:rsidRPr="00464167" w:rsidRDefault="00BA54DA" w:rsidP="00BA54DA">
      <w:pPr>
        <w:spacing w:before="60" w:after="60" w:line="240" w:lineRule="auto"/>
        <w:ind w:right="227"/>
        <w:rPr>
          <w:rFonts w:eastAsia="Arial" w:cs="Times New Roman"/>
        </w:rPr>
      </w:pPr>
      <w:r w:rsidRPr="00464167">
        <w:rPr>
          <w:rFonts w:eastAsia="Arial" w:cs="Times New Roman"/>
        </w:rPr>
        <w:t>Source: ABS and IE (2022) and Blue Environment.</w:t>
      </w:r>
    </w:p>
    <w:p w14:paraId="3E4A213C" w14:textId="77777777" w:rsidR="00BA54DA" w:rsidRPr="00464167" w:rsidRDefault="00BA54DA" w:rsidP="00BA54DA">
      <w:pPr>
        <w:keepLines/>
        <w:numPr>
          <w:ilvl w:val="0"/>
          <w:numId w:val="12"/>
        </w:numPr>
        <w:spacing w:before="60" w:after="100" w:afterAutospacing="1" w:line="180" w:lineRule="exact"/>
        <w:rPr>
          <w:rFonts w:eastAsia="Arial"/>
          <w:sz w:val="14"/>
        </w:rPr>
      </w:pPr>
      <w:r w:rsidRPr="00464167">
        <w:rPr>
          <w:rFonts w:eastAsia="Arial"/>
          <w:sz w:val="14"/>
        </w:rPr>
        <w:t>Data is for July 2021 to April 2022 (10 months), scaled to 12 months.</w:t>
      </w:r>
    </w:p>
    <w:p w14:paraId="3CE9E220" w14:textId="77777777" w:rsidR="00BA54DA" w:rsidRPr="00464167" w:rsidRDefault="00BA54DA" w:rsidP="00BA54DA">
      <w:pPr>
        <w:keepLines/>
        <w:numPr>
          <w:ilvl w:val="0"/>
          <w:numId w:val="12"/>
        </w:numPr>
        <w:spacing w:before="60" w:after="100" w:afterAutospacing="1" w:line="180" w:lineRule="exact"/>
        <w:rPr>
          <w:rFonts w:eastAsia="Arial"/>
          <w:sz w:val="14"/>
        </w:rPr>
      </w:pPr>
      <w:r w:rsidRPr="00464167">
        <w:rPr>
          <w:rFonts w:eastAsia="Arial"/>
          <w:sz w:val="14"/>
        </w:rPr>
        <w:t>National scrap export total split using Victorian polymer ratios.</w:t>
      </w:r>
    </w:p>
    <w:p w14:paraId="7394AB9B" w14:textId="77777777" w:rsidR="00BA54DA" w:rsidRPr="00464167" w:rsidRDefault="00BA54DA" w:rsidP="00BA54DA">
      <w:pPr>
        <w:keepLines/>
        <w:numPr>
          <w:ilvl w:val="0"/>
          <w:numId w:val="12"/>
        </w:numPr>
        <w:spacing w:before="60" w:after="100" w:afterAutospacing="1" w:line="180" w:lineRule="exact"/>
        <w:rPr>
          <w:rFonts w:eastAsia="Arial"/>
          <w:sz w:val="14"/>
        </w:rPr>
      </w:pPr>
      <w:r w:rsidRPr="00464167">
        <w:rPr>
          <w:rFonts w:eastAsia="Arial"/>
          <w:sz w:val="14"/>
        </w:rPr>
        <w:t>New capacity data drawn from Table 3</w:t>
      </w:r>
      <w:r w:rsidR="002A4989">
        <w:rPr>
          <w:rFonts w:eastAsia="Arial"/>
          <w:sz w:val="14"/>
        </w:rPr>
        <w:t xml:space="preserve"> In Plastics Report</w:t>
      </w:r>
      <w:r w:rsidRPr="00464167">
        <w:rPr>
          <w:rFonts w:eastAsia="Arial"/>
          <w:sz w:val="14"/>
        </w:rPr>
        <w:t>. Rough approximations only.</w:t>
      </w:r>
    </w:p>
    <w:p w14:paraId="29884C2D" w14:textId="77777777" w:rsidR="00BA54DA" w:rsidRPr="00464167" w:rsidRDefault="00BA54DA" w:rsidP="00BA54DA">
      <w:pPr>
        <w:keepNext/>
        <w:keepLines/>
        <w:spacing w:before="200" w:after="100"/>
        <w:outlineLvl w:val="4"/>
        <w:rPr>
          <w:rFonts w:asciiTheme="majorHAnsi" w:eastAsiaTheme="majorEastAsia" w:hAnsiTheme="majorHAnsi" w:cstheme="majorBidi"/>
          <w:b/>
          <w:color w:val="201547" w:themeColor="text2"/>
        </w:rPr>
      </w:pPr>
      <w:r w:rsidRPr="00464167">
        <w:rPr>
          <w:rFonts w:asciiTheme="majorHAnsi" w:eastAsiaTheme="majorEastAsia" w:hAnsiTheme="majorHAnsi" w:cstheme="majorBidi"/>
          <w:b/>
          <w:color w:val="201547" w:themeColor="text2"/>
        </w:rPr>
        <w:t>PET</w:t>
      </w:r>
    </w:p>
    <w:p w14:paraId="6CDF1F5B" w14:textId="77777777" w:rsidR="00BA54DA" w:rsidRPr="00464167" w:rsidRDefault="00BA54DA" w:rsidP="00BA54DA">
      <w:pPr>
        <w:spacing w:before="60" w:after="120" w:line="260" w:lineRule="atLeast"/>
        <w:rPr>
          <w:rFonts w:eastAsia="Arial" w:cs="Times New Roman"/>
        </w:rPr>
      </w:pPr>
      <w:r w:rsidRPr="00464167">
        <w:rPr>
          <w:rFonts w:eastAsia="Arial" w:cs="Times New Roman"/>
        </w:rPr>
        <w:t>There appears to be plenty of new capacity in the pipeline to absorb the PET exported in 2021–22. In addition, the new capacity will target rigid PET packaging that is currently not recycled locally or overseas, and likely growth in rigid PET packaging use.</w:t>
      </w:r>
    </w:p>
    <w:p w14:paraId="46C2CB10" w14:textId="77777777" w:rsidR="00BA54DA" w:rsidRPr="00464167" w:rsidRDefault="00BA54DA" w:rsidP="00BA54DA">
      <w:pPr>
        <w:keepNext/>
        <w:keepLines/>
        <w:spacing w:before="200" w:after="100"/>
        <w:outlineLvl w:val="4"/>
        <w:rPr>
          <w:rFonts w:asciiTheme="majorHAnsi" w:eastAsiaTheme="majorEastAsia" w:hAnsiTheme="majorHAnsi" w:cstheme="majorBidi"/>
          <w:b/>
          <w:color w:val="201547" w:themeColor="text2"/>
        </w:rPr>
      </w:pPr>
      <w:r w:rsidRPr="00464167">
        <w:rPr>
          <w:rFonts w:asciiTheme="majorHAnsi" w:eastAsiaTheme="majorEastAsia" w:hAnsiTheme="majorHAnsi" w:cstheme="majorBidi"/>
          <w:b/>
          <w:color w:val="201547" w:themeColor="text2"/>
        </w:rPr>
        <w:t>HDPE</w:t>
      </w:r>
    </w:p>
    <w:p w14:paraId="39F4F8F5" w14:textId="77777777" w:rsidR="00BA54DA" w:rsidRPr="00464167" w:rsidRDefault="00BA54DA" w:rsidP="00BA54DA">
      <w:pPr>
        <w:spacing w:before="60" w:after="120" w:line="260" w:lineRule="atLeast"/>
        <w:rPr>
          <w:rFonts w:eastAsia="Arial" w:cs="Times New Roman"/>
        </w:rPr>
      </w:pPr>
      <w:r w:rsidRPr="00464167">
        <w:rPr>
          <w:rFonts w:eastAsia="Arial" w:cs="Times New Roman"/>
        </w:rPr>
        <w:t>New capacity for HDPE packaging recycling is consistent with current exports. It is also likely that existing capacity will be able to be expanded to reprocess more rigid HDPE packaging, which is highly sought after.</w:t>
      </w:r>
    </w:p>
    <w:p w14:paraId="05FFA82C" w14:textId="77777777" w:rsidR="00BA54DA" w:rsidRPr="00464167" w:rsidRDefault="00BA54DA" w:rsidP="00BA54DA">
      <w:pPr>
        <w:keepNext/>
        <w:keepLines/>
        <w:spacing w:before="200" w:after="100"/>
        <w:outlineLvl w:val="4"/>
        <w:rPr>
          <w:rFonts w:asciiTheme="majorHAnsi" w:eastAsiaTheme="majorEastAsia" w:hAnsiTheme="majorHAnsi" w:cstheme="majorBidi"/>
          <w:b/>
          <w:color w:val="201547" w:themeColor="text2"/>
        </w:rPr>
      </w:pPr>
      <w:r w:rsidRPr="00464167">
        <w:rPr>
          <w:rFonts w:asciiTheme="majorHAnsi" w:eastAsiaTheme="majorEastAsia" w:hAnsiTheme="majorHAnsi" w:cstheme="majorBidi"/>
          <w:b/>
          <w:color w:val="201547" w:themeColor="text2"/>
        </w:rPr>
        <w:t>PVC</w:t>
      </w:r>
    </w:p>
    <w:p w14:paraId="3BE3594E" w14:textId="77777777" w:rsidR="00BA54DA" w:rsidRPr="00464167" w:rsidRDefault="00BA54DA" w:rsidP="00BA54DA">
      <w:pPr>
        <w:spacing w:before="60" w:after="120" w:line="260" w:lineRule="atLeast"/>
        <w:rPr>
          <w:rFonts w:eastAsia="Arial" w:cs="Times New Roman"/>
        </w:rPr>
      </w:pPr>
      <w:r w:rsidRPr="00464167">
        <w:rPr>
          <w:rFonts w:eastAsia="Arial" w:cs="Times New Roman"/>
        </w:rPr>
        <w:t>Minimal exports and no new planned reprocessing capacity identified. Phaseout in the use of rigid plastic packaging is progressing.</w:t>
      </w:r>
    </w:p>
    <w:p w14:paraId="1BE5DD74" w14:textId="77777777" w:rsidR="00BA54DA" w:rsidRPr="00464167" w:rsidRDefault="00BA54DA" w:rsidP="00BA54DA">
      <w:pPr>
        <w:keepNext/>
        <w:keepLines/>
        <w:spacing w:before="200" w:after="100"/>
        <w:outlineLvl w:val="4"/>
        <w:rPr>
          <w:rFonts w:asciiTheme="majorHAnsi" w:eastAsiaTheme="majorEastAsia" w:hAnsiTheme="majorHAnsi" w:cstheme="majorBidi"/>
          <w:b/>
          <w:color w:val="201547" w:themeColor="text2"/>
        </w:rPr>
      </w:pPr>
      <w:r w:rsidRPr="00464167">
        <w:rPr>
          <w:rFonts w:asciiTheme="majorHAnsi" w:eastAsiaTheme="majorEastAsia" w:hAnsiTheme="majorHAnsi" w:cstheme="majorBidi"/>
          <w:b/>
          <w:color w:val="201547" w:themeColor="text2"/>
        </w:rPr>
        <w:t>LDPE</w:t>
      </w:r>
    </w:p>
    <w:p w14:paraId="5C6D75FE" w14:textId="77777777" w:rsidR="00BA54DA" w:rsidRPr="00464167" w:rsidRDefault="00BA54DA" w:rsidP="00BA54DA">
      <w:pPr>
        <w:spacing w:before="60" w:after="120" w:line="260" w:lineRule="atLeast"/>
        <w:rPr>
          <w:rFonts w:eastAsia="Arial" w:cs="Times New Roman"/>
        </w:rPr>
      </w:pPr>
      <w:r w:rsidRPr="00464167">
        <w:rPr>
          <w:rFonts w:eastAsia="Arial" w:cs="Times New Roman"/>
        </w:rPr>
        <w:t>LDPE film exports, which are entirely film from C&amp;I sources</w:t>
      </w:r>
      <w:r w:rsidR="003B520B">
        <w:rPr>
          <w:rFonts w:eastAsia="Arial" w:cs="Times New Roman"/>
        </w:rPr>
        <w:t xml:space="preserve">, </w:t>
      </w:r>
      <w:r w:rsidRPr="00464167">
        <w:rPr>
          <w:rFonts w:eastAsia="Arial" w:cs="Times New Roman"/>
        </w:rPr>
        <w:t>for example pallet wrap, are large and the identified new reprocessing capacity appears to be significantly less than exports.</w:t>
      </w:r>
    </w:p>
    <w:p w14:paraId="6E547CB8" w14:textId="77777777" w:rsidR="00BA54DA" w:rsidRPr="00464167" w:rsidRDefault="00BA54DA" w:rsidP="00BA54DA">
      <w:pPr>
        <w:keepNext/>
        <w:keepLines/>
        <w:spacing w:before="200" w:after="100"/>
        <w:outlineLvl w:val="4"/>
        <w:rPr>
          <w:rFonts w:asciiTheme="majorHAnsi" w:eastAsiaTheme="majorEastAsia" w:hAnsiTheme="majorHAnsi" w:cstheme="majorBidi"/>
          <w:b/>
          <w:color w:val="201547" w:themeColor="text2"/>
        </w:rPr>
      </w:pPr>
      <w:r w:rsidRPr="00464167">
        <w:rPr>
          <w:rFonts w:asciiTheme="majorHAnsi" w:eastAsiaTheme="majorEastAsia" w:hAnsiTheme="majorHAnsi" w:cstheme="majorBidi"/>
          <w:b/>
          <w:color w:val="201547" w:themeColor="text2"/>
        </w:rPr>
        <w:t>PP</w:t>
      </w:r>
    </w:p>
    <w:p w14:paraId="3A418AD1" w14:textId="77777777" w:rsidR="00BA54DA" w:rsidRPr="00464167" w:rsidRDefault="00BA54DA" w:rsidP="00BA54DA">
      <w:pPr>
        <w:spacing w:before="60" w:after="120" w:line="260" w:lineRule="atLeast"/>
        <w:rPr>
          <w:rFonts w:eastAsia="Arial" w:cs="Times New Roman"/>
        </w:rPr>
      </w:pPr>
      <w:r w:rsidRPr="00464167">
        <w:rPr>
          <w:rFonts w:eastAsia="Arial" w:cs="Times New Roman"/>
        </w:rPr>
        <w:t xml:space="preserve">Exports are minimal as a sorted single polymer bale and there is plenty of planned new capacity </w:t>
      </w:r>
      <w:r w:rsidR="003B520B">
        <w:rPr>
          <w:rFonts w:eastAsia="Arial" w:cs="Times New Roman"/>
        </w:rPr>
        <w:t xml:space="preserve">that </w:t>
      </w:r>
      <w:r w:rsidRPr="00464167">
        <w:rPr>
          <w:rFonts w:eastAsia="Arial" w:cs="Times New Roman"/>
        </w:rPr>
        <w:t xml:space="preserve"> will target PP from both rigid packaging and non-packaging PP products.</w:t>
      </w:r>
    </w:p>
    <w:p w14:paraId="7F774405" w14:textId="77777777" w:rsidR="00BA54DA" w:rsidRPr="00464167" w:rsidRDefault="00BA54DA" w:rsidP="00BA54DA">
      <w:pPr>
        <w:spacing w:before="60" w:after="120" w:line="260" w:lineRule="atLeast"/>
        <w:rPr>
          <w:rFonts w:eastAsia="Arial" w:cs="Times New Roman"/>
        </w:rPr>
      </w:pPr>
      <w:r w:rsidRPr="00464167">
        <w:rPr>
          <w:rFonts w:eastAsia="Arial" w:cs="Times New Roman"/>
        </w:rPr>
        <w:lastRenderedPageBreak/>
        <w:t>Significant growth in the use of rigid PP packaging is likely as PVC and PS use is phased out, and through general growth in the use of rigid PP packaging.</w:t>
      </w:r>
    </w:p>
    <w:p w14:paraId="1D797AB1" w14:textId="77777777" w:rsidR="00BA54DA" w:rsidRPr="00464167" w:rsidRDefault="00BA54DA" w:rsidP="00BA54DA">
      <w:pPr>
        <w:spacing w:before="60" w:after="120" w:line="260" w:lineRule="atLeast"/>
        <w:rPr>
          <w:rFonts w:eastAsia="Arial" w:cs="Times New Roman"/>
        </w:rPr>
      </w:pPr>
      <w:r w:rsidRPr="00464167">
        <w:rPr>
          <w:rFonts w:eastAsia="Arial" w:cs="Times New Roman"/>
        </w:rPr>
        <w:t>The new capacity is, in part, targeting the sorted PP streams which are being generated by an increasing number of MRFs. It is a relatively new development that MRFs are moving towards positively sorting a single polymer PP stream.</w:t>
      </w:r>
    </w:p>
    <w:p w14:paraId="586489FA" w14:textId="77777777" w:rsidR="00BA54DA" w:rsidRPr="00464167" w:rsidRDefault="00BA54DA" w:rsidP="00BA54DA">
      <w:pPr>
        <w:keepNext/>
        <w:keepLines/>
        <w:spacing w:before="200" w:after="100"/>
        <w:outlineLvl w:val="4"/>
        <w:rPr>
          <w:rFonts w:asciiTheme="majorHAnsi" w:eastAsiaTheme="majorEastAsia" w:hAnsiTheme="majorHAnsi" w:cstheme="majorBidi"/>
          <w:b/>
          <w:color w:val="201547" w:themeColor="text2"/>
        </w:rPr>
      </w:pPr>
      <w:r w:rsidRPr="00464167">
        <w:rPr>
          <w:rFonts w:asciiTheme="majorHAnsi" w:eastAsiaTheme="majorEastAsia" w:hAnsiTheme="majorHAnsi" w:cstheme="majorBidi"/>
          <w:b/>
          <w:color w:val="201547" w:themeColor="text2"/>
        </w:rPr>
        <w:t>PS</w:t>
      </w:r>
    </w:p>
    <w:p w14:paraId="240E2612" w14:textId="77777777" w:rsidR="00BA54DA" w:rsidRPr="00464167" w:rsidRDefault="00BA54DA" w:rsidP="00BA54DA">
      <w:pPr>
        <w:spacing w:before="60" w:after="120" w:line="260" w:lineRule="atLeast"/>
        <w:rPr>
          <w:rFonts w:eastAsia="Arial" w:cs="Times New Roman"/>
        </w:rPr>
      </w:pPr>
      <w:r w:rsidRPr="00464167">
        <w:rPr>
          <w:rFonts w:eastAsia="Arial" w:cs="Times New Roman"/>
        </w:rPr>
        <w:t>Minimal exports and no new planned reprocessing capacity identified. Phaseout in the use of rigid plastic packaging is progressing.</w:t>
      </w:r>
    </w:p>
    <w:p w14:paraId="4DD749BE" w14:textId="77777777" w:rsidR="003B520B" w:rsidRPr="00B50732" w:rsidRDefault="003B520B" w:rsidP="00BA54DA">
      <w:pPr>
        <w:spacing w:before="60" w:after="120" w:line="260" w:lineRule="atLeast"/>
        <w:rPr>
          <w:rFonts w:eastAsia="Arial" w:cs="Times New Roman"/>
          <w:b/>
          <w:bCs/>
        </w:rPr>
      </w:pPr>
      <w:r w:rsidRPr="00B50732">
        <w:rPr>
          <w:rFonts w:eastAsia="Arial" w:cs="Times New Roman"/>
          <w:b/>
          <w:bCs/>
        </w:rPr>
        <w:t>Summary</w:t>
      </w:r>
    </w:p>
    <w:p w14:paraId="5734E99F" w14:textId="77777777" w:rsidR="00BA54DA" w:rsidRPr="00464167" w:rsidRDefault="00BA54DA" w:rsidP="00BA54DA">
      <w:pPr>
        <w:spacing w:before="60" w:after="120" w:line="260" w:lineRule="atLeast"/>
        <w:rPr>
          <w:rFonts w:eastAsia="Arial" w:cs="Times New Roman"/>
        </w:rPr>
      </w:pPr>
      <w:r w:rsidRPr="00464167">
        <w:rPr>
          <w:rFonts w:eastAsia="Arial" w:cs="Times New Roman"/>
        </w:rPr>
        <w:t>In summary, after 2023 there does not appear to be an ongoing exposure to the upcoming unprocessed single polymer export bans for rigid packaging from kerbside sources. However, LDPE film from C&amp;I sources does appear to have a local reprocessing shortfall for the foreseeable future. Although local reprocessors may pivot to reprocessing this internationally sought after material sufficiently to avoid the export bans, it will take time.</w:t>
      </w:r>
    </w:p>
    <w:p w14:paraId="23F34C4F" w14:textId="77777777" w:rsidR="00BA54DA" w:rsidRPr="00464167" w:rsidRDefault="000F2235" w:rsidP="00BA54DA">
      <w:pPr>
        <w:spacing w:before="60" w:after="120" w:line="260" w:lineRule="atLeast"/>
        <w:rPr>
          <w:rFonts w:eastAsia="Arial" w:cs="Times New Roman"/>
        </w:rPr>
      </w:pPr>
      <w:r w:rsidRPr="00B50732">
        <w:rPr>
          <w:noProof/>
          <w:color w:val="004C97" w:themeColor="accent3"/>
          <w:lang w:val="en-US"/>
        </w:rPr>
        <mc:AlternateContent>
          <mc:Choice Requires="wps">
            <w:drawing>
              <wp:anchor distT="91440" distB="91440" distL="114300" distR="114300" simplePos="0" relativeHeight="251659264" behindDoc="0" locked="0" layoutInCell="1" allowOverlap="1" wp14:anchorId="43B0096E" wp14:editId="5366916F">
                <wp:simplePos x="0" y="0"/>
                <wp:positionH relativeFrom="margin">
                  <wp:posOffset>-58141</wp:posOffset>
                </wp:positionH>
                <wp:positionV relativeFrom="paragraph">
                  <wp:posOffset>528250</wp:posOffset>
                </wp:positionV>
                <wp:extent cx="691261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1403985"/>
                        </a:xfrm>
                        <a:prstGeom prst="rect">
                          <a:avLst/>
                        </a:prstGeom>
                        <a:noFill/>
                        <a:ln w="9525">
                          <a:noFill/>
                          <a:miter lim="800000"/>
                          <a:headEnd/>
                          <a:tailEnd/>
                        </a:ln>
                      </wps:spPr>
                      <wps:txbx>
                        <w:txbxContent>
                          <w:p w14:paraId="1378AA13" w14:textId="77777777" w:rsidR="000F2235" w:rsidRDefault="000F2235" w:rsidP="000F2235">
                            <w:pPr>
                              <w:pBdr>
                                <w:top w:val="single" w:sz="24" w:space="8" w:color="88DBE9" w:themeColor="accent1"/>
                                <w:bottom w:val="single" w:sz="24" w:space="8" w:color="88DBE9" w:themeColor="accent1"/>
                              </w:pBdr>
                              <w:rPr>
                                <w:i/>
                                <w:iCs/>
                                <w:color w:val="88DBE9" w:themeColor="accent1"/>
                                <w:sz w:val="24"/>
                              </w:rPr>
                            </w:pPr>
                            <w:r w:rsidRPr="00B50732">
                              <w:rPr>
                                <w:i/>
                                <w:iCs/>
                                <w:color w:val="88DBE9" w:themeColor="accent1"/>
                                <w:sz w:val="24"/>
                              </w:rPr>
                              <w:t>Disclaimer</w:t>
                            </w:r>
                          </w:p>
                          <w:p w14:paraId="17214F6E" w14:textId="77777777" w:rsidR="000F2235" w:rsidRPr="00B50732" w:rsidRDefault="000F2235" w:rsidP="000F2235">
                            <w:pPr>
                              <w:pBdr>
                                <w:top w:val="single" w:sz="24" w:space="8" w:color="88DBE9" w:themeColor="accent1"/>
                                <w:bottom w:val="single" w:sz="24" w:space="8" w:color="88DBE9" w:themeColor="accent1"/>
                              </w:pBdr>
                              <w:rPr>
                                <w:i/>
                                <w:iCs/>
                                <w:color w:val="88DBE9" w:themeColor="accent1"/>
                                <w:sz w:val="24"/>
                              </w:rPr>
                            </w:pPr>
                          </w:p>
                          <w:p w14:paraId="73F0EF19" w14:textId="77777777" w:rsidR="000F2235" w:rsidRPr="00B50732" w:rsidRDefault="000F2235" w:rsidP="000F2235">
                            <w:pPr>
                              <w:pBdr>
                                <w:top w:val="single" w:sz="24" w:space="8" w:color="88DBE9" w:themeColor="accent1"/>
                                <w:bottom w:val="single" w:sz="24" w:space="8" w:color="88DBE9" w:themeColor="accent1"/>
                              </w:pBdr>
                              <w:rPr>
                                <w:i/>
                                <w:iCs/>
                                <w:color w:val="auto"/>
                              </w:rPr>
                            </w:pPr>
                            <w:r w:rsidRPr="00B50732">
                              <w:rPr>
                                <w:i/>
                                <w:iCs/>
                                <w:color w:val="auto"/>
                              </w:rPr>
                              <w:t xml:space="preserve">The information on this report was prepared </w:t>
                            </w:r>
                            <w:r>
                              <w:rPr>
                                <w:i/>
                                <w:iCs/>
                                <w:color w:val="auto"/>
                              </w:rPr>
                              <w:t>by</w:t>
                            </w:r>
                            <w:r w:rsidRPr="00B50732">
                              <w:rPr>
                                <w:i/>
                                <w:iCs/>
                                <w:color w:val="auto"/>
                              </w:rPr>
                              <w:t xml:space="preserve"> Blue Environment</w:t>
                            </w:r>
                            <w:r>
                              <w:rPr>
                                <w:i/>
                                <w:iCs/>
                                <w:color w:val="auto"/>
                              </w:rPr>
                              <w:t>.</w:t>
                            </w:r>
                          </w:p>
                          <w:p w14:paraId="7D117E80" w14:textId="77777777" w:rsidR="000F2235" w:rsidRPr="00B50732" w:rsidRDefault="000F2235" w:rsidP="000F2235">
                            <w:pPr>
                              <w:pBdr>
                                <w:top w:val="single" w:sz="24" w:space="8" w:color="88DBE9" w:themeColor="accent1"/>
                                <w:bottom w:val="single" w:sz="24" w:space="8" w:color="88DBE9" w:themeColor="accent1"/>
                              </w:pBdr>
                              <w:rPr>
                                <w:i/>
                                <w:iCs/>
                                <w:color w:val="auto"/>
                              </w:rPr>
                            </w:pPr>
                          </w:p>
                          <w:p w14:paraId="232EEE69" w14:textId="77777777" w:rsidR="000F2235" w:rsidRPr="00B50732" w:rsidRDefault="000F2235" w:rsidP="000F2235">
                            <w:pPr>
                              <w:pBdr>
                                <w:top w:val="single" w:sz="24" w:space="8" w:color="88DBE9" w:themeColor="accent1"/>
                                <w:bottom w:val="single" w:sz="24" w:space="8" w:color="88DBE9" w:themeColor="accent1"/>
                              </w:pBdr>
                              <w:rPr>
                                <w:i/>
                                <w:iCs/>
                                <w:color w:val="auto"/>
                              </w:rPr>
                            </w:pPr>
                            <w:r w:rsidRPr="00B50732">
                              <w:rPr>
                                <w:i/>
                                <w:iCs/>
                                <w:color w:val="auto"/>
                              </w:rPr>
                              <w:t>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as a result of placed upon the content of this publication.</w:t>
                            </w:r>
                          </w:p>
                          <w:p w14:paraId="5A7CFA00" w14:textId="77777777" w:rsidR="000F2235" w:rsidRPr="00B50732" w:rsidRDefault="000F2235" w:rsidP="000F2235">
                            <w:pPr>
                              <w:pBdr>
                                <w:top w:val="single" w:sz="24" w:space="8" w:color="88DBE9" w:themeColor="accent1"/>
                                <w:bottom w:val="single" w:sz="24" w:space="8" w:color="88DBE9" w:themeColor="accent1"/>
                              </w:pBdr>
                              <w:rPr>
                                <w:i/>
                                <w:iCs/>
                                <w:color w:val="auto"/>
                              </w:rPr>
                            </w:pPr>
                            <w:r w:rsidRPr="00B50732">
                              <w:rPr>
                                <w:i/>
                                <w:iCs/>
                                <w:color w:val="auto"/>
                              </w:rPr>
                              <w:t>This publication is provided on the basis that all persons accessing it undertake responsibility for assessing the relevance and accuracy of its content.</w:t>
                            </w:r>
                          </w:p>
                          <w:p w14:paraId="078FB343" w14:textId="77777777" w:rsidR="000F2235" w:rsidRPr="00B50732" w:rsidRDefault="000F2235" w:rsidP="000F2235">
                            <w:pPr>
                              <w:pBdr>
                                <w:top w:val="single" w:sz="24" w:space="8" w:color="88DBE9" w:themeColor="accent1"/>
                                <w:bottom w:val="single" w:sz="24" w:space="8" w:color="88DBE9" w:themeColor="accent1"/>
                              </w:pBdr>
                              <w:rPr>
                                <w:i/>
                                <w:iCs/>
                                <w:color w:val="auto"/>
                              </w:rPr>
                            </w:pPr>
                          </w:p>
                          <w:p w14:paraId="2EDCBBFA" w14:textId="77777777" w:rsidR="000F2235" w:rsidRPr="00B50732" w:rsidRDefault="000F2235" w:rsidP="000F2235">
                            <w:pPr>
                              <w:pBdr>
                                <w:top w:val="single" w:sz="24" w:space="8" w:color="88DBE9" w:themeColor="accent1"/>
                                <w:bottom w:val="single" w:sz="24" w:space="8" w:color="88DBE9" w:themeColor="accent1"/>
                              </w:pBdr>
                              <w:rPr>
                                <w:i/>
                                <w:iCs/>
                                <w:color w:val="auto"/>
                              </w:rPr>
                            </w:pPr>
                            <w:r w:rsidRPr="00B50732">
                              <w:rPr>
                                <w:i/>
                                <w:iCs/>
                                <w:color w:val="auto"/>
                              </w:rPr>
                              <w:t>Recycling Victoria does not accept any liability for loss or damage arising from your use of or reliance on the data. The inclusion of information in this report does not constitute Recycling Victoria’s endorsement of any particular facility, or any associated organisation, product or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0096E" id="_x0000_t202" coordsize="21600,21600" o:spt="202" path="m,l,21600r21600,l21600,xe">
                <v:stroke joinstyle="miter"/>
                <v:path gradientshapeok="t" o:connecttype="rect"/>
              </v:shapetype>
              <v:shape id="Text Box 2" o:spid="_x0000_s1026" type="#_x0000_t202" style="position:absolute;margin-left:-4.6pt;margin-top:41.6pt;width:544.3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7h+g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" filled="f" stroked="f">
                <v:textbox style="mso-fit-shape-to-text:t">
                  <w:txbxContent>
                    <w:p w14:paraId="1378AA13" w14:textId="77777777" w:rsidR="000F2235" w:rsidRDefault="000F2235" w:rsidP="000F2235">
                      <w:pPr>
                        <w:pBdr>
                          <w:top w:val="single" w:sz="24" w:space="8" w:color="88DBE9" w:themeColor="accent1"/>
                          <w:bottom w:val="single" w:sz="24" w:space="8" w:color="88DBE9" w:themeColor="accent1"/>
                        </w:pBdr>
                        <w:rPr>
                          <w:i/>
                          <w:iCs/>
                          <w:color w:val="88DBE9" w:themeColor="accent1"/>
                          <w:sz w:val="24"/>
                        </w:rPr>
                      </w:pPr>
                      <w:r w:rsidRPr="00B50732">
                        <w:rPr>
                          <w:i/>
                          <w:iCs/>
                          <w:color w:val="88DBE9" w:themeColor="accent1"/>
                          <w:sz w:val="24"/>
                        </w:rPr>
                        <w:t>Disclaimer</w:t>
                      </w:r>
                    </w:p>
                    <w:p w14:paraId="17214F6E" w14:textId="77777777" w:rsidR="000F2235" w:rsidRPr="00B50732" w:rsidRDefault="000F2235" w:rsidP="000F2235">
                      <w:pPr>
                        <w:pBdr>
                          <w:top w:val="single" w:sz="24" w:space="8" w:color="88DBE9" w:themeColor="accent1"/>
                          <w:bottom w:val="single" w:sz="24" w:space="8" w:color="88DBE9" w:themeColor="accent1"/>
                        </w:pBdr>
                        <w:rPr>
                          <w:i/>
                          <w:iCs/>
                          <w:color w:val="88DBE9" w:themeColor="accent1"/>
                          <w:sz w:val="24"/>
                        </w:rPr>
                      </w:pPr>
                    </w:p>
                    <w:p w14:paraId="73F0EF19" w14:textId="77777777" w:rsidR="000F2235" w:rsidRPr="00B50732" w:rsidRDefault="000F2235" w:rsidP="000F2235">
                      <w:pPr>
                        <w:pBdr>
                          <w:top w:val="single" w:sz="24" w:space="8" w:color="88DBE9" w:themeColor="accent1"/>
                          <w:bottom w:val="single" w:sz="24" w:space="8" w:color="88DBE9" w:themeColor="accent1"/>
                        </w:pBdr>
                        <w:rPr>
                          <w:i/>
                          <w:iCs/>
                          <w:color w:val="auto"/>
                        </w:rPr>
                      </w:pPr>
                      <w:r w:rsidRPr="00B50732">
                        <w:rPr>
                          <w:i/>
                          <w:iCs/>
                          <w:color w:val="auto"/>
                        </w:rPr>
                        <w:t xml:space="preserve">The information on this report was prepared </w:t>
                      </w:r>
                      <w:r>
                        <w:rPr>
                          <w:i/>
                          <w:iCs/>
                          <w:color w:val="auto"/>
                        </w:rPr>
                        <w:t>by</w:t>
                      </w:r>
                      <w:r w:rsidRPr="00B50732">
                        <w:rPr>
                          <w:i/>
                          <w:iCs/>
                          <w:color w:val="auto"/>
                        </w:rPr>
                        <w:t xml:space="preserve"> Blue Environment</w:t>
                      </w:r>
                      <w:r>
                        <w:rPr>
                          <w:i/>
                          <w:iCs/>
                          <w:color w:val="auto"/>
                        </w:rPr>
                        <w:t>.</w:t>
                      </w:r>
                    </w:p>
                    <w:p w14:paraId="7D117E80" w14:textId="77777777" w:rsidR="000F2235" w:rsidRPr="00B50732" w:rsidRDefault="000F2235" w:rsidP="000F2235">
                      <w:pPr>
                        <w:pBdr>
                          <w:top w:val="single" w:sz="24" w:space="8" w:color="88DBE9" w:themeColor="accent1"/>
                          <w:bottom w:val="single" w:sz="24" w:space="8" w:color="88DBE9" w:themeColor="accent1"/>
                        </w:pBdr>
                        <w:rPr>
                          <w:i/>
                          <w:iCs/>
                          <w:color w:val="auto"/>
                        </w:rPr>
                      </w:pPr>
                    </w:p>
                    <w:p w14:paraId="232EEE69" w14:textId="77777777" w:rsidR="000F2235" w:rsidRPr="00B50732" w:rsidRDefault="000F2235" w:rsidP="000F2235">
                      <w:pPr>
                        <w:pBdr>
                          <w:top w:val="single" w:sz="24" w:space="8" w:color="88DBE9" w:themeColor="accent1"/>
                          <w:bottom w:val="single" w:sz="24" w:space="8" w:color="88DBE9" w:themeColor="accent1"/>
                        </w:pBdr>
                        <w:rPr>
                          <w:i/>
                          <w:iCs/>
                          <w:color w:val="auto"/>
                        </w:rPr>
                      </w:pPr>
                      <w:r w:rsidRPr="00B50732">
                        <w:rPr>
                          <w:i/>
                          <w:iCs/>
                          <w:color w:val="auto"/>
                        </w:rPr>
                        <w:t>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as a result of placed upon the content of this publication.</w:t>
                      </w:r>
                    </w:p>
                    <w:p w14:paraId="5A7CFA00" w14:textId="77777777" w:rsidR="000F2235" w:rsidRPr="00B50732" w:rsidRDefault="000F2235" w:rsidP="000F2235">
                      <w:pPr>
                        <w:pBdr>
                          <w:top w:val="single" w:sz="24" w:space="8" w:color="88DBE9" w:themeColor="accent1"/>
                          <w:bottom w:val="single" w:sz="24" w:space="8" w:color="88DBE9" w:themeColor="accent1"/>
                        </w:pBdr>
                        <w:rPr>
                          <w:i/>
                          <w:iCs/>
                          <w:color w:val="auto"/>
                        </w:rPr>
                      </w:pPr>
                      <w:r w:rsidRPr="00B50732">
                        <w:rPr>
                          <w:i/>
                          <w:iCs/>
                          <w:color w:val="auto"/>
                        </w:rPr>
                        <w:t>This publication is provided on the basis that all persons accessing it undertake responsibility for assessing the relevance and accuracy of its content.</w:t>
                      </w:r>
                    </w:p>
                    <w:p w14:paraId="078FB343" w14:textId="77777777" w:rsidR="000F2235" w:rsidRPr="00B50732" w:rsidRDefault="000F2235" w:rsidP="000F2235">
                      <w:pPr>
                        <w:pBdr>
                          <w:top w:val="single" w:sz="24" w:space="8" w:color="88DBE9" w:themeColor="accent1"/>
                          <w:bottom w:val="single" w:sz="24" w:space="8" w:color="88DBE9" w:themeColor="accent1"/>
                        </w:pBdr>
                        <w:rPr>
                          <w:i/>
                          <w:iCs/>
                          <w:color w:val="auto"/>
                        </w:rPr>
                      </w:pPr>
                    </w:p>
                    <w:p w14:paraId="2EDCBBFA" w14:textId="77777777" w:rsidR="000F2235" w:rsidRPr="00B50732" w:rsidRDefault="000F2235" w:rsidP="000F2235">
                      <w:pPr>
                        <w:pBdr>
                          <w:top w:val="single" w:sz="24" w:space="8" w:color="88DBE9" w:themeColor="accent1"/>
                          <w:bottom w:val="single" w:sz="24" w:space="8" w:color="88DBE9" w:themeColor="accent1"/>
                        </w:pBdr>
                        <w:rPr>
                          <w:i/>
                          <w:iCs/>
                          <w:color w:val="auto"/>
                        </w:rPr>
                      </w:pPr>
                      <w:r w:rsidRPr="00B50732">
                        <w:rPr>
                          <w:i/>
                          <w:iCs/>
                          <w:color w:val="auto"/>
                        </w:rPr>
                        <w:t>Recycling Victoria does not accept any liability for loss or damage arising from your use of or reliance on the data. The inclusion of information in this report does not constitute Recycling Victoria’s endorsement of any particular facility, or any associated organisation, product or service.</w:t>
                      </w:r>
                    </w:p>
                  </w:txbxContent>
                </v:textbox>
                <w10:wrap type="topAndBottom" anchorx="margin"/>
              </v:shape>
            </w:pict>
          </mc:Fallback>
        </mc:AlternateContent>
      </w:r>
      <w:r w:rsidR="00BA54DA" w:rsidRPr="00464167">
        <w:rPr>
          <w:rFonts w:eastAsia="Arial" w:cs="Times New Roman"/>
        </w:rPr>
        <w:t>There is a delay between the export bans and the availability of all the new kerbside PET, HDPE and PP reprocessing capacity. This may lead to the increased stockpiling of these unprocessed bales until the reprocessing capacity is available unless temporary export exemptions are granted.</w:t>
      </w:r>
    </w:p>
    <w:p w14:paraId="47C33A7B" w14:textId="77777777" w:rsidR="00BA54DA" w:rsidRPr="00464167" w:rsidRDefault="00BA54DA" w:rsidP="00BA54DA"/>
    <w:p w14:paraId="27A75AF9" w14:textId="77777777" w:rsidR="00BA54DA" w:rsidRDefault="00BA54DA" w:rsidP="00BA54DA"/>
    <w:p w14:paraId="5A59D793" w14:textId="77777777" w:rsidR="00D929C4" w:rsidRDefault="00D929C4" w:rsidP="00BA54DA">
      <w:pPr>
        <w:pStyle w:val="BodyText"/>
      </w:pPr>
    </w:p>
    <w:sectPr w:rsidR="00D929C4" w:rsidSect="00D929C4">
      <w:headerReference w:type="default" r:id="rId21"/>
      <w:footerReference w:type="default" r:id="rId22"/>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BC28" w14:textId="77777777" w:rsidR="00890682" w:rsidRDefault="00890682">
      <w:r>
        <w:separator/>
      </w:r>
    </w:p>
    <w:p w14:paraId="471EF89D" w14:textId="77777777" w:rsidR="00890682" w:rsidRDefault="00890682"/>
    <w:p w14:paraId="0A346DB7" w14:textId="77777777" w:rsidR="00890682" w:rsidRDefault="00890682"/>
  </w:endnote>
  <w:endnote w:type="continuationSeparator" w:id="0">
    <w:p w14:paraId="76693309" w14:textId="77777777" w:rsidR="00890682" w:rsidRDefault="00890682">
      <w:r>
        <w:continuationSeparator/>
      </w:r>
    </w:p>
    <w:p w14:paraId="3CD7E9C3" w14:textId="77777777" w:rsidR="00890682" w:rsidRDefault="00890682"/>
    <w:p w14:paraId="422FC3AB" w14:textId="77777777" w:rsidR="00890682" w:rsidRDefault="00890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70F3" w14:textId="77777777" w:rsidR="00947066" w:rsidRPr="00AE6B68" w:rsidRDefault="001138E9">
    <w:pPr>
      <w:pStyle w:val="Footer"/>
      <w:rPr>
        <w:b/>
        <w:bCs/>
        <w:color w:val="201547" w:themeColor="text2"/>
        <w:sz w:val="20"/>
        <w:szCs w:val="24"/>
      </w:rPr>
    </w:pPr>
    <w:r>
      <w:rPr>
        <w:noProof/>
      </w:rPr>
      <mc:AlternateContent>
        <mc:Choice Requires="wps">
          <w:drawing>
            <wp:anchor distT="0" distB="0" distL="114300" distR="114300" simplePos="0" relativeHeight="251692032" behindDoc="0" locked="0" layoutInCell="0" allowOverlap="1" wp14:anchorId="137414F9" wp14:editId="675540E3">
              <wp:simplePos x="0" y="0"/>
              <wp:positionH relativeFrom="page">
                <wp:posOffset>0</wp:posOffset>
              </wp:positionH>
              <wp:positionV relativeFrom="page">
                <wp:posOffset>10229215</wp:posOffset>
              </wp:positionV>
              <wp:extent cx="7560945" cy="273050"/>
              <wp:effectExtent l="0" t="0" r="0" b="12700"/>
              <wp:wrapNone/>
              <wp:docPr id="101" name="MSIPCM14cc4ecc9e7f1aa5885db4f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663C2"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7414F9" id="_x0000_t202" coordsize="21600,21600" o:spt="202" path="m,l,21600r21600,l21600,xe">
              <v:stroke joinstyle="miter"/>
              <v:path gradientshapeok="t" o:connecttype="rect"/>
            </v:shapetype>
            <v:shape id="MSIPCM14cc4ecc9e7f1aa5885db4f9"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95663C2"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2122751450"/>
        <w:docPartObj>
          <w:docPartGallery w:val="Page Numbers (Bottom of Page)"/>
          <w:docPartUnique/>
        </w:docPartObj>
      </w:sdtPr>
      <w:sdtEndPr>
        <w:rPr>
          <w:b/>
          <w:bCs/>
          <w:noProof/>
          <w:color w:val="201547" w:themeColor="text2"/>
          <w:sz w:val="32"/>
          <w:szCs w:val="40"/>
        </w:rPr>
      </w:sdtEndPr>
      <w:sdtContent>
        <w:r w:rsidR="00AE6B68" w:rsidRPr="00AE6B68">
          <w:rPr>
            <w:b/>
            <w:bCs/>
            <w:color w:val="201547" w:themeColor="text2"/>
            <w:sz w:val="20"/>
            <w:szCs w:val="24"/>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9860" w14:textId="77777777" w:rsidR="00947066" w:rsidRDefault="00EA0C6A" w:rsidP="00296569">
    <w:pPr>
      <w:pStyle w:val="xWeb"/>
      <w:spacing w:after="960"/>
    </w:pPr>
    <w:r>
      <w:rPr>
        <w:noProof/>
        <w:sz w:val="18"/>
      </w:rPr>
      <mc:AlternateContent>
        <mc:Choice Requires="wps">
          <w:drawing>
            <wp:anchor distT="0" distB="0" distL="114300" distR="114300" simplePos="0" relativeHeight="251685888" behindDoc="0" locked="0" layoutInCell="0" allowOverlap="1" wp14:anchorId="4CA739A7" wp14:editId="465B98CE">
              <wp:simplePos x="0" y="0"/>
              <wp:positionH relativeFrom="page">
                <wp:posOffset>0</wp:posOffset>
              </wp:positionH>
              <wp:positionV relativeFrom="page">
                <wp:posOffset>10229215</wp:posOffset>
              </wp:positionV>
              <wp:extent cx="7560945" cy="273050"/>
              <wp:effectExtent l="0" t="0" r="0" b="12700"/>
              <wp:wrapNone/>
              <wp:docPr id="9" name="MSIPCMba0144a79f5d4b0323b3fe9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2CF88"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A739A7" id="_x0000_t202" coordsize="21600,21600" o:spt="202" path="m,l,21600r21600,l21600,xe">
              <v:stroke joinstyle="miter"/>
              <v:path gradientshapeok="t" o:connecttype="rect"/>
            </v:shapetype>
            <v:shape id="MSIPCMba0144a79f5d4b0323b3fe98"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832CF88"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6046" w14:textId="77777777" w:rsidR="00B40C2E" w:rsidRPr="0062036F" w:rsidRDefault="00AF174F" w:rsidP="000721CE">
    <w:pPr>
      <w:pStyle w:val="Footer"/>
      <w:rPr>
        <w:b/>
        <w:bCs/>
        <w:color w:val="201547" w:themeColor="text2"/>
        <w:sz w:val="24"/>
        <w:szCs w:val="32"/>
      </w:rPr>
    </w:pPr>
    <w:r w:rsidRPr="0062036F">
      <w:rPr>
        <w:b/>
        <w:bCs/>
        <w:noProof/>
        <w:color w:val="201547" w:themeColor="text2"/>
        <w:sz w:val="28"/>
        <w:szCs w:val="32"/>
      </w:rPr>
      <w:drawing>
        <wp:anchor distT="0" distB="0" distL="114300" distR="114300" simplePos="0" relativeHeight="251680767" behindDoc="1" locked="0" layoutInCell="1" allowOverlap="1" wp14:anchorId="26088010" wp14:editId="2F25B011">
          <wp:simplePos x="0" y="0"/>
          <wp:positionH relativeFrom="page">
            <wp:align>right</wp:align>
          </wp:positionH>
          <wp:positionV relativeFrom="page">
            <wp:align>bottom</wp:align>
          </wp:positionV>
          <wp:extent cx="2491285" cy="906344"/>
          <wp:effectExtent l="0" t="0" r="0" b="0"/>
          <wp:wrapNone/>
          <wp:docPr id="6"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62036F">
      <w:rPr>
        <w:b/>
        <w:bCs/>
        <w:noProof/>
        <w:color w:val="201547" w:themeColor="text2"/>
        <w:sz w:val="28"/>
        <w:szCs w:val="32"/>
      </w:rPr>
      <mc:AlternateContent>
        <mc:Choice Requires="wps">
          <w:drawing>
            <wp:anchor distT="0" distB="0" distL="114300" distR="114300" simplePos="0" relativeHeight="251691008" behindDoc="0" locked="0" layoutInCell="0" allowOverlap="1" wp14:anchorId="53E0563D" wp14:editId="605948BC">
              <wp:simplePos x="0" y="0"/>
              <wp:positionH relativeFrom="page">
                <wp:posOffset>0</wp:posOffset>
              </wp:positionH>
              <wp:positionV relativeFrom="page">
                <wp:posOffset>10229215</wp:posOffset>
              </wp:positionV>
              <wp:extent cx="7560945" cy="273050"/>
              <wp:effectExtent l="0" t="0" r="0" b="12700"/>
              <wp:wrapNone/>
              <wp:docPr id="100" name="MSIPCM21f748b6971c93b009bd16d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F1CA0" w14:textId="77777777" w:rsidR="001138E9" w:rsidRPr="0062036F" w:rsidRDefault="001138E9" w:rsidP="001138E9">
                          <w:pPr>
                            <w:jc w:val="center"/>
                            <w:rPr>
                              <w:rFonts w:ascii="Calibri" w:hAnsi="Calibri" w:cs="Calibri"/>
                              <w:color w:val="000000"/>
                              <w:sz w:val="24"/>
                            </w:rPr>
                          </w:pPr>
                          <w:r w:rsidRPr="0062036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0563D" id="_x0000_t202" coordsize="21600,21600" o:spt="202" path="m,l,21600r21600,l21600,xe">
              <v:stroke joinstyle="miter"/>
              <v:path gradientshapeok="t" o:connecttype="rect"/>
            </v:shapetype>
            <v:shape id="MSIPCM21f748b6971c93b009bd16d1"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B0F1CA0" w14:textId="77777777" w:rsidR="001138E9" w:rsidRPr="0062036F" w:rsidRDefault="001138E9" w:rsidP="001138E9">
                    <w:pPr>
                      <w:jc w:val="center"/>
                      <w:rPr>
                        <w:rFonts w:ascii="Calibri" w:hAnsi="Calibri" w:cs="Calibri"/>
                        <w:color w:val="000000"/>
                        <w:sz w:val="24"/>
                      </w:rPr>
                    </w:pPr>
                    <w:r w:rsidRPr="0062036F">
                      <w:rPr>
                        <w:rFonts w:ascii="Calibri" w:hAnsi="Calibri" w:cs="Calibri"/>
                        <w:color w:val="000000"/>
                        <w:sz w:val="24"/>
                      </w:rPr>
                      <w:t>OFFICIAL</w:t>
                    </w:r>
                  </w:p>
                </w:txbxContent>
              </v:textbox>
              <w10:wrap anchorx="page" anchory="page"/>
            </v:shape>
          </w:pict>
        </mc:Fallback>
      </mc:AlternateContent>
    </w:r>
    <w:r w:rsidR="00AE6B68" w:rsidRPr="0062036F">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371F" w14:textId="77777777" w:rsidR="007C3531" w:rsidRPr="007C3531" w:rsidRDefault="001138E9" w:rsidP="00861EF9">
    <w:pPr>
      <w:pStyle w:val="Footer"/>
      <w:jc w:val="right"/>
      <w:rPr>
        <w:b/>
        <w:bCs/>
        <w:color w:val="201547" w:themeColor="text2"/>
        <w:sz w:val="20"/>
        <w:szCs w:val="24"/>
      </w:rPr>
    </w:pPr>
    <w:r>
      <w:rPr>
        <w:noProof/>
      </w:rPr>
      <mc:AlternateContent>
        <mc:Choice Requires="wps">
          <w:drawing>
            <wp:anchor distT="0" distB="0" distL="114300" distR="114300" simplePos="0" relativeHeight="251693056" behindDoc="0" locked="0" layoutInCell="0" allowOverlap="1" wp14:anchorId="5C4847AF" wp14:editId="5BF2FA49">
              <wp:simplePos x="0" y="0"/>
              <wp:positionH relativeFrom="page">
                <wp:posOffset>0</wp:posOffset>
              </wp:positionH>
              <wp:positionV relativeFrom="page">
                <wp:posOffset>10229453</wp:posOffset>
              </wp:positionV>
              <wp:extent cx="7560945" cy="273050"/>
              <wp:effectExtent l="0" t="0" r="0" b="12700"/>
              <wp:wrapNone/>
              <wp:docPr id="102" name="MSIPCM5e6e4b42b3e0023b806d1f9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146A1"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847AF" id="_x0000_t202" coordsize="21600,21600" o:spt="202" path="m,l,21600r21600,l21600,xe">
              <v:stroke joinstyle="miter"/>
              <v:path gradientshapeok="t" o:connecttype="rect"/>
            </v:shapetype>
            <v:shape id="MSIPCM5e6e4b42b3e0023b806d1f9c" o:spid="_x0000_s1030"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383146A1"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757904798"/>
        <w:docPartObj>
          <w:docPartGallery w:val="Page Numbers (Bottom of Page)"/>
          <w:docPartUnique/>
        </w:docPartObj>
      </w:sdtPr>
      <w:sdtEndPr>
        <w:rPr>
          <w:b/>
          <w:bCs/>
          <w:noProof/>
          <w:color w:val="201547" w:themeColor="text2"/>
          <w:sz w:val="20"/>
          <w:szCs w:val="24"/>
        </w:rPr>
      </w:sdtEndPr>
      <w:sdtContent>
        <w:r w:rsidR="007C3531" w:rsidRPr="007C3531">
          <w:rPr>
            <w:b/>
            <w:bCs/>
            <w:color w:val="201547" w:themeColor="text2"/>
            <w:sz w:val="20"/>
            <w:szCs w:val="24"/>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2C50" w14:textId="77777777" w:rsidR="00890682" w:rsidRPr="008F5280" w:rsidRDefault="00890682" w:rsidP="008F5280">
      <w:pPr>
        <w:pStyle w:val="FootnoteSeparator"/>
      </w:pPr>
    </w:p>
    <w:p w14:paraId="393EBC80" w14:textId="77777777" w:rsidR="00890682" w:rsidRDefault="00890682"/>
  </w:footnote>
  <w:footnote w:type="continuationSeparator" w:id="0">
    <w:p w14:paraId="3AF801F0" w14:textId="77777777" w:rsidR="00890682" w:rsidRDefault="00890682" w:rsidP="008F5280">
      <w:pPr>
        <w:pStyle w:val="FootnoteSeparator"/>
      </w:pPr>
    </w:p>
    <w:p w14:paraId="576F257C" w14:textId="77777777" w:rsidR="00890682" w:rsidRDefault="00890682"/>
    <w:p w14:paraId="5DFDE2F5" w14:textId="77777777" w:rsidR="00890682" w:rsidRDefault="00890682"/>
  </w:footnote>
  <w:footnote w:type="continuationNotice" w:id="1">
    <w:p w14:paraId="3317E29F" w14:textId="77777777" w:rsidR="00890682" w:rsidRDefault="00890682" w:rsidP="00D55628"/>
    <w:p w14:paraId="365DCB7F" w14:textId="77777777" w:rsidR="00890682" w:rsidRDefault="00890682"/>
    <w:p w14:paraId="4754A9E4" w14:textId="77777777" w:rsidR="00890682" w:rsidRDefault="00890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68FF" w14:textId="77777777" w:rsidR="00935F27" w:rsidRDefault="00935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E0CB" w14:textId="77777777" w:rsidR="00501F49" w:rsidRDefault="00501F49" w:rsidP="00501F49">
    <w:pPr>
      <w:pStyle w:val="Header"/>
      <w:spacing w:before="240"/>
      <w:jc w:val="right"/>
    </w:pPr>
    <w:r>
      <w:rPr>
        <w:noProof/>
        <w:color w:val="004C97" w:themeColor="accent3"/>
      </w:rPr>
      <w:drawing>
        <wp:anchor distT="0" distB="0" distL="114300" distR="114300" simplePos="0" relativeHeight="251687936" behindDoc="1" locked="0" layoutInCell="1" allowOverlap="1" wp14:anchorId="63A29B0D" wp14:editId="702340A6">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BC77" w14:textId="77777777" w:rsidR="007C3531" w:rsidRDefault="007C3531">
    <w:pPr>
      <w:pStyle w:val="Header"/>
    </w:pPr>
    <w:r>
      <w:rPr>
        <w:noProof/>
        <w:color w:val="004C97" w:themeColor="accent3"/>
      </w:rPr>
      <w:drawing>
        <wp:anchor distT="0" distB="0" distL="114300" distR="114300" simplePos="0" relativeHeight="251689984" behindDoc="1" locked="0" layoutInCell="1" allowOverlap="1" wp14:anchorId="4301E835" wp14:editId="3B361D22">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8E7A"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EC5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E6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6FB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00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E8685F1A"/>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93467901">
    <w:abstractNumId w:val="18"/>
  </w:num>
  <w:num w:numId="2" w16cid:durableId="820655392">
    <w:abstractNumId w:val="28"/>
  </w:num>
  <w:num w:numId="3" w16cid:durableId="1090472081">
    <w:abstractNumId w:val="25"/>
  </w:num>
  <w:num w:numId="4" w16cid:durableId="1867325410">
    <w:abstractNumId w:val="32"/>
  </w:num>
  <w:num w:numId="5" w16cid:durableId="1326670975">
    <w:abstractNumId w:val="15"/>
  </w:num>
  <w:num w:numId="6" w16cid:durableId="318458362">
    <w:abstractNumId w:val="12"/>
  </w:num>
  <w:num w:numId="7" w16cid:durableId="1074665343">
    <w:abstractNumId w:val="11"/>
  </w:num>
  <w:num w:numId="8" w16cid:durableId="862788045">
    <w:abstractNumId w:val="10"/>
  </w:num>
  <w:num w:numId="9" w16cid:durableId="26563317">
    <w:abstractNumId w:val="29"/>
  </w:num>
  <w:num w:numId="10" w16cid:durableId="547228922">
    <w:abstractNumId w:val="13"/>
  </w:num>
  <w:num w:numId="11" w16cid:durableId="1641497870">
    <w:abstractNumId w:val="16"/>
  </w:num>
  <w:num w:numId="12" w16cid:durableId="980884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1291202">
    <w:abstractNumId w:val="14"/>
  </w:num>
  <w:num w:numId="14" w16cid:durableId="1304190988">
    <w:abstractNumId w:val="24"/>
  </w:num>
  <w:num w:numId="15" w16cid:durableId="1939483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763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6785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8245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83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8543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111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8488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2610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299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95505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9155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720189">
    <w:abstractNumId w:val="31"/>
  </w:num>
  <w:num w:numId="28" w16cid:durableId="1684279683">
    <w:abstractNumId w:val="31"/>
    <w:lvlOverride w:ilvl="0">
      <w:startOverride w:val="1"/>
    </w:lvlOverride>
  </w:num>
  <w:num w:numId="29" w16cid:durableId="1440176296">
    <w:abstractNumId w:val="19"/>
  </w:num>
  <w:num w:numId="30" w16cid:durableId="299304407">
    <w:abstractNumId w:val="30"/>
  </w:num>
  <w:num w:numId="31" w16cid:durableId="909537026">
    <w:abstractNumId w:val="8"/>
  </w:num>
  <w:num w:numId="32" w16cid:durableId="922103618">
    <w:abstractNumId w:val="27"/>
  </w:num>
  <w:num w:numId="33" w16cid:durableId="2005938825">
    <w:abstractNumId w:val="20"/>
  </w:num>
  <w:num w:numId="34" w16cid:durableId="1290164111">
    <w:abstractNumId w:val="9"/>
  </w:num>
  <w:num w:numId="35" w16cid:durableId="1610235985">
    <w:abstractNumId w:val="7"/>
  </w:num>
  <w:num w:numId="36" w16cid:durableId="1206024648">
    <w:abstractNumId w:val="6"/>
  </w:num>
  <w:num w:numId="37" w16cid:durableId="465053962">
    <w:abstractNumId w:val="5"/>
  </w:num>
  <w:num w:numId="38" w16cid:durableId="1590701516">
    <w:abstractNumId w:val="4"/>
  </w:num>
  <w:num w:numId="39" w16cid:durableId="317274639">
    <w:abstractNumId w:val="1"/>
  </w:num>
  <w:num w:numId="40" w16cid:durableId="1871216417">
    <w:abstractNumId w:val="0"/>
  </w:num>
  <w:num w:numId="41" w16cid:durableId="1350451526">
    <w:abstractNumId w:val="3"/>
  </w:num>
  <w:num w:numId="42" w16cid:durableId="1896308547">
    <w:abstractNumId w:val="2"/>
  </w:num>
  <w:num w:numId="43" w16cid:durableId="58202735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890682"/>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170"/>
    <w:rsid w:val="00097211"/>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235"/>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448"/>
    <w:rsid w:val="001A0827"/>
    <w:rsid w:val="001A0EF8"/>
    <w:rsid w:val="001A13E9"/>
    <w:rsid w:val="001A150E"/>
    <w:rsid w:val="001A18D2"/>
    <w:rsid w:val="001A245B"/>
    <w:rsid w:val="001A25AC"/>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67E"/>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9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76A"/>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96D"/>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E96"/>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9"/>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20B"/>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5A"/>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3F7EC9"/>
    <w:rsid w:val="0040016A"/>
    <w:rsid w:val="004002A8"/>
    <w:rsid w:val="00400760"/>
    <w:rsid w:val="00400835"/>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1FE1"/>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0CB"/>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36F"/>
    <w:rsid w:val="00620A75"/>
    <w:rsid w:val="00621089"/>
    <w:rsid w:val="00621407"/>
    <w:rsid w:val="00621757"/>
    <w:rsid w:val="00621D27"/>
    <w:rsid w:val="0062214C"/>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2FB0"/>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682"/>
    <w:rsid w:val="0089078A"/>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0B1B"/>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5F27"/>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53"/>
    <w:rsid w:val="00A10897"/>
    <w:rsid w:val="00A10C8A"/>
    <w:rsid w:val="00A10E74"/>
    <w:rsid w:val="00A11C70"/>
    <w:rsid w:val="00A11F87"/>
    <w:rsid w:val="00A124A0"/>
    <w:rsid w:val="00A128AF"/>
    <w:rsid w:val="00A12996"/>
    <w:rsid w:val="00A12A98"/>
    <w:rsid w:val="00A131D0"/>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5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732"/>
    <w:rsid w:val="00B50E12"/>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4DA"/>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C7F47"/>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9C4"/>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8F"/>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2E4890F7"/>
  <w15:docId w15:val="{96FEF3C2-F858-4D9D-B820-4294E43B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853"/>
  </w:style>
  <w:style w:type="paragraph" w:styleId="Heading1">
    <w:name w:val="heading 1"/>
    <w:basedOn w:val="Normal"/>
    <w:next w:val="BodyText"/>
    <w:link w:val="Heading1Char"/>
    <w:qFormat/>
    <w:rsid w:val="004A2975"/>
    <w:pPr>
      <w:keepNext/>
      <w:keepLines/>
      <w:numPr>
        <w:numId w:val="7"/>
      </w:numPr>
      <w:spacing w:before="360" w:after="120" w:line="440" w:lineRule="exact"/>
      <w:outlineLvl w:val="0"/>
    </w:pPr>
    <w:rPr>
      <w:b/>
      <w:bCs/>
      <w:color w:val="004C97" w:themeColor="accent3"/>
      <w:kern w:val="32"/>
      <w:sz w:val="40"/>
      <w:szCs w:val="32"/>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2E296D"/>
    <w:pPr>
      <w:spacing w:before="60" w:after="60" w:line="220" w:lineRule="atLeast"/>
      <w:ind w:left="113" w:right="113"/>
    </w:pPr>
    <w:rPr>
      <w:rFonts w:cs="Times New Roman"/>
      <w:color w:val="201547" w:themeColor="text2"/>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89078A"/>
    <w:pPr>
      <w:spacing w:before="0"/>
    </w:pPr>
    <w:rPr>
      <w:sz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autoRedefine/>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4A2975"/>
    <w:rPr>
      <w:b/>
      <w:bCs/>
      <w:color w:val="004C97" w:themeColor="accent3"/>
      <w:kern w:val="32"/>
      <w:sz w:val="40"/>
      <w:szCs w:val="32"/>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autoRedefine/>
    <w:qFormat/>
    <w:rsid w:val="00895552"/>
    <w:pPr>
      <w:keepNext/>
    </w:pPr>
    <w:rPr>
      <w:color w:val="FF0000"/>
    </w:rPr>
  </w:style>
  <w:style w:type="paragraph" w:styleId="Revision">
    <w:name w:val="Revision"/>
    <w:hidden/>
    <w:uiPriority w:val="99"/>
    <w:semiHidden/>
    <w:rsid w:val="0009721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22241658">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06970334">
      <w:bodyDiv w:val="1"/>
      <w:marLeft w:val="0"/>
      <w:marRight w:val="0"/>
      <w:marTop w:val="0"/>
      <w:marBottom w:val="0"/>
      <w:divBdr>
        <w:top w:val="none" w:sz="0" w:space="0" w:color="auto"/>
        <w:left w:val="none" w:sz="0" w:space="0" w:color="auto"/>
        <w:bottom w:val="none" w:sz="0" w:space="0" w:color="auto"/>
        <w:right w:val="none" w:sz="0" w:space="0" w:color="auto"/>
      </w:divBdr>
    </w:div>
    <w:div w:id="2083133530">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we.gov.au/environment/protection/waste/exports/declar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0b\Downloads\Special%20topic_The%20impact%20of%20post-consumer%20plastics%20export%20ban%20on%20Victoria%20(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DOCID861-1715029998-270</_dlc_DocId>
    <_dlc_DocIdUrl xmlns="a5f32de4-e402-4188-b034-e71ca7d22e54">
      <Url>https://delwpvicgovau.sharepoint.com/sites/ecm_861/_layouts/15/DocIdRedir.aspx?ID=DOCID861-1715029998-270</Url>
      <Description>DOCID861-1715029998-270</Description>
    </_dlc_DocIdUrl>
    <_dlc_Exempt xmlns="http://schemas.microsoft.com/sharepoint/v3">false</_dlc_Exempt>
    <_dlc_DocIdPersistId xmlns="a5f32de4-e402-4188-b034-e71ca7d22e54">false</_dlc_DocIdPersistId>
    <DLCPolicyLabelClientValue xmlns="05aa45cf-ed89-4733-97a8-db4ce5c51511">Version {_UIVersionString}</DLCPolicyLabelClientValue>
    <DLCPolicyLabelLock xmlns="05aa45cf-ed89-4733-97a8-db4ce5c51511" xsi:nil="true"/>
    <DLCPolicyLabelValue xmlns="05aa45cf-ed89-4733-97a8-db4ce5c51511">Version 0.7</DLCPolicyLabelValue>
    <ProjName xmlns="9fd47c19-1c4a-4d7d-b342-c10cef269344" xsi:nil="true"/>
    <Project_Phase xmlns="9fd47c19-1c4a-4d7d-b342-c10cef269344">Plan</Project_Phas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SharedWithUsers xmlns="12be4628-df37-4804-9a46-96c75589f43b">
      <UserInfo>
        <DisplayName>Louise E Bajada (DEECA)</DisplayName>
        <AccountId>112</AccountId>
        <AccountType/>
      </UserInfo>
      <UserInfo>
        <DisplayName>Slavka Scott (DEECA)</DisplayName>
        <AccountId>190</AccountId>
        <AccountType/>
      </UserInfo>
      <UserInfo>
        <DisplayName>Vanessa A Facey (DEECA)</DisplayName>
        <AccountId>140</AccountId>
        <AccountType/>
      </UserInfo>
      <UserInfo>
        <DisplayName>Natalie P Clue (DEECA)</DisplayName>
        <AccountId>124</AccountId>
        <AccountType/>
      </UserInfo>
      <UserInfo>
        <DisplayName>Katherine Lyttle (DEECA)</DisplayName>
        <AccountId>535</AccountId>
        <AccountType/>
      </UserInfo>
    </SharedWithUsers>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A093CF307494A40A555C13B80030999" ma:contentTypeVersion="26" ma:contentTypeDescription="All project related information. The library can be used to manage multiple projects." ma:contentTypeScope="" ma:versionID="fd3617915e0fcb0aed3453f4187b0bdd">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b7c45bf-8236-4bc9-9f8e-4643a53e7789" xmlns:ns6="12be4628-df37-4804-9a46-96c75589f43b" targetNamespace="http://schemas.microsoft.com/office/2006/metadata/properties" ma:root="true" ma:fieldsID="41ead249af4d1b999ebddf6d6e37a741" ns1:_="" ns2:_="" ns3:_="" ns4:_="" ns5:_="" ns6:_="">
    <xsd:import namespace="http://schemas.microsoft.com/sharepoint/v3"/>
    <xsd:import namespace="9fd47c19-1c4a-4d7d-b342-c10cef269344"/>
    <xsd:import namespace="a5f32de4-e402-4188-b034-e71ca7d22e54"/>
    <xsd:import namespace="05aa45cf-ed89-4733-97a8-db4ce5c51511"/>
    <xsd:import namespace="0b7c45bf-8236-4bc9-9f8e-4643a53e7789"/>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2:ProjName"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2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c45bf-8236-4bc9-9f8e-4643a53e778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0D0E4-FDA9-4C78-8FD0-7AD581F78AE3}">
  <ds:schemaRefs>
    <ds:schemaRef ds:uri="http://schemas.microsoft.com/sharepoint/v3/contenttype/forms"/>
  </ds:schemaRefs>
</ds:datastoreItem>
</file>

<file path=customXml/itemProps2.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3.xml><?xml version="1.0" encoding="utf-8"?>
<ds:datastoreItem xmlns:ds="http://schemas.openxmlformats.org/officeDocument/2006/customXml" ds:itemID="{B62F1319-3B37-4FF0-BBBC-2B7075CEA46D}">
  <ds:schemaRefs>
    <ds:schemaRef ds:uri="http://schemas.microsoft.com/sharepoint/events"/>
  </ds:schemaRefs>
</ds:datastoreItem>
</file>

<file path=customXml/itemProps4.xml><?xml version="1.0" encoding="utf-8"?>
<ds:datastoreItem xmlns:ds="http://schemas.openxmlformats.org/officeDocument/2006/customXml" ds:itemID="{B21DAFA3-AAE6-45F1-8960-AC1B42172CAA}">
  <ds:schemaRefs>
    <ds:schemaRef ds:uri="office.server.policy"/>
  </ds:schemaRefs>
</ds:datastoreItem>
</file>

<file path=customXml/itemProps5.xml><?xml version="1.0" encoding="utf-8"?>
<ds:datastoreItem xmlns:ds="http://schemas.openxmlformats.org/officeDocument/2006/customXml" ds:itemID="{E933DD2B-39F7-48AB-9692-A3360257C441}">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 ds:uri="05aa45cf-ed89-4733-97a8-db4ce5c51511"/>
    <ds:schemaRef ds:uri="12be4628-df37-4804-9a46-96c75589f43b"/>
  </ds:schemaRefs>
</ds:datastoreItem>
</file>

<file path=customXml/itemProps6.xml><?xml version="1.0" encoding="utf-8"?>
<ds:datastoreItem xmlns:ds="http://schemas.openxmlformats.org/officeDocument/2006/customXml" ds:itemID="{B2095ABB-8943-4A39-A6CD-CA753285C3B6}">
  <ds:schemaRefs>
    <ds:schemaRef ds:uri="Microsoft.SharePoint.Taxonomy.ContentTypeSync"/>
  </ds:schemaRefs>
</ds:datastoreItem>
</file>

<file path=customXml/itemProps7.xml><?xml version="1.0" encoding="utf-8"?>
<ds:datastoreItem xmlns:ds="http://schemas.openxmlformats.org/officeDocument/2006/customXml" ds:itemID="{CF67D60B-2ED7-495F-BAC9-FDFFC1A0F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b7c45bf-8236-4bc9-9f8e-4643a53e7789"/>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Special topic_The impact of post-consumer plastics export ban on Victoria (1).dotx</Template>
  <TotalTime>1</TotalTime>
  <Pages>3</Pages>
  <Words>888</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A Facey (DELWP)</dc:creator>
  <cp:keywords/>
  <dc:description/>
  <cp:lastModifiedBy>Vanessa A Facey (DEECA)</cp:lastModifiedBy>
  <cp:revision>1</cp:revision>
  <cp:lastPrinted>2022-05-26T01:59:00Z</cp:lastPrinted>
  <dcterms:created xsi:type="dcterms:W3CDTF">2023-03-14T03:06:00Z</dcterms:created>
  <dcterms:modified xsi:type="dcterms:W3CDTF">2023-03-14T03:07:00Z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0x0101009298E819CE1EBB4F8D2096B3E0F0C2911D00FA093CF307494A40A555C13B80030999</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0c036e5d-2ba7-464f-88e4-e57ec132b43d</vt:lpwstr>
  </property>
  <property fmtid="{D5CDD505-2E9C-101B-9397-08002B2CF9AE}" pid="23" name="Order">
    <vt:r8>5300</vt:r8>
  </property>
  <property fmtid="{D5CDD505-2E9C-101B-9397-08002B2CF9AE}" pid="24" name="g91c59fb10974fa1a03160ad8386f0f4">
    <vt:lpwstr/>
  </property>
  <property fmtid="{D5CDD505-2E9C-101B-9397-08002B2CF9AE}" pid="25" name="xd_Signature">
    <vt:bool>false</vt:bool>
  </property>
  <property fmtid="{D5CDD505-2E9C-101B-9397-08002B2CF9AE}" pid="26" name="xd_ProgID">
    <vt:lpwstr/>
  </property>
  <property fmtid="{D5CDD505-2E9C-101B-9397-08002B2CF9AE}" pid="27" name="DocumentSetDescription">
    <vt:lpwstr/>
  </property>
  <property fmtid="{D5CDD505-2E9C-101B-9397-08002B2CF9AE}" pid="28" name="f2ccc2d036544b63b99cbcec8aa9ae6a">
    <vt:lpwstr>Team Administration|3cd6588d-cc2f-4468-861e-a21c47be7d8b</vt:lpwstr>
  </property>
  <property fmtid="{D5CDD505-2E9C-101B-9397-08002B2CF9AE}" pid="29" name="ComplianceAssetId">
    <vt:lpwstr/>
  </property>
  <property fmtid="{D5CDD505-2E9C-101B-9397-08002B2CF9AE}" pid="30" name="TemplateUrl">
    <vt:lpwstr/>
  </property>
  <property fmtid="{D5CDD505-2E9C-101B-9397-08002B2CF9AE}" pid="31" name="Department Document Type">
    <vt:lpwstr/>
  </property>
  <property fmtid="{D5CDD505-2E9C-101B-9397-08002B2CF9AE}" pid="32" name="_ExtendedDescription">
    <vt:lpwstr/>
  </property>
  <property fmtid="{D5CDD505-2E9C-101B-9397-08002B2CF9AE}" pid="33" name="Record Purpose">
    <vt:lpwstr/>
  </property>
  <property fmtid="{D5CDD505-2E9C-101B-9397-08002B2CF9AE}" pid="34" name="MediaServiceImageTags">
    <vt:lpwstr/>
  </property>
  <property fmtid="{D5CDD505-2E9C-101B-9397-08002B2CF9AE}" pid="35" name="Records Class Team Admin">
    <vt:lpwstr>15;#Process and procedure|9fed78e4-0cf7-4349-93c6-1d5eeb34ebd6</vt:lpwstr>
  </property>
  <property fmtid="{D5CDD505-2E9C-101B-9397-08002B2CF9AE}" pid="36" name="_docset_NoMedatataSyncRequired">
    <vt:lpwstr>False</vt:lpwstr>
  </property>
  <property fmtid="{D5CDD505-2E9C-101B-9397-08002B2CF9AE}" pid="37" name="MSIP_Label_4257e2ab-f512-40e2-9c9a-c64247360765_Enabled">
    <vt:lpwstr>true</vt:lpwstr>
  </property>
  <property fmtid="{D5CDD505-2E9C-101B-9397-08002B2CF9AE}" pid="38" name="MSIP_Label_4257e2ab-f512-40e2-9c9a-c64247360765_SetDate">
    <vt:lpwstr>2023-03-14T01:05:09Z</vt:lpwstr>
  </property>
  <property fmtid="{D5CDD505-2E9C-101B-9397-08002B2CF9AE}" pid="39" name="MSIP_Label_4257e2ab-f512-40e2-9c9a-c64247360765_Method">
    <vt:lpwstr>Privileged</vt:lpwstr>
  </property>
  <property fmtid="{D5CDD505-2E9C-101B-9397-08002B2CF9AE}" pid="40" name="MSIP_Label_4257e2ab-f512-40e2-9c9a-c64247360765_Name">
    <vt:lpwstr>OFFICIAL</vt:lpwstr>
  </property>
  <property fmtid="{D5CDD505-2E9C-101B-9397-08002B2CF9AE}" pid="41" name="MSIP_Label_4257e2ab-f512-40e2-9c9a-c64247360765_SiteId">
    <vt:lpwstr>e8bdd6f7-fc18-4e48-a554-7f547927223b</vt:lpwstr>
  </property>
  <property fmtid="{D5CDD505-2E9C-101B-9397-08002B2CF9AE}" pid="42" name="MSIP_Label_4257e2ab-f512-40e2-9c9a-c64247360765_ActionId">
    <vt:lpwstr>8db1ebb0-c2cc-4730-9142-078778a5340b</vt:lpwstr>
  </property>
  <property fmtid="{D5CDD505-2E9C-101B-9397-08002B2CF9AE}" pid="43" name="MSIP_Label_4257e2ab-f512-40e2-9c9a-c64247360765_ContentBits">
    <vt:lpwstr>2</vt:lpwstr>
  </property>
</Properties>
</file>