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00F508A" w:rsidR="00DA77A1" w:rsidRDefault="00555FFC" w:rsidP="007868CF">
      <w:pPr>
        <w:pStyle w:val="Reference"/>
      </w:pPr>
      <w:r>
        <w:t>31</w:t>
      </w:r>
      <w:r w:rsidR="00B04DAF">
        <w:t xml:space="preserve"> March</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CC604F2" w:rsidR="00A176EF" w:rsidRPr="00A176EF" w:rsidRDefault="00042B4D"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CRAIG WEBB</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691767B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84725">
        <w:rPr>
          <w:rFonts w:ascii="Calibri" w:eastAsia="Calibri" w:hAnsi="Calibri" w:cs="Times New Roman"/>
          <w:sz w:val="24"/>
          <w:szCs w:val="24"/>
          <w:lang w:eastAsia="en-US"/>
        </w:rPr>
        <w:t>1</w:t>
      </w:r>
      <w:r w:rsidR="00042B4D">
        <w:rPr>
          <w:rFonts w:ascii="Calibri" w:eastAsia="Calibri" w:hAnsi="Calibri" w:cs="Times New Roman"/>
          <w:sz w:val="24"/>
          <w:szCs w:val="24"/>
          <w:lang w:eastAsia="en-US"/>
        </w:rPr>
        <w:t>8</w:t>
      </w:r>
      <w:r w:rsidR="00784725">
        <w:rPr>
          <w:rFonts w:ascii="Calibri" w:eastAsia="Calibri" w:hAnsi="Calibri" w:cs="Times New Roman"/>
          <w:sz w:val="24"/>
          <w:szCs w:val="24"/>
          <w:lang w:eastAsia="en-US"/>
        </w:rPr>
        <w:t xml:space="preserve"> March</w:t>
      </w:r>
      <w:r w:rsidR="003F6997">
        <w:rPr>
          <w:rFonts w:ascii="Calibri" w:eastAsia="Calibri" w:hAnsi="Calibri" w:cs="Times New Roman"/>
          <w:sz w:val="24"/>
          <w:szCs w:val="24"/>
          <w:lang w:eastAsia="en-US"/>
        </w:rPr>
        <w:t xml:space="preserve"> 2021</w:t>
      </w:r>
    </w:p>
    <w:p w14:paraId="353D3562" w14:textId="5599B67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47B27">
        <w:rPr>
          <w:rFonts w:ascii="Calibri" w:eastAsia="Calibri" w:hAnsi="Calibri" w:cs="Times New Roman"/>
          <w:sz w:val="24"/>
          <w:szCs w:val="24"/>
          <w:lang w:eastAsia="en-US"/>
        </w:rPr>
        <w:t>Justice Shane Marshall</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042B4D">
        <w:rPr>
          <w:rFonts w:ascii="Calibri" w:eastAsia="Calibri" w:hAnsi="Calibri" w:cs="Times New Roman"/>
          <w:sz w:val="24"/>
          <w:szCs w:val="24"/>
          <w:lang w:eastAsia="en-US"/>
        </w:rPr>
        <w:t>Mr Des Gleeson</w:t>
      </w:r>
      <w:r w:rsidR="009915A5">
        <w:rPr>
          <w:rFonts w:ascii="Calibri" w:eastAsia="Calibri" w:hAnsi="Calibri" w:cs="Times New Roman"/>
          <w:sz w:val="24"/>
          <w:szCs w:val="24"/>
          <w:lang w:eastAsia="en-US"/>
        </w:rPr>
        <w:t>.</w:t>
      </w:r>
    </w:p>
    <w:p w14:paraId="0835B251" w14:textId="63AA15D0"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042B4D">
        <w:rPr>
          <w:rFonts w:ascii="Calibri" w:eastAsia="Calibri" w:hAnsi="Calibri" w:cs="Times New Roman"/>
          <w:sz w:val="24"/>
          <w:szCs w:val="24"/>
          <w:lang w:eastAsia="en-US"/>
        </w:rPr>
        <w:t>Albert Dinelli, instructed by Mr Patrick Considine,</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56622E0" w:rsidR="007868CF" w:rsidRDefault="0078472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7242C">
        <w:rPr>
          <w:rFonts w:ascii="Calibri" w:eastAsia="Calibri" w:hAnsi="Calibri" w:cs="Times New Roman"/>
          <w:sz w:val="24"/>
          <w:szCs w:val="24"/>
          <w:lang w:eastAsia="en-US"/>
        </w:rPr>
        <w:t xml:space="preserve">r </w:t>
      </w:r>
      <w:r w:rsidR="00042B4D">
        <w:rPr>
          <w:rFonts w:ascii="Calibri" w:eastAsia="Calibri" w:hAnsi="Calibri" w:cs="Times New Roman"/>
          <w:sz w:val="24"/>
          <w:szCs w:val="24"/>
          <w:lang w:eastAsia="en-US"/>
        </w:rPr>
        <w:t>Lynton Hogan</w:t>
      </w:r>
      <w:r w:rsidR="0077242C">
        <w:rPr>
          <w:rFonts w:ascii="Calibri" w:eastAsia="Calibri" w:hAnsi="Calibri" w:cs="Times New Roman"/>
          <w:sz w:val="24"/>
          <w:szCs w:val="24"/>
          <w:lang w:eastAsia="en-US"/>
        </w:rPr>
        <w:t xml:space="preserve"> represented </w:t>
      </w:r>
      <w:r w:rsidR="00042B4D">
        <w:rPr>
          <w:rFonts w:ascii="Calibri" w:eastAsia="Calibri" w:hAnsi="Calibri" w:cs="Times New Roman"/>
          <w:sz w:val="24"/>
          <w:szCs w:val="24"/>
          <w:lang w:eastAsia="en-US"/>
        </w:rPr>
        <w:t>Mr Craig Webb</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2A54BB07" w14:textId="630A989E" w:rsidR="00042B4D" w:rsidRPr="007868CF" w:rsidRDefault="00042B4D"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Craig Webb appeared.</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1CC8468" w14:textId="34D82CAB" w:rsidR="0077242C" w:rsidRDefault="007868CF" w:rsidP="00042B4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42B4D">
        <w:rPr>
          <w:rFonts w:ascii="Calibri" w:eastAsia="Calibri" w:hAnsi="Calibri" w:cs="Times New Roman"/>
          <w:sz w:val="24"/>
          <w:szCs w:val="24"/>
          <w:lang w:eastAsia="en-US"/>
        </w:rPr>
        <w:t>Greyhounds Australasia Rule (“GAR”) 86(q) states:</w:t>
      </w:r>
    </w:p>
    <w:p w14:paraId="1DE592A2" w14:textId="77777777" w:rsidR="00042B4D" w:rsidRPr="00042B4D" w:rsidRDefault="00042B4D" w:rsidP="00042B4D">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042B4D">
        <w:rPr>
          <w:rFonts w:ascii="Calibri" w:eastAsia="Calibri" w:hAnsi="Calibri" w:cs="Times New Roman"/>
          <w:bCs/>
          <w:sz w:val="24"/>
          <w:szCs w:val="24"/>
          <w:lang w:eastAsia="en-US"/>
        </w:rPr>
        <w:t xml:space="preserve">A person (including an official) shall be guilty of an offence if the person- </w:t>
      </w:r>
    </w:p>
    <w:p w14:paraId="64367DE7" w14:textId="2A423221" w:rsidR="00042B4D" w:rsidRPr="00042B4D" w:rsidRDefault="00042B4D" w:rsidP="00042B4D">
      <w:pPr>
        <w:spacing w:line="259" w:lineRule="auto"/>
        <w:ind w:left="2880"/>
        <w:jc w:val="both"/>
        <w:rPr>
          <w:rFonts w:ascii="Calibri" w:eastAsia="Calibri" w:hAnsi="Calibri" w:cs="Times New Roman"/>
          <w:bCs/>
          <w:sz w:val="24"/>
          <w:szCs w:val="24"/>
          <w:lang w:eastAsia="en-US"/>
        </w:rPr>
      </w:pPr>
      <w:r w:rsidRPr="00042B4D">
        <w:rPr>
          <w:rFonts w:ascii="Calibri" w:eastAsia="Calibri" w:hAnsi="Calibri" w:cs="Times New Roman"/>
          <w:bCs/>
          <w:sz w:val="24"/>
          <w:szCs w:val="24"/>
          <w:lang w:eastAsia="en-US"/>
        </w:rPr>
        <w:t>(q)</w:t>
      </w:r>
      <w:r>
        <w:rPr>
          <w:rFonts w:ascii="Calibri" w:eastAsia="Calibri" w:hAnsi="Calibri" w:cs="Times New Roman"/>
          <w:b/>
          <w:sz w:val="24"/>
          <w:szCs w:val="24"/>
          <w:lang w:eastAsia="en-US"/>
        </w:rPr>
        <w:t xml:space="preserve"> </w:t>
      </w:r>
      <w:r w:rsidRPr="00042B4D">
        <w:rPr>
          <w:rFonts w:ascii="Calibri" w:eastAsia="Calibri" w:hAnsi="Calibri" w:cs="Times New Roman"/>
          <w:bCs/>
          <w:sz w:val="24"/>
          <w:szCs w:val="24"/>
          <w:lang w:eastAsia="en-US"/>
        </w:rPr>
        <w:t>commits or omits to do any act or engages in conduct which is in any way detrimental or prejudicial to the interest, welfare, image, control or promotion of greyhound racing.</w:t>
      </w:r>
    </w:p>
    <w:p w14:paraId="0815D75B" w14:textId="77777777" w:rsidR="0077242C" w:rsidRDefault="0077242C" w:rsidP="00E95951">
      <w:pPr>
        <w:spacing w:line="259" w:lineRule="auto"/>
        <w:ind w:left="2835" w:hanging="2835"/>
        <w:jc w:val="both"/>
        <w:rPr>
          <w:rFonts w:ascii="Calibri" w:eastAsia="Calibri" w:hAnsi="Calibri" w:cs="Times New Roman"/>
          <w:b/>
          <w:sz w:val="24"/>
          <w:szCs w:val="24"/>
          <w:lang w:eastAsia="en-US"/>
        </w:rPr>
      </w:pPr>
    </w:p>
    <w:p w14:paraId="46551D06" w14:textId="77777777" w:rsidR="004409C7" w:rsidRPr="004409C7" w:rsidRDefault="00300B90" w:rsidP="004409C7">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4409C7" w:rsidRPr="004409C7">
        <w:rPr>
          <w:rFonts w:ascii="Calibri" w:eastAsia="Calibri" w:hAnsi="Calibri" w:cs="Times New Roman"/>
          <w:bCs/>
          <w:sz w:val="24"/>
          <w:szCs w:val="24"/>
          <w:lang w:eastAsia="en-US"/>
        </w:rPr>
        <w:t>On 9 December 2020 Mr Craig Webb (304505) attended a Greyhound Racing meet at the Bendigo Greyhound Racing Club. During this meeting Stewards observed Webb to be displaying conduct deemed to be aggressive and intimidatory towards GRV officials.</w:t>
      </w:r>
    </w:p>
    <w:p w14:paraId="4A4750A9" w14:textId="77777777" w:rsidR="004409C7" w:rsidRPr="004409C7" w:rsidRDefault="004409C7" w:rsidP="004409C7">
      <w:pPr>
        <w:spacing w:line="259" w:lineRule="auto"/>
        <w:ind w:left="2835" w:hanging="2835"/>
        <w:jc w:val="both"/>
        <w:rPr>
          <w:rFonts w:ascii="Calibri" w:eastAsia="Calibri" w:hAnsi="Calibri" w:cs="Times New Roman"/>
          <w:bCs/>
          <w:sz w:val="24"/>
          <w:szCs w:val="24"/>
          <w:lang w:eastAsia="en-US"/>
        </w:rPr>
      </w:pPr>
    </w:p>
    <w:p w14:paraId="2CEE494C" w14:textId="77777777" w:rsidR="004409C7" w:rsidRPr="004409C7" w:rsidRDefault="004409C7" w:rsidP="004409C7">
      <w:pPr>
        <w:spacing w:line="259" w:lineRule="auto"/>
        <w:ind w:left="2835"/>
        <w:jc w:val="both"/>
        <w:rPr>
          <w:rFonts w:ascii="Calibri" w:eastAsia="Calibri" w:hAnsi="Calibri" w:cs="Times New Roman"/>
          <w:bCs/>
          <w:sz w:val="24"/>
          <w:szCs w:val="24"/>
          <w:lang w:eastAsia="en-US"/>
        </w:rPr>
      </w:pPr>
      <w:r w:rsidRPr="004409C7">
        <w:rPr>
          <w:rFonts w:ascii="Calibri" w:eastAsia="Calibri" w:hAnsi="Calibri" w:cs="Times New Roman"/>
          <w:bCs/>
          <w:sz w:val="24"/>
          <w:szCs w:val="24"/>
          <w:lang w:eastAsia="en-US"/>
        </w:rPr>
        <w:t xml:space="preserve">On 10 December 2020, GRV staff attended the address of Mr Webb for the purpose of a property inspection.  During this inspection Webb acted in an aggressive, hostile and contemptuous manner towards GRV staff. </w:t>
      </w:r>
    </w:p>
    <w:p w14:paraId="4C7EC3A6" w14:textId="77777777" w:rsidR="004409C7" w:rsidRPr="004409C7" w:rsidRDefault="004409C7" w:rsidP="004409C7">
      <w:pPr>
        <w:spacing w:line="259" w:lineRule="auto"/>
        <w:ind w:left="2835" w:hanging="2835"/>
        <w:jc w:val="both"/>
        <w:rPr>
          <w:rFonts w:ascii="Calibri" w:eastAsia="Calibri" w:hAnsi="Calibri" w:cs="Times New Roman"/>
          <w:bCs/>
          <w:sz w:val="24"/>
          <w:szCs w:val="24"/>
          <w:lang w:eastAsia="en-US"/>
        </w:rPr>
      </w:pPr>
    </w:p>
    <w:p w14:paraId="36248562" w14:textId="2BB1C51B" w:rsidR="004409C7" w:rsidRPr="004409C7" w:rsidRDefault="004409C7" w:rsidP="004409C7">
      <w:pPr>
        <w:spacing w:line="259" w:lineRule="auto"/>
        <w:ind w:left="2835"/>
        <w:jc w:val="both"/>
        <w:rPr>
          <w:rFonts w:ascii="Calibri" w:eastAsia="Calibri" w:hAnsi="Calibri" w:cs="Times New Roman"/>
          <w:bCs/>
          <w:sz w:val="24"/>
          <w:szCs w:val="24"/>
          <w:lang w:eastAsia="en-US"/>
        </w:rPr>
      </w:pPr>
      <w:r w:rsidRPr="004409C7">
        <w:rPr>
          <w:rFonts w:ascii="Calibri" w:eastAsia="Calibri" w:hAnsi="Calibri" w:cs="Times New Roman"/>
          <w:bCs/>
          <w:sz w:val="24"/>
          <w:szCs w:val="24"/>
          <w:lang w:eastAsia="en-US"/>
        </w:rPr>
        <w:t>On 21 December 2020 Investigative Stewards held an inquiry with Mr Webb.  Mr Webb conceded he should have behaved differently upon reflection of the events put to him.</w:t>
      </w:r>
    </w:p>
    <w:p w14:paraId="321DBE6B" w14:textId="77777777" w:rsidR="004409C7" w:rsidRPr="004409C7" w:rsidRDefault="004409C7" w:rsidP="004409C7">
      <w:pPr>
        <w:spacing w:line="259" w:lineRule="auto"/>
        <w:ind w:left="2835" w:hanging="2835"/>
        <w:jc w:val="both"/>
        <w:rPr>
          <w:rFonts w:ascii="Calibri" w:eastAsia="Calibri" w:hAnsi="Calibri" w:cs="Times New Roman"/>
          <w:bCs/>
          <w:sz w:val="24"/>
          <w:szCs w:val="24"/>
          <w:lang w:eastAsia="en-US"/>
        </w:rPr>
      </w:pPr>
    </w:p>
    <w:p w14:paraId="3A1EE317" w14:textId="77777777" w:rsidR="004409C7" w:rsidRPr="004409C7" w:rsidRDefault="004409C7" w:rsidP="004409C7">
      <w:pPr>
        <w:spacing w:line="259" w:lineRule="auto"/>
        <w:ind w:left="2835"/>
        <w:jc w:val="both"/>
        <w:rPr>
          <w:rFonts w:ascii="Calibri" w:eastAsia="Calibri" w:hAnsi="Calibri" w:cs="Times New Roman"/>
          <w:bCs/>
          <w:sz w:val="24"/>
          <w:szCs w:val="24"/>
          <w:lang w:eastAsia="en-US"/>
        </w:rPr>
      </w:pPr>
      <w:r w:rsidRPr="004409C7">
        <w:rPr>
          <w:rFonts w:ascii="Calibri" w:eastAsia="Calibri" w:hAnsi="Calibri" w:cs="Times New Roman"/>
          <w:bCs/>
          <w:sz w:val="24"/>
          <w:szCs w:val="24"/>
          <w:lang w:eastAsia="en-US"/>
        </w:rPr>
        <w:lastRenderedPageBreak/>
        <w:t xml:space="preserve">After considering the evidence, Investigative Stewards charged Mr Webb with a breach of GAR 86 (q).  The evidence is supported by witnesses and recorded footage of the incidents. </w:t>
      </w:r>
    </w:p>
    <w:p w14:paraId="4DFAC97D" w14:textId="77777777" w:rsidR="004409C7" w:rsidRPr="004409C7" w:rsidRDefault="004409C7" w:rsidP="004409C7">
      <w:pPr>
        <w:spacing w:line="259" w:lineRule="auto"/>
        <w:ind w:left="2835" w:hanging="2835"/>
        <w:jc w:val="both"/>
        <w:rPr>
          <w:rFonts w:ascii="Calibri" w:eastAsia="Calibri" w:hAnsi="Calibri" w:cs="Times New Roman"/>
          <w:bCs/>
          <w:sz w:val="24"/>
          <w:szCs w:val="24"/>
          <w:lang w:eastAsia="en-US"/>
        </w:rPr>
      </w:pPr>
    </w:p>
    <w:p w14:paraId="29109BF9" w14:textId="77777777" w:rsidR="004409C7" w:rsidRPr="004409C7" w:rsidRDefault="004409C7" w:rsidP="004409C7">
      <w:pPr>
        <w:spacing w:line="259" w:lineRule="auto"/>
        <w:ind w:left="2835"/>
        <w:jc w:val="both"/>
        <w:rPr>
          <w:rFonts w:ascii="Calibri" w:eastAsia="Calibri" w:hAnsi="Calibri" w:cs="Times New Roman"/>
          <w:bCs/>
          <w:sz w:val="24"/>
          <w:szCs w:val="24"/>
          <w:lang w:eastAsia="en-US"/>
        </w:rPr>
      </w:pPr>
      <w:r w:rsidRPr="004409C7">
        <w:rPr>
          <w:rFonts w:ascii="Calibri" w:eastAsia="Calibri" w:hAnsi="Calibri" w:cs="Times New Roman"/>
          <w:bCs/>
          <w:sz w:val="24"/>
          <w:szCs w:val="24"/>
          <w:lang w:eastAsia="en-US"/>
        </w:rPr>
        <w:t>These actions are viewed to be detrimental and prejudicial to the interest, welfare, image and control of greyhound racing.</w:t>
      </w:r>
    </w:p>
    <w:p w14:paraId="7D3C77F2" w14:textId="77777777" w:rsidR="004409C7" w:rsidRPr="004409C7" w:rsidRDefault="004409C7" w:rsidP="004409C7">
      <w:pPr>
        <w:spacing w:line="259" w:lineRule="auto"/>
        <w:ind w:left="2835" w:hanging="2835"/>
        <w:jc w:val="both"/>
        <w:rPr>
          <w:rFonts w:ascii="Calibri" w:eastAsia="Calibri" w:hAnsi="Calibri" w:cs="Times New Roman"/>
          <w:bCs/>
          <w:sz w:val="24"/>
          <w:szCs w:val="24"/>
          <w:lang w:eastAsia="en-US"/>
        </w:rPr>
      </w:pPr>
      <w:r w:rsidRPr="004409C7">
        <w:rPr>
          <w:rFonts w:ascii="Calibri" w:eastAsia="Calibri" w:hAnsi="Calibri" w:cs="Times New Roman"/>
          <w:bCs/>
          <w:sz w:val="24"/>
          <w:szCs w:val="24"/>
          <w:lang w:eastAsia="en-US"/>
        </w:rPr>
        <w:t xml:space="preserve"> </w:t>
      </w:r>
    </w:p>
    <w:p w14:paraId="13D26C9D" w14:textId="77777777" w:rsidR="004409C7" w:rsidRPr="004409C7" w:rsidRDefault="004409C7" w:rsidP="004409C7">
      <w:pPr>
        <w:spacing w:line="259" w:lineRule="auto"/>
        <w:ind w:left="2835"/>
        <w:jc w:val="both"/>
        <w:rPr>
          <w:rFonts w:ascii="Calibri" w:eastAsia="Calibri" w:hAnsi="Calibri" w:cs="Times New Roman"/>
          <w:bCs/>
          <w:sz w:val="24"/>
          <w:szCs w:val="24"/>
          <w:lang w:eastAsia="en-US"/>
        </w:rPr>
      </w:pPr>
      <w:r w:rsidRPr="004409C7">
        <w:rPr>
          <w:rFonts w:ascii="Calibri" w:eastAsia="Calibri" w:hAnsi="Calibri" w:cs="Times New Roman"/>
          <w:bCs/>
          <w:sz w:val="24"/>
          <w:szCs w:val="24"/>
          <w:lang w:eastAsia="en-US"/>
        </w:rPr>
        <w:t xml:space="preserve">Mr Webb pleaded not guilty to the charge.  </w:t>
      </w:r>
    </w:p>
    <w:p w14:paraId="0A9D7384" w14:textId="77777777" w:rsidR="004409C7" w:rsidRPr="004409C7" w:rsidRDefault="004409C7" w:rsidP="004409C7">
      <w:pPr>
        <w:spacing w:line="259" w:lineRule="auto"/>
        <w:ind w:left="2835" w:hanging="2835"/>
        <w:jc w:val="both"/>
        <w:rPr>
          <w:rFonts w:ascii="Calibri" w:eastAsia="Calibri" w:hAnsi="Calibri" w:cs="Times New Roman"/>
          <w:bCs/>
          <w:sz w:val="24"/>
          <w:szCs w:val="24"/>
          <w:lang w:eastAsia="en-US"/>
        </w:rPr>
      </w:pPr>
    </w:p>
    <w:p w14:paraId="38FE6CE0" w14:textId="22B09635" w:rsidR="00B127EB" w:rsidRDefault="004409C7" w:rsidP="004409C7">
      <w:pPr>
        <w:spacing w:line="259" w:lineRule="auto"/>
        <w:ind w:left="2835"/>
        <w:jc w:val="both"/>
        <w:rPr>
          <w:rFonts w:ascii="Calibri" w:eastAsia="Calibri" w:hAnsi="Calibri" w:cs="Times New Roman"/>
          <w:bCs/>
          <w:sz w:val="24"/>
          <w:szCs w:val="24"/>
          <w:lang w:eastAsia="en-US"/>
        </w:rPr>
      </w:pPr>
      <w:r w:rsidRPr="004409C7">
        <w:rPr>
          <w:rFonts w:ascii="Calibri" w:eastAsia="Calibri" w:hAnsi="Calibri" w:cs="Times New Roman"/>
          <w:bCs/>
          <w:sz w:val="24"/>
          <w:szCs w:val="24"/>
          <w:lang w:eastAsia="en-US"/>
        </w:rPr>
        <w:t>Investigative Stewards found Mr Webb guilty of the charge and imposed the following penalty;</w:t>
      </w:r>
    </w:p>
    <w:p w14:paraId="6B7F28A6" w14:textId="08474764" w:rsidR="004409C7" w:rsidRDefault="004409C7" w:rsidP="004409C7">
      <w:pPr>
        <w:spacing w:line="259" w:lineRule="auto"/>
        <w:ind w:left="2835"/>
        <w:jc w:val="both"/>
        <w:rPr>
          <w:rFonts w:ascii="Calibri" w:eastAsia="Calibri" w:hAnsi="Calibri" w:cs="Times New Roman"/>
          <w:bCs/>
          <w:sz w:val="24"/>
          <w:szCs w:val="24"/>
          <w:lang w:eastAsia="en-US"/>
        </w:rPr>
      </w:pPr>
    </w:p>
    <w:p w14:paraId="3EEB5F2E" w14:textId="62A397CF" w:rsidR="004409C7" w:rsidRPr="004409C7" w:rsidRDefault="004409C7" w:rsidP="004409C7">
      <w:pPr>
        <w:pStyle w:val="ListParagraph"/>
        <w:numPr>
          <w:ilvl w:val="0"/>
          <w:numId w:val="33"/>
        </w:numPr>
        <w:spacing w:line="259" w:lineRule="auto"/>
        <w:jc w:val="both"/>
        <w:rPr>
          <w:rFonts w:ascii="Calibri" w:eastAsia="Calibri" w:hAnsi="Calibri" w:cs="Times New Roman"/>
          <w:bCs/>
          <w:sz w:val="24"/>
          <w:szCs w:val="24"/>
          <w:lang w:eastAsia="en-US"/>
        </w:rPr>
      </w:pPr>
      <w:r w:rsidRPr="004409C7">
        <w:rPr>
          <w:rFonts w:ascii="Calibri" w:eastAsia="Calibri" w:hAnsi="Calibri" w:cs="Times New Roman"/>
          <w:bCs/>
          <w:sz w:val="24"/>
          <w:szCs w:val="24"/>
          <w:lang w:eastAsia="en-US"/>
        </w:rPr>
        <w:t>Six (6) months suspension to be served immediately.</w:t>
      </w:r>
    </w:p>
    <w:p w14:paraId="66AF38B5" w14:textId="77777777" w:rsidR="004409C7" w:rsidRPr="004409C7" w:rsidRDefault="004409C7" w:rsidP="004409C7">
      <w:pPr>
        <w:spacing w:line="259" w:lineRule="auto"/>
        <w:ind w:left="2835"/>
        <w:jc w:val="both"/>
        <w:rPr>
          <w:rFonts w:ascii="Calibri" w:eastAsia="Calibri" w:hAnsi="Calibri" w:cs="Times New Roman"/>
          <w:bCs/>
          <w:sz w:val="24"/>
          <w:szCs w:val="24"/>
          <w:lang w:eastAsia="en-US"/>
        </w:rPr>
      </w:pPr>
    </w:p>
    <w:p w14:paraId="6B1F5F27" w14:textId="42A187A2" w:rsidR="004409C7" w:rsidRPr="004409C7" w:rsidRDefault="004409C7" w:rsidP="004409C7">
      <w:pPr>
        <w:spacing w:line="259" w:lineRule="auto"/>
        <w:ind w:left="2835"/>
        <w:jc w:val="both"/>
        <w:rPr>
          <w:rFonts w:ascii="Calibri" w:eastAsia="Calibri" w:hAnsi="Calibri" w:cs="Times New Roman"/>
          <w:bCs/>
          <w:sz w:val="24"/>
          <w:szCs w:val="24"/>
          <w:lang w:eastAsia="en-US"/>
        </w:rPr>
      </w:pPr>
      <w:r w:rsidRPr="004409C7">
        <w:rPr>
          <w:rFonts w:ascii="Calibri" w:eastAsia="Calibri" w:hAnsi="Calibri" w:cs="Times New Roman"/>
          <w:bCs/>
          <w:sz w:val="24"/>
          <w:szCs w:val="24"/>
          <w:lang w:eastAsia="en-US"/>
        </w:rPr>
        <w:t xml:space="preserve">Investigative Stewards also note that Mr Webb previously appeared before the Stewards on 17 July 2020 regarding a similar incident at Shepparton Greyhound Racing Complex on 2 </w:t>
      </w:r>
      <w:r w:rsidR="000361C0" w:rsidRPr="004409C7">
        <w:rPr>
          <w:rFonts w:ascii="Calibri" w:eastAsia="Calibri" w:hAnsi="Calibri" w:cs="Times New Roman"/>
          <w:bCs/>
          <w:sz w:val="24"/>
          <w:szCs w:val="24"/>
          <w:lang w:eastAsia="en-US"/>
        </w:rPr>
        <w:t>July</w:t>
      </w:r>
      <w:r w:rsidRPr="004409C7">
        <w:rPr>
          <w:rFonts w:ascii="Calibri" w:eastAsia="Calibri" w:hAnsi="Calibri" w:cs="Times New Roman"/>
          <w:bCs/>
          <w:sz w:val="24"/>
          <w:szCs w:val="24"/>
          <w:lang w:eastAsia="en-US"/>
        </w:rPr>
        <w:t xml:space="preserve"> 2020.  In relation to this incident Mr. Webb pleaded guilty and Investigative Stewards imposed a six (6) month Suspension with three (3) months wholly suspended for 12 months and a $500 Fine.</w:t>
      </w:r>
      <w:r>
        <w:rPr>
          <w:rFonts w:ascii="Calibri" w:eastAsia="Calibri" w:hAnsi="Calibri" w:cs="Times New Roman"/>
          <w:bCs/>
          <w:sz w:val="24"/>
          <w:szCs w:val="24"/>
          <w:lang w:eastAsia="en-US"/>
        </w:rPr>
        <w:t xml:space="preserve"> </w:t>
      </w:r>
      <w:r w:rsidRPr="004409C7">
        <w:rPr>
          <w:rFonts w:ascii="Calibri" w:eastAsia="Calibri" w:hAnsi="Calibri" w:cs="Times New Roman"/>
          <w:bCs/>
          <w:sz w:val="24"/>
          <w:szCs w:val="24"/>
          <w:lang w:eastAsia="en-US"/>
        </w:rPr>
        <w:t>This incident breached previous suspended sentences and fines imposed.</w:t>
      </w:r>
      <w:r>
        <w:rPr>
          <w:rFonts w:ascii="Calibri" w:eastAsia="Calibri" w:hAnsi="Calibri" w:cs="Times New Roman"/>
          <w:bCs/>
          <w:sz w:val="24"/>
          <w:szCs w:val="24"/>
          <w:lang w:eastAsia="en-US"/>
        </w:rPr>
        <w:t xml:space="preserve"> </w:t>
      </w:r>
      <w:r w:rsidRPr="004409C7">
        <w:rPr>
          <w:rFonts w:ascii="Calibri" w:eastAsia="Calibri" w:hAnsi="Calibri" w:cs="Times New Roman"/>
          <w:bCs/>
          <w:sz w:val="24"/>
          <w:szCs w:val="24"/>
          <w:lang w:eastAsia="en-US"/>
        </w:rPr>
        <w:t>Mr Webb has breached that suspended sentence.</w:t>
      </w:r>
    </w:p>
    <w:p w14:paraId="2D924E7C" w14:textId="77777777" w:rsidR="004409C7" w:rsidRPr="004409C7" w:rsidRDefault="004409C7" w:rsidP="004409C7">
      <w:pPr>
        <w:spacing w:line="259" w:lineRule="auto"/>
        <w:ind w:left="2835"/>
        <w:jc w:val="both"/>
        <w:rPr>
          <w:rFonts w:ascii="Calibri" w:eastAsia="Calibri" w:hAnsi="Calibri" w:cs="Times New Roman"/>
          <w:bCs/>
          <w:sz w:val="24"/>
          <w:szCs w:val="24"/>
          <w:lang w:eastAsia="en-US"/>
        </w:rPr>
      </w:pPr>
    </w:p>
    <w:p w14:paraId="60D9B380" w14:textId="77777777" w:rsidR="004409C7" w:rsidRPr="004409C7" w:rsidRDefault="004409C7" w:rsidP="004409C7">
      <w:pPr>
        <w:spacing w:line="259" w:lineRule="auto"/>
        <w:ind w:left="2835"/>
        <w:jc w:val="both"/>
        <w:rPr>
          <w:rFonts w:ascii="Calibri" w:eastAsia="Calibri" w:hAnsi="Calibri" w:cs="Times New Roman"/>
          <w:bCs/>
          <w:sz w:val="24"/>
          <w:szCs w:val="24"/>
          <w:lang w:eastAsia="en-US"/>
        </w:rPr>
      </w:pPr>
      <w:r w:rsidRPr="004409C7">
        <w:rPr>
          <w:rFonts w:ascii="Calibri" w:eastAsia="Calibri" w:hAnsi="Calibri" w:cs="Times New Roman"/>
          <w:bCs/>
          <w:sz w:val="24"/>
          <w:szCs w:val="24"/>
          <w:lang w:eastAsia="en-US"/>
        </w:rPr>
        <w:t>Therefore, a further Investigative Stewards penalty is imposed as follows:</w:t>
      </w:r>
    </w:p>
    <w:p w14:paraId="1AC82825" w14:textId="77777777" w:rsidR="004409C7" w:rsidRPr="004409C7" w:rsidRDefault="004409C7" w:rsidP="004409C7">
      <w:pPr>
        <w:spacing w:line="259" w:lineRule="auto"/>
        <w:ind w:left="2835"/>
        <w:jc w:val="both"/>
        <w:rPr>
          <w:rFonts w:ascii="Calibri" w:eastAsia="Calibri" w:hAnsi="Calibri" w:cs="Times New Roman"/>
          <w:bCs/>
          <w:sz w:val="24"/>
          <w:szCs w:val="24"/>
          <w:lang w:eastAsia="en-US"/>
        </w:rPr>
      </w:pPr>
    </w:p>
    <w:p w14:paraId="625A653E" w14:textId="77777777" w:rsidR="004409C7" w:rsidRDefault="004409C7" w:rsidP="004409C7">
      <w:pPr>
        <w:pStyle w:val="ListParagraph"/>
        <w:numPr>
          <w:ilvl w:val="0"/>
          <w:numId w:val="32"/>
        </w:numPr>
        <w:spacing w:line="259" w:lineRule="auto"/>
        <w:jc w:val="both"/>
        <w:rPr>
          <w:rFonts w:ascii="Calibri" w:eastAsia="Calibri" w:hAnsi="Calibri" w:cs="Times New Roman"/>
          <w:bCs/>
          <w:sz w:val="24"/>
          <w:szCs w:val="24"/>
          <w:lang w:eastAsia="en-US"/>
        </w:rPr>
      </w:pPr>
      <w:r w:rsidRPr="004409C7">
        <w:rPr>
          <w:rFonts w:ascii="Calibri" w:eastAsia="Calibri" w:hAnsi="Calibri" w:cs="Times New Roman"/>
          <w:bCs/>
          <w:sz w:val="24"/>
          <w:szCs w:val="24"/>
          <w:lang w:eastAsia="en-US"/>
        </w:rPr>
        <w:t xml:space="preserve">The three (3) month suspension which was previously suspended on 3 August 2020 is re-imposed and directed to be served cumulative with the six (6) months suspension.  </w:t>
      </w:r>
    </w:p>
    <w:p w14:paraId="2472336B" w14:textId="7F971700" w:rsidR="004409C7" w:rsidRPr="004409C7" w:rsidRDefault="004409C7" w:rsidP="004409C7">
      <w:pPr>
        <w:pStyle w:val="ListParagraph"/>
        <w:numPr>
          <w:ilvl w:val="0"/>
          <w:numId w:val="32"/>
        </w:numPr>
        <w:spacing w:line="259" w:lineRule="auto"/>
        <w:jc w:val="both"/>
        <w:rPr>
          <w:rFonts w:ascii="Calibri" w:eastAsia="Calibri" w:hAnsi="Calibri" w:cs="Times New Roman"/>
          <w:bCs/>
          <w:sz w:val="24"/>
          <w:szCs w:val="24"/>
          <w:lang w:eastAsia="en-US"/>
        </w:rPr>
      </w:pPr>
      <w:r w:rsidRPr="004409C7">
        <w:rPr>
          <w:rFonts w:ascii="Calibri" w:eastAsia="Calibri" w:hAnsi="Calibri" w:cs="Times New Roman"/>
          <w:bCs/>
          <w:sz w:val="24"/>
          <w:szCs w:val="24"/>
          <w:lang w:eastAsia="en-US"/>
        </w:rPr>
        <w:t>Total Effective Penalty is nine (9) months suspension to be served immediately.</w:t>
      </w:r>
    </w:p>
    <w:p w14:paraId="4C2B4CDD" w14:textId="77777777" w:rsidR="004409C7" w:rsidRPr="004409C7" w:rsidRDefault="004409C7" w:rsidP="004409C7">
      <w:pPr>
        <w:spacing w:line="259" w:lineRule="auto"/>
        <w:ind w:left="2835"/>
        <w:jc w:val="both"/>
        <w:rPr>
          <w:rFonts w:ascii="Calibri" w:eastAsia="Calibri" w:hAnsi="Calibri" w:cs="Times New Roman"/>
          <w:bCs/>
          <w:sz w:val="24"/>
          <w:szCs w:val="24"/>
          <w:lang w:eastAsia="en-US"/>
        </w:rPr>
      </w:pPr>
    </w:p>
    <w:p w14:paraId="34308E95" w14:textId="77777777" w:rsidR="004409C7" w:rsidRPr="004409C7" w:rsidRDefault="004409C7" w:rsidP="004409C7">
      <w:pPr>
        <w:spacing w:line="259" w:lineRule="auto"/>
        <w:ind w:left="2835"/>
        <w:jc w:val="both"/>
        <w:rPr>
          <w:rFonts w:ascii="Calibri" w:eastAsia="Calibri" w:hAnsi="Calibri" w:cs="Times New Roman"/>
          <w:bCs/>
          <w:sz w:val="24"/>
          <w:szCs w:val="24"/>
          <w:lang w:eastAsia="en-US"/>
        </w:rPr>
      </w:pPr>
      <w:r w:rsidRPr="004409C7">
        <w:rPr>
          <w:rFonts w:ascii="Calibri" w:eastAsia="Calibri" w:hAnsi="Calibri" w:cs="Times New Roman"/>
          <w:bCs/>
          <w:sz w:val="24"/>
          <w:szCs w:val="24"/>
          <w:lang w:eastAsia="en-US"/>
        </w:rPr>
        <w:t>In determining penalty, Investigative Stewards considered a number of factors namely:</w:t>
      </w:r>
    </w:p>
    <w:p w14:paraId="45DAAADE" w14:textId="77777777" w:rsidR="004409C7" w:rsidRPr="004409C7" w:rsidRDefault="004409C7" w:rsidP="004409C7">
      <w:pPr>
        <w:spacing w:line="259" w:lineRule="auto"/>
        <w:ind w:left="2835"/>
        <w:jc w:val="both"/>
        <w:rPr>
          <w:rFonts w:ascii="Calibri" w:eastAsia="Calibri" w:hAnsi="Calibri" w:cs="Times New Roman"/>
          <w:bCs/>
          <w:sz w:val="24"/>
          <w:szCs w:val="24"/>
          <w:lang w:eastAsia="en-US"/>
        </w:rPr>
      </w:pPr>
    </w:p>
    <w:p w14:paraId="3B016020" w14:textId="77777777" w:rsidR="004409C7" w:rsidRDefault="004409C7" w:rsidP="004409C7">
      <w:pPr>
        <w:pStyle w:val="ListParagraph"/>
        <w:numPr>
          <w:ilvl w:val="0"/>
          <w:numId w:val="31"/>
        </w:numPr>
        <w:spacing w:line="259" w:lineRule="auto"/>
        <w:jc w:val="both"/>
        <w:rPr>
          <w:rFonts w:ascii="Calibri" w:eastAsia="Calibri" w:hAnsi="Calibri" w:cs="Times New Roman"/>
          <w:bCs/>
          <w:sz w:val="24"/>
          <w:szCs w:val="24"/>
          <w:lang w:eastAsia="en-US"/>
        </w:rPr>
      </w:pPr>
      <w:r w:rsidRPr="004409C7">
        <w:rPr>
          <w:rFonts w:ascii="Calibri" w:eastAsia="Calibri" w:hAnsi="Calibri" w:cs="Times New Roman"/>
          <w:bCs/>
          <w:sz w:val="24"/>
          <w:szCs w:val="24"/>
          <w:lang w:eastAsia="en-US"/>
        </w:rPr>
        <w:lastRenderedPageBreak/>
        <w:t>This is the third conduct related offence in 2020 for Mr Webb;</w:t>
      </w:r>
    </w:p>
    <w:p w14:paraId="2F19B26F" w14:textId="77777777" w:rsidR="004409C7" w:rsidRDefault="004409C7" w:rsidP="004409C7">
      <w:pPr>
        <w:pStyle w:val="ListParagraph"/>
        <w:numPr>
          <w:ilvl w:val="0"/>
          <w:numId w:val="31"/>
        </w:numPr>
        <w:spacing w:line="259" w:lineRule="auto"/>
        <w:jc w:val="both"/>
        <w:rPr>
          <w:rFonts w:ascii="Calibri" w:eastAsia="Calibri" w:hAnsi="Calibri" w:cs="Times New Roman"/>
          <w:bCs/>
          <w:sz w:val="24"/>
          <w:szCs w:val="24"/>
          <w:lang w:eastAsia="en-US"/>
        </w:rPr>
      </w:pPr>
      <w:r w:rsidRPr="004409C7">
        <w:rPr>
          <w:rFonts w:ascii="Calibri" w:eastAsia="Calibri" w:hAnsi="Calibri" w:cs="Times New Roman"/>
          <w:bCs/>
          <w:sz w:val="24"/>
          <w:szCs w:val="24"/>
          <w:lang w:eastAsia="en-US"/>
        </w:rPr>
        <w:t>Mr Webb has demonstrated an ongoing pattern of poor conduct towards GRV staff and participants which will not be tolerated;</w:t>
      </w:r>
    </w:p>
    <w:p w14:paraId="7CF4FA1F" w14:textId="77777777" w:rsidR="004409C7" w:rsidRDefault="004409C7" w:rsidP="004409C7">
      <w:pPr>
        <w:pStyle w:val="ListParagraph"/>
        <w:numPr>
          <w:ilvl w:val="0"/>
          <w:numId w:val="31"/>
        </w:numPr>
        <w:spacing w:line="259" w:lineRule="auto"/>
        <w:jc w:val="both"/>
        <w:rPr>
          <w:rFonts w:ascii="Calibri" w:eastAsia="Calibri" w:hAnsi="Calibri" w:cs="Times New Roman"/>
          <w:bCs/>
          <w:sz w:val="24"/>
          <w:szCs w:val="24"/>
          <w:lang w:eastAsia="en-US"/>
        </w:rPr>
      </w:pPr>
      <w:r w:rsidRPr="004409C7">
        <w:rPr>
          <w:rFonts w:ascii="Calibri" w:eastAsia="Calibri" w:hAnsi="Calibri" w:cs="Times New Roman"/>
          <w:bCs/>
          <w:sz w:val="24"/>
          <w:szCs w:val="24"/>
          <w:lang w:eastAsia="en-US"/>
        </w:rPr>
        <w:t>Mr Webb has been provided education and support on his conduct previously by GRV;</w:t>
      </w:r>
    </w:p>
    <w:p w14:paraId="27933A64" w14:textId="77777777" w:rsidR="004409C7" w:rsidRDefault="004409C7" w:rsidP="004409C7">
      <w:pPr>
        <w:pStyle w:val="ListParagraph"/>
        <w:numPr>
          <w:ilvl w:val="0"/>
          <w:numId w:val="31"/>
        </w:numPr>
        <w:spacing w:line="259" w:lineRule="auto"/>
        <w:jc w:val="both"/>
        <w:rPr>
          <w:rFonts w:ascii="Calibri" w:eastAsia="Calibri" w:hAnsi="Calibri" w:cs="Times New Roman"/>
          <w:bCs/>
          <w:sz w:val="24"/>
          <w:szCs w:val="24"/>
          <w:lang w:eastAsia="en-US"/>
        </w:rPr>
      </w:pPr>
      <w:r w:rsidRPr="004409C7">
        <w:rPr>
          <w:rFonts w:ascii="Calibri" w:eastAsia="Calibri" w:hAnsi="Calibri" w:cs="Times New Roman"/>
          <w:bCs/>
          <w:sz w:val="24"/>
          <w:szCs w:val="24"/>
          <w:lang w:eastAsia="en-US"/>
        </w:rPr>
        <w:t>Mr Webb’s lack of remorse and full understanding of the impact such behaviour can have on individuals subjected to the behaviour displayed by Mr Webb.  This is conduct that will NOT be tolerated in the workplace;</w:t>
      </w:r>
    </w:p>
    <w:p w14:paraId="145F0D67" w14:textId="77777777" w:rsidR="004409C7" w:rsidRDefault="004409C7" w:rsidP="004409C7">
      <w:pPr>
        <w:pStyle w:val="ListParagraph"/>
        <w:numPr>
          <w:ilvl w:val="0"/>
          <w:numId w:val="31"/>
        </w:numPr>
        <w:spacing w:line="259" w:lineRule="auto"/>
        <w:jc w:val="both"/>
        <w:rPr>
          <w:rFonts w:ascii="Calibri" w:eastAsia="Calibri" w:hAnsi="Calibri" w:cs="Times New Roman"/>
          <w:bCs/>
          <w:sz w:val="24"/>
          <w:szCs w:val="24"/>
          <w:lang w:eastAsia="en-US"/>
        </w:rPr>
      </w:pPr>
      <w:r w:rsidRPr="004409C7">
        <w:rPr>
          <w:rFonts w:ascii="Calibri" w:eastAsia="Calibri" w:hAnsi="Calibri" w:cs="Times New Roman"/>
          <w:bCs/>
          <w:sz w:val="24"/>
          <w:szCs w:val="24"/>
          <w:lang w:eastAsia="en-US"/>
        </w:rPr>
        <w:t>Specific and general deterrence;</w:t>
      </w:r>
    </w:p>
    <w:p w14:paraId="11FC21E4" w14:textId="682CA912" w:rsidR="004409C7" w:rsidRPr="004409C7" w:rsidRDefault="004409C7" w:rsidP="004409C7">
      <w:pPr>
        <w:pStyle w:val="ListParagraph"/>
        <w:numPr>
          <w:ilvl w:val="0"/>
          <w:numId w:val="31"/>
        </w:numPr>
        <w:spacing w:line="259" w:lineRule="auto"/>
        <w:jc w:val="both"/>
        <w:rPr>
          <w:rFonts w:ascii="Calibri" w:eastAsia="Calibri" w:hAnsi="Calibri" w:cs="Times New Roman"/>
          <w:bCs/>
          <w:sz w:val="24"/>
          <w:szCs w:val="24"/>
          <w:lang w:eastAsia="en-US"/>
        </w:rPr>
      </w:pPr>
      <w:r w:rsidRPr="004409C7">
        <w:rPr>
          <w:rFonts w:ascii="Calibri" w:eastAsia="Calibri" w:hAnsi="Calibri" w:cs="Times New Roman"/>
          <w:bCs/>
          <w:sz w:val="24"/>
          <w:szCs w:val="24"/>
          <w:lang w:eastAsia="en-US"/>
        </w:rPr>
        <w:t>The ongoing image of the sport and perception and expectation of all participants.</w:t>
      </w:r>
    </w:p>
    <w:p w14:paraId="1413C861" w14:textId="77777777" w:rsidR="00B127EB" w:rsidRPr="00B127EB" w:rsidRDefault="00B127EB" w:rsidP="00B127EB">
      <w:pPr>
        <w:spacing w:line="259" w:lineRule="auto"/>
        <w:jc w:val="both"/>
        <w:rPr>
          <w:rFonts w:ascii="Calibri" w:eastAsia="Calibri" w:hAnsi="Calibri" w:cs="Times New Roman"/>
          <w:sz w:val="24"/>
          <w:szCs w:val="24"/>
          <w:lang w:eastAsia="en-US"/>
        </w:rPr>
      </w:pPr>
    </w:p>
    <w:p w14:paraId="661E6296" w14:textId="796D29C8"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42B4D">
        <w:rPr>
          <w:rFonts w:ascii="Calibri" w:eastAsia="Calibri" w:hAnsi="Calibri" w:cs="Times New Roman"/>
          <w:sz w:val="24"/>
          <w:szCs w:val="24"/>
          <w:lang w:eastAsia="en-US"/>
        </w:rPr>
        <w:t>Not 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2E15A514" w14:textId="3852E13C" w:rsidR="00F95001" w:rsidRDefault="00F95001" w:rsidP="00277B35">
      <w:pPr>
        <w:rPr>
          <w:rFonts w:ascii="Calibri" w:eastAsia="Calibri" w:hAnsi="Calibri" w:cs="Times New Roman"/>
          <w:bCs/>
          <w:sz w:val="24"/>
          <w:szCs w:val="24"/>
          <w:lang w:eastAsia="en-US"/>
        </w:rPr>
      </w:pPr>
    </w:p>
    <w:p w14:paraId="6A8CEBE4" w14:textId="37BEF9D8" w:rsidR="0035135C" w:rsidRDefault="004409C7" w:rsidP="00500FD6">
      <w:pPr>
        <w:pStyle w:val="ListParagraph"/>
        <w:numPr>
          <w:ilvl w:val="0"/>
          <w:numId w:val="29"/>
        </w:numPr>
        <w:tabs>
          <w:tab w:val="left" w:pos="567"/>
        </w:tabs>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Craig Webb has appealed to the Tribunal from a decision of the Stewards of Greyhound Racing Victoria (“GRV”) to find him guilty of a charge under Greyhounds Australasia Rule (“GAR”) 86(q)</w:t>
      </w:r>
      <w:r w:rsidR="00500FD6">
        <w:rPr>
          <w:rFonts w:ascii="Calibri" w:eastAsia="Calibri" w:hAnsi="Calibri" w:cs="Times New Roman"/>
          <w:sz w:val="24"/>
          <w:szCs w:val="24"/>
          <w:lang w:eastAsia="en-US"/>
        </w:rPr>
        <w:t xml:space="preserve"> and to therefore suspend him for 6 months in respect of that charge, </w:t>
      </w:r>
      <w:r w:rsidR="00756CA0" w:rsidRPr="00756CA0">
        <w:rPr>
          <w:rFonts w:ascii="Calibri" w:eastAsia="Calibri" w:hAnsi="Calibri" w:cs="Times New Roman"/>
          <w:sz w:val="24"/>
          <w:szCs w:val="24"/>
          <w:lang w:eastAsia="en-US"/>
        </w:rPr>
        <w:t>thereby</w:t>
      </w:r>
      <w:r w:rsidR="00500FD6">
        <w:rPr>
          <w:rFonts w:ascii="Calibri" w:eastAsia="Calibri" w:hAnsi="Calibri" w:cs="Times New Roman"/>
          <w:sz w:val="24"/>
          <w:szCs w:val="24"/>
          <w:lang w:eastAsia="en-US"/>
        </w:rPr>
        <w:t xml:space="preserve"> activating a 3 month suspension from a previous offence leading to a total of 9 months suspension. GAR 86(q) provides that “a</w:t>
      </w:r>
      <w:r w:rsidR="00500FD6" w:rsidRPr="00500FD6">
        <w:rPr>
          <w:rFonts w:ascii="Calibri" w:eastAsia="Calibri" w:hAnsi="Calibri" w:cs="Times New Roman"/>
          <w:sz w:val="24"/>
          <w:szCs w:val="24"/>
          <w:lang w:eastAsia="en-US"/>
        </w:rPr>
        <w:t xml:space="preserve"> person (including an official) shall be guilty of an offence if the person</w:t>
      </w:r>
      <w:r w:rsidR="00500FD6">
        <w:rPr>
          <w:rFonts w:ascii="Calibri" w:eastAsia="Calibri" w:hAnsi="Calibri" w:cs="Times New Roman"/>
          <w:sz w:val="24"/>
          <w:szCs w:val="24"/>
          <w:lang w:eastAsia="en-US"/>
        </w:rPr>
        <w:t xml:space="preserve"> </w:t>
      </w:r>
      <w:r w:rsidR="00500FD6" w:rsidRPr="00500FD6">
        <w:rPr>
          <w:rFonts w:ascii="Calibri" w:eastAsia="Calibri" w:hAnsi="Calibri" w:cs="Times New Roman"/>
          <w:sz w:val="24"/>
          <w:szCs w:val="24"/>
          <w:lang w:eastAsia="en-US"/>
        </w:rPr>
        <w:t>commits or omits to do any act or engages in conduct which is in any way detrimental or prejudicial to the interest, welfare, image, control or promotion of greyhound racing</w:t>
      </w:r>
      <w:r w:rsidR="00500FD6">
        <w:rPr>
          <w:rFonts w:ascii="Calibri" w:eastAsia="Calibri" w:hAnsi="Calibri" w:cs="Times New Roman"/>
          <w:sz w:val="24"/>
          <w:szCs w:val="24"/>
          <w:lang w:eastAsia="en-US"/>
        </w:rPr>
        <w:t>”</w:t>
      </w:r>
      <w:r w:rsidR="00500FD6" w:rsidRPr="00500FD6">
        <w:rPr>
          <w:rFonts w:ascii="Calibri" w:eastAsia="Calibri" w:hAnsi="Calibri" w:cs="Times New Roman"/>
          <w:sz w:val="24"/>
          <w:szCs w:val="24"/>
          <w:lang w:eastAsia="en-US"/>
        </w:rPr>
        <w:t>.</w:t>
      </w:r>
    </w:p>
    <w:p w14:paraId="72E1C4D3" w14:textId="77777777" w:rsidR="00500FD6" w:rsidRDefault="00500FD6" w:rsidP="00500FD6">
      <w:pPr>
        <w:pStyle w:val="ListParagraph"/>
        <w:tabs>
          <w:tab w:val="left" w:pos="567"/>
        </w:tabs>
        <w:spacing w:line="259" w:lineRule="auto"/>
        <w:ind w:left="426"/>
        <w:jc w:val="both"/>
        <w:rPr>
          <w:rFonts w:ascii="Calibri" w:eastAsia="Calibri" w:hAnsi="Calibri" w:cs="Times New Roman"/>
          <w:sz w:val="24"/>
          <w:szCs w:val="24"/>
          <w:lang w:eastAsia="en-US"/>
        </w:rPr>
      </w:pPr>
    </w:p>
    <w:p w14:paraId="64E331F9" w14:textId="4A94DB76" w:rsidR="00500FD6" w:rsidRDefault="0037775F" w:rsidP="00500FD6">
      <w:pPr>
        <w:pStyle w:val="ListParagraph"/>
        <w:numPr>
          <w:ilvl w:val="0"/>
          <w:numId w:val="29"/>
        </w:numPr>
        <w:tabs>
          <w:tab w:val="left" w:pos="567"/>
        </w:tabs>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questioned Mr Webb at an inquiry, held on 21 December 2020, concerning his conduct at a race meeting at Bendigo on 9 December 2020 and during a kennel inspection on 10 December 2020. The transcript of the interview goes for some 100 pages. It is only on page 98 that Mr Webb is informed that the Stewards are looking at charging him under GAR 86(q), which they </w:t>
      </w:r>
      <w:r w:rsidRPr="00756CA0">
        <w:rPr>
          <w:rFonts w:ascii="Calibri" w:eastAsia="Calibri" w:hAnsi="Calibri" w:cs="Times New Roman"/>
          <w:sz w:val="24"/>
          <w:szCs w:val="24"/>
          <w:lang w:eastAsia="en-US"/>
        </w:rPr>
        <w:t>shortly</w:t>
      </w:r>
      <w:r>
        <w:rPr>
          <w:rFonts w:ascii="Calibri" w:eastAsia="Calibri" w:hAnsi="Calibri" w:cs="Times New Roman"/>
          <w:sz w:val="24"/>
          <w:szCs w:val="24"/>
          <w:lang w:eastAsia="en-US"/>
        </w:rPr>
        <w:t xml:space="preserve"> did and found him guilty without giving him any particulars of the charge. The decision recording the finding of guilty and the penalty was published by the Stewards on 23 December 2020.</w:t>
      </w:r>
      <w:r w:rsidR="00F74B3B">
        <w:rPr>
          <w:rFonts w:ascii="Calibri" w:eastAsia="Calibri" w:hAnsi="Calibri" w:cs="Times New Roman"/>
          <w:sz w:val="24"/>
          <w:szCs w:val="24"/>
          <w:lang w:eastAsia="en-US"/>
        </w:rPr>
        <w:t xml:space="preserve"> The Stewards then proceeded to find Mr Webb guilty and imposed a penalty of 6 months suspension on him without </w:t>
      </w:r>
      <w:r w:rsidR="00756CA0">
        <w:rPr>
          <w:rFonts w:ascii="Calibri" w:eastAsia="Calibri" w:hAnsi="Calibri" w:cs="Times New Roman"/>
          <w:sz w:val="24"/>
          <w:szCs w:val="24"/>
          <w:lang w:eastAsia="en-US"/>
        </w:rPr>
        <w:t>affording</w:t>
      </w:r>
      <w:r w:rsidR="00F74B3B">
        <w:rPr>
          <w:rFonts w:ascii="Calibri" w:eastAsia="Calibri" w:hAnsi="Calibri" w:cs="Times New Roman"/>
          <w:sz w:val="24"/>
          <w:szCs w:val="24"/>
          <w:lang w:eastAsia="en-US"/>
        </w:rPr>
        <w:t xml:space="preserve"> him an opportunity to make submission on </w:t>
      </w:r>
      <w:r w:rsidR="00F74B3B" w:rsidRPr="00756CA0">
        <w:rPr>
          <w:rFonts w:ascii="Calibri" w:eastAsia="Calibri" w:hAnsi="Calibri" w:cs="Times New Roman"/>
          <w:sz w:val="24"/>
          <w:szCs w:val="24"/>
          <w:lang w:eastAsia="en-US"/>
        </w:rPr>
        <w:t>mitigation</w:t>
      </w:r>
      <w:r w:rsidR="00F74B3B">
        <w:rPr>
          <w:rFonts w:ascii="Calibri" w:eastAsia="Calibri" w:hAnsi="Calibri" w:cs="Times New Roman"/>
          <w:sz w:val="24"/>
          <w:szCs w:val="24"/>
          <w:lang w:eastAsia="en-US"/>
        </w:rPr>
        <w:t xml:space="preserve"> of penalty. The failure to particularise any </w:t>
      </w:r>
      <w:r w:rsidR="00F74B3B">
        <w:rPr>
          <w:rFonts w:ascii="Calibri" w:eastAsia="Calibri" w:hAnsi="Calibri" w:cs="Times New Roman"/>
          <w:sz w:val="24"/>
          <w:szCs w:val="24"/>
          <w:lang w:eastAsia="en-US"/>
        </w:rPr>
        <w:lastRenderedPageBreak/>
        <w:t xml:space="preserve">charge and the failure to allow submissions on penalty each </w:t>
      </w:r>
      <w:r w:rsidR="00756CA0" w:rsidRPr="00756CA0">
        <w:rPr>
          <w:rFonts w:ascii="Calibri" w:eastAsia="Calibri" w:hAnsi="Calibri" w:cs="Times New Roman"/>
          <w:sz w:val="24"/>
          <w:szCs w:val="24"/>
          <w:lang w:eastAsia="en-US"/>
        </w:rPr>
        <w:t>involved</w:t>
      </w:r>
      <w:r w:rsidR="00F74B3B">
        <w:rPr>
          <w:rFonts w:ascii="Calibri" w:eastAsia="Calibri" w:hAnsi="Calibri" w:cs="Times New Roman"/>
          <w:sz w:val="24"/>
          <w:szCs w:val="24"/>
          <w:lang w:eastAsia="en-US"/>
        </w:rPr>
        <w:t xml:space="preserve"> separate egregious breaches of procedural fairness in relation to Mr Webb. </w:t>
      </w:r>
    </w:p>
    <w:p w14:paraId="0981AE94" w14:textId="77777777" w:rsidR="0037775F" w:rsidRDefault="0037775F" w:rsidP="0037775F">
      <w:pPr>
        <w:pStyle w:val="ListParagraph"/>
        <w:tabs>
          <w:tab w:val="left" w:pos="567"/>
        </w:tabs>
        <w:spacing w:line="259" w:lineRule="auto"/>
        <w:ind w:left="426"/>
        <w:jc w:val="both"/>
        <w:rPr>
          <w:rFonts w:ascii="Calibri" w:eastAsia="Calibri" w:hAnsi="Calibri" w:cs="Times New Roman"/>
          <w:sz w:val="24"/>
          <w:szCs w:val="24"/>
          <w:lang w:eastAsia="en-US"/>
        </w:rPr>
      </w:pPr>
    </w:p>
    <w:p w14:paraId="0085C973" w14:textId="56C3A88E" w:rsidR="0037775F" w:rsidRDefault="00990950" w:rsidP="00500FD6">
      <w:pPr>
        <w:pStyle w:val="ListParagraph"/>
        <w:numPr>
          <w:ilvl w:val="0"/>
          <w:numId w:val="29"/>
        </w:numPr>
        <w:tabs>
          <w:tab w:val="left" w:pos="567"/>
        </w:tabs>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his appeal, before amendment, Mr Webb only raised a concern with the severity of the sentence. He also sought a stay of the suspension decision. The Tribunal refused the stay, without </w:t>
      </w:r>
      <w:r w:rsidR="00756CA0">
        <w:rPr>
          <w:rFonts w:ascii="Calibri" w:eastAsia="Calibri" w:hAnsi="Calibri" w:cs="Times New Roman"/>
          <w:sz w:val="24"/>
          <w:szCs w:val="24"/>
          <w:lang w:eastAsia="en-US"/>
        </w:rPr>
        <w:t>knowing of the existence</w:t>
      </w:r>
      <w:r>
        <w:rPr>
          <w:rFonts w:ascii="Calibri" w:eastAsia="Calibri" w:hAnsi="Calibri" w:cs="Times New Roman"/>
          <w:sz w:val="24"/>
          <w:szCs w:val="24"/>
          <w:lang w:eastAsia="en-US"/>
        </w:rPr>
        <w:t xml:space="preserve"> of the transcript of the Stewards inquiry. It did so because a mere finding of guilty by the Stewards, even if no penalty had been imposed, would have activated </w:t>
      </w:r>
      <w:r w:rsidR="00756CA0" w:rsidRPr="00756CA0">
        <w:rPr>
          <w:rFonts w:ascii="Calibri" w:eastAsia="Calibri" w:hAnsi="Calibri" w:cs="Times New Roman"/>
          <w:sz w:val="24"/>
          <w:szCs w:val="24"/>
          <w:lang w:eastAsia="en-US"/>
        </w:rPr>
        <w:t>a</w:t>
      </w:r>
      <w:r w:rsidRPr="00756CA0">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3 month suspension from a previous offence under GAR 86(q). </w:t>
      </w:r>
      <w:r w:rsidR="00756CA0">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he Tribunal considered that it would be in a position to arrange a hearing of the appeal inside the </w:t>
      </w:r>
      <w:r w:rsidR="00756CA0" w:rsidRPr="00756CA0">
        <w:rPr>
          <w:rFonts w:ascii="Calibri" w:eastAsia="Calibri" w:hAnsi="Calibri" w:cs="Times New Roman"/>
          <w:sz w:val="24"/>
          <w:szCs w:val="24"/>
          <w:lang w:eastAsia="en-US"/>
        </w:rPr>
        <w:t>operation</w:t>
      </w:r>
      <w:r>
        <w:rPr>
          <w:rFonts w:ascii="Calibri" w:eastAsia="Calibri" w:hAnsi="Calibri" w:cs="Times New Roman"/>
          <w:sz w:val="24"/>
          <w:szCs w:val="24"/>
          <w:lang w:eastAsia="en-US"/>
        </w:rPr>
        <w:t xml:space="preserve"> of the activated suspension, so it saw little utility in granting the stay.</w:t>
      </w:r>
    </w:p>
    <w:p w14:paraId="2C687D5B" w14:textId="77777777" w:rsidR="00990950" w:rsidRDefault="00990950" w:rsidP="00990950">
      <w:pPr>
        <w:pStyle w:val="ListParagraph"/>
        <w:tabs>
          <w:tab w:val="left" w:pos="567"/>
        </w:tabs>
        <w:spacing w:line="259" w:lineRule="auto"/>
        <w:ind w:left="426"/>
        <w:jc w:val="both"/>
        <w:rPr>
          <w:rFonts w:ascii="Calibri" w:eastAsia="Calibri" w:hAnsi="Calibri" w:cs="Times New Roman"/>
          <w:sz w:val="24"/>
          <w:szCs w:val="24"/>
          <w:lang w:eastAsia="en-US"/>
        </w:rPr>
      </w:pPr>
    </w:p>
    <w:p w14:paraId="4A7FC4A8" w14:textId="428CB203" w:rsidR="00990950" w:rsidRDefault="00990950" w:rsidP="00500FD6">
      <w:pPr>
        <w:pStyle w:val="ListParagraph"/>
        <w:numPr>
          <w:ilvl w:val="0"/>
          <w:numId w:val="29"/>
        </w:numPr>
        <w:tabs>
          <w:tab w:val="left" w:pos="567"/>
        </w:tabs>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After the rejection of the stay application, Mr Webb obtained legal advice. He then applied, </w:t>
      </w:r>
      <w:r w:rsidR="00756CA0">
        <w:rPr>
          <w:rFonts w:ascii="Calibri" w:eastAsia="Calibri" w:hAnsi="Calibri" w:cs="Times New Roman"/>
          <w:sz w:val="24"/>
          <w:szCs w:val="24"/>
          <w:lang w:eastAsia="en-US"/>
        </w:rPr>
        <w:t>by consent</w:t>
      </w:r>
      <w:r>
        <w:rPr>
          <w:rFonts w:ascii="Calibri" w:eastAsia="Calibri" w:hAnsi="Calibri" w:cs="Times New Roman"/>
          <w:sz w:val="24"/>
          <w:szCs w:val="24"/>
          <w:lang w:eastAsia="en-US"/>
        </w:rPr>
        <w:t xml:space="preserve">, to amend his appeal to include an appeal against conviction as well as sentence. </w:t>
      </w:r>
    </w:p>
    <w:p w14:paraId="45EF03E1" w14:textId="77777777" w:rsidR="00540BD3" w:rsidRDefault="00540BD3" w:rsidP="00540BD3">
      <w:pPr>
        <w:pStyle w:val="ListParagraph"/>
        <w:tabs>
          <w:tab w:val="left" w:pos="567"/>
        </w:tabs>
        <w:spacing w:line="259" w:lineRule="auto"/>
        <w:ind w:left="426"/>
        <w:jc w:val="both"/>
        <w:rPr>
          <w:rFonts w:ascii="Calibri" w:eastAsia="Calibri" w:hAnsi="Calibri" w:cs="Times New Roman"/>
          <w:sz w:val="24"/>
          <w:szCs w:val="24"/>
          <w:lang w:eastAsia="en-US"/>
        </w:rPr>
      </w:pPr>
    </w:p>
    <w:p w14:paraId="2817D8E8" w14:textId="37DC20D7" w:rsidR="00540BD3" w:rsidRDefault="00540BD3" w:rsidP="00500FD6">
      <w:pPr>
        <w:pStyle w:val="ListParagraph"/>
        <w:numPr>
          <w:ilvl w:val="0"/>
          <w:numId w:val="29"/>
        </w:numPr>
        <w:tabs>
          <w:tab w:val="left" w:pos="567"/>
        </w:tabs>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15 January 2021, the Tribunal, by consent, allowed the </w:t>
      </w:r>
      <w:r w:rsidRPr="00756CA0">
        <w:rPr>
          <w:rFonts w:ascii="Calibri" w:eastAsia="Calibri" w:hAnsi="Calibri" w:cs="Times New Roman"/>
          <w:sz w:val="24"/>
          <w:szCs w:val="24"/>
          <w:lang w:eastAsia="en-US"/>
        </w:rPr>
        <w:t>amend</w:t>
      </w:r>
      <w:r w:rsidR="006F3270">
        <w:rPr>
          <w:rFonts w:ascii="Calibri" w:eastAsia="Calibri" w:hAnsi="Calibri" w:cs="Times New Roman"/>
          <w:sz w:val="24"/>
          <w:szCs w:val="24"/>
          <w:lang w:eastAsia="en-US"/>
        </w:rPr>
        <w:t>ment of the</w:t>
      </w:r>
      <w:r>
        <w:rPr>
          <w:rFonts w:ascii="Calibri" w:eastAsia="Calibri" w:hAnsi="Calibri" w:cs="Times New Roman"/>
          <w:sz w:val="24"/>
          <w:szCs w:val="24"/>
          <w:lang w:eastAsia="en-US"/>
        </w:rPr>
        <w:t xml:space="preserve"> appeal and granted Mr Webb a stay of the </w:t>
      </w:r>
      <w:r w:rsidR="00756CA0">
        <w:rPr>
          <w:rFonts w:ascii="Calibri" w:eastAsia="Calibri" w:hAnsi="Calibri" w:cs="Times New Roman"/>
          <w:sz w:val="24"/>
          <w:szCs w:val="24"/>
          <w:lang w:eastAsia="en-US"/>
        </w:rPr>
        <w:t>operation</w:t>
      </w:r>
      <w:r>
        <w:rPr>
          <w:rFonts w:ascii="Calibri" w:eastAsia="Calibri" w:hAnsi="Calibri" w:cs="Times New Roman"/>
          <w:sz w:val="24"/>
          <w:szCs w:val="24"/>
          <w:lang w:eastAsia="en-US"/>
        </w:rPr>
        <w:t xml:space="preserve"> of the 9 month suspension pending the hearing of submissions on the form of the order the Tribunal should ma</w:t>
      </w:r>
      <w:r w:rsidR="0037558F">
        <w:rPr>
          <w:rFonts w:ascii="Calibri" w:eastAsia="Calibri" w:hAnsi="Calibri" w:cs="Times New Roman"/>
          <w:sz w:val="24"/>
          <w:szCs w:val="24"/>
          <w:lang w:eastAsia="en-US"/>
        </w:rPr>
        <w:t>ke</w:t>
      </w:r>
      <w:r>
        <w:rPr>
          <w:rFonts w:ascii="Calibri" w:eastAsia="Calibri" w:hAnsi="Calibri" w:cs="Times New Roman"/>
          <w:sz w:val="24"/>
          <w:szCs w:val="24"/>
          <w:lang w:eastAsia="en-US"/>
        </w:rPr>
        <w:t xml:space="preserve"> as a consequence of the “double barrelled” denial </w:t>
      </w:r>
      <w:r w:rsidR="00756CA0">
        <w:rPr>
          <w:rFonts w:ascii="Calibri" w:eastAsia="Calibri" w:hAnsi="Calibri" w:cs="Times New Roman"/>
          <w:sz w:val="24"/>
          <w:szCs w:val="24"/>
          <w:lang w:eastAsia="en-US"/>
        </w:rPr>
        <w:t xml:space="preserve">of </w:t>
      </w:r>
      <w:r>
        <w:rPr>
          <w:rFonts w:ascii="Calibri" w:eastAsia="Calibri" w:hAnsi="Calibri" w:cs="Times New Roman"/>
          <w:sz w:val="24"/>
          <w:szCs w:val="24"/>
          <w:lang w:eastAsia="en-US"/>
        </w:rPr>
        <w:t xml:space="preserve">procedural fairness. </w:t>
      </w:r>
      <w:r w:rsidR="00763B3F">
        <w:rPr>
          <w:rFonts w:ascii="Calibri" w:eastAsia="Calibri" w:hAnsi="Calibri" w:cs="Times New Roman"/>
          <w:sz w:val="24"/>
          <w:szCs w:val="24"/>
          <w:lang w:eastAsia="en-US"/>
        </w:rPr>
        <w:t xml:space="preserve">On 18 January 2021, the Tribunal made an order allowing the appeal by consent. </w:t>
      </w:r>
    </w:p>
    <w:p w14:paraId="1178CBA4" w14:textId="77777777" w:rsidR="00AB0726" w:rsidRDefault="00AB0726" w:rsidP="00AB0726">
      <w:pPr>
        <w:pStyle w:val="ListParagraph"/>
        <w:tabs>
          <w:tab w:val="left" w:pos="567"/>
        </w:tabs>
        <w:spacing w:line="259" w:lineRule="auto"/>
        <w:ind w:left="426"/>
        <w:jc w:val="both"/>
        <w:rPr>
          <w:rFonts w:ascii="Calibri" w:eastAsia="Calibri" w:hAnsi="Calibri" w:cs="Times New Roman"/>
          <w:sz w:val="24"/>
          <w:szCs w:val="24"/>
          <w:lang w:eastAsia="en-US"/>
        </w:rPr>
      </w:pPr>
    </w:p>
    <w:p w14:paraId="0F7608DF" w14:textId="77DA6273" w:rsidR="00AB0726" w:rsidRDefault="00AB0726" w:rsidP="00500FD6">
      <w:pPr>
        <w:pStyle w:val="ListParagraph"/>
        <w:numPr>
          <w:ilvl w:val="0"/>
          <w:numId w:val="29"/>
        </w:numPr>
        <w:tabs>
          <w:tab w:val="left" w:pos="567"/>
        </w:tabs>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parties helpfully provided a memorandum </w:t>
      </w:r>
      <w:r w:rsidR="00555FFC">
        <w:rPr>
          <w:rFonts w:ascii="Calibri" w:eastAsia="Calibri" w:hAnsi="Calibri" w:cs="Times New Roman"/>
          <w:sz w:val="24"/>
          <w:szCs w:val="24"/>
          <w:lang w:eastAsia="en-US"/>
        </w:rPr>
        <w:t xml:space="preserve">dated 16 February 2021 </w:t>
      </w:r>
      <w:r>
        <w:rPr>
          <w:rFonts w:ascii="Calibri" w:eastAsia="Calibri" w:hAnsi="Calibri" w:cs="Times New Roman"/>
          <w:sz w:val="24"/>
          <w:szCs w:val="24"/>
          <w:lang w:eastAsia="en-US"/>
        </w:rPr>
        <w:t>for the Tribunal setting out why it was appropriate to allow the appeal</w:t>
      </w:r>
      <w:r w:rsidR="00555FF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It is unnecessary to refer to that joint memorandum at any length. It made the following important points:</w:t>
      </w:r>
    </w:p>
    <w:p w14:paraId="233D0972" w14:textId="0EC17F16" w:rsidR="00AB0726" w:rsidRDefault="00AB0726" w:rsidP="00AB0726">
      <w:pPr>
        <w:pStyle w:val="ListParagraph"/>
        <w:numPr>
          <w:ilvl w:val="0"/>
          <w:numId w:val="34"/>
        </w:numPr>
        <w:tabs>
          <w:tab w:val="left" w:pos="567"/>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Webb was not given sufficient notice of precisely what was alleged against him;</w:t>
      </w:r>
    </w:p>
    <w:p w14:paraId="30352983" w14:textId="05D06C78" w:rsidR="00AB0726" w:rsidRDefault="008003E2" w:rsidP="00AB0726">
      <w:pPr>
        <w:pStyle w:val="ListParagraph"/>
        <w:numPr>
          <w:ilvl w:val="0"/>
          <w:numId w:val="34"/>
        </w:numPr>
        <w:tabs>
          <w:tab w:val="left" w:pos="567"/>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Webb was unable to articulate a response to poorly articulated allegations;</w:t>
      </w:r>
    </w:p>
    <w:p w14:paraId="27DDFDF4" w14:textId="5DB66C5A" w:rsidR="008003E2" w:rsidRDefault="008003E2" w:rsidP="00AB0726">
      <w:pPr>
        <w:pStyle w:val="ListParagraph"/>
        <w:numPr>
          <w:ilvl w:val="0"/>
          <w:numId w:val="34"/>
        </w:numPr>
        <w:tabs>
          <w:tab w:val="left" w:pos="567"/>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Webb was given no opportunity to make submissions to defend himself on the so called charge or</w:t>
      </w:r>
      <w:r w:rsidR="00555FFC">
        <w:rPr>
          <w:rFonts w:ascii="Calibri" w:eastAsia="Calibri" w:hAnsi="Calibri" w:cs="Times New Roman"/>
          <w:sz w:val="24"/>
          <w:szCs w:val="24"/>
          <w:lang w:eastAsia="en-US"/>
        </w:rPr>
        <w:t xml:space="preserve"> to</w:t>
      </w:r>
      <w:r>
        <w:rPr>
          <w:rFonts w:ascii="Calibri" w:eastAsia="Calibri" w:hAnsi="Calibri" w:cs="Times New Roman"/>
          <w:sz w:val="24"/>
          <w:szCs w:val="24"/>
          <w:lang w:eastAsia="en-US"/>
        </w:rPr>
        <w:t xml:space="preserve"> examine witnesses;</w:t>
      </w:r>
    </w:p>
    <w:p w14:paraId="3A43D428" w14:textId="5F8151EC" w:rsidR="008003E2" w:rsidRDefault="008003E2" w:rsidP="00AB0726">
      <w:pPr>
        <w:pStyle w:val="ListParagraph"/>
        <w:numPr>
          <w:ilvl w:val="0"/>
          <w:numId w:val="34"/>
        </w:numPr>
        <w:tabs>
          <w:tab w:val="left" w:pos="567"/>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Webb had no opportunity to obtain representation or advice about the charge;</w:t>
      </w:r>
    </w:p>
    <w:p w14:paraId="7F30A1DF" w14:textId="7055FFD4" w:rsidR="008003E2" w:rsidRDefault="008003E2" w:rsidP="00AB0726">
      <w:pPr>
        <w:pStyle w:val="ListParagraph"/>
        <w:numPr>
          <w:ilvl w:val="0"/>
          <w:numId w:val="34"/>
        </w:numPr>
        <w:tabs>
          <w:tab w:val="left" w:pos="567"/>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Webb had no opportunity to make submissions regarding penalty. </w:t>
      </w:r>
    </w:p>
    <w:p w14:paraId="2E4450D7" w14:textId="77777777" w:rsidR="00FD20C9" w:rsidRDefault="00FD20C9" w:rsidP="00FD20C9">
      <w:pPr>
        <w:pStyle w:val="ListParagraph"/>
        <w:tabs>
          <w:tab w:val="left" w:pos="567"/>
        </w:tabs>
        <w:spacing w:line="259" w:lineRule="auto"/>
        <w:ind w:left="1146"/>
        <w:jc w:val="both"/>
        <w:rPr>
          <w:rFonts w:ascii="Calibri" w:eastAsia="Calibri" w:hAnsi="Calibri" w:cs="Times New Roman"/>
          <w:sz w:val="24"/>
          <w:szCs w:val="24"/>
          <w:lang w:eastAsia="en-US"/>
        </w:rPr>
      </w:pPr>
    </w:p>
    <w:p w14:paraId="7B0DBD70" w14:textId="3A679588" w:rsidR="00AB0726" w:rsidRDefault="00FD20C9" w:rsidP="00500FD6">
      <w:pPr>
        <w:pStyle w:val="ListParagraph"/>
        <w:numPr>
          <w:ilvl w:val="0"/>
          <w:numId w:val="29"/>
        </w:numPr>
        <w:tabs>
          <w:tab w:val="left" w:pos="567"/>
        </w:tabs>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question for current determination is what </w:t>
      </w:r>
      <w:r w:rsidR="00006D19">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rder </w:t>
      </w:r>
      <w:r w:rsidR="00B8097B">
        <w:rPr>
          <w:rFonts w:ascii="Calibri" w:eastAsia="Calibri" w:hAnsi="Calibri" w:cs="Times New Roman"/>
          <w:sz w:val="24"/>
          <w:szCs w:val="24"/>
          <w:lang w:eastAsia="en-US"/>
        </w:rPr>
        <w:t>the Tribunal should</w:t>
      </w:r>
      <w:r>
        <w:rPr>
          <w:rFonts w:ascii="Calibri" w:eastAsia="Calibri" w:hAnsi="Calibri" w:cs="Times New Roman"/>
          <w:sz w:val="24"/>
          <w:szCs w:val="24"/>
          <w:lang w:eastAsia="en-US"/>
        </w:rPr>
        <w:t xml:space="preserve"> make in addition to the order it made on 18 January 2021 that the appeal be allowed. Each party agree</w:t>
      </w:r>
      <w:r w:rsidR="006F3270">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that the Tribunal should make a</w:t>
      </w:r>
      <w:r w:rsidR="006F3270">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w:t>
      </w:r>
      <w:r w:rsidR="00006D19">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rder setting aside the decision of the Stewards. For avoidance of doubt, the Tribunal will make an </w:t>
      </w:r>
      <w:r w:rsidR="00006D19">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rder that the decision of the Stewards in respect of a </w:t>
      </w:r>
      <w:r w:rsidR="006F3270" w:rsidRPr="006F3270">
        <w:rPr>
          <w:rFonts w:ascii="Calibri" w:eastAsia="Calibri" w:hAnsi="Calibri" w:cs="Times New Roman"/>
          <w:sz w:val="24"/>
          <w:szCs w:val="24"/>
          <w:lang w:eastAsia="en-US"/>
        </w:rPr>
        <w:t>purported</w:t>
      </w:r>
      <w:r>
        <w:rPr>
          <w:rFonts w:ascii="Calibri" w:eastAsia="Calibri" w:hAnsi="Calibri" w:cs="Times New Roman"/>
          <w:sz w:val="24"/>
          <w:szCs w:val="24"/>
          <w:lang w:eastAsia="en-US"/>
        </w:rPr>
        <w:t xml:space="preserve"> charge under GAR 86(q) laid against Mr We</w:t>
      </w:r>
      <w:r w:rsidR="006F3270">
        <w:rPr>
          <w:rFonts w:ascii="Calibri" w:eastAsia="Calibri" w:hAnsi="Calibri" w:cs="Times New Roman"/>
          <w:sz w:val="24"/>
          <w:szCs w:val="24"/>
          <w:lang w:eastAsia="en-US"/>
        </w:rPr>
        <w:t>bb</w:t>
      </w:r>
      <w:r>
        <w:rPr>
          <w:rFonts w:ascii="Calibri" w:eastAsia="Calibri" w:hAnsi="Calibri" w:cs="Times New Roman"/>
          <w:sz w:val="24"/>
          <w:szCs w:val="24"/>
          <w:lang w:eastAsia="en-US"/>
        </w:rPr>
        <w:t xml:space="preserve"> by the Stewards and a </w:t>
      </w:r>
      <w:r w:rsidR="006F3270" w:rsidRPr="006F3270">
        <w:rPr>
          <w:rFonts w:ascii="Calibri" w:eastAsia="Calibri" w:hAnsi="Calibri" w:cs="Times New Roman"/>
          <w:sz w:val="24"/>
          <w:szCs w:val="24"/>
          <w:lang w:eastAsia="en-US"/>
        </w:rPr>
        <w:t>purported</w:t>
      </w:r>
      <w:r>
        <w:rPr>
          <w:rFonts w:ascii="Calibri" w:eastAsia="Calibri" w:hAnsi="Calibri" w:cs="Times New Roman"/>
          <w:sz w:val="24"/>
          <w:szCs w:val="24"/>
          <w:lang w:eastAsia="en-US"/>
        </w:rPr>
        <w:t xml:space="preserve"> decision regarding penalty each be set aside.</w:t>
      </w:r>
    </w:p>
    <w:p w14:paraId="4F42E70E" w14:textId="77777777" w:rsidR="00B8097B" w:rsidRDefault="00B8097B" w:rsidP="00B8097B">
      <w:pPr>
        <w:pStyle w:val="ListParagraph"/>
        <w:tabs>
          <w:tab w:val="left" w:pos="567"/>
        </w:tabs>
        <w:spacing w:line="259" w:lineRule="auto"/>
        <w:ind w:left="426"/>
        <w:jc w:val="both"/>
        <w:rPr>
          <w:rFonts w:ascii="Calibri" w:eastAsia="Calibri" w:hAnsi="Calibri" w:cs="Times New Roman"/>
          <w:sz w:val="24"/>
          <w:szCs w:val="24"/>
          <w:lang w:eastAsia="en-US"/>
        </w:rPr>
      </w:pPr>
    </w:p>
    <w:p w14:paraId="2FCC43FC" w14:textId="055D916F" w:rsidR="00B8097B" w:rsidRDefault="00B8097B" w:rsidP="00500FD6">
      <w:pPr>
        <w:pStyle w:val="ListParagraph"/>
        <w:numPr>
          <w:ilvl w:val="0"/>
          <w:numId w:val="29"/>
        </w:numPr>
        <w:tabs>
          <w:tab w:val="left" w:pos="567"/>
        </w:tabs>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fundamental difference between the parties is whether the Tribunal should make an additional </w:t>
      </w:r>
      <w:r w:rsidR="00006D19">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rder referring “the matter” back to the Stewards for consideration in accordance with law. That is the </w:t>
      </w:r>
      <w:r w:rsidR="00006D19">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rder that the Stewards seek. Mr Webb’s counsel, Mr </w:t>
      </w:r>
      <w:r w:rsidR="0037558F">
        <w:rPr>
          <w:rFonts w:ascii="Calibri" w:eastAsia="Calibri" w:hAnsi="Calibri" w:cs="Times New Roman"/>
          <w:sz w:val="24"/>
          <w:szCs w:val="24"/>
          <w:lang w:eastAsia="en-US"/>
        </w:rPr>
        <w:t xml:space="preserve">Lynton </w:t>
      </w:r>
      <w:r>
        <w:rPr>
          <w:rFonts w:ascii="Calibri" w:eastAsia="Calibri" w:hAnsi="Calibri" w:cs="Times New Roman"/>
          <w:sz w:val="24"/>
          <w:szCs w:val="24"/>
          <w:lang w:eastAsia="en-US"/>
        </w:rPr>
        <w:t xml:space="preserve">Hogan, contended that no such order should be made. He submitted that it was up to the Stewards </w:t>
      </w:r>
      <w:r w:rsidR="006F3270" w:rsidRPr="006F3270">
        <w:rPr>
          <w:rFonts w:ascii="Calibri" w:eastAsia="Calibri" w:hAnsi="Calibri" w:cs="Times New Roman"/>
          <w:sz w:val="24"/>
          <w:szCs w:val="24"/>
          <w:lang w:eastAsia="en-US"/>
        </w:rPr>
        <w:t>themselves</w:t>
      </w:r>
      <w:r>
        <w:rPr>
          <w:rFonts w:ascii="Calibri" w:eastAsia="Calibri" w:hAnsi="Calibri" w:cs="Times New Roman"/>
          <w:sz w:val="24"/>
          <w:szCs w:val="24"/>
          <w:lang w:eastAsia="en-US"/>
        </w:rPr>
        <w:t xml:space="preserve"> to decide whether any further action should be taken against Mr Webb in respect of Mr Webb’s conduct on 9 and 10 December 2020.</w:t>
      </w:r>
    </w:p>
    <w:p w14:paraId="57957BC7" w14:textId="77777777" w:rsidR="00B8097B" w:rsidRDefault="00B8097B" w:rsidP="00B8097B">
      <w:pPr>
        <w:pStyle w:val="ListParagraph"/>
        <w:tabs>
          <w:tab w:val="left" w:pos="567"/>
        </w:tabs>
        <w:spacing w:line="259" w:lineRule="auto"/>
        <w:ind w:left="426"/>
        <w:jc w:val="both"/>
        <w:rPr>
          <w:rFonts w:ascii="Calibri" w:eastAsia="Calibri" w:hAnsi="Calibri" w:cs="Times New Roman"/>
          <w:sz w:val="24"/>
          <w:szCs w:val="24"/>
          <w:lang w:eastAsia="en-US"/>
        </w:rPr>
      </w:pPr>
    </w:p>
    <w:p w14:paraId="7DF161C9" w14:textId="1B85A864" w:rsidR="00B8097B" w:rsidRDefault="0066317D" w:rsidP="00500FD6">
      <w:pPr>
        <w:pStyle w:val="ListParagraph"/>
        <w:numPr>
          <w:ilvl w:val="0"/>
          <w:numId w:val="29"/>
        </w:numPr>
        <w:tabs>
          <w:tab w:val="left" w:pos="567"/>
        </w:tabs>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Hogan submitted that the Tribunal has no jurisdiction to refer “the matter” back to the Stewards pursuant to section 50ZE(2)(c) of the </w:t>
      </w:r>
      <w:r w:rsidRPr="0066317D">
        <w:rPr>
          <w:rFonts w:ascii="Calibri" w:eastAsia="Calibri" w:hAnsi="Calibri" w:cs="Times New Roman"/>
          <w:i/>
          <w:iCs/>
          <w:sz w:val="24"/>
          <w:szCs w:val="24"/>
          <w:lang w:eastAsia="en-US"/>
        </w:rPr>
        <w:t>Racing Act 1958</w:t>
      </w:r>
      <w:r>
        <w:rPr>
          <w:rFonts w:ascii="Calibri" w:eastAsia="Calibri" w:hAnsi="Calibri" w:cs="Times New Roman"/>
          <w:sz w:val="24"/>
          <w:szCs w:val="24"/>
          <w:lang w:eastAsia="en-US"/>
        </w:rPr>
        <w:t xml:space="preserve"> (“the Act”) because there was no “matter” to refer</w:t>
      </w:r>
      <w:r w:rsidR="00555FF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the proceeding before the Stewards was a nullity in the absence of a properly formulated charge. </w:t>
      </w:r>
      <w:r w:rsidR="00C563E4">
        <w:rPr>
          <w:rFonts w:ascii="Calibri" w:eastAsia="Calibri" w:hAnsi="Calibri" w:cs="Times New Roman"/>
          <w:sz w:val="24"/>
          <w:szCs w:val="24"/>
          <w:lang w:eastAsia="en-US"/>
        </w:rPr>
        <w:t>He contended that section 50ZE(2)(c) of the Act</w:t>
      </w:r>
      <w:r w:rsidR="00555FFC">
        <w:rPr>
          <w:rFonts w:ascii="Calibri" w:eastAsia="Calibri" w:hAnsi="Calibri" w:cs="Times New Roman"/>
          <w:sz w:val="24"/>
          <w:szCs w:val="24"/>
          <w:lang w:eastAsia="en-US"/>
        </w:rPr>
        <w:t>,</w:t>
      </w:r>
      <w:r w:rsidR="00C563E4">
        <w:rPr>
          <w:rFonts w:ascii="Calibri" w:eastAsia="Calibri" w:hAnsi="Calibri" w:cs="Times New Roman"/>
          <w:sz w:val="24"/>
          <w:szCs w:val="24"/>
          <w:lang w:eastAsia="en-US"/>
        </w:rPr>
        <w:t xml:space="preserve"> which allows the Tribunal to make any </w:t>
      </w:r>
      <w:r w:rsidR="00006D19">
        <w:rPr>
          <w:rFonts w:ascii="Calibri" w:eastAsia="Calibri" w:hAnsi="Calibri" w:cs="Times New Roman"/>
          <w:sz w:val="24"/>
          <w:szCs w:val="24"/>
          <w:lang w:eastAsia="en-US"/>
        </w:rPr>
        <w:t>o</w:t>
      </w:r>
      <w:r w:rsidR="00C563E4">
        <w:rPr>
          <w:rFonts w:ascii="Calibri" w:eastAsia="Calibri" w:hAnsi="Calibri" w:cs="Times New Roman"/>
          <w:sz w:val="24"/>
          <w:szCs w:val="24"/>
          <w:lang w:eastAsia="en-US"/>
        </w:rPr>
        <w:t xml:space="preserve">rder it considers is required in the </w:t>
      </w:r>
      <w:r w:rsidR="006F3270" w:rsidRPr="006F3270">
        <w:rPr>
          <w:rFonts w:ascii="Calibri" w:eastAsia="Calibri" w:hAnsi="Calibri" w:cs="Times New Roman"/>
          <w:sz w:val="24"/>
          <w:szCs w:val="24"/>
          <w:lang w:eastAsia="en-US"/>
        </w:rPr>
        <w:t>interest</w:t>
      </w:r>
      <w:r w:rsidR="00C563E4">
        <w:rPr>
          <w:rFonts w:ascii="Calibri" w:eastAsia="Calibri" w:hAnsi="Calibri" w:cs="Times New Roman"/>
          <w:sz w:val="24"/>
          <w:szCs w:val="24"/>
          <w:lang w:eastAsia="en-US"/>
        </w:rPr>
        <w:t xml:space="preserve"> of justice</w:t>
      </w:r>
      <w:r w:rsidR="00555FFC">
        <w:rPr>
          <w:rFonts w:ascii="Calibri" w:eastAsia="Calibri" w:hAnsi="Calibri" w:cs="Times New Roman"/>
          <w:sz w:val="24"/>
          <w:szCs w:val="24"/>
          <w:lang w:eastAsia="en-US"/>
        </w:rPr>
        <w:t>,</w:t>
      </w:r>
      <w:r w:rsidR="00C563E4">
        <w:rPr>
          <w:rFonts w:ascii="Calibri" w:eastAsia="Calibri" w:hAnsi="Calibri" w:cs="Times New Roman"/>
          <w:sz w:val="24"/>
          <w:szCs w:val="24"/>
          <w:lang w:eastAsia="en-US"/>
        </w:rPr>
        <w:t xml:space="preserve"> must give way to the specific </w:t>
      </w:r>
      <w:r w:rsidR="009C7CE5" w:rsidRPr="006F3270">
        <w:rPr>
          <w:rFonts w:ascii="Calibri" w:eastAsia="Calibri" w:hAnsi="Calibri" w:cs="Times New Roman"/>
          <w:sz w:val="24"/>
          <w:szCs w:val="24"/>
          <w:lang w:eastAsia="en-US"/>
        </w:rPr>
        <w:t>power</w:t>
      </w:r>
      <w:r w:rsidR="00C563E4">
        <w:rPr>
          <w:rFonts w:ascii="Calibri" w:eastAsia="Calibri" w:hAnsi="Calibri" w:cs="Times New Roman"/>
          <w:sz w:val="24"/>
          <w:szCs w:val="24"/>
          <w:lang w:eastAsia="en-US"/>
        </w:rPr>
        <w:t xml:space="preserve"> to refer a matter back to the Stewards under section 50ZE(2)(c) and that section 50ZE(2)(c) was in effect a </w:t>
      </w:r>
      <w:r w:rsidR="00C563E4" w:rsidRPr="006F3270">
        <w:rPr>
          <w:rFonts w:ascii="Calibri" w:eastAsia="Calibri" w:hAnsi="Calibri" w:cs="Times New Roman"/>
          <w:sz w:val="24"/>
          <w:szCs w:val="24"/>
          <w:lang w:eastAsia="en-US"/>
        </w:rPr>
        <w:t>code</w:t>
      </w:r>
      <w:r w:rsidR="00C563E4" w:rsidRPr="00C563E4">
        <w:rPr>
          <w:rFonts w:ascii="Calibri" w:eastAsia="Calibri" w:hAnsi="Calibri" w:cs="Times New Roman"/>
          <w:color w:val="FF0000"/>
          <w:sz w:val="24"/>
          <w:szCs w:val="24"/>
          <w:lang w:eastAsia="en-US"/>
        </w:rPr>
        <w:t xml:space="preserve"> </w:t>
      </w:r>
      <w:r w:rsidR="00C563E4">
        <w:rPr>
          <w:rFonts w:ascii="Calibri" w:eastAsia="Calibri" w:hAnsi="Calibri" w:cs="Times New Roman"/>
          <w:sz w:val="24"/>
          <w:szCs w:val="24"/>
          <w:lang w:eastAsia="en-US"/>
        </w:rPr>
        <w:t xml:space="preserve">on the subject of referring matters back to primary decision makers. </w:t>
      </w:r>
    </w:p>
    <w:p w14:paraId="0054AAE2" w14:textId="77777777" w:rsidR="00906ACB" w:rsidRDefault="00906ACB" w:rsidP="00906ACB">
      <w:pPr>
        <w:pStyle w:val="ListParagraph"/>
        <w:tabs>
          <w:tab w:val="left" w:pos="567"/>
        </w:tabs>
        <w:spacing w:line="259" w:lineRule="auto"/>
        <w:ind w:left="426"/>
        <w:jc w:val="both"/>
        <w:rPr>
          <w:rFonts w:ascii="Calibri" w:eastAsia="Calibri" w:hAnsi="Calibri" w:cs="Times New Roman"/>
          <w:sz w:val="24"/>
          <w:szCs w:val="24"/>
          <w:lang w:eastAsia="en-US"/>
        </w:rPr>
      </w:pPr>
    </w:p>
    <w:p w14:paraId="1EDEE2D4" w14:textId="7CEFAD5F" w:rsidR="00906ACB" w:rsidRDefault="009C7CE5" w:rsidP="00500FD6">
      <w:pPr>
        <w:pStyle w:val="ListParagraph"/>
        <w:numPr>
          <w:ilvl w:val="0"/>
          <w:numId w:val="29"/>
        </w:numPr>
        <w:tabs>
          <w:tab w:val="left" w:pos="567"/>
        </w:tabs>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reject the submission that section 50ZE(2)(c) is the sole repository of the Tribunal’s power to refer a matter back to the Stewards for consideration. As counsel for the Stewards, Mr </w:t>
      </w:r>
      <w:r w:rsidR="0037558F">
        <w:rPr>
          <w:rFonts w:ascii="Calibri" w:eastAsia="Calibri" w:hAnsi="Calibri" w:cs="Times New Roman"/>
          <w:sz w:val="24"/>
          <w:szCs w:val="24"/>
          <w:lang w:eastAsia="en-US"/>
        </w:rPr>
        <w:t xml:space="preserve">Albert </w:t>
      </w:r>
      <w:r>
        <w:rPr>
          <w:rFonts w:ascii="Calibri" w:eastAsia="Calibri" w:hAnsi="Calibri" w:cs="Times New Roman"/>
          <w:sz w:val="24"/>
          <w:szCs w:val="24"/>
          <w:lang w:eastAsia="en-US"/>
        </w:rPr>
        <w:t>Dinelli, observed</w:t>
      </w:r>
      <w:r w:rsidR="0037558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section 50ZE(1)(b) is a broad power vested in the Tribunal. It allows the Tribunal to make any decision or </w:t>
      </w:r>
      <w:r w:rsidR="00006D19">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rder it considers is required in the interests of justice in the determination of any matter before it. In that context, “matter” includes an appeal. </w:t>
      </w:r>
    </w:p>
    <w:p w14:paraId="70B9A0EA" w14:textId="77777777" w:rsidR="0096096C" w:rsidRDefault="0096096C" w:rsidP="0096096C">
      <w:pPr>
        <w:pStyle w:val="ListParagraph"/>
        <w:tabs>
          <w:tab w:val="left" w:pos="567"/>
        </w:tabs>
        <w:spacing w:line="259" w:lineRule="auto"/>
        <w:ind w:left="426"/>
        <w:jc w:val="both"/>
        <w:rPr>
          <w:rFonts w:ascii="Calibri" w:eastAsia="Calibri" w:hAnsi="Calibri" w:cs="Times New Roman"/>
          <w:sz w:val="24"/>
          <w:szCs w:val="24"/>
          <w:lang w:eastAsia="en-US"/>
        </w:rPr>
      </w:pPr>
    </w:p>
    <w:p w14:paraId="5B97CD8D" w14:textId="3ED60703" w:rsidR="0096096C" w:rsidRDefault="00CE3A56" w:rsidP="00500FD6">
      <w:pPr>
        <w:pStyle w:val="ListParagraph"/>
        <w:numPr>
          <w:ilvl w:val="0"/>
          <w:numId w:val="29"/>
        </w:numPr>
        <w:tabs>
          <w:tab w:val="left" w:pos="567"/>
        </w:tabs>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is not circumscribed by section 50ZE(2)(c). Section 50ZE(2)(c) uses “matter” in a different context, meaning the subject matter of the controversy between the parties, </w:t>
      </w:r>
      <w:r w:rsidR="006B117A">
        <w:rPr>
          <w:rFonts w:ascii="Calibri" w:eastAsia="Calibri" w:hAnsi="Calibri" w:cs="Times New Roman"/>
          <w:sz w:val="24"/>
          <w:szCs w:val="24"/>
          <w:lang w:eastAsia="en-US"/>
        </w:rPr>
        <w:t>i.e. whether Mr Webb engaged in conduct in breach of the GARs and specifically, GAR 86(q)</w:t>
      </w:r>
      <w:r w:rsidR="00555FFC">
        <w:rPr>
          <w:rFonts w:ascii="Calibri" w:eastAsia="Calibri" w:hAnsi="Calibri" w:cs="Times New Roman"/>
          <w:sz w:val="24"/>
          <w:szCs w:val="24"/>
          <w:lang w:eastAsia="en-US"/>
        </w:rPr>
        <w:t xml:space="preserve"> - s</w:t>
      </w:r>
      <w:r w:rsidR="006B117A">
        <w:rPr>
          <w:rFonts w:ascii="Calibri" w:eastAsia="Calibri" w:hAnsi="Calibri" w:cs="Times New Roman"/>
          <w:sz w:val="24"/>
          <w:szCs w:val="24"/>
          <w:lang w:eastAsia="en-US"/>
        </w:rPr>
        <w:t xml:space="preserve">ee </w:t>
      </w:r>
      <w:r w:rsidR="006B117A" w:rsidRPr="006B117A">
        <w:rPr>
          <w:rFonts w:ascii="Calibri" w:eastAsia="Calibri" w:hAnsi="Calibri" w:cs="Times New Roman"/>
          <w:i/>
          <w:iCs/>
          <w:sz w:val="24"/>
          <w:szCs w:val="24"/>
          <w:lang w:eastAsia="en-US"/>
        </w:rPr>
        <w:t>A</w:t>
      </w:r>
      <w:r w:rsidR="000B3609">
        <w:rPr>
          <w:rFonts w:ascii="Calibri" w:eastAsia="Calibri" w:hAnsi="Calibri" w:cs="Times New Roman"/>
          <w:i/>
          <w:iCs/>
          <w:sz w:val="24"/>
          <w:szCs w:val="24"/>
          <w:lang w:eastAsia="en-US"/>
        </w:rPr>
        <w:t>b</w:t>
      </w:r>
      <w:r w:rsidR="006B117A" w:rsidRPr="006B117A">
        <w:rPr>
          <w:rFonts w:ascii="Calibri" w:eastAsia="Calibri" w:hAnsi="Calibri" w:cs="Times New Roman"/>
          <w:i/>
          <w:iCs/>
          <w:sz w:val="24"/>
          <w:szCs w:val="24"/>
          <w:lang w:eastAsia="en-US"/>
        </w:rPr>
        <w:t>ebe v The Commonwealth</w:t>
      </w:r>
      <w:r w:rsidR="006B117A">
        <w:rPr>
          <w:rFonts w:ascii="Calibri" w:eastAsia="Calibri" w:hAnsi="Calibri" w:cs="Times New Roman"/>
          <w:i/>
          <w:iCs/>
          <w:sz w:val="24"/>
          <w:szCs w:val="24"/>
          <w:lang w:eastAsia="en-US"/>
        </w:rPr>
        <w:t xml:space="preserve"> </w:t>
      </w:r>
      <w:r w:rsidR="006F3270" w:rsidRPr="006F3270">
        <w:rPr>
          <w:rFonts w:ascii="Calibri" w:eastAsia="Calibri" w:hAnsi="Calibri" w:cs="Times New Roman"/>
          <w:sz w:val="24"/>
          <w:szCs w:val="24"/>
          <w:lang w:eastAsia="en-US"/>
        </w:rPr>
        <w:t>per</w:t>
      </w:r>
      <w:r w:rsidR="00214779">
        <w:rPr>
          <w:rFonts w:ascii="Calibri" w:eastAsia="Calibri" w:hAnsi="Calibri" w:cs="Times New Roman"/>
          <w:sz w:val="24"/>
          <w:szCs w:val="24"/>
          <w:lang w:eastAsia="en-US"/>
        </w:rPr>
        <w:t xml:space="preserve"> Gleeson CJ and </w:t>
      </w:r>
      <w:r w:rsidR="00214779" w:rsidRPr="00214779">
        <w:rPr>
          <w:rFonts w:ascii="Calibri" w:eastAsia="Calibri" w:hAnsi="Calibri" w:cs="Times New Roman"/>
          <w:sz w:val="24"/>
          <w:szCs w:val="24"/>
          <w:lang w:eastAsia="en-US"/>
        </w:rPr>
        <w:t>McHugh</w:t>
      </w:r>
      <w:r w:rsidR="00214779">
        <w:rPr>
          <w:rFonts w:ascii="Calibri" w:eastAsia="Calibri" w:hAnsi="Calibri" w:cs="Times New Roman"/>
          <w:sz w:val="24"/>
          <w:szCs w:val="24"/>
          <w:lang w:eastAsia="en-US"/>
        </w:rPr>
        <w:t xml:space="preserve"> J [1999</w:t>
      </w:r>
      <w:r w:rsidR="000B3609">
        <w:rPr>
          <w:rFonts w:ascii="Calibri" w:eastAsia="Calibri" w:hAnsi="Calibri" w:cs="Times New Roman"/>
          <w:sz w:val="24"/>
          <w:szCs w:val="24"/>
          <w:lang w:eastAsia="en-US"/>
        </w:rPr>
        <w:t>]</w:t>
      </w:r>
      <w:r w:rsidR="00214779">
        <w:rPr>
          <w:rFonts w:ascii="Calibri" w:eastAsia="Calibri" w:hAnsi="Calibri" w:cs="Times New Roman"/>
          <w:sz w:val="24"/>
          <w:szCs w:val="24"/>
          <w:lang w:eastAsia="en-US"/>
        </w:rPr>
        <w:t xml:space="preserve"> HCA 14 at 24 at per </w:t>
      </w:r>
      <w:r w:rsidR="00214779" w:rsidRPr="00214779">
        <w:rPr>
          <w:rFonts w:ascii="Calibri" w:eastAsia="Calibri" w:hAnsi="Calibri" w:cs="Times New Roman"/>
          <w:sz w:val="24"/>
          <w:szCs w:val="24"/>
          <w:lang w:eastAsia="en-US"/>
        </w:rPr>
        <w:t>Gummow</w:t>
      </w:r>
      <w:r w:rsidR="00214779">
        <w:rPr>
          <w:rFonts w:ascii="Calibri" w:eastAsia="Calibri" w:hAnsi="Calibri" w:cs="Times New Roman"/>
          <w:sz w:val="24"/>
          <w:szCs w:val="24"/>
          <w:lang w:eastAsia="en-US"/>
        </w:rPr>
        <w:t xml:space="preserve"> and </w:t>
      </w:r>
      <w:r w:rsidR="00214779" w:rsidRPr="00214779">
        <w:rPr>
          <w:rFonts w:ascii="Calibri" w:eastAsia="Calibri" w:hAnsi="Calibri" w:cs="Times New Roman"/>
          <w:sz w:val="24"/>
          <w:szCs w:val="24"/>
          <w:lang w:eastAsia="en-US"/>
        </w:rPr>
        <w:t>Hayne</w:t>
      </w:r>
      <w:r w:rsidR="00214779">
        <w:rPr>
          <w:rFonts w:ascii="Calibri" w:eastAsia="Calibri" w:hAnsi="Calibri" w:cs="Times New Roman"/>
          <w:sz w:val="24"/>
          <w:szCs w:val="24"/>
          <w:lang w:eastAsia="en-US"/>
        </w:rPr>
        <w:t xml:space="preserve"> JJ at [165].</w:t>
      </w:r>
    </w:p>
    <w:p w14:paraId="0B945684" w14:textId="77777777" w:rsidR="00214779" w:rsidRDefault="00214779" w:rsidP="00214779">
      <w:pPr>
        <w:pStyle w:val="ListParagraph"/>
        <w:tabs>
          <w:tab w:val="left" w:pos="567"/>
        </w:tabs>
        <w:spacing w:line="259" w:lineRule="auto"/>
        <w:ind w:left="426"/>
        <w:jc w:val="both"/>
        <w:rPr>
          <w:rFonts w:ascii="Calibri" w:eastAsia="Calibri" w:hAnsi="Calibri" w:cs="Times New Roman"/>
          <w:sz w:val="24"/>
          <w:szCs w:val="24"/>
          <w:lang w:eastAsia="en-US"/>
        </w:rPr>
      </w:pPr>
    </w:p>
    <w:p w14:paraId="2A07A36E" w14:textId="4450BC99" w:rsidR="00214779" w:rsidRDefault="000B3609" w:rsidP="00500FD6">
      <w:pPr>
        <w:pStyle w:val="ListParagraph"/>
        <w:numPr>
          <w:ilvl w:val="0"/>
          <w:numId w:val="29"/>
        </w:numPr>
        <w:tabs>
          <w:tab w:val="left" w:pos="567"/>
        </w:tabs>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Section 50ZE(2)(c) only deals with referring a matter back to the </w:t>
      </w:r>
      <w:r w:rsidR="006F3270" w:rsidRPr="006F3270">
        <w:rPr>
          <w:rFonts w:ascii="Calibri" w:eastAsia="Calibri" w:hAnsi="Calibri" w:cs="Times New Roman"/>
          <w:sz w:val="24"/>
          <w:szCs w:val="24"/>
          <w:lang w:eastAsia="en-US"/>
        </w:rPr>
        <w:t>maker</w:t>
      </w:r>
      <w:r w:rsidRPr="006F3270">
        <w:rPr>
          <w:rFonts w:ascii="Calibri" w:eastAsia="Calibri" w:hAnsi="Calibri" w:cs="Times New Roman"/>
          <w:sz w:val="24"/>
          <w:szCs w:val="24"/>
          <w:lang w:eastAsia="en-US"/>
        </w:rPr>
        <w:t xml:space="preserve"> or </w:t>
      </w:r>
      <w:r w:rsidR="006F3270" w:rsidRPr="006F3270">
        <w:rPr>
          <w:rFonts w:ascii="Calibri" w:eastAsia="Calibri" w:hAnsi="Calibri" w:cs="Times New Roman"/>
          <w:sz w:val="24"/>
          <w:szCs w:val="24"/>
          <w:lang w:eastAsia="en-US"/>
        </w:rPr>
        <w:t>makers</w:t>
      </w:r>
      <w:r w:rsidRPr="006F3270">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of the decision. </w:t>
      </w:r>
      <w:r w:rsidR="009C1341">
        <w:rPr>
          <w:rFonts w:ascii="Calibri" w:eastAsia="Calibri" w:hAnsi="Calibri" w:cs="Times New Roman"/>
          <w:sz w:val="24"/>
          <w:szCs w:val="24"/>
          <w:lang w:eastAsia="en-US"/>
        </w:rPr>
        <w:t xml:space="preserve">Strictly applied, in this case, it would prevent the Tribunal from remitting the </w:t>
      </w:r>
      <w:r w:rsidR="006F3270" w:rsidRPr="006F3270">
        <w:rPr>
          <w:rFonts w:ascii="Calibri" w:eastAsia="Calibri" w:hAnsi="Calibri" w:cs="Times New Roman"/>
          <w:sz w:val="24"/>
          <w:szCs w:val="24"/>
          <w:lang w:eastAsia="en-US"/>
        </w:rPr>
        <w:t>controversary</w:t>
      </w:r>
      <w:r w:rsidR="009C1341">
        <w:rPr>
          <w:rFonts w:ascii="Calibri" w:eastAsia="Calibri" w:hAnsi="Calibri" w:cs="Times New Roman"/>
          <w:sz w:val="24"/>
          <w:szCs w:val="24"/>
          <w:lang w:eastAsia="en-US"/>
        </w:rPr>
        <w:t xml:space="preserve"> between the parties back to a differently constituted panel of Stewards. Remittal back to the same Stewards who dealt with Mr Webb on 21 and 23 December 2020 may lead to any further </w:t>
      </w:r>
      <w:r w:rsidR="006F3270" w:rsidRPr="006F3270">
        <w:rPr>
          <w:rFonts w:ascii="Calibri" w:eastAsia="Calibri" w:hAnsi="Calibri" w:cs="Times New Roman"/>
          <w:sz w:val="24"/>
          <w:szCs w:val="24"/>
          <w:lang w:eastAsia="en-US"/>
        </w:rPr>
        <w:t>action</w:t>
      </w:r>
      <w:r w:rsidR="009C1341">
        <w:rPr>
          <w:rFonts w:ascii="Calibri" w:eastAsia="Calibri" w:hAnsi="Calibri" w:cs="Times New Roman"/>
          <w:sz w:val="24"/>
          <w:szCs w:val="24"/>
          <w:lang w:eastAsia="en-US"/>
        </w:rPr>
        <w:t xml:space="preserve"> taken by those Stewards being subject to accusations of bias and a further denial of natural justice.  </w:t>
      </w:r>
    </w:p>
    <w:p w14:paraId="37BB8BF6" w14:textId="77777777" w:rsidR="00994F1C" w:rsidRDefault="00994F1C" w:rsidP="00994F1C">
      <w:pPr>
        <w:pStyle w:val="ListParagraph"/>
        <w:tabs>
          <w:tab w:val="left" w:pos="567"/>
        </w:tabs>
        <w:spacing w:line="259" w:lineRule="auto"/>
        <w:ind w:left="426"/>
        <w:jc w:val="both"/>
        <w:rPr>
          <w:rFonts w:ascii="Calibri" w:eastAsia="Calibri" w:hAnsi="Calibri" w:cs="Times New Roman"/>
          <w:sz w:val="24"/>
          <w:szCs w:val="24"/>
          <w:lang w:eastAsia="en-US"/>
        </w:rPr>
      </w:pPr>
    </w:p>
    <w:p w14:paraId="3BBD7419" w14:textId="33D7D6A8" w:rsidR="00994F1C" w:rsidRDefault="00994F1C" w:rsidP="00500FD6">
      <w:pPr>
        <w:pStyle w:val="ListParagraph"/>
        <w:numPr>
          <w:ilvl w:val="0"/>
          <w:numId w:val="29"/>
        </w:numPr>
        <w:tabs>
          <w:tab w:val="left" w:pos="567"/>
        </w:tabs>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We consider that we have the power to decide and </w:t>
      </w:r>
      <w:r w:rsidR="00006D19">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rder that, in the interests of justice, the controversy concerning the conduct of Mr Webb on 9 and 10 December 2020 in his exchanges with Stewards and officials of GRV on those days can and should be </w:t>
      </w:r>
      <w:r w:rsidR="006F3270" w:rsidRPr="006F3270">
        <w:rPr>
          <w:rFonts w:ascii="Calibri" w:eastAsia="Calibri" w:hAnsi="Calibri" w:cs="Times New Roman"/>
          <w:sz w:val="24"/>
          <w:szCs w:val="24"/>
          <w:lang w:eastAsia="en-US"/>
        </w:rPr>
        <w:t>properly</w:t>
      </w:r>
      <w:r>
        <w:rPr>
          <w:rFonts w:ascii="Calibri" w:eastAsia="Calibri" w:hAnsi="Calibri" w:cs="Times New Roman"/>
          <w:sz w:val="24"/>
          <w:szCs w:val="24"/>
          <w:lang w:eastAsia="en-US"/>
        </w:rPr>
        <w:t xml:space="preserve"> before a differently constituted panel of Stewards for consideration. </w:t>
      </w:r>
      <w:r w:rsidR="003A1FF1">
        <w:rPr>
          <w:rFonts w:ascii="Calibri" w:eastAsia="Calibri" w:hAnsi="Calibri" w:cs="Times New Roman"/>
          <w:sz w:val="24"/>
          <w:szCs w:val="24"/>
          <w:lang w:eastAsia="en-US"/>
        </w:rPr>
        <w:t xml:space="preserve">There is no need to concern </w:t>
      </w:r>
      <w:r w:rsidR="006F3270" w:rsidRPr="006F3270">
        <w:rPr>
          <w:rFonts w:ascii="Calibri" w:eastAsia="Calibri" w:hAnsi="Calibri" w:cs="Times New Roman"/>
          <w:sz w:val="24"/>
          <w:szCs w:val="24"/>
          <w:lang w:eastAsia="en-US"/>
        </w:rPr>
        <w:t>ourselves</w:t>
      </w:r>
      <w:r w:rsidR="003A1FF1" w:rsidRPr="006F3270">
        <w:rPr>
          <w:rFonts w:ascii="Calibri" w:eastAsia="Calibri" w:hAnsi="Calibri" w:cs="Times New Roman"/>
          <w:sz w:val="24"/>
          <w:szCs w:val="24"/>
          <w:lang w:eastAsia="en-US"/>
        </w:rPr>
        <w:t xml:space="preserve"> </w:t>
      </w:r>
      <w:r w:rsidR="003A1FF1">
        <w:rPr>
          <w:rFonts w:ascii="Calibri" w:eastAsia="Calibri" w:hAnsi="Calibri" w:cs="Times New Roman"/>
          <w:sz w:val="24"/>
          <w:szCs w:val="24"/>
          <w:lang w:eastAsia="en-US"/>
        </w:rPr>
        <w:t xml:space="preserve">under section 50ZE(1) to identify a matter to be remitted to the Stewards. However, should we be in </w:t>
      </w:r>
      <w:r w:rsidR="006F3270" w:rsidRPr="006F3270">
        <w:rPr>
          <w:rFonts w:ascii="Calibri" w:eastAsia="Calibri" w:hAnsi="Calibri" w:cs="Times New Roman"/>
          <w:sz w:val="24"/>
          <w:szCs w:val="24"/>
          <w:lang w:eastAsia="en-US"/>
        </w:rPr>
        <w:t>error</w:t>
      </w:r>
      <w:r w:rsidR="003A1FF1">
        <w:rPr>
          <w:rFonts w:ascii="Calibri" w:eastAsia="Calibri" w:hAnsi="Calibri" w:cs="Times New Roman"/>
          <w:sz w:val="24"/>
          <w:szCs w:val="24"/>
          <w:lang w:eastAsia="en-US"/>
        </w:rPr>
        <w:t xml:space="preserve"> in that view</w:t>
      </w:r>
      <w:r w:rsidR="0037558F">
        <w:rPr>
          <w:rFonts w:ascii="Calibri" w:eastAsia="Calibri" w:hAnsi="Calibri" w:cs="Times New Roman"/>
          <w:sz w:val="24"/>
          <w:szCs w:val="24"/>
          <w:lang w:eastAsia="en-US"/>
        </w:rPr>
        <w:t>,</w:t>
      </w:r>
      <w:r w:rsidR="003A1FF1">
        <w:rPr>
          <w:rFonts w:ascii="Calibri" w:eastAsia="Calibri" w:hAnsi="Calibri" w:cs="Times New Roman"/>
          <w:sz w:val="24"/>
          <w:szCs w:val="24"/>
          <w:lang w:eastAsia="en-US"/>
        </w:rPr>
        <w:t xml:space="preserve"> </w:t>
      </w:r>
      <w:r w:rsidR="006F3270">
        <w:rPr>
          <w:rFonts w:ascii="Calibri" w:eastAsia="Calibri" w:hAnsi="Calibri" w:cs="Times New Roman"/>
          <w:sz w:val="24"/>
          <w:szCs w:val="24"/>
          <w:lang w:eastAsia="en-US"/>
        </w:rPr>
        <w:t>we</w:t>
      </w:r>
      <w:r w:rsidR="003A1FF1">
        <w:rPr>
          <w:rFonts w:ascii="Calibri" w:eastAsia="Calibri" w:hAnsi="Calibri" w:cs="Times New Roman"/>
          <w:sz w:val="24"/>
          <w:szCs w:val="24"/>
          <w:lang w:eastAsia="en-US"/>
        </w:rPr>
        <w:t xml:space="preserve"> consider that the matter is the contr</w:t>
      </w:r>
      <w:r w:rsidR="006F3270">
        <w:rPr>
          <w:rFonts w:ascii="Calibri" w:eastAsia="Calibri" w:hAnsi="Calibri" w:cs="Times New Roman"/>
          <w:sz w:val="24"/>
          <w:szCs w:val="24"/>
          <w:lang w:eastAsia="en-US"/>
        </w:rPr>
        <w:t>oversary</w:t>
      </w:r>
      <w:r w:rsidR="003A1FF1">
        <w:rPr>
          <w:rFonts w:ascii="Calibri" w:eastAsia="Calibri" w:hAnsi="Calibri" w:cs="Times New Roman"/>
          <w:sz w:val="24"/>
          <w:szCs w:val="24"/>
          <w:lang w:eastAsia="en-US"/>
        </w:rPr>
        <w:t xml:space="preserve"> identified above in this paragraph. </w:t>
      </w:r>
      <w:r w:rsidR="00D1747C">
        <w:rPr>
          <w:rFonts w:ascii="Calibri" w:eastAsia="Calibri" w:hAnsi="Calibri" w:cs="Times New Roman"/>
          <w:sz w:val="24"/>
          <w:szCs w:val="24"/>
          <w:lang w:eastAsia="en-US"/>
        </w:rPr>
        <w:t>That is not the same as what was before the Stewards last December</w:t>
      </w:r>
      <w:r w:rsidR="00555FFC">
        <w:rPr>
          <w:rFonts w:ascii="Calibri" w:eastAsia="Calibri" w:hAnsi="Calibri" w:cs="Times New Roman"/>
          <w:sz w:val="24"/>
          <w:szCs w:val="24"/>
          <w:lang w:eastAsia="en-US"/>
        </w:rPr>
        <w:t>,</w:t>
      </w:r>
      <w:r w:rsidR="00D1747C">
        <w:rPr>
          <w:rFonts w:ascii="Calibri" w:eastAsia="Calibri" w:hAnsi="Calibri" w:cs="Times New Roman"/>
          <w:sz w:val="24"/>
          <w:szCs w:val="24"/>
          <w:lang w:eastAsia="en-US"/>
        </w:rPr>
        <w:t xml:space="preserve"> but the entire topic of whether</w:t>
      </w:r>
      <w:r w:rsidR="006F3270">
        <w:rPr>
          <w:rFonts w:ascii="Calibri" w:eastAsia="Calibri" w:hAnsi="Calibri" w:cs="Times New Roman"/>
          <w:sz w:val="24"/>
          <w:szCs w:val="24"/>
          <w:lang w:eastAsia="en-US"/>
        </w:rPr>
        <w:t xml:space="preserve"> the</w:t>
      </w:r>
      <w:r w:rsidR="00D1747C">
        <w:rPr>
          <w:rFonts w:ascii="Calibri" w:eastAsia="Calibri" w:hAnsi="Calibri" w:cs="Times New Roman"/>
          <w:sz w:val="24"/>
          <w:szCs w:val="24"/>
          <w:lang w:eastAsia="en-US"/>
        </w:rPr>
        <w:t xml:space="preserve"> conduct of Mr Webb on 9 and 10 December 2020 should be the subject of further </w:t>
      </w:r>
      <w:r w:rsidR="006F3270" w:rsidRPr="006F3270">
        <w:rPr>
          <w:rFonts w:ascii="Calibri" w:eastAsia="Calibri" w:hAnsi="Calibri" w:cs="Times New Roman"/>
          <w:sz w:val="24"/>
          <w:szCs w:val="24"/>
          <w:lang w:eastAsia="en-US"/>
        </w:rPr>
        <w:t>action</w:t>
      </w:r>
      <w:r w:rsidR="00D1747C">
        <w:rPr>
          <w:rFonts w:ascii="Calibri" w:eastAsia="Calibri" w:hAnsi="Calibri" w:cs="Times New Roman"/>
          <w:sz w:val="24"/>
          <w:szCs w:val="24"/>
          <w:lang w:eastAsia="en-US"/>
        </w:rPr>
        <w:t xml:space="preserve"> by the Stewards.</w:t>
      </w:r>
    </w:p>
    <w:p w14:paraId="23B12AC1" w14:textId="77777777" w:rsidR="00D1747C" w:rsidRDefault="00D1747C" w:rsidP="00D1747C">
      <w:pPr>
        <w:pStyle w:val="ListParagraph"/>
        <w:tabs>
          <w:tab w:val="left" w:pos="567"/>
        </w:tabs>
        <w:spacing w:line="259" w:lineRule="auto"/>
        <w:ind w:left="426"/>
        <w:jc w:val="both"/>
        <w:rPr>
          <w:rFonts w:ascii="Calibri" w:eastAsia="Calibri" w:hAnsi="Calibri" w:cs="Times New Roman"/>
          <w:sz w:val="24"/>
          <w:szCs w:val="24"/>
          <w:lang w:eastAsia="en-US"/>
        </w:rPr>
      </w:pPr>
    </w:p>
    <w:p w14:paraId="5965C490" w14:textId="2FE12F59" w:rsidR="00D1747C" w:rsidRDefault="00A8379C" w:rsidP="00500FD6">
      <w:pPr>
        <w:pStyle w:val="ListParagraph"/>
        <w:numPr>
          <w:ilvl w:val="0"/>
          <w:numId w:val="29"/>
        </w:numPr>
        <w:tabs>
          <w:tab w:val="left" w:pos="567"/>
        </w:tabs>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we understand it, even in the absence of an order referring the matter back for reconsideration by the Stewards, differently constituted, Mr Hogan does not contend that the Stewards are prohibited from a fresh examination of Mr Webb’s conduct and the taking of any </w:t>
      </w:r>
      <w:r w:rsidR="006F3270" w:rsidRPr="006F3270">
        <w:rPr>
          <w:rFonts w:ascii="Calibri" w:eastAsia="Calibri" w:hAnsi="Calibri" w:cs="Times New Roman"/>
          <w:sz w:val="24"/>
          <w:szCs w:val="24"/>
          <w:lang w:eastAsia="en-US"/>
        </w:rPr>
        <w:t>action</w:t>
      </w:r>
      <w:r>
        <w:rPr>
          <w:rFonts w:ascii="Calibri" w:eastAsia="Calibri" w:hAnsi="Calibri" w:cs="Times New Roman"/>
          <w:sz w:val="24"/>
          <w:szCs w:val="24"/>
          <w:lang w:eastAsia="en-US"/>
        </w:rPr>
        <w:t xml:space="preserve"> reasonably open to them.</w:t>
      </w:r>
    </w:p>
    <w:p w14:paraId="1CF4D66A" w14:textId="77777777" w:rsidR="00A8379C" w:rsidRDefault="00A8379C" w:rsidP="00A8379C">
      <w:pPr>
        <w:pStyle w:val="ListParagraph"/>
        <w:tabs>
          <w:tab w:val="left" w:pos="567"/>
        </w:tabs>
        <w:spacing w:line="259" w:lineRule="auto"/>
        <w:ind w:left="426"/>
        <w:jc w:val="both"/>
        <w:rPr>
          <w:rFonts w:ascii="Calibri" w:eastAsia="Calibri" w:hAnsi="Calibri" w:cs="Times New Roman"/>
          <w:sz w:val="24"/>
          <w:szCs w:val="24"/>
          <w:lang w:eastAsia="en-US"/>
        </w:rPr>
      </w:pPr>
    </w:p>
    <w:p w14:paraId="59CC133F" w14:textId="5EA8956A" w:rsidR="00A8379C" w:rsidRDefault="0078470B" w:rsidP="00500FD6">
      <w:pPr>
        <w:pStyle w:val="ListParagraph"/>
        <w:numPr>
          <w:ilvl w:val="0"/>
          <w:numId w:val="29"/>
        </w:numPr>
        <w:tabs>
          <w:tab w:val="left" w:pos="567"/>
        </w:tabs>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For the </w:t>
      </w:r>
      <w:r w:rsidR="006F3270">
        <w:rPr>
          <w:rFonts w:ascii="Calibri" w:eastAsia="Calibri" w:hAnsi="Calibri" w:cs="Times New Roman"/>
          <w:sz w:val="24"/>
          <w:szCs w:val="24"/>
          <w:lang w:eastAsia="en-US"/>
        </w:rPr>
        <w:t>forgoing</w:t>
      </w:r>
      <w:r>
        <w:rPr>
          <w:rFonts w:ascii="Calibri" w:eastAsia="Calibri" w:hAnsi="Calibri" w:cs="Times New Roman"/>
          <w:sz w:val="24"/>
          <w:szCs w:val="24"/>
          <w:lang w:eastAsia="en-US"/>
        </w:rPr>
        <w:t xml:space="preserve"> reasons, in addition to the order made on 18 January 2021 allowing the appeal, we make the following orders:</w:t>
      </w:r>
    </w:p>
    <w:p w14:paraId="3E6015D5" w14:textId="07326C24" w:rsidR="0078470B" w:rsidRDefault="0078470B" w:rsidP="0078470B">
      <w:pPr>
        <w:pStyle w:val="ListParagraph"/>
        <w:tabs>
          <w:tab w:val="left" w:pos="567"/>
        </w:tabs>
        <w:spacing w:line="259" w:lineRule="auto"/>
        <w:ind w:left="426"/>
        <w:jc w:val="both"/>
        <w:rPr>
          <w:rFonts w:ascii="Calibri" w:eastAsia="Calibri" w:hAnsi="Calibri" w:cs="Times New Roman"/>
          <w:sz w:val="24"/>
          <w:szCs w:val="24"/>
          <w:lang w:eastAsia="en-US"/>
        </w:rPr>
      </w:pPr>
    </w:p>
    <w:p w14:paraId="346B59CD" w14:textId="7A311681" w:rsidR="0078470B" w:rsidRDefault="0078470B" w:rsidP="0078470B">
      <w:pPr>
        <w:pStyle w:val="ListParagraph"/>
        <w:numPr>
          <w:ilvl w:val="0"/>
          <w:numId w:val="35"/>
        </w:numPr>
        <w:tabs>
          <w:tab w:val="left" w:pos="567"/>
        </w:tabs>
        <w:spacing w:line="259" w:lineRule="auto"/>
        <w:ind w:left="851" w:hanging="42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decision of the Stewards made on 23 December 2020 to find Mr Webb guilty of a breach of GAR 86(q) is set aside. </w:t>
      </w:r>
    </w:p>
    <w:p w14:paraId="483946A1" w14:textId="77777777" w:rsidR="0078470B" w:rsidRDefault="0078470B" w:rsidP="0078470B">
      <w:pPr>
        <w:pStyle w:val="ListParagraph"/>
        <w:tabs>
          <w:tab w:val="left" w:pos="567"/>
        </w:tabs>
        <w:spacing w:line="259" w:lineRule="auto"/>
        <w:ind w:left="851"/>
        <w:jc w:val="both"/>
        <w:rPr>
          <w:rFonts w:ascii="Calibri" w:eastAsia="Calibri" w:hAnsi="Calibri" w:cs="Times New Roman"/>
          <w:sz w:val="24"/>
          <w:szCs w:val="24"/>
          <w:lang w:eastAsia="en-US"/>
        </w:rPr>
      </w:pPr>
    </w:p>
    <w:p w14:paraId="768C29EB" w14:textId="0478EB10" w:rsidR="0078470B" w:rsidRDefault="0078470B" w:rsidP="0078470B">
      <w:pPr>
        <w:pStyle w:val="ListParagraph"/>
        <w:numPr>
          <w:ilvl w:val="0"/>
          <w:numId w:val="35"/>
        </w:numPr>
        <w:tabs>
          <w:tab w:val="left" w:pos="567"/>
        </w:tabs>
        <w:spacing w:line="259" w:lineRule="auto"/>
        <w:ind w:left="851" w:hanging="425"/>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decision of the Steward</w:t>
      </w:r>
      <w:r w:rsidR="006F3270">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made on 23 December 2020 to suspend Mr Webb for 6 months is set aside.</w:t>
      </w:r>
    </w:p>
    <w:p w14:paraId="5CE791C3" w14:textId="77777777" w:rsidR="0078470B" w:rsidRDefault="0078470B" w:rsidP="0078470B">
      <w:pPr>
        <w:pStyle w:val="ListParagraph"/>
        <w:tabs>
          <w:tab w:val="left" w:pos="567"/>
        </w:tabs>
        <w:spacing w:line="259" w:lineRule="auto"/>
        <w:ind w:left="851"/>
        <w:jc w:val="both"/>
        <w:rPr>
          <w:rFonts w:ascii="Calibri" w:eastAsia="Calibri" w:hAnsi="Calibri" w:cs="Times New Roman"/>
          <w:sz w:val="24"/>
          <w:szCs w:val="24"/>
          <w:lang w:eastAsia="en-US"/>
        </w:rPr>
      </w:pPr>
    </w:p>
    <w:p w14:paraId="0740147C" w14:textId="551703B2" w:rsidR="0078470B" w:rsidRPr="00FF267D" w:rsidRDefault="00DC2733" w:rsidP="00FF267D">
      <w:pPr>
        <w:pStyle w:val="ListParagraph"/>
        <w:numPr>
          <w:ilvl w:val="0"/>
          <w:numId w:val="35"/>
        </w:numPr>
        <w:tabs>
          <w:tab w:val="left" w:pos="567"/>
        </w:tabs>
        <w:spacing w:line="259" w:lineRule="auto"/>
        <w:ind w:left="851" w:hanging="425"/>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controversary concerning the conduct of Mr Webb on 9 and 10 December 2020 regarding Stewards and/or officials of GRV be remitted to</w:t>
      </w:r>
      <w:r w:rsidR="006F3270">
        <w:rPr>
          <w:rFonts w:ascii="Calibri" w:eastAsia="Calibri" w:hAnsi="Calibri" w:cs="Times New Roman"/>
          <w:sz w:val="24"/>
          <w:szCs w:val="24"/>
          <w:lang w:eastAsia="en-US"/>
        </w:rPr>
        <w:t xml:space="preserve"> the</w:t>
      </w:r>
      <w:r>
        <w:rPr>
          <w:rFonts w:ascii="Calibri" w:eastAsia="Calibri" w:hAnsi="Calibri" w:cs="Times New Roman"/>
          <w:sz w:val="24"/>
          <w:szCs w:val="24"/>
          <w:lang w:eastAsia="en-US"/>
        </w:rPr>
        <w:t xml:space="preserve"> Stewards, other than those who were in</w:t>
      </w:r>
      <w:r w:rsidR="006F3270">
        <w:rPr>
          <w:rFonts w:ascii="Calibri" w:eastAsia="Calibri" w:hAnsi="Calibri" w:cs="Times New Roman"/>
          <w:sz w:val="24"/>
          <w:szCs w:val="24"/>
          <w:lang w:eastAsia="en-US"/>
        </w:rPr>
        <w:t>volved</w:t>
      </w:r>
      <w:r>
        <w:rPr>
          <w:rFonts w:ascii="Calibri" w:eastAsia="Calibri" w:hAnsi="Calibri" w:cs="Times New Roman"/>
          <w:sz w:val="24"/>
          <w:szCs w:val="24"/>
          <w:lang w:eastAsia="en-US"/>
        </w:rPr>
        <w:t xml:space="preserve"> in the proceeding </w:t>
      </w:r>
      <w:r w:rsidR="006F3270">
        <w:rPr>
          <w:rFonts w:ascii="Calibri" w:eastAsia="Calibri" w:hAnsi="Calibri" w:cs="Times New Roman"/>
          <w:sz w:val="24"/>
          <w:szCs w:val="24"/>
          <w:lang w:eastAsia="en-US"/>
        </w:rPr>
        <w:t>concerning</w:t>
      </w:r>
      <w:r>
        <w:rPr>
          <w:rFonts w:ascii="Calibri" w:eastAsia="Calibri" w:hAnsi="Calibri" w:cs="Times New Roman"/>
          <w:sz w:val="24"/>
          <w:szCs w:val="24"/>
          <w:lang w:eastAsia="en-US"/>
        </w:rPr>
        <w:t xml:space="preserve"> Mr Webb on 21 December 2020 as reflected in the formal decision of the Stewards </w:t>
      </w:r>
      <w:r w:rsidR="006F3270">
        <w:rPr>
          <w:rFonts w:ascii="Calibri" w:eastAsia="Calibri" w:hAnsi="Calibri" w:cs="Times New Roman"/>
          <w:sz w:val="24"/>
          <w:szCs w:val="24"/>
          <w:lang w:eastAsia="en-US"/>
        </w:rPr>
        <w:t xml:space="preserve">made </w:t>
      </w:r>
      <w:r>
        <w:rPr>
          <w:rFonts w:ascii="Calibri" w:eastAsia="Calibri" w:hAnsi="Calibri" w:cs="Times New Roman"/>
          <w:sz w:val="24"/>
          <w:szCs w:val="24"/>
          <w:lang w:eastAsia="en-US"/>
        </w:rPr>
        <w:t>on 23 December 2020.</w:t>
      </w:r>
    </w:p>
    <w:p w14:paraId="0B546710" w14:textId="77777777" w:rsidR="00042B4D" w:rsidRPr="007868CF" w:rsidRDefault="00042B4D"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AAB66" w14:textId="77777777" w:rsidR="00BF1508" w:rsidRDefault="00BF1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3B42BD98" w:rsidR="00122152" w:rsidRDefault="00BF1508" w:rsidP="00CF0999">
    <w:r>
      <w:rPr>
        <w:noProof/>
      </w:rPr>
      <mc:AlternateContent>
        <mc:Choice Requires="wps">
          <w:drawing>
            <wp:anchor distT="0" distB="0" distL="114300" distR="114300" simplePos="1" relativeHeight="251664384" behindDoc="0" locked="0" layoutInCell="0" allowOverlap="1" wp14:anchorId="0A7032E9" wp14:editId="596F9F08">
              <wp:simplePos x="0" y="10228183"/>
              <wp:positionH relativeFrom="page">
                <wp:posOffset>0</wp:posOffset>
              </wp:positionH>
              <wp:positionV relativeFrom="page">
                <wp:posOffset>10227945</wp:posOffset>
              </wp:positionV>
              <wp:extent cx="7560310" cy="273050"/>
              <wp:effectExtent l="0" t="0" r="0" b="12700"/>
              <wp:wrapNone/>
              <wp:docPr id="1" name="MSIPCM07cc49aca8417bf9557c5fb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7A973E" w14:textId="1BEB7918" w:rsidR="00BF1508" w:rsidRPr="00BF1508" w:rsidRDefault="00BF1508" w:rsidP="00BF1508">
                          <w:pPr>
                            <w:jc w:val="center"/>
                            <w:rPr>
                              <w:rFonts w:ascii="Calibri" w:hAnsi="Calibri" w:cs="Calibri"/>
                              <w:color w:val="000000"/>
                              <w:sz w:val="24"/>
                            </w:rPr>
                          </w:pPr>
                          <w:r w:rsidRPr="00BF150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7032E9" id="_x0000_t202" coordsize="21600,21600" o:spt="202" path="m,l,21600r21600,l21600,xe">
              <v:stroke joinstyle="miter"/>
              <v:path gradientshapeok="t" o:connecttype="rect"/>
            </v:shapetype>
            <v:shape id="MSIPCM07cc49aca8417bf9557c5fbb"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GaAvcKwAgAATgUAAA4A&#10;AAAAAAAAAAAAAAAALgIAAGRycy9lMm9Eb2MueG1sUEsBAi0AFAAGAAgAAAAhAJ/VQezfAAAACwEA&#10;AA8AAAAAAAAAAAAAAAAACgUAAGRycy9kb3ducmV2LnhtbFBLBQYAAAAABAAEAPMAAAAWBgAAAAA=&#10;" o:allowincell="f" filled="f" stroked="f" strokeweight=".5pt">
              <v:fill o:detectmouseclick="t"/>
              <v:textbox inset=",0,,0">
                <w:txbxContent>
                  <w:p w14:paraId="077A973E" w14:textId="1BEB7918" w:rsidR="00BF1508" w:rsidRPr="00BF1508" w:rsidRDefault="00BF1508" w:rsidP="00BF1508">
                    <w:pPr>
                      <w:jc w:val="center"/>
                      <w:rPr>
                        <w:rFonts w:ascii="Calibri" w:hAnsi="Calibri" w:cs="Calibri"/>
                        <w:color w:val="000000"/>
                        <w:sz w:val="24"/>
                      </w:rPr>
                    </w:pPr>
                    <w:r w:rsidRPr="00BF1508">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A401F76" w:rsidR="00122152" w:rsidRDefault="00BF1508" w:rsidP="00B104AE">
    <w:pPr>
      <w:tabs>
        <w:tab w:val="right" w:pos="9000"/>
      </w:tabs>
    </w:pPr>
    <w:r>
      <w:rPr>
        <w:noProof/>
      </w:rPr>
      <mc:AlternateContent>
        <mc:Choice Requires="wps">
          <w:drawing>
            <wp:anchor distT="0" distB="0" distL="114300" distR="114300" simplePos="0" relativeHeight="251665408" behindDoc="0" locked="0" layoutInCell="0" allowOverlap="1" wp14:anchorId="1903BBE6" wp14:editId="3A9EE327">
              <wp:simplePos x="0" y="0"/>
              <wp:positionH relativeFrom="page">
                <wp:posOffset>0</wp:posOffset>
              </wp:positionH>
              <wp:positionV relativeFrom="page">
                <wp:posOffset>10227945</wp:posOffset>
              </wp:positionV>
              <wp:extent cx="7560310" cy="273050"/>
              <wp:effectExtent l="0" t="0" r="0" b="12700"/>
              <wp:wrapNone/>
              <wp:docPr id="3" name="MSIPCM07454a319aacb198dc98304e"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AE8359" w14:textId="40B44AC7" w:rsidR="00BF1508" w:rsidRPr="00BF1508" w:rsidRDefault="00BF1508" w:rsidP="00BF1508">
                          <w:pPr>
                            <w:jc w:val="center"/>
                            <w:rPr>
                              <w:rFonts w:ascii="Calibri" w:hAnsi="Calibri" w:cs="Calibri"/>
                              <w:color w:val="000000"/>
                              <w:sz w:val="24"/>
                            </w:rPr>
                          </w:pPr>
                          <w:r w:rsidRPr="00BF150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03BBE6" id="_x0000_t202" coordsize="21600,21600" o:spt="202" path="m,l,21600r21600,l21600,xe">
              <v:stroke joinstyle="miter"/>
              <v:path gradientshapeok="t" o:connecttype="rect"/>
            </v:shapetype>
            <v:shape id="MSIPCM07454a319aacb198dc98304e"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t8LD8bICAABQ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74AE8359" w14:textId="40B44AC7" w:rsidR="00BF1508" w:rsidRPr="00BF1508" w:rsidRDefault="00BF1508" w:rsidP="00BF1508">
                    <w:pPr>
                      <w:jc w:val="center"/>
                      <w:rPr>
                        <w:rFonts w:ascii="Calibri" w:hAnsi="Calibri" w:cs="Calibri"/>
                        <w:color w:val="000000"/>
                        <w:sz w:val="24"/>
                      </w:rPr>
                    </w:pPr>
                    <w:r w:rsidRPr="00BF1508">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689543A8" w:rsidR="00122152" w:rsidRPr="0080492F" w:rsidRDefault="00BF1508"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415165AA" wp14:editId="1848750A">
              <wp:simplePos x="0" y="0"/>
              <wp:positionH relativeFrom="page">
                <wp:posOffset>0</wp:posOffset>
              </wp:positionH>
              <wp:positionV relativeFrom="page">
                <wp:posOffset>10227945</wp:posOffset>
              </wp:positionV>
              <wp:extent cx="7560310" cy="273050"/>
              <wp:effectExtent l="0" t="0" r="0" b="12700"/>
              <wp:wrapNone/>
              <wp:docPr id="7" name="MSIPCM5e884b438e9a259a891e5b2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E7DE0B" w14:textId="05F55FA0" w:rsidR="00BF1508" w:rsidRPr="00BF1508" w:rsidRDefault="00BF1508" w:rsidP="00BF1508">
                          <w:pPr>
                            <w:jc w:val="center"/>
                            <w:rPr>
                              <w:rFonts w:ascii="Calibri" w:hAnsi="Calibri" w:cs="Calibri"/>
                              <w:color w:val="000000"/>
                              <w:sz w:val="24"/>
                            </w:rPr>
                          </w:pPr>
                          <w:r w:rsidRPr="00BF150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5165AA" id="_x0000_t202" coordsize="21600,21600" o:spt="202" path="m,l,21600r21600,l21600,xe">
              <v:stroke joinstyle="miter"/>
              <v:path gradientshapeok="t" o:connecttype="rect"/>
            </v:shapetype>
            <v:shape id="MSIPCM5e884b438e9a259a891e5b2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B+gJOezAgAATgUA&#10;AA4AAAAAAAAAAAAAAAAALgIAAGRycy9lMm9Eb2MueG1sUEsBAi0AFAAGAAgAAAAhAJ/VQezfAAAA&#10;CwEAAA8AAAAAAAAAAAAAAAAADQUAAGRycy9kb3ducmV2LnhtbFBLBQYAAAAABAAEAPMAAAAZBgAA&#10;AAA=&#10;" o:allowincell="f" filled="f" stroked="f" strokeweight=".5pt">
              <v:fill o:detectmouseclick="t"/>
              <v:textbox inset=",0,,0">
                <w:txbxContent>
                  <w:p w14:paraId="57E7DE0B" w14:textId="05F55FA0" w:rsidR="00BF1508" w:rsidRPr="00BF1508" w:rsidRDefault="00BF1508" w:rsidP="00BF1508">
                    <w:pPr>
                      <w:jc w:val="center"/>
                      <w:rPr>
                        <w:rFonts w:ascii="Calibri" w:hAnsi="Calibri" w:cs="Calibri"/>
                        <w:color w:val="000000"/>
                        <w:sz w:val="24"/>
                      </w:rPr>
                    </w:pPr>
                    <w:r w:rsidRPr="00BF1508">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27676" w14:textId="77777777" w:rsidR="00BF1508" w:rsidRDefault="00BF1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65E7FE24" w:rsidR="008C2C10" w:rsidRDefault="00BF1508">
    <w:pPr>
      <w:pStyle w:val="Header"/>
    </w:pPr>
    <w:r>
      <w:rPr>
        <w:noProof/>
      </w:rPr>
      <mc:AlternateContent>
        <mc:Choice Requires="wps">
          <w:drawing>
            <wp:anchor distT="0" distB="0" distL="114300" distR="114300" simplePos="0" relativeHeight="251667456" behindDoc="0" locked="0" layoutInCell="0" allowOverlap="1" wp14:anchorId="100DA8A9" wp14:editId="20EB209B">
              <wp:simplePos x="0" y="0"/>
              <wp:positionH relativeFrom="page">
                <wp:posOffset>0</wp:posOffset>
              </wp:positionH>
              <wp:positionV relativeFrom="page">
                <wp:posOffset>190500</wp:posOffset>
              </wp:positionV>
              <wp:extent cx="7560310" cy="273050"/>
              <wp:effectExtent l="0" t="0" r="0" b="12700"/>
              <wp:wrapNone/>
              <wp:docPr id="9" name="MSIPCMccc342d8aa6379cb3760bb0e"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2ADD0F" w14:textId="68133837" w:rsidR="00BF1508" w:rsidRPr="00BF1508" w:rsidRDefault="00BF1508" w:rsidP="00BF1508">
                          <w:pPr>
                            <w:jc w:val="center"/>
                            <w:rPr>
                              <w:rFonts w:ascii="Calibri" w:hAnsi="Calibri" w:cs="Calibri"/>
                              <w:color w:val="000000"/>
                              <w:sz w:val="24"/>
                            </w:rPr>
                          </w:pPr>
                          <w:r w:rsidRPr="00BF150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00DA8A9" id="_x0000_t202" coordsize="21600,21600" o:spt="202" path="m,l,21600r21600,l21600,xe">
              <v:stroke joinstyle="miter"/>
              <v:path gradientshapeok="t" o:connecttype="rect"/>
            </v:shapetype>
            <v:shape id="MSIPCMccc342d8aa6379cb3760bb0e"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PTCbNGwAgAATgUAAA4AAAAA&#10;AAAAAAAAAAAALgIAAGRycy9lMm9Eb2MueG1sUEsBAi0AFAAGAAgAAAAhAEsiCebcAAAABwEAAA8A&#10;AAAAAAAAAAAAAAAACgUAAGRycy9kb3ducmV2LnhtbFBLBQYAAAAABAAEAPMAAAATBgAAAAA=&#10;" o:allowincell="f" filled="f" stroked="f" strokeweight=".5pt">
              <v:fill o:detectmouseclick="t"/>
              <v:textbox inset=",0,,0">
                <w:txbxContent>
                  <w:p w14:paraId="6D2ADD0F" w14:textId="68133837" w:rsidR="00BF1508" w:rsidRPr="00BF1508" w:rsidRDefault="00BF1508" w:rsidP="00BF1508">
                    <w:pPr>
                      <w:jc w:val="center"/>
                      <w:rPr>
                        <w:rFonts w:ascii="Calibri" w:hAnsi="Calibri" w:cs="Calibri"/>
                        <w:color w:val="000000"/>
                        <w:sz w:val="24"/>
                      </w:rPr>
                    </w:pPr>
                    <w:r w:rsidRPr="00BF1508">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BC1C845" w:rsidR="00122152" w:rsidRDefault="00BF1508" w:rsidP="00CF0999">
    <w:r>
      <w:rPr>
        <w:noProof/>
      </w:rPr>
      <mc:AlternateContent>
        <mc:Choice Requires="wps">
          <w:drawing>
            <wp:anchor distT="0" distB="0" distL="114300" distR="114300" simplePos="0" relativeHeight="251668480" behindDoc="0" locked="0" layoutInCell="0" allowOverlap="1" wp14:anchorId="742CD18F" wp14:editId="54372951">
              <wp:simplePos x="0" y="0"/>
              <wp:positionH relativeFrom="page">
                <wp:posOffset>0</wp:posOffset>
              </wp:positionH>
              <wp:positionV relativeFrom="page">
                <wp:posOffset>190500</wp:posOffset>
              </wp:positionV>
              <wp:extent cx="7560310" cy="273050"/>
              <wp:effectExtent l="0" t="0" r="0" b="12700"/>
              <wp:wrapNone/>
              <wp:docPr id="10" name="MSIPCM308c4791908a2310789d3862"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840457" w14:textId="1D5C2997" w:rsidR="00BF1508" w:rsidRPr="00BF1508" w:rsidRDefault="00BF1508" w:rsidP="00BF1508">
                          <w:pPr>
                            <w:jc w:val="center"/>
                            <w:rPr>
                              <w:rFonts w:ascii="Calibri" w:hAnsi="Calibri" w:cs="Calibri"/>
                              <w:color w:val="000000"/>
                              <w:sz w:val="24"/>
                            </w:rPr>
                          </w:pPr>
                          <w:r w:rsidRPr="00BF150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2CD18F" id="_x0000_t202" coordsize="21600,21600" o:spt="202" path="m,l,21600r21600,l21600,xe">
              <v:stroke joinstyle="miter"/>
              <v:path gradientshapeok="t" o:connecttype="rect"/>
            </v:shapetype>
            <v:shape id="MSIPCM308c4791908a2310789d3862"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" o:allowincell="f" filled="f" stroked="f" strokeweight=".5pt">
              <v:fill o:detectmouseclick="t"/>
              <v:textbox inset=",0,,0">
                <w:txbxContent>
                  <w:p w14:paraId="08840457" w14:textId="1D5C2997" w:rsidR="00BF1508" w:rsidRPr="00BF1508" w:rsidRDefault="00BF1508" w:rsidP="00BF1508">
                    <w:pPr>
                      <w:jc w:val="center"/>
                      <w:rPr>
                        <w:rFonts w:ascii="Calibri" w:hAnsi="Calibri" w:cs="Calibri"/>
                        <w:color w:val="000000"/>
                        <w:sz w:val="24"/>
                      </w:rPr>
                    </w:pPr>
                    <w:r w:rsidRPr="00BF1508">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10C4D78"/>
    <w:multiLevelType w:val="hybridMultilevel"/>
    <w:tmpl w:val="B2E450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0600C7"/>
    <w:multiLevelType w:val="hybridMultilevel"/>
    <w:tmpl w:val="252A3C12"/>
    <w:lvl w:ilvl="0" w:tplc="E20EBC7E">
      <w:numFmt w:val="bullet"/>
      <w:lvlText w:val="-"/>
      <w:lvlJc w:val="left"/>
      <w:pPr>
        <w:ind w:left="3555" w:hanging="360"/>
      </w:pPr>
      <w:rPr>
        <w:rFonts w:ascii="Calibri" w:eastAsia="Times New Roman" w:hAnsi="Calibri" w:cs="Times New Roman"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6" w15:restartNumberingAfterBreak="0">
    <w:nsid w:val="390361C1"/>
    <w:multiLevelType w:val="hybridMultilevel"/>
    <w:tmpl w:val="3CA00F34"/>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7" w15:restartNumberingAfterBreak="0">
    <w:nsid w:val="3C1A6403"/>
    <w:multiLevelType w:val="hybridMultilevel"/>
    <w:tmpl w:val="48C2D1B0"/>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8"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6AEF2B66"/>
    <w:multiLevelType w:val="hybridMultilevel"/>
    <w:tmpl w:val="B2E450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3509F0"/>
    <w:multiLevelType w:val="hybridMultilevel"/>
    <w:tmpl w:val="B5BC8552"/>
    <w:lvl w:ilvl="0" w:tplc="E20EBC7E">
      <w:numFmt w:val="bullet"/>
      <w:lvlText w:val="-"/>
      <w:lvlJc w:val="left"/>
      <w:pPr>
        <w:ind w:left="3600" w:hanging="360"/>
      </w:pPr>
      <w:rPr>
        <w:rFonts w:ascii="Calibri" w:eastAsia="Times New Roman" w:hAnsi="Calibri" w:cs="Times New Roman"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1"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779F5540"/>
    <w:multiLevelType w:val="hybridMultilevel"/>
    <w:tmpl w:val="2EFE23E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4"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9"/>
  </w:num>
  <w:num w:numId="2">
    <w:abstractNumId w:val="18"/>
  </w:num>
  <w:num w:numId="3">
    <w:abstractNumId w:val="8"/>
  </w:num>
  <w:num w:numId="4">
    <w:abstractNumId w:val="22"/>
  </w:num>
  <w:num w:numId="5">
    <w:abstractNumId w:val="24"/>
  </w:num>
  <w:num w:numId="6">
    <w:abstractNumId w:val="11"/>
  </w:num>
  <w:num w:numId="7">
    <w:abstractNumId w:val="7"/>
  </w:num>
  <w:num w:numId="8">
    <w:abstractNumId w:val="9"/>
  </w:num>
  <w:num w:numId="9">
    <w:abstractNumId w:val="4"/>
  </w:num>
  <w:num w:numId="10">
    <w:abstractNumId w:val="3"/>
  </w:num>
  <w:num w:numId="11">
    <w:abstractNumId w:val="20"/>
  </w:num>
  <w:num w:numId="12">
    <w:abstractNumId w:val="21"/>
  </w:num>
  <w:num w:numId="13">
    <w:abstractNumId w:val="31"/>
  </w:num>
  <w:num w:numId="14">
    <w:abstractNumId w:val="12"/>
  </w:num>
  <w:num w:numId="15">
    <w:abstractNumId w:val="27"/>
  </w:num>
  <w:num w:numId="16">
    <w:abstractNumId w:val="10"/>
  </w:num>
  <w:num w:numId="17">
    <w:abstractNumId w:val="2"/>
  </w:num>
  <w:num w:numId="18">
    <w:abstractNumId w:val="34"/>
  </w:num>
  <w:num w:numId="19">
    <w:abstractNumId w:val="26"/>
  </w:num>
  <w:num w:numId="20">
    <w:abstractNumId w:val="1"/>
  </w:num>
  <w:num w:numId="21">
    <w:abstractNumId w:val="5"/>
  </w:num>
  <w:num w:numId="22">
    <w:abstractNumId w:val="28"/>
  </w:num>
  <w:num w:numId="23">
    <w:abstractNumId w:val="25"/>
  </w:num>
  <w:num w:numId="24">
    <w:abstractNumId w:val="23"/>
  </w:num>
  <w:num w:numId="25">
    <w:abstractNumId w:val="32"/>
  </w:num>
  <w:num w:numId="26">
    <w:abstractNumId w:val="6"/>
  </w:num>
  <w:num w:numId="27">
    <w:abstractNumId w:val="0"/>
  </w:num>
  <w:num w:numId="28">
    <w:abstractNumId w:val="14"/>
  </w:num>
  <w:num w:numId="29">
    <w:abstractNumId w:val="29"/>
  </w:num>
  <w:num w:numId="30">
    <w:abstractNumId w:val="16"/>
  </w:num>
  <w:num w:numId="31">
    <w:abstractNumId w:val="17"/>
  </w:num>
  <w:num w:numId="32">
    <w:abstractNumId w:val="30"/>
  </w:num>
  <w:num w:numId="33">
    <w:abstractNumId w:val="15"/>
  </w:num>
  <w:num w:numId="34">
    <w:abstractNumId w:val="33"/>
  </w:num>
  <w:num w:numId="3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6D19"/>
    <w:rsid w:val="00014AE3"/>
    <w:rsid w:val="0001544F"/>
    <w:rsid w:val="00016B45"/>
    <w:rsid w:val="000215EA"/>
    <w:rsid w:val="00023EFF"/>
    <w:rsid w:val="0003160D"/>
    <w:rsid w:val="00032590"/>
    <w:rsid w:val="000361C0"/>
    <w:rsid w:val="00042B4D"/>
    <w:rsid w:val="00042F7B"/>
    <w:rsid w:val="000506C1"/>
    <w:rsid w:val="000576F4"/>
    <w:rsid w:val="000642AD"/>
    <w:rsid w:val="000717EB"/>
    <w:rsid w:val="00071F3E"/>
    <w:rsid w:val="00073C6A"/>
    <w:rsid w:val="00085993"/>
    <w:rsid w:val="00086ADA"/>
    <w:rsid w:val="00087EA5"/>
    <w:rsid w:val="00090522"/>
    <w:rsid w:val="000934F0"/>
    <w:rsid w:val="000A04DF"/>
    <w:rsid w:val="000A4CB3"/>
    <w:rsid w:val="000B3609"/>
    <w:rsid w:val="000B5E53"/>
    <w:rsid w:val="000C05F5"/>
    <w:rsid w:val="000C12B2"/>
    <w:rsid w:val="000C73F9"/>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83BDB"/>
    <w:rsid w:val="00190E88"/>
    <w:rsid w:val="00194944"/>
    <w:rsid w:val="001A0F1A"/>
    <w:rsid w:val="001B0C9E"/>
    <w:rsid w:val="001B7201"/>
    <w:rsid w:val="001B7549"/>
    <w:rsid w:val="001C0756"/>
    <w:rsid w:val="001C2886"/>
    <w:rsid w:val="001C5CAD"/>
    <w:rsid w:val="001D5EA1"/>
    <w:rsid w:val="001E06A4"/>
    <w:rsid w:val="001F2C2E"/>
    <w:rsid w:val="001F4FF6"/>
    <w:rsid w:val="00203133"/>
    <w:rsid w:val="00206AF3"/>
    <w:rsid w:val="00210EC7"/>
    <w:rsid w:val="0021172F"/>
    <w:rsid w:val="00214575"/>
    <w:rsid w:val="00214779"/>
    <w:rsid w:val="00214EDC"/>
    <w:rsid w:val="0022171A"/>
    <w:rsid w:val="00227E7F"/>
    <w:rsid w:val="00227EC3"/>
    <w:rsid w:val="002319B4"/>
    <w:rsid w:val="002340BA"/>
    <w:rsid w:val="00235333"/>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58F"/>
    <w:rsid w:val="0037568F"/>
    <w:rsid w:val="003758D2"/>
    <w:rsid w:val="0037775F"/>
    <w:rsid w:val="00377F4D"/>
    <w:rsid w:val="003846AB"/>
    <w:rsid w:val="00384909"/>
    <w:rsid w:val="00384D77"/>
    <w:rsid w:val="00386422"/>
    <w:rsid w:val="003875DE"/>
    <w:rsid w:val="003904DC"/>
    <w:rsid w:val="003A17CB"/>
    <w:rsid w:val="003A1FF1"/>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09C7"/>
    <w:rsid w:val="004435FB"/>
    <w:rsid w:val="00454090"/>
    <w:rsid w:val="00454B49"/>
    <w:rsid w:val="00456518"/>
    <w:rsid w:val="00456D8B"/>
    <w:rsid w:val="004609CC"/>
    <w:rsid w:val="00461A89"/>
    <w:rsid w:val="00471D5C"/>
    <w:rsid w:val="00473D0D"/>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C433B"/>
    <w:rsid w:val="004D1D37"/>
    <w:rsid w:val="004D6D59"/>
    <w:rsid w:val="004D758C"/>
    <w:rsid w:val="004D7701"/>
    <w:rsid w:val="004F3374"/>
    <w:rsid w:val="004F338D"/>
    <w:rsid w:val="004F6703"/>
    <w:rsid w:val="00500FD6"/>
    <w:rsid w:val="005044B5"/>
    <w:rsid w:val="005045A4"/>
    <w:rsid w:val="00505BCA"/>
    <w:rsid w:val="00512165"/>
    <w:rsid w:val="005169FE"/>
    <w:rsid w:val="00524424"/>
    <w:rsid w:val="005249A7"/>
    <w:rsid w:val="005250ED"/>
    <w:rsid w:val="00525438"/>
    <w:rsid w:val="00525F69"/>
    <w:rsid w:val="0053232B"/>
    <w:rsid w:val="00532A17"/>
    <w:rsid w:val="00540BD3"/>
    <w:rsid w:val="00541155"/>
    <w:rsid w:val="005416D5"/>
    <w:rsid w:val="0054481B"/>
    <w:rsid w:val="00546C39"/>
    <w:rsid w:val="005501CE"/>
    <w:rsid w:val="00551D62"/>
    <w:rsid w:val="005531C4"/>
    <w:rsid w:val="00555FFC"/>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2268"/>
    <w:rsid w:val="005D47E5"/>
    <w:rsid w:val="005E040F"/>
    <w:rsid w:val="005E2302"/>
    <w:rsid w:val="005E45E8"/>
    <w:rsid w:val="005E6C7E"/>
    <w:rsid w:val="005F1DBC"/>
    <w:rsid w:val="005F2D75"/>
    <w:rsid w:val="005F6DA5"/>
    <w:rsid w:val="0060363F"/>
    <w:rsid w:val="00603F36"/>
    <w:rsid w:val="00611F17"/>
    <w:rsid w:val="00615788"/>
    <w:rsid w:val="00620923"/>
    <w:rsid w:val="00623FAF"/>
    <w:rsid w:val="0063618E"/>
    <w:rsid w:val="00636D36"/>
    <w:rsid w:val="006372F9"/>
    <w:rsid w:val="00650664"/>
    <w:rsid w:val="0065401A"/>
    <w:rsid w:val="0065462D"/>
    <w:rsid w:val="00655DEE"/>
    <w:rsid w:val="0066317D"/>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117A"/>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3270"/>
    <w:rsid w:val="006F5AD4"/>
    <w:rsid w:val="006F5B80"/>
    <w:rsid w:val="00700DD7"/>
    <w:rsid w:val="0070207C"/>
    <w:rsid w:val="007027A1"/>
    <w:rsid w:val="00706297"/>
    <w:rsid w:val="00706C60"/>
    <w:rsid w:val="00722449"/>
    <w:rsid w:val="00731ECA"/>
    <w:rsid w:val="00732D8F"/>
    <w:rsid w:val="00736548"/>
    <w:rsid w:val="00740A2B"/>
    <w:rsid w:val="007510B7"/>
    <w:rsid w:val="007522E4"/>
    <w:rsid w:val="00756CA0"/>
    <w:rsid w:val="00757D1A"/>
    <w:rsid w:val="00760F9A"/>
    <w:rsid w:val="00763B3F"/>
    <w:rsid w:val="00765C61"/>
    <w:rsid w:val="007676B6"/>
    <w:rsid w:val="00770A79"/>
    <w:rsid w:val="0077242C"/>
    <w:rsid w:val="00774342"/>
    <w:rsid w:val="00774401"/>
    <w:rsid w:val="00775903"/>
    <w:rsid w:val="0078470B"/>
    <w:rsid w:val="00784725"/>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03E2"/>
    <w:rsid w:val="00803503"/>
    <w:rsid w:val="0080492F"/>
    <w:rsid w:val="008100DE"/>
    <w:rsid w:val="00811966"/>
    <w:rsid w:val="00812AF5"/>
    <w:rsid w:val="008142E6"/>
    <w:rsid w:val="00814F98"/>
    <w:rsid w:val="00817929"/>
    <w:rsid w:val="0083169D"/>
    <w:rsid w:val="00832DC2"/>
    <w:rsid w:val="00842094"/>
    <w:rsid w:val="008476AD"/>
    <w:rsid w:val="00852CF5"/>
    <w:rsid w:val="0085353A"/>
    <w:rsid w:val="008551C1"/>
    <w:rsid w:val="008555BA"/>
    <w:rsid w:val="008653EC"/>
    <w:rsid w:val="00867C1C"/>
    <w:rsid w:val="00871B7E"/>
    <w:rsid w:val="00872340"/>
    <w:rsid w:val="008728E7"/>
    <w:rsid w:val="00872DE1"/>
    <w:rsid w:val="00874DB2"/>
    <w:rsid w:val="008766F3"/>
    <w:rsid w:val="0087755E"/>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D753F"/>
    <w:rsid w:val="008E406F"/>
    <w:rsid w:val="008E4BF7"/>
    <w:rsid w:val="008E4E18"/>
    <w:rsid w:val="008E6B0C"/>
    <w:rsid w:val="008F172C"/>
    <w:rsid w:val="008F24B4"/>
    <w:rsid w:val="008F4E8B"/>
    <w:rsid w:val="008F584C"/>
    <w:rsid w:val="00901E6B"/>
    <w:rsid w:val="00901ECE"/>
    <w:rsid w:val="00906AC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96C"/>
    <w:rsid w:val="00960F01"/>
    <w:rsid w:val="00960FAB"/>
    <w:rsid w:val="00961FDD"/>
    <w:rsid w:val="00964054"/>
    <w:rsid w:val="009654BE"/>
    <w:rsid w:val="00967409"/>
    <w:rsid w:val="00974A79"/>
    <w:rsid w:val="00976F47"/>
    <w:rsid w:val="009816F3"/>
    <w:rsid w:val="00982869"/>
    <w:rsid w:val="00984AF4"/>
    <w:rsid w:val="00984E21"/>
    <w:rsid w:val="00987A3B"/>
    <w:rsid w:val="00990950"/>
    <w:rsid w:val="009909ED"/>
    <w:rsid w:val="009915A5"/>
    <w:rsid w:val="00994F1C"/>
    <w:rsid w:val="00996987"/>
    <w:rsid w:val="009A7521"/>
    <w:rsid w:val="009B2A2F"/>
    <w:rsid w:val="009B2D82"/>
    <w:rsid w:val="009B5C8E"/>
    <w:rsid w:val="009C1341"/>
    <w:rsid w:val="009C5026"/>
    <w:rsid w:val="009C5FB6"/>
    <w:rsid w:val="009C61BE"/>
    <w:rsid w:val="009C7CE5"/>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3ED"/>
    <w:rsid w:val="00A53899"/>
    <w:rsid w:val="00A55BAC"/>
    <w:rsid w:val="00A57E53"/>
    <w:rsid w:val="00A612CD"/>
    <w:rsid w:val="00A61AAD"/>
    <w:rsid w:val="00A64410"/>
    <w:rsid w:val="00A72796"/>
    <w:rsid w:val="00A72D45"/>
    <w:rsid w:val="00A744E1"/>
    <w:rsid w:val="00A805FE"/>
    <w:rsid w:val="00A812BA"/>
    <w:rsid w:val="00A835AE"/>
    <w:rsid w:val="00A8379C"/>
    <w:rsid w:val="00A855AC"/>
    <w:rsid w:val="00A85A29"/>
    <w:rsid w:val="00A86237"/>
    <w:rsid w:val="00A86526"/>
    <w:rsid w:val="00A92DDC"/>
    <w:rsid w:val="00A93172"/>
    <w:rsid w:val="00AA0D89"/>
    <w:rsid w:val="00AA6CF9"/>
    <w:rsid w:val="00AB0726"/>
    <w:rsid w:val="00AB5FFD"/>
    <w:rsid w:val="00AB7C0C"/>
    <w:rsid w:val="00AC1060"/>
    <w:rsid w:val="00AC2BA7"/>
    <w:rsid w:val="00AC691F"/>
    <w:rsid w:val="00AC6B20"/>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760E"/>
    <w:rsid w:val="00B327BB"/>
    <w:rsid w:val="00B430BD"/>
    <w:rsid w:val="00B43134"/>
    <w:rsid w:val="00B45872"/>
    <w:rsid w:val="00B471E1"/>
    <w:rsid w:val="00B47419"/>
    <w:rsid w:val="00B52D5C"/>
    <w:rsid w:val="00B552F2"/>
    <w:rsid w:val="00B55525"/>
    <w:rsid w:val="00B64429"/>
    <w:rsid w:val="00B72763"/>
    <w:rsid w:val="00B8097B"/>
    <w:rsid w:val="00B81035"/>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1508"/>
    <w:rsid w:val="00BF60DD"/>
    <w:rsid w:val="00BF7828"/>
    <w:rsid w:val="00C004CB"/>
    <w:rsid w:val="00C03623"/>
    <w:rsid w:val="00C03D38"/>
    <w:rsid w:val="00C060DA"/>
    <w:rsid w:val="00C0714B"/>
    <w:rsid w:val="00C073DF"/>
    <w:rsid w:val="00C07FA0"/>
    <w:rsid w:val="00C12C97"/>
    <w:rsid w:val="00C20200"/>
    <w:rsid w:val="00C205A8"/>
    <w:rsid w:val="00C215FB"/>
    <w:rsid w:val="00C22CA3"/>
    <w:rsid w:val="00C3090E"/>
    <w:rsid w:val="00C34F97"/>
    <w:rsid w:val="00C35CD3"/>
    <w:rsid w:val="00C35FD0"/>
    <w:rsid w:val="00C410C0"/>
    <w:rsid w:val="00C42EAA"/>
    <w:rsid w:val="00C43D9D"/>
    <w:rsid w:val="00C46BD0"/>
    <w:rsid w:val="00C47B27"/>
    <w:rsid w:val="00C51277"/>
    <w:rsid w:val="00C51979"/>
    <w:rsid w:val="00C54382"/>
    <w:rsid w:val="00C563E4"/>
    <w:rsid w:val="00C566C9"/>
    <w:rsid w:val="00C57FC1"/>
    <w:rsid w:val="00C6552E"/>
    <w:rsid w:val="00C72E30"/>
    <w:rsid w:val="00C76BCB"/>
    <w:rsid w:val="00C90F7D"/>
    <w:rsid w:val="00C910D2"/>
    <w:rsid w:val="00C937A6"/>
    <w:rsid w:val="00C967A6"/>
    <w:rsid w:val="00CA2234"/>
    <w:rsid w:val="00CA2542"/>
    <w:rsid w:val="00CA6118"/>
    <w:rsid w:val="00CC681A"/>
    <w:rsid w:val="00CC6904"/>
    <w:rsid w:val="00CD196E"/>
    <w:rsid w:val="00CE2139"/>
    <w:rsid w:val="00CE26DC"/>
    <w:rsid w:val="00CE3A56"/>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1747C"/>
    <w:rsid w:val="00D22ED7"/>
    <w:rsid w:val="00D2379C"/>
    <w:rsid w:val="00D273D2"/>
    <w:rsid w:val="00D27D05"/>
    <w:rsid w:val="00D30BCB"/>
    <w:rsid w:val="00D33D23"/>
    <w:rsid w:val="00D3532D"/>
    <w:rsid w:val="00D36E1D"/>
    <w:rsid w:val="00D43798"/>
    <w:rsid w:val="00D460B2"/>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C2733"/>
    <w:rsid w:val="00DC712B"/>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38BB"/>
    <w:rsid w:val="00E53C26"/>
    <w:rsid w:val="00E53F9D"/>
    <w:rsid w:val="00E63058"/>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D11A1"/>
    <w:rsid w:val="00EE468F"/>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4B3B"/>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8DF"/>
    <w:rsid w:val="00FC59ED"/>
    <w:rsid w:val="00FC70FF"/>
    <w:rsid w:val="00FD19C7"/>
    <w:rsid w:val="00FD20C9"/>
    <w:rsid w:val="00FD5497"/>
    <w:rsid w:val="00FF267D"/>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3E7EA-7D92-44E6-9964-B0A393E316DA}"/>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3</cp:revision>
  <cp:lastPrinted>2021-03-31T00:38:00Z</cp:lastPrinted>
  <dcterms:created xsi:type="dcterms:W3CDTF">2021-03-31T00:15:00Z</dcterms:created>
  <dcterms:modified xsi:type="dcterms:W3CDTF">2021-03-31T00:38:00Z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2021-03-31T00:38:07Z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d2efb25a-5798-42ac-951e-190237a6ce0e</vt:lpwstr>
  </property>
  <property fmtid="{D5CDD505-2E9C-101B-9397-08002B2CF9AE}" pid="15" name="MSIP_Label_d00a4df9-c942-4b09-b23a-6c1023f6de27_ContentBits">
    <vt:lpwstr>3</vt:lpwstr>
  </property>
</Properties>
</file>