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30ADAE9" w:rsidR="00DA77A1" w:rsidRDefault="00FE52A6" w:rsidP="007868CF">
      <w:pPr>
        <w:pStyle w:val="Reference"/>
      </w:pPr>
      <w:r>
        <w:t>28</w:t>
      </w:r>
      <w:r w:rsidR="00377F4D">
        <w:t xml:space="preserve"> November</w:t>
      </w:r>
      <w:r w:rsidR="0058769D">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1E52662" w:rsidR="007868CF" w:rsidRPr="007868CF" w:rsidRDefault="00FE52A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PAT SOFRA</w:t>
      </w:r>
    </w:p>
    <w:p w14:paraId="706A3341" w14:textId="373E633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7E58" w:rsidRPr="008D7E58">
        <w:rPr>
          <w:rFonts w:ascii="Calibri" w:eastAsia="Calibri" w:hAnsi="Calibri" w:cs="Times New Roman"/>
          <w:sz w:val="24"/>
          <w:szCs w:val="24"/>
          <w:lang w:eastAsia="en-US"/>
        </w:rPr>
        <w:t>28</w:t>
      </w:r>
      <w:r w:rsidR="00377F4D">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2019</w:t>
      </w:r>
    </w:p>
    <w:p w14:paraId="353D3562" w14:textId="7B78AD1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FE52A6">
        <w:rPr>
          <w:rFonts w:ascii="Calibri" w:eastAsia="Calibri" w:hAnsi="Calibri" w:cs="Times New Roman"/>
          <w:sz w:val="24"/>
          <w:szCs w:val="24"/>
          <w:lang w:eastAsia="en-US"/>
        </w:rPr>
        <w:t xml:space="preserve">Justice Shane </w:t>
      </w:r>
      <w:proofErr w:type="gramStart"/>
      <w:r w:rsidR="00FE52A6">
        <w:rPr>
          <w:rFonts w:ascii="Calibri" w:eastAsia="Calibri" w:hAnsi="Calibri" w:cs="Times New Roman"/>
          <w:sz w:val="24"/>
          <w:szCs w:val="24"/>
          <w:lang w:eastAsia="en-US"/>
        </w:rPr>
        <w:t xml:space="preserve">Marshall </w:t>
      </w:r>
      <w:r w:rsidR="00377F4D">
        <w:rPr>
          <w:rFonts w:ascii="Calibri" w:eastAsia="Calibri" w:hAnsi="Calibri" w:cs="Times New Roman"/>
          <w:sz w:val="24"/>
          <w:szCs w:val="24"/>
          <w:lang w:eastAsia="en-US"/>
        </w:rPr>
        <w:t xml:space="preserve"> (</w:t>
      </w:r>
      <w:proofErr w:type="gramEnd"/>
      <w:r w:rsidR="00377F4D">
        <w:rPr>
          <w:rFonts w:ascii="Calibri" w:eastAsia="Calibri" w:hAnsi="Calibri" w:cs="Times New Roman"/>
          <w:sz w:val="24"/>
          <w:szCs w:val="24"/>
          <w:lang w:eastAsia="en-US"/>
        </w:rPr>
        <w:t xml:space="preserve">Deputy Chairperson) and </w:t>
      </w:r>
      <w:r w:rsidR="00FE52A6">
        <w:rPr>
          <w:rFonts w:ascii="Calibri" w:eastAsia="Calibri" w:hAnsi="Calibri" w:cs="Times New Roman"/>
          <w:sz w:val="24"/>
          <w:szCs w:val="24"/>
          <w:lang w:eastAsia="en-US"/>
        </w:rPr>
        <w:t>Dr Andrew Gould</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30AA207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FE52A6">
        <w:rPr>
          <w:rFonts w:ascii="Calibri" w:eastAsia="Calibri" w:hAnsi="Calibri" w:cs="Times New Roman"/>
          <w:sz w:val="24"/>
          <w:szCs w:val="24"/>
          <w:lang w:eastAsia="en-US"/>
        </w:rPr>
        <w:t xml:space="preserve">r 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BE7C49A" w:rsidR="007868CF" w:rsidRPr="007868CF" w:rsidRDefault="00FE52A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Pat </w:t>
      </w:r>
      <w:proofErr w:type="spellStart"/>
      <w:r>
        <w:rPr>
          <w:rFonts w:ascii="Calibri" w:eastAsia="Calibri" w:hAnsi="Calibri" w:cs="Times New Roman"/>
          <w:sz w:val="24"/>
          <w:szCs w:val="24"/>
          <w:lang w:eastAsia="en-US"/>
        </w:rPr>
        <w:t>Sofra</w:t>
      </w:r>
      <w:proofErr w:type="spellEnd"/>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7346A08B"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A60EE">
        <w:rPr>
          <w:rFonts w:ascii="Calibri" w:eastAsia="Calibri" w:hAnsi="Calibri" w:cs="Times New Roman"/>
          <w:sz w:val="24"/>
          <w:szCs w:val="24"/>
          <w:lang w:eastAsia="en-US"/>
        </w:rPr>
        <w:t>Local Racing Rule 42.6(b)</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09525729" w14:textId="09B8B933" w:rsidR="008A60EE" w:rsidRDefault="008A60EE" w:rsidP="008A60EE">
      <w:pPr>
        <w:spacing w:line="259" w:lineRule="auto"/>
        <w:ind w:left="2880"/>
        <w:jc w:val="both"/>
        <w:rPr>
          <w:rFonts w:ascii="Calibri" w:eastAsia="Calibri" w:hAnsi="Calibri" w:cs="Times New Roman"/>
          <w:sz w:val="24"/>
          <w:szCs w:val="24"/>
          <w:lang w:eastAsia="en-US"/>
        </w:rPr>
      </w:pPr>
      <w:r w:rsidRPr="008A60EE">
        <w:rPr>
          <w:rFonts w:ascii="Calibri" w:eastAsia="Calibri" w:hAnsi="Calibri" w:cs="Times New Roman"/>
          <w:sz w:val="24"/>
          <w:szCs w:val="24"/>
          <w:lang w:eastAsia="en-US"/>
        </w:rPr>
        <w:t>Rehoming and notice requirements</w:t>
      </w:r>
    </w:p>
    <w:p w14:paraId="0EA58690" w14:textId="77777777" w:rsidR="00E04EFD" w:rsidRPr="008A60EE" w:rsidRDefault="00E04EFD" w:rsidP="008A60EE">
      <w:pPr>
        <w:spacing w:line="259" w:lineRule="auto"/>
        <w:ind w:left="2880"/>
        <w:jc w:val="both"/>
        <w:rPr>
          <w:rFonts w:ascii="Calibri" w:eastAsia="Calibri" w:hAnsi="Calibri" w:cs="Times New Roman"/>
          <w:sz w:val="24"/>
          <w:szCs w:val="24"/>
          <w:lang w:eastAsia="en-US"/>
        </w:rPr>
      </w:pPr>
    </w:p>
    <w:p w14:paraId="5CF20638" w14:textId="430DF690" w:rsidR="00D460B2" w:rsidRDefault="008A60EE" w:rsidP="00E04EFD">
      <w:pPr>
        <w:spacing w:line="259" w:lineRule="auto"/>
        <w:ind w:left="3600"/>
        <w:jc w:val="both"/>
        <w:rPr>
          <w:rFonts w:ascii="Calibri" w:eastAsia="Calibri" w:hAnsi="Calibri" w:cs="Times New Roman"/>
          <w:sz w:val="24"/>
          <w:szCs w:val="24"/>
          <w:lang w:eastAsia="en-US"/>
        </w:rPr>
      </w:pPr>
      <w:r w:rsidRPr="008A60EE">
        <w:rPr>
          <w:rFonts w:ascii="Calibri" w:eastAsia="Calibri" w:hAnsi="Calibri" w:cs="Times New Roman"/>
          <w:sz w:val="24"/>
          <w:szCs w:val="24"/>
          <w:lang w:eastAsia="en-US"/>
        </w:rPr>
        <w:t>(b)</w:t>
      </w:r>
      <w:r w:rsidR="00E04EFD">
        <w:rPr>
          <w:rFonts w:ascii="Calibri" w:eastAsia="Calibri" w:hAnsi="Calibri" w:cs="Times New Roman"/>
          <w:sz w:val="24"/>
          <w:szCs w:val="24"/>
          <w:lang w:eastAsia="en-US"/>
        </w:rPr>
        <w:t xml:space="preserve"> </w:t>
      </w:r>
      <w:r w:rsidRPr="008A60EE">
        <w:rPr>
          <w:rFonts w:ascii="Calibri" w:eastAsia="Calibri" w:hAnsi="Calibri" w:cs="Times New Roman"/>
          <w:sz w:val="24"/>
          <w:szCs w:val="24"/>
          <w:lang w:eastAsia="en-US"/>
        </w:rPr>
        <w:t>An Owner must provide the Board with at least 14 days but no more than 42 days,</w:t>
      </w:r>
      <w:r w:rsidR="00004687">
        <w:rPr>
          <w:rFonts w:ascii="Calibri" w:eastAsia="Calibri" w:hAnsi="Calibri" w:cs="Times New Roman"/>
          <w:sz w:val="24"/>
          <w:szCs w:val="24"/>
          <w:lang w:eastAsia="en-US"/>
        </w:rPr>
        <w:t xml:space="preserve"> </w:t>
      </w:r>
      <w:r w:rsidRPr="008A60EE">
        <w:rPr>
          <w:rFonts w:ascii="Calibri" w:eastAsia="Calibri" w:hAnsi="Calibri" w:cs="Times New Roman"/>
          <w:sz w:val="24"/>
          <w:szCs w:val="24"/>
          <w:lang w:eastAsia="en-US"/>
        </w:rPr>
        <w:t xml:space="preserve">prior written notice, in the approved form, of an intention to </w:t>
      </w:r>
      <w:proofErr w:type="spellStart"/>
      <w:r w:rsidRPr="008A60EE">
        <w:rPr>
          <w:rFonts w:ascii="Calibri" w:eastAsia="Calibri" w:hAnsi="Calibri" w:cs="Times New Roman"/>
          <w:sz w:val="24"/>
          <w:szCs w:val="24"/>
          <w:lang w:eastAsia="en-US"/>
        </w:rPr>
        <w:t>euthanase</w:t>
      </w:r>
      <w:proofErr w:type="spellEnd"/>
      <w:r w:rsidRPr="008A60EE">
        <w:rPr>
          <w:rFonts w:ascii="Calibri" w:eastAsia="Calibri" w:hAnsi="Calibri" w:cs="Times New Roman"/>
          <w:sz w:val="24"/>
          <w:szCs w:val="24"/>
          <w:lang w:eastAsia="en-US"/>
        </w:rPr>
        <w:t xml:space="preserve"> a fit and</w:t>
      </w:r>
      <w:r w:rsidR="00004687">
        <w:rPr>
          <w:rFonts w:ascii="Calibri" w:eastAsia="Calibri" w:hAnsi="Calibri" w:cs="Times New Roman"/>
          <w:sz w:val="24"/>
          <w:szCs w:val="24"/>
          <w:lang w:eastAsia="en-US"/>
        </w:rPr>
        <w:t xml:space="preserve"> </w:t>
      </w:r>
      <w:r w:rsidRPr="008A60EE">
        <w:rPr>
          <w:rFonts w:ascii="Calibri" w:eastAsia="Calibri" w:hAnsi="Calibri" w:cs="Times New Roman"/>
          <w:sz w:val="24"/>
          <w:szCs w:val="24"/>
          <w:lang w:eastAsia="en-US"/>
        </w:rPr>
        <w:t>healthy greyhound. For the avoidance of doubt, a notice under this sub-rule can</w:t>
      </w:r>
      <w:r w:rsidR="00004687">
        <w:rPr>
          <w:rFonts w:ascii="Calibri" w:eastAsia="Calibri" w:hAnsi="Calibri" w:cs="Times New Roman"/>
          <w:sz w:val="24"/>
          <w:szCs w:val="24"/>
          <w:lang w:eastAsia="en-US"/>
        </w:rPr>
        <w:t xml:space="preserve"> </w:t>
      </w:r>
      <w:r w:rsidRPr="008A60EE">
        <w:rPr>
          <w:rFonts w:ascii="Calibri" w:eastAsia="Calibri" w:hAnsi="Calibri" w:cs="Times New Roman"/>
          <w:sz w:val="24"/>
          <w:szCs w:val="24"/>
          <w:lang w:eastAsia="en-US"/>
        </w:rPr>
        <w:t>only be lodged after the requirements of LR42.6(c) have been met.</w:t>
      </w:r>
    </w:p>
    <w:p w14:paraId="1881452D" w14:textId="77777777" w:rsidR="00004687" w:rsidRPr="007868CF" w:rsidRDefault="00004687" w:rsidP="008A60EE">
      <w:pPr>
        <w:spacing w:line="259" w:lineRule="auto"/>
        <w:ind w:left="2880"/>
        <w:jc w:val="both"/>
        <w:rPr>
          <w:rFonts w:ascii="Calibri" w:eastAsia="Calibri" w:hAnsi="Calibri" w:cs="Times New Roman"/>
          <w:sz w:val="24"/>
          <w:szCs w:val="24"/>
          <w:lang w:eastAsia="en-US"/>
        </w:rPr>
      </w:pPr>
    </w:p>
    <w:p w14:paraId="4FEE7E52" w14:textId="77777777" w:rsidR="00004687"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2A0B8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377F4D">
        <w:rPr>
          <w:rFonts w:ascii="Calibri" w:eastAsia="Calibri" w:hAnsi="Calibri" w:cs="Times New Roman"/>
          <w:sz w:val="24"/>
          <w:szCs w:val="24"/>
          <w:lang w:eastAsia="en-US"/>
        </w:rPr>
        <w:t xml:space="preserve">20 </w:t>
      </w:r>
      <w:r w:rsidR="00004687">
        <w:rPr>
          <w:rFonts w:ascii="Calibri" w:eastAsia="Calibri" w:hAnsi="Calibri" w:cs="Times New Roman"/>
          <w:sz w:val="24"/>
          <w:szCs w:val="24"/>
          <w:lang w:eastAsia="en-US"/>
        </w:rPr>
        <w:t>August 2018 you did euthanise greyhound Hot Cup (Ear Brand VFNSB, Microchip 956000005390716), with the reason recorded on FastTrack as ‘lack of ability’.</w:t>
      </w:r>
      <w:r w:rsidR="00377F4D">
        <w:rPr>
          <w:rFonts w:ascii="Calibri" w:eastAsia="Calibri" w:hAnsi="Calibri" w:cs="Times New Roman"/>
          <w:sz w:val="24"/>
          <w:szCs w:val="24"/>
          <w:lang w:eastAsia="en-US"/>
        </w:rPr>
        <w:t xml:space="preserve"> </w:t>
      </w:r>
    </w:p>
    <w:p w14:paraId="04F66038" w14:textId="77777777" w:rsidR="00004687" w:rsidRDefault="00004687" w:rsidP="0058769D">
      <w:pPr>
        <w:spacing w:line="259" w:lineRule="auto"/>
        <w:ind w:left="2880" w:hanging="2880"/>
        <w:jc w:val="both"/>
        <w:rPr>
          <w:rFonts w:ascii="Calibri" w:eastAsia="Calibri" w:hAnsi="Calibri" w:cs="Times New Roman"/>
          <w:sz w:val="24"/>
          <w:szCs w:val="24"/>
          <w:lang w:eastAsia="en-US"/>
        </w:rPr>
      </w:pPr>
    </w:p>
    <w:p w14:paraId="6DB3435F" w14:textId="3FED23D3" w:rsidR="00004687" w:rsidRDefault="00004687" w:rsidP="0000468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Prior to the euthanasia you did fail to:</w:t>
      </w:r>
    </w:p>
    <w:p w14:paraId="0784200F" w14:textId="77777777" w:rsidR="008A7FDF" w:rsidRDefault="008A7FDF" w:rsidP="00004687">
      <w:pPr>
        <w:spacing w:line="259" w:lineRule="auto"/>
        <w:ind w:left="2880"/>
        <w:jc w:val="both"/>
        <w:rPr>
          <w:rFonts w:ascii="Calibri" w:eastAsia="Calibri" w:hAnsi="Calibri" w:cs="Times New Roman"/>
          <w:sz w:val="24"/>
          <w:szCs w:val="24"/>
          <w:lang w:eastAsia="en-US"/>
        </w:rPr>
      </w:pPr>
    </w:p>
    <w:p w14:paraId="161CD530" w14:textId="12865880" w:rsidR="00797136" w:rsidRPr="00797136" w:rsidRDefault="00004687" w:rsidP="00E04EFD">
      <w:pPr>
        <w:spacing w:line="259" w:lineRule="auto"/>
        <w:ind w:left="360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Provide the Board with at least 14 days prior written knowledge, in the approved form, of an intention to </w:t>
      </w:r>
      <w:proofErr w:type="spellStart"/>
      <w:r>
        <w:rPr>
          <w:rFonts w:ascii="Calibri" w:eastAsia="Calibri" w:hAnsi="Calibri" w:cs="Times New Roman"/>
          <w:sz w:val="24"/>
          <w:szCs w:val="24"/>
          <w:lang w:eastAsia="en-US"/>
        </w:rPr>
        <w:t>euthanase</w:t>
      </w:r>
      <w:proofErr w:type="spellEnd"/>
      <w:r>
        <w:rPr>
          <w:rFonts w:ascii="Calibri" w:eastAsia="Calibri" w:hAnsi="Calibri" w:cs="Times New Roman"/>
          <w:sz w:val="24"/>
          <w:szCs w:val="24"/>
          <w:lang w:eastAsia="en-US"/>
        </w:rPr>
        <w:t xml:space="preserve"> a fit and healthy greyhound.</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2FB662E4" w14:textId="07CE95DC" w:rsidR="00921028" w:rsidRDefault="006F1167" w:rsidP="006F1167">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Pat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is a registered greyhound trainer and breeder and at all material times was the managing owner of </w:t>
      </w:r>
      <w:r w:rsidR="008D7E58">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syndicate which owned the greyhound “Hot Cup”.</w:t>
      </w:r>
    </w:p>
    <w:p w14:paraId="2AF34754" w14:textId="77777777" w:rsidR="006F1167" w:rsidRDefault="006F1167" w:rsidP="006F1167">
      <w:pPr>
        <w:pStyle w:val="ListParagraph"/>
        <w:spacing w:line="259" w:lineRule="auto"/>
        <w:jc w:val="both"/>
        <w:rPr>
          <w:rFonts w:ascii="Calibri" w:eastAsia="Calibri" w:hAnsi="Calibri" w:cs="Times New Roman"/>
          <w:sz w:val="24"/>
          <w:szCs w:val="24"/>
          <w:lang w:eastAsia="en-US"/>
        </w:rPr>
      </w:pPr>
    </w:p>
    <w:p w14:paraId="214D0B59" w14:textId="77777777" w:rsidR="006F1167" w:rsidRDefault="006F1167" w:rsidP="006F1167">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Hot Cup was euthanised in Tasmania on 20 August 2018. Stewards of Greyhound Racing Victoria (“GRV”) have charged Mr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with breaching Local Racing Rule (LRR) 42.6(b) which provides that an owner must give the Board at least 14 days prior written notice of an intention to euthanise a fit and healthy greyhound. Hot Cup was fit and healthy. The reason for his euthanasia was his aggressive behaviour. </w:t>
      </w:r>
    </w:p>
    <w:p w14:paraId="23B91B64" w14:textId="77777777" w:rsidR="006F1167" w:rsidRPr="006F1167" w:rsidRDefault="006F1167" w:rsidP="006F1167">
      <w:pPr>
        <w:pStyle w:val="ListParagraph"/>
        <w:rPr>
          <w:rFonts w:ascii="Calibri" w:eastAsia="Calibri" w:hAnsi="Calibri" w:cs="Times New Roman"/>
          <w:sz w:val="24"/>
          <w:szCs w:val="24"/>
          <w:lang w:eastAsia="en-US"/>
        </w:rPr>
      </w:pPr>
    </w:p>
    <w:p w14:paraId="4F9A0377" w14:textId="77777777" w:rsidR="006F1167" w:rsidRDefault="006F1167" w:rsidP="006F1167">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time of the euthanasia, LRR 42.6 had been in effect for nearly one year. Mr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was not aware of the new rule. He has pleaded guilty to the charge. He is remorseful and understands that the purpose of the new rule is to ensure that all alternatives are considered before euthanasia takes place.</w:t>
      </w:r>
    </w:p>
    <w:p w14:paraId="6283C804" w14:textId="77777777" w:rsidR="006F1167" w:rsidRPr="006F1167" w:rsidRDefault="006F1167" w:rsidP="006F1167">
      <w:pPr>
        <w:pStyle w:val="ListParagraph"/>
        <w:rPr>
          <w:rFonts w:ascii="Calibri" w:eastAsia="Calibri" w:hAnsi="Calibri" w:cs="Times New Roman"/>
          <w:sz w:val="24"/>
          <w:szCs w:val="24"/>
          <w:lang w:eastAsia="en-US"/>
        </w:rPr>
      </w:pPr>
    </w:p>
    <w:p w14:paraId="144CF3A9" w14:textId="451F7E74" w:rsidR="006F1167" w:rsidRPr="006F1167" w:rsidRDefault="00583E35" w:rsidP="006F1167">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deterrence, the importance of animal welfare and like penalties in recent cases imposed by the GRV Racing Appeals and Disciplinary Board. In all the circumstances we fine Mr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$250. We also suspend Mr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for 12 months but fully suspend that penalty on the condition that Mr </w:t>
      </w:r>
      <w:proofErr w:type="spellStart"/>
      <w:r>
        <w:rPr>
          <w:rFonts w:ascii="Calibri" w:eastAsia="Calibri" w:hAnsi="Calibri" w:cs="Times New Roman"/>
          <w:sz w:val="24"/>
          <w:szCs w:val="24"/>
          <w:lang w:eastAsia="en-US"/>
        </w:rPr>
        <w:t>Sofra</w:t>
      </w:r>
      <w:proofErr w:type="spellEnd"/>
      <w:r>
        <w:rPr>
          <w:rFonts w:ascii="Calibri" w:eastAsia="Calibri" w:hAnsi="Calibri" w:cs="Times New Roman"/>
          <w:sz w:val="24"/>
          <w:szCs w:val="24"/>
          <w:lang w:eastAsia="en-US"/>
        </w:rPr>
        <w:t xml:space="preserve"> not breach LRR42.6 in the next 12 months.</w:t>
      </w:r>
      <w:r w:rsidR="006F1167">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F68274A"/>
    <w:multiLevelType w:val="hybridMultilevel"/>
    <w:tmpl w:val="CC9AD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2"/>
  </w:num>
  <w:num w:numId="3">
    <w:abstractNumId w:val="10"/>
  </w:num>
  <w:num w:numId="4">
    <w:abstractNumId w:val="8"/>
  </w:num>
  <w:num w:numId="5">
    <w:abstractNumId w:val="1"/>
  </w:num>
  <w:num w:numId="6">
    <w:abstractNumId w:val="9"/>
  </w:num>
  <w:num w:numId="7">
    <w:abstractNumId w:val="12"/>
  </w:num>
  <w:num w:numId="8">
    <w:abstractNumId w:val="5"/>
  </w:num>
  <w:num w:numId="9">
    <w:abstractNumId w:val="11"/>
  </w:num>
  <w:num w:numId="10">
    <w:abstractNumId w:val="7"/>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687"/>
    <w:rsid w:val="000215EA"/>
    <w:rsid w:val="000506C1"/>
    <w:rsid w:val="000642AD"/>
    <w:rsid w:val="000717EB"/>
    <w:rsid w:val="00073C6A"/>
    <w:rsid w:val="00087EA5"/>
    <w:rsid w:val="000934F0"/>
    <w:rsid w:val="000B5E53"/>
    <w:rsid w:val="000C73F9"/>
    <w:rsid w:val="000F5A17"/>
    <w:rsid w:val="00105417"/>
    <w:rsid w:val="0012029D"/>
    <w:rsid w:val="001203CF"/>
    <w:rsid w:val="0013537F"/>
    <w:rsid w:val="00142AF8"/>
    <w:rsid w:val="001459C3"/>
    <w:rsid w:val="001530AD"/>
    <w:rsid w:val="00155CA4"/>
    <w:rsid w:val="00165E82"/>
    <w:rsid w:val="00180EA0"/>
    <w:rsid w:val="00182F21"/>
    <w:rsid w:val="0018346D"/>
    <w:rsid w:val="00194944"/>
    <w:rsid w:val="001C2886"/>
    <w:rsid w:val="001D1521"/>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65C0"/>
    <w:rsid w:val="002D1DBB"/>
    <w:rsid w:val="002E22BA"/>
    <w:rsid w:val="002F7434"/>
    <w:rsid w:val="0032538F"/>
    <w:rsid w:val="00335102"/>
    <w:rsid w:val="00344B4E"/>
    <w:rsid w:val="00345DD8"/>
    <w:rsid w:val="00370738"/>
    <w:rsid w:val="00377F4D"/>
    <w:rsid w:val="00386422"/>
    <w:rsid w:val="003875DE"/>
    <w:rsid w:val="003904DC"/>
    <w:rsid w:val="003A17CB"/>
    <w:rsid w:val="003B61CD"/>
    <w:rsid w:val="003C53DC"/>
    <w:rsid w:val="003D043D"/>
    <w:rsid w:val="003D0AFE"/>
    <w:rsid w:val="0040472C"/>
    <w:rsid w:val="0040496C"/>
    <w:rsid w:val="00405629"/>
    <w:rsid w:val="0040758A"/>
    <w:rsid w:val="00411F89"/>
    <w:rsid w:val="004208B8"/>
    <w:rsid w:val="004235E9"/>
    <w:rsid w:val="00425AD7"/>
    <w:rsid w:val="00434C95"/>
    <w:rsid w:val="004435FB"/>
    <w:rsid w:val="00454090"/>
    <w:rsid w:val="004A103B"/>
    <w:rsid w:val="004A3FBE"/>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3E35"/>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1D2E"/>
    <w:rsid w:val="00674577"/>
    <w:rsid w:val="006816AD"/>
    <w:rsid w:val="00695E3E"/>
    <w:rsid w:val="006C4514"/>
    <w:rsid w:val="006D7D92"/>
    <w:rsid w:val="006E7B2E"/>
    <w:rsid w:val="006F0207"/>
    <w:rsid w:val="006F116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42094"/>
    <w:rsid w:val="0085353A"/>
    <w:rsid w:val="008555BA"/>
    <w:rsid w:val="008653EC"/>
    <w:rsid w:val="00867C1C"/>
    <w:rsid w:val="00871B7E"/>
    <w:rsid w:val="00872340"/>
    <w:rsid w:val="008728E7"/>
    <w:rsid w:val="00874DB2"/>
    <w:rsid w:val="008766F3"/>
    <w:rsid w:val="00880431"/>
    <w:rsid w:val="00884AE6"/>
    <w:rsid w:val="0088616A"/>
    <w:rsid w:val="008A5B93"/>
    <w:rsid w:val="008A60EE"/>
    <w:rsid w:val="008A7FDF"/>
    <w:rsid w:val="008B55E6"/>
    <w:rsid w:val="008B5832"/>
    <w:rsid w:val="008C03D8"/>
    <w:rsid w:val="008C30B4"/>
    <w:rsid w:val="008C3D3D"/>
    <w:rsid w:val="008D0FD8"/>
    <w:rsid w:val="008D6C88"/>
    <w:rsid w:val="008D7E5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7409"/>
    <w:rsid w:val="009816F3"/>
    <w:rsid w:val="009A7521"/>
    <w:rsid w:val="009B2A2F"/>
    <w:rsid w:val="009B2D82"/>
    <w:rsid w:val="009D1D60"/>
    <w:rsid w:val="009D512A"/>
    <w:rsid w:val="009E0109"/>
    <w:rsid w:val="009E064F"/>
    <w:rsid w:val="009E337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62DF"/>
    <w:rsid w:val="00AE03D8"/>
    <w:rsid w:val="00B04302"/>
    <w:rsid w:val="00B104AE"/>
    <w:rsid w:val="00B13178"/>
    <w:rsid w:val="00B22F6F"/>
    <w:rsid w:val="00B2760E"/>
    <w:rsid w:val="00B327BB"/>
    <w:rsid w:val="00B430BD"/>
    <w:rsid w:val="00B43134"/>
    <w:rsid w:val="00B452E8"/>
    <w:rsid w:val="00B45872"/>
    <w:rsid w:val="00B552F2"/>
    <w:rsid w:val="00B922DE"/>
    <w:rsid w:val="00B926E1"/>
    <w:rsid w:val="00B9298E"/>
    <w:rsid w:val="00B9303A"/>
    <w:rsid w:val="00BA02D7"/>
    <w:rsid w:val="00BA04C8"/>
    <w:rsid w:val="00BA26D8"/>
    <w:rsid w:val="00BB29C3"/>
    <w:rsid w:val="00BC566B"/>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A2542"/>
    <w:rsid w:val="00CA6118"/>
    <w:rsid w:val="00CC681A"/>
    <w:rsid w:val="00CC6904"/>
    <w:rsid w:val="00CE2139"/>
    <w:rsid w:val="00CE4E87"/>
    <w:rsid w:val="00CE54B1"/>
    <w:rsid w:val="00CF0999"/>
    <w:rsid w:val="00D052F4"/>
    <w:rsid w:val="00D10903"/>
    <w:rsid w:val="00D10E3C"/>
    <w:rsid w:val="00D11CDD"/>
    <w:rsid w:val="00D22ED7"/>
    <w:rsid w:val="00D2379C"/>
    <w:rsid w:val="00D27D05"/>
    <w:rsid w:val="00D3532D"/>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4EFD"/>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6406D"/>
    <w:rsid w:val="00F661E1"/>
    <w:rsid w:val="00F66FE4"/>
    <w:rsid w:val="00F7160A"/>
    <w:rsid w:val="00F8088F"/>
    <w:rsid w:val="00F85109"/>
    <w:rsid w:val="00F92E17"/>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72567383-1e26-4692-bdad-5f5be69e1590"/>
    <ds:schemaRef ds:uri="http://schemas.microsoft.com/office/2006/documentManagement/types"/>
    <ds:schemaRef ds:uri="http://purl.org/dc/elements/1.1/"/>
    <ds:schemaRef ds:uri="ae0cd296-55d0-417d-93e3-30a04cec7f29"/>
    <ds:schemaRef ds:uri="http://schemas.openxmlformats.org/package/2006/metadata/core-properties"/>
    <ds:schemaRef ds:uri="http://schemas.microsoft.com/office/2006/metadata/properties"/>
    <ds:schemaRef ds:uri="http://purl.org/dc/term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328748A7-4A95-47A3-A4A9-629FB885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39</cp:revision>
  <cp:lastPrinted>2019-11-29T03:04:00Z</cp:lastPrinted>
  <dcterms:created xsi:type="dcterms:W3CDTF">2019-09-23T05:21:00Z</dcterms:created>
  <dcterms:modified xsi:type="dcterms:W3CDTF">2019-11-29T03:05:00Z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