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35E4DD00" w:rsidR="00DA77A1" w:rsidRDefault="004A6FB4" w:rsidP="007868CF">
      <w:pPr>
        <w:pStyle w:val="Reference"/>
      </w:pPr>
      <w:r>
        <w:t xml:space="preserve">1 March </w:t>
      </w:r>
      <w:r w:rsidR="0067338D">
        <w:t>2021</w:t>
      </w:r>
    </w:p>
    <w:p w14:paraId="0A05410D" w14:textId="77777777" w:rsidR="003D53ED" w:rsidRPr="003D53ED" w:rsidRDefault="003D53ED" w:rsidP="003D53ED">
      <w:pPr>
        <w:spacing w:line="259" w:lineRule="auto"/>
        <w:jc w:val="center"/>
        <w:rPr>
          <w:rFonts w:ascii="Calibri" w:eastAsia="Calibri" w:hAnsi="Calibri" w:cs="Times New Roman"/>
          <w:b/>
          <w:sz w:val="10"/>
          <w:szCs w:val="10"/>
          <w:lang w:eastAsia="en-US"/>
        </w:rPr>
      </w:pPr>
    </w:p>
    <w:p w14:paraId="0B7AC0BD" w14:textId="6EADCFB5" w:rsidR="007868CF" w:rsidRPr="007868CF" w:rsidRDefault="008659F9"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1BBEDC30" w:rsidR="007868CF" w:rsidRPr="007868CF" w:rsidRDefault="0067338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1B1344">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1E375CB" w:rsidR="00A176EF" w:rsidRPr="00A176EF" w:rsidRDefault="004A6FB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ALFIO GRASSO</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12C805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A6FB4">
        <w:rPr>
          <w:rFonts w:ascii="Calibri" w:eastAsia="Calibri" w:hAnsi="Calibri" w:cs="Times New Roman"/>
          <w:sz w:val="24"/>
          <w:szCs w:val="24"/>
          <w:lang w:eastAsia="en-US"/>
        </w:rPr>
        <w:t>18 February</w:t>
      </w:r>
      <w:r w:rsidR="008659F9">
        <w:rPr>
          <w:rFonts w:ascii="Calibri" w:eastAsia="Calibri" w:hAnsi="Calibri" w:cs="Times New Roman"/>
          <w:sz w:val="24"/>
          <w:szCs w:val="24"/>
          <w:lang w:eastAsia="en-US"/>
        </w:rPr>
        <w:t xml:space="preserve"> </w:t>
      </w:r>
      <w:r w:rsidR="0067338D">
        <w:rPr>
          <w:rFonts w:ascii="Calibri" w:eastAsia="Calibri" w:hAnsi="Calibri" w:cs="Times New Roman"/>
          <w:sz w:val="24"/>
          <w:szCs w:val="24"/>
          <w:lang w:eastAsia="en-US"/>
        </w:rPr>
        <w:t>202</w:t>
      </w:r>
      <w:r w:rsidR="004A6FB4">
        <w:rPr>
          <w:rFonts w:ascii="Calibri" w:eastAsia="Calibri" w:hAnsi="Calibri" w:cs="Times New Roman"/>
          <w:sz w:val="24"/>
          <w:szCs w:val="24"/>
          <w:lang w:eastAsia="en-US"/>
        </w:rPr>
        <w:t>1</w:t>
      </w:r>
    </w:p>
    <w:p w14:paraId="353D3562" w14:textId="33C2AEB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338D">
        <w:rPr>
          <w:rFonts w:ascii="Calibri" w:eastAsia="Calibri" w:hAnsi="Calibri" w:cs="Times New Roman"/>
          <w:sz w:val="24"/>
          <w:szCs w:val="24"/>
          <w:lang w:eastAsia="en-US"/>
        </w:rPr>
        <w:t>Ju</w:t>
      </w:r>
      <w:r w:rsidR="008659F9">
        <w:rPr>
          <w:rFonts w:ascii="Calibri" w:eastAsia="Calibri" w:hAnsi="Calibri" w:cs="Times New Roman"/>
          <w:sz w:val="24"/>
          <w:szCs w:val="24"/>
          <w:lang w:eastAsia="en-US"/>
        </w:rPr>
        <w:t>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8659F9">
        <w:rPr>
          <w:rFonts w:ascii="Calibri" w:eastAsia="Calibri" w:hAnsi="Calibri" w:cs="Times New Roman"/>
          <w:sz w:val="24"/>
          <w:szCs w:val="24"/>
          <w:lang w:eastAsia="en-US"/>
        </w:rPr>
        <w:t>Mr Des Gleeson</w:t>
      </w:r>
      <w:r w:rsidR="0067338D">
        <w:rPr>
          <w:rFonts w:ascii="Calibri" w:eastAsia="Calibri" w:hAnsi="Calibri" w:cs="Times New Roman"/>
          <w:sz w:val="24"/>
          <w:szCs w:val="24"/>
          <w:lang w:eastAsia="en-US"/>
        </w:rPr>
        <w:t>.</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00F08C3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A6FB4">
        <w:rPr>
          <w:rFonts w:ascii="Calibri" w:eastAsia="Calibri" w:hAnsi="Calibri" w:cs="Times New Roman"/>
          <w:sz w:val="24"/>
          <w:szCs w:val="24"/>
          <w:lang w:eastAsia="en-US"/>
        </w:rPr>
        <w:t xml:space="preserve">Ms Amy Wood instructed by </w:t>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67338D">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77804B3F" w:rsidR="00554F4A" w:rsidRPr="007868CF" w:rsidRDefault="00554F4A" w:rsidP="0067338D">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A6FB4">
        <w:rPr>
          <w:rFonts w:ascii="Calibri" w:eastAsia="Calibri" w:hAnsi="Calibri" w:cs="Times New Roman"/>
          <w:sz w:val="24"/>
          <w:szCs w:val="24"/>
          <w:lang w:eastAsia="en-US"/>
        </w:rPr>
        <w:t>Damien O’Dea</w:t>
      </w:r>
      <w:r w:rsidR="008659F9">
        <w:rPr>
          <w:rFonts w:ascii="Calibri" w:eastAsia="Calibri" w:hAnsi="Calibri" w:cs="Times New Roman"/>
          <w:sz w:val="24"/>
          <w:szCs w:val="24"/>
          <w:lang w:eastAsia="en-US"/>
        </w:rPr>
        <w:t xml:space="preserve"> represented Mr </w:t>
      </w:r>
      <w:proofErr w:type="spellStart"/>
      <w:r w:rsidR="004A6FB4">
        <w:rPr>
          <w:rFonts w:ascii="Calibri" w:eastAsia="Calibri" w:hAnsi="Calibri" w:cs="Times New Roman"/>
          <w:sz w:val="24"/>
          <w:szCs w:val="24"/>
          <w:lang w:eastAsia="en-US"/>
        </w:rPr>
        <w:t>Alfio</w:t>
      </w:r>
      <w:proofErr w:type="spellEnd"/>
      <w:r w:rsidR="004A6FB4">
        <w:rPr>
          <w:rFonts w:ascii="Calibri" w:eastAsia="Calibri" w:hAnsi="Calibri" w:cs="Times New Roman"/>
          <w:sz w:val="24"/>
          <w:szCs w:val="24"/>
          <w:lang w:eastAsia="en-US"/>
        </w:rPr>
        <w:t xml:space="preserve"> Grasso</w:t>
      </w:r>
      <w:r w:rsidR="008659F9">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049C4F27"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 xml:space="preserve">Australian </w:t>
      </w:r>
      <w:r w:rsidR="0067338D">
        <w:rPr>
          <w:rFonts w:ascii="Calibri" w:eastAsia="Arial" w:hAnsi="Calibri"/>
          <w:sz w:val="24"/>
          <w:szCs w:val="24"/>
        </w:rPr>
        <w:t>Harness Racing Rule</w:t>
      </w:r>
      <w:r w:rsidR="001B1344">
        <w:rPr>
          <w:rFonts w:ascii="Calibri" w:eastAsia="Arial" w:hAnsi="Calibri"/>
          <w:sz w:val="24"/>
          <w:szCs w:val="24"/>
        </w:rPr>
        <w:t xml:space="preserve"> (“A</w:t>
      </w:r>
      <w:r w:rsidR="0067338D">
        <w:rPr>
          <w:rFonts w:ascii="Calibri" w:eastAsia="Arial" w:hAnsi="Calibri"/>
          <w:sz w:val="24"/>
          <w:szCs w:val="24"/>
        </w:rPr>
        <w:t>HR</w:t>
      </w:r>
      <w:r w:rsidR="001B1344">
        <w:rPr>
          <w:rFonts w:ascii="Calibri" w:eastAsia="Arial" w:hAnsi="Calibri"/>
          <w:sz w:val="24"/>
          <w:szCs w:val="24"/>
        </w:rPr>
        <w:t xml:space="preserve">R”) </w:t>
      </w:r>
      <w:r w:rsidR="0067338D">
        <w:rPr>
          <w:rFonts w:ascii="Calibri" w:eastAsia="Arial" w:hAnsi="Calibri"/>
          <w:sz w:val="24"/>
          <w:szCs w:val="24"/>
        </w:rPr>
        <w:t>190(1)</w:t>
      </w:r>
      <w:r w:rsidR="00FC6C13">
        <w:rPr>
          <w:rFonts w:ascii="Calibri" w:eastAsia="Arial" w:hAnsi="Calibri"/>
          <w:sz w:val="24"/>
          <w:szCs w:val="24"/>
        </w:rPr>
        <w:t xml:space="preserve"> states:</w:t>
      </w:r>
    </w:p>
    <w:p w14:paraId="788A69F3" w14:textId="0FE7FF55" w:rsidR="00300B90"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67338D" w:rsidRPr="0067338D">
        <w:rPr>
          <w:rFonts w:ascii="Calibri" w:eastAsia="Calibri" w:hAnsi="Calibri" w:cs="Times New Roman"/>
          <w:bCs/>
          <w:sz w:val="24"/>
          <w:szCs w:val="24"/>
          <w:lang w:eastAsia="en-US"/>
        </w:rPr>
        <w:t>A horse shall be presented for a race free of prohibited substances.</w:t>
      </w:r>
    </w:p>
    <w:p w14:paraId="523B1E25" w14:textId="4100491C" w:rsidR="0067338D" w:rsidRDefault="0067338D" w:rsidP="000C1E6B">
      <w:pPr>
        <w:spacing w:line="259" w:lineRule="auto"/>
        <w:ind w:left="2880" w:hanging="2880"/>
        <w:jc w:val="both"/>
        <w:rPr>
          <w:rFonts w:ascii="Calibri" w:eastAsia="Calibri" w:hAnsi="Calibri" w:cs="Times New Roman"/>
          <w:bCs/>
          <w:sz w:val="24"/>
          <w:szCs w:val="24"/>
          <w:lang w:eastAsia="en-US"/>
        </w:rPr>
      </w:pPr>
    </w:p>
    <w:p w14:paraId="746E270D" w14:textId="2CA65071" w:rsidR="00300B90" w:rsidRDefault="0067338D" w:rsidP="00B541C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ab/>
      </w:r>
    </w:p>
    <w:p w14:paraId="586937B7" w14:textId="6497AE07" w:rsidR="006C1E79" w:rsidRDefault="00300B90" w:rsidP="008C43D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p>
    <w:p w14:paraId="5118784A" w14:textId="5A722131" w:rsidR="008C43D2" w:rsidRDefault="008C43D2" w:rsidP="008C43D2">
      <w:pPr>
        <w:numPr>
          <w:ilvl w:val="0"/>
          <w:numId w:val="27"/>
        </w:numPr>
        <w:tabs>
          <w:tab w:val="clear" w:pos="3195"/>
          <w:tab w:val="num" w:pos="720"/>
        </w:tabs>
        <w:spacing w:line="259" w:lineRule="auto"/>
        <w:jc w:val="both"/>
        <w:rPr>
          <w:rFonts w:ascii="Calibri" w:eastAsia="Calibri" w:hAnsi="Calibri" w:cs="Times New Roman"/>
          <w:bCs/>
          <w:sz w:val="24"/>
          <w:szCs w:val="24"/>
          <w:lang w:val="en-US" w:eastAsia="en-US"/>
        </w:rPr>
      </w:pPr>
      <w:r w:rsidRPr="008C43D2">
        <w:rPr>
          <w:rFonts w:ascii="Calibri" w:eastAsia="Calibri" w:hAnsi="Calibri" w:cs="Times New Roman"/>
          <w:bCs/>
          <w:sz w:val="24"/>
          <w:szCs w:val="24"/>
          <w:lang w:val="en-US" w:eastAsia="en-US"/>
        </w:rPr>
        <w:t>On 19 July 2019, the horse ‘Safari Rose’ was presented to race at the Mildura harness racing meeting in Race 1, the ‘DNR Logistics Pace (1</w:t>
      </w:r>
      <w:r w:rsidRPr="008C43D2">
        <w:rPr>
          <w:rFonts w:ascii="Calibri" w:eastAsia="Calibri" w:hAnsi="Calibri" w:cs="Times New Roman"/>
          <w:bCs/>
          <w:sz w:val="24"/>
          <w:szCs w:val="24"/>
          <w:vertAlign w:val="superscript"/>
          <w:lang w:val="en-US" w:eastAsia="en-US"/>
        </w:rPr>
        <w:t>st</w:t>
      </w:r>
      <w:r w:rsidRPr="008C43D2">
        <w:rPr>
          <w:rFonts w:ascii="Calibri" w:eastAsia="Calibri" w:hAnsi="Calibri" w:cs="Times New Roman"/>
          <w:bCs/>
          <w:sz w:val="24"/>
          <w:szCs w:val="24"/>
          <w:lang w:val="en-US" w:eastAsia="en-US"/>
        </w:rPr>
        <w:t xml:space="preserve"> Heat)</w:t>
      </w:r>
      <w:proofErr w:type="gramStart"/>
      <w:r w:rsidRPr="008C43D2">
        <w:rPr>
          <w:rFonts w:ascii="Calibri" w:eastAsia="Calibri" w:hAnsi="Calibri" w:cs="Times New Roman"/>
          <w:bCs/>
          <w:sz w:val="24"/>
          <w:szCs w:val="24"/>
          <w:lang w:val="en-US" w:eastAsia="en-US"/>
        </w:rPr>
        <w:t>’;</w:t>
      </w:r>
      <w:proofErr w:type="gramEnd"/>
    </w:p>
    <w:p w14:paraId="67702965" w14:textId="77777777" w:rsidR="008C43D2" w:rsidRPr="008C43D2" w:rsidRDefault="008C43D2" w:rsidP="008C43D2">
      <w:pPr>
        <w:spacing w:line="259" w:lineRule="auto"/>
        <w:ind w:left="3195"/>
        <w:jc w:val="both"/>
        <w:rPr>
          <w:rFonts w:ascii="Calibri" w:eastAsia="Calibri" w:hAnsi="Calibri" w:cs="Times New Roman"/>
          <w:bCs/>
          <w:sz w:val="24"/>
          <w:szCs w:val="24"/>
          <w:lang w:val="en-US" w:eastAsia="en-US"/>
        </w:rPr>
      </w:pPr>
    </w:p>
    <w:p w14:paraId="32CBA0A0" w14:textId="0DF94763" w:rsidR="008C43D2" w:rsidRDefault="008C43D2" w:rsidP="008C43D2">
      <w:pPr>
        <w:numPr>
          <w:ilvl w:val="0"/>
          <w:numId w:val="32"/>
        </w:numPr>
        <w:tabs>
          <w:tab w:val="clear" w:pos="3195"/>
          <w:tab w:val="num" w:pos="720"/>
        </w:tabs>
        <w:spacing w:line="259" w:lineRule="auto"/>
        <w:jc w:val="both"/>
        <w:rPr>
          <w:rFonts w:ascii="Calibri" w:eastAsia="Calibri" w:hAnsi="Calibri" w:cs="Times New Roman"/>
          <w:bCs/>
          <w:sz w:val="24"/>
          <w:szCs w:val="24"/>
          <w:lang w:val="en-US" w:eastAsia="en-US"/>
        </w:rPr>
      </w:pPr>
      <w:r w:rsidRPr="008C43D2">
        <w:rPr>
          <w:rFonts w:ascii="Calibri" w:eastAsia="Calibri" w:hAnsi="Calibri" w:cs="Times New Roman"/>
          <w:bCs/>
          <w:sz w:val="24"/>
          <w:szCs w:val="24"/>
          <w:lang w:val="en-US" w:eastAsia="en-US"/>
        </w:rPr>
        <w:t>At the relevant time you were the trainer of ‘Safari Rose</w:t>
      </w:r>
      <w:proofErr w:type="gramStart"/>
      <w:r w:rsidRPr="008C43D2">
        <w:rPr>
          <w:rFonts w:ascii="Calibri" w:eastAsia="Calibri" w:hAnsi="Calibri" w:cs="Times New Roman"/>
          <w:bCs/>
          <w:sz w:val="24"/>
          <w:szCs w:val="24"/>
          <w:lang w:val="en-US" w:eastAsia="en-US"/>
        </w:rPr>
        <w:t>’;</w:t>
      </w:r>
      <w:proofErr w:type="gramEnd"/>
    </w:p>
    <w:p w14:paraId="2F344B73" w14:textId="77777777" w:rsidR="008C43D2" w:rsidRPr="008C43D2" w:rsidRDefault="008C43D2" w:rsidP="008C43D2">
      <w:pPr>
        <w:spacing w:line="259" w:lineRule="auto"/>
        <w:ind w:left="3195"/>
        <w:jc w:val="both"/>
        <w:rPr>
          <w:rFonts w:ascii="Calibri" w:eastAsia="Calibri" w:hAnsi="Calibri" w:cs="Times New Roman"/>
          <w:bCs/>
          <w:sz w:val="24"/>
          <w:szCs w:val="24"/>
          <w:lang w:val="en-US" w:eastAsia="en-US"/>
        </w:rPr>
      </w:pPr>
    </w:p>
    <w:p w14:paraId="48DDE9A0" w14:textId="043F543F" w:rsidR="008C43D2" w:rsidRDefault="008C43D2" w:rsidP="008C43D2">
      <w:pPr>
        <w:numPr>
          <w:ilvl w:val="0"/>
          <w:numId w:val="32"/>
        </w:numPr>
        <w:tabs>
          <w:tab w:val="clear" w:pos="3195"/>
          <w:tab w:val="num" w:pos="720"/>
        </w:tabs>
        <w:spacing w:line="259" w:lineRule="auto"/>
        <w:jc w:val="both"/>
        <w:rPr>
          <w:rFonts w:ascii="Calibri" w:eastAsia="Calibri" w:hAnsi="Calibri" w:cs="Times New Roman"/>
          <w:bCs/>
          <w:sz w:val="24"/>
          <w:szCs w:val="24"/>
          <w:lang w:val="en-US" w:eastAsia="en-US"/>
        </w:rPr>
      </w:pPr>
      <w:r w:rsidRPr="008C43D2">
        <w:rPr>
          <w:rFonts w:ascii="Calibri" w:eastAsia="Calibri" w:hAnsi="Calibri" w:cs="Times New Roman"/>
          <w:bCs/>
          <w:sz w:val="24"/>
          <w:szCs w:val="24"/>
          <w:lang w:val="en-US" w:eastAsia="en-US"/>
        </w:rPr>
        <w:t>Prior to Race 1, the ‘DNR Logistics Pace (1</w:t>
      </w:r>
      <w:r w:rsidRPr="008C43D2">
        <w:rPr>
          <w:rFonts w:ascii="Calibri" w:eastAsia="Calibri" w:hAnsi="Calibri" w:cs="Times New Roman"/>
          <w:bCs/>
          <w:sz w:val="24"/>
          <w:szCs w:val="24"/>
          <w:vertAlign w:val="superscript"/>
          <w:lang w:val="en-US" w:eastAsia="en-US"/>
        </w:rPr>
        <w:t>st</w:t>
      </w:r>
      <w:r w:rsidRPr="008C43D2">
        <w:rPr>
          <w:rFonts w:ascii="Calibri" w:eastAsia="Calibri" w:hAnsi="Calibri" w:cs="Times New Roman"/>
          <w:bCs/>
          <w:sz w:val="24"/>
          <w:szCs w:val="24"/>
          <w:lang w:val="en-US" w:eastAsia="en-US"/>
        </w:rPr>
        <w:t xml:space="preserve"> Heat)’, a blood sample was collected from ‘Safari Rose’ with subsequent analysis of that sample revealing a plasma total carbon dioxide (TCO2) concentration in excess of the allowable </w:t>
      </w:r>
      <w:proofErr w:type="gramStart"/>
      <w:r w:rsidRPr="008C43D2">
        <w:rPr>
          <w:rFonts w:ascii="Calibri" w:eastAsia="Calibri" w:hAnsi="Calibri" w:cs="Times New Roman"/>
          <w:bCs/>
          <w:sz w:val="24"/>
          <w:szCs w:val="24"/>
          <w:lang w:val="en-US" w:eastAsia="en-US"/>
        </w:rPr>
        <w:t>threshold;</w:t>
      </w:r>
      <w:proofErr w:type="gramEnd"/>
    </w:p>
    <w:p w14:paraId="0C8FA3B8" w14:textId="77777777" w:rsidR="008C43D2" w:rsidRPr="008C43D2" w:rsidRDefault="008C43D2" w:rsidP="008C43D2">
      <w:pPr>
        <w:spacing w:line="259" w:lineRule="auto"/>
        <w:jc w:val="both"/>
        <w:rPr>
          <w:rFonts w:ascii="Calibri" w:eastAsia="Calibri" w:hAnsi="Calibri" w:cs="Times New Roman"/>
          <w:bCs/>
          <w:sz w:val="24"/>
          <w:szCs w:val="24"/>
          <w:lang w:val="en-US" w:eastAsia="en-US"/>
        </w:rPr>
      </w:pPr>
    </w:p>
    <w:p w14:paraId="04586E41" w14:textId="77777777" w:rsidR="008C43D2" w:rsidRPr="008C43D2" w:rsidRDefault="008C43D2" w:rsidP="008C43D2">
      <w:pPr>
        <w:numPr>
          <w:ilvl w:val="0"/>
          <w:numId w:val="32"/>
        </w:numPr>
        <w:tabs>
          <w:tab w:val="clear" w:pos="3195"/>
          <w:tab w:val="num" w:pos="720"/>
        </w:tabs>
        <w:spacing w:line="259" w:lineRule="auto"/>
        <w:jc w:val="both"/>
        <w:rPr>
          <w:rFonts w:ascii="Calibri" w:eastAsia="Calibri" w:hAnsi="Calibri" w:cs="Times New Roman"/>
          <w:bCs/>
          <w:sz w:val="24"/>
          <w:szCs w:val="24"/>
          <w:lang w:val="en-US" w:eastAsia="en-US"/>
        </w:rPr>
      </w:pPr>
      <w:r w:rsidRPr="008C43D2">
        <w:rPr>
          <w:rFonts w:ascii="Calibri" w:eastAsia="Calibri" w:hAnsi="Calibri" w:cs="Times New Roman"/>
          <w:bCs/>
          <w:sz w:val="24"/>
          <w:szCs w:val="24"/>
          <w:lang w:val="en-US" w:eastAsia="en-US"/>
        </w:rPr>
        <w:t>As the trainer of ‘Safari Rose’ on 19 July 2019, you presented that horse to race in the ‘DNR Logistics Pace (1</w:t>
      </w:r>
      <w:r w:rsidRPr="008C43D2">
        <w:rPr>
          <w:rFonts w:ascii="Calibri" w:eastAsia="Calibri" w:hAnsi="Calibri" w:cs="Times New Roman"/>
          <w:bCs/>
          <w:sz w:val="24"/>
          <w:szCs w:val="24"/>
          <w:vertAlign w:val="superscript"/>
          <w:lang w:val="en-US" w:eastAsia="en-US"/>
        </w:rPr>
        <w:t>st</w:t>
      </w:r>
      <w:r w:rsidRPr="008C43D2">
        <w:rPr>
          <w:rFonts w:ascii="Calibri" w:eastAsia="Calibri" w:hAnsi="Calibri" w:cs="Times New Roman"/>
          <w:bCs/>
          <w:sz w:val="24"/>
          <w:szCs w:val="24"/>
          <w:lang w:val="en-US" w:eastAsia="en-US"/>
        </w:rPr>
        <w:t xml:space="preserve"> Heat)’ at Mildura whilst not free of </w:t>
      </w:r>
      <w:proofErr w:type="spellStart"/>
      <w:r w:rsidRPr="008C43D2">
        <w:rPr>
          <w:rFonts w:ascii="Calibri" w:eastAsia="Calibri" w:hAnsi="Calibri" w:cs="Times New Roman"/>
          <w:bCs/>
          <w:sz w:val="24"/>
          <w:szCs w:val="24"/>
          <w:lang w:val="en-US" w:eastAsia="en-US"/>
        </w:rPr>
        <w:t>alkalinising</w:t>
      </w:r>
      <w:proofErr w:type="spellEnd"/>
      <w:r w:rsidRPr="008C43D2">
        <w:rPr>
          <w:rFonts w:ascii="Calibri" w:eastAsia="Calibri" w:hAnsi="Calibri" w:cs="Times New Roman"/>
          <w:bCs/>
          <w:sz w:val="24"/>
          <w:szCs w:val="24"/>
          <w:lang w:val="en-US" w:eastAsia="en-US"/>
        </w:rPr>
        <w:t xml:space="preserve"> agents, a prohibited substance when evidenced by total carbon dioxide (TCO2) present at a concentration in excess of 36 millimoles per </w:t>
      </w:r>
      <w:proofErr w:type="spellStart"/>
      <w:r w:rsidRPr="008C43D2">
        <w:rPr>
          <w:rFonts w:ascii="Calibri" w:eastAsia="Calibri" w:hAnsi="Calibri" w:cs="Times New Roman"/>
          <w:bCs/>
          <w:sz w:val="24"/>
          <w:szCs w:val="24"/>
          <w:lang w:val="en-US" w:eastAsia="en-US"/>
        </w:rPr>
        <w:t>litre</w:t>
      </w:r>
      <w:proofErr w:type="spellEnd"/>
      <w:r w:rsidRPr="008C43D2">
        <w:rPr>
          <w:rFonts w:ascii="Calibri" w:eastAsia="Calibri" w:hAnsi="Calibri" w:cs="Times New Roman"/>
          <w:bCs/>
          <w:sz w:val="24"/>
          <w:szCs w:val="24"/>
          <w:lang w:val="en-US" w:eastAsia="en-US"/>
        </w:rPr>
        <w:t xml:space="preserve"> in plasma.</w:t>
      </w:r>
    </w:p>
    <w:p w14:paraId="08D57224" w14:textId="77777777" w:rsidR="00B541CE" w:rsidRDefault="00B541CE" w:rsidP="003D53ED">
      <w:pPr>
        <w:spacing w:line="259" w:lineRule="auto"/>
        <w:ind w:left="2840"/>
        <w:jc w:val="both"/>
        <w:rPr>
          <w:rFonts w:ascii="Calibri" w:eastAsia="Calibri" w:hAnsi="Calibri" w:cs="Times New Roman"/>
          <w:b/>
          <w:sz w:val="24"/>
          <w:szCs w:val="24"/>
          <w:lang w:eastAsia="en-US"/>
        </w:rPr>
      </w:pPr>
    </w:p>
    <w:p w14:paraId="661E6296" w14:textId="48A53489"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96933">
        <w:rPr>
          <w:rFonts w:ascii="Calibri" w:eastAsia="Calibri" w:hAnsi="Calibri" w:cs="Times New Roman"/>
          <w:sz w:val="24"/>
          <w:szCs w:val="24"/>
          <w:lang w:eastAsia="en-US"/>
        </w:rPr>
        <w:t xml:space="preserve">Reserved </w:t>
      </w:r>
      <w:r w:rsidRPr="00E058D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3D53ED" w:rsidRDefault="007868CF" w:rsidP="007868CF">
      <w:pPr>
        <w:spacing w:line="259" w:lineRule="auto"/>
        <w:jc w:val="both"/>
        <w:rPr>
          <w:rFonts w:ascii="Calibri" w:eastAsia="Calibri" w:hAnsi="Calibri" w:cs="Times New Roman"/>
          <w:lang w:eastAsia="en-US"/>
        </w:rPr>
      </w:pPr>
    </w:p>
    <w:p w14:paraId="6AA86920" w14:textId="507D930A" w:rsidR="007868CF" w:rsidRDefault="008659F9"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RULING</w:t>
      </w:r>
    </w:p>
    <w:p w14:paraId="2CB53971" w14:textId="47D733FD" w:rsidR="001309D8" w:rsidRPr="003D53ED" w:rsidRDefault="001309D8" w:rsidP="001309D8">
      <w:pPr>
        <w:rPr>
          <w:rFonts w:ascii="Calibri" w:eastAsia="Calibri" w:hAnsi="Calibri" w:cs="Times New Roman"/>
          <w:bCs/>
          <w:lang w:eastAsia="en-US"/>
        </w:rPr>
      </w:pPr>
    </w:p>
    <w:p w14:paraId="27391FC1" w14:textId="12261910"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 xml:space="preserve">This matter involves AHRR 191 (1) and (2). It concerns pre-race blood samples taken from </w:t>
      </w:r>
      <w:r w:rsidRPr="004A6FB4">
        <w:rPr>
          <w:rFonts w:ascii="Calibri" w:eastAsia="Calibri" w:hAnsi="Calibri" w:cs="Times New Roman"/>
          <w:bCs/>
          <w:i/>
          <w:iCs/>
          <w:sz w:val="24"/>
          <w:szCs w:val="24"/>
          <w:lang w:eastAsia="en-US"/>
        </w:rPr>
        <w:t xml:space="preserve">Safari Rose, </w:t>
      </w:r>
      <w:r w:rsidRPr="004A6FB4">
        <w:rPr>
          <w:rFonts w:ascii="Calibri" w:eastAsia="Calibri" w:hAnsi="Calibri" w:cs="Times New Roman"/>
          <w:bCs/>
          <w:sz w:val="24"/>
          <w:szCs w:val="24"/>
          <w:lang w:eastAsia="en-US"/>
        </w:rPr>
        <w:t>trained by Mr</w:t>
      </w:r>
      <w:r>
        <w:rPr>
          <w:rFonts w:ascii="Calibri" w:eastAsia="Calibri" w:hAnsi="Calibri" w:cs="Times New Roman"/>
          <w:bCs/>
          <w:sz w:val="24"/>
          <w:szCs w:val="24"/>
          <w:lang w:eastAsia="en-US"/>
        </w:rPr>
        <w:t xml:space="preserve"> </w:t>
      </w:r>
      <w:proofErr w:type="spellStart"/>
      <w:r w:rsidRPr="004A6FB4">
        <w:rPr>
          <w:rFonts w:ascii="Calibri" w:eastAsia="Calibri" w:hAnsi="Calibri" w:cs="Times New Roman"/>
          <w:bCs/>
          <w:sz w:val="24"/>
          <w:szCs w:val="24"/>
          <w:lang w:eastAsia="en-US"/>
        </w:rPr>
        <w:t>Alfio</w:t>
      </w:r>
      <w:proofErr w:type="spellEnd"/>
      <w:r w:rsidRPr="004A6FB4">
        <w:rPr>
          <w:rFonts w:ascii="Calibri" w:eastAsia="Calibri" w:hAnsi="Calibri" w:cs="Times New Roman"/>
          <w:bCs/>
          <w:sz w:val="24"/>
          <w:szCs w:val="24"/>
          <w:lang w:eastAsia="en-US"/>
        </w:rPr>
        <w:t xml:space="preserve"> Grasso, at Mildura on 19 July 2019. The samples were subsequently analysed by Racing Analytical Services Limited (RASL) and Australian Racing Forensic Laboratory (ARFL). Both are approved laboratories for the purposes of the relevant Rules. The analyses revealed TCO2 readings in excess of the authorised limit of 36 </w:t>
      </w:r>
      <w:proofErr w:type="spellStart"/>
      <w:r w:rsidRPr="004A6FB4">
        <w:rPr>
          <w:rFonts w:ascii="Calibri" w:eastAsia="Calibri" w:hAnsi="Calibri" w:cs="Times New Roman"/>
          <w:bCs/>
          <w:sz w:val="24"/>
          <w:szCs w:val="24"/>
          <w:lang w:eastAsia="en-US"/>
        </w:rPr>
        <w:t>mmo</w:t>
      </w:r>
      <w:proofErr w:type="spellEnd"/>
      <w:r w:rsidRPr="004A6FB4">
        <w:rPr>
          <w:rFonts w:ascii="Calibri" w:eastAsia="Calibri" w:hAnsi="Calibri" w:cs="Times New Roman"/>
          <w:bCs/>
          <w:sz w:val="24"/>
          <w:szCs w:val="24"/>
          <w:lang w:eastAsia="en-US"/>
        </w:rPr>
        <w:t xml:space="preserve">/L. </w:t>
      </w:r>
    </w:p>
    <w:p w14:paraId="1BD37D06" w14:textId="77777777" w:rsidR="004A6FB4" w:rsidRPr="004A6FB4" w:rsidRDefault="004A6FB4" w:rsidP="004A6FB4">
      <w:pPr>
        <w:jc w:val="both"/>
        <w:rPr>
          <w:rFonts w:ascii="Calibri" w:eastAsia="Calibri" w:hAnsi="Calibri" w:cs="Times New Roman"/>
          <w:bCs/>
          <w:sz w:val="24"/>
          <w:szCs w:val="24"/>
          <w:lang w:eastAsia="en-US"/>
        </w:rPr>
      </w:pPr>
    </w:p>
    <w:p w14:paraId="5583E6A2" w14:textId="32600469"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I should observe at the outset that Mr</w:t>
      </w:r>
      <w:r>
        <w:rPr>
          <w:rFonts w:ascii="Calibri" w:eastAsia="Calibri" w:hAnsi="Calibri" w:cs="Times New Roman"/>
          <w:bCs/>
          <w:sz w:val="24"/>
          <w:szCs w:val="24"/>
          <w:lang w:eastAsia="en-US"/>
        </w:rPr>
        <w:t xml:space="preserve"> </w:t>
      </w:r>
      <w:r w:rsidRPr="004A6FB4">
        <w:rPr>
          <w:rFonts w:ascii="Calibri" w:eastAsia="Calibri" w:hAnsi="Calibri" w:cs="Times New Roman"/>
          <w:bCs/>
          <w:sz w:val="24"/>
          <w:szCs w:val="24"/>
          <w:lang w:eastAsia="en-US"/>
        </w:rPr>
        <w:t>O’Dea, Mr</w:t>
      </w:r>
      <w:r>
        <w:rPr>
          <w:rFonts w:ascii="Calibri" w:eastAsia="Calibri" w:hAnsi="Calibri" w:cs="Times New Roman"/>
          <w:bCs/>
          <w:sz w:val="24"/>
          <w:szCs w:val="24"/>
          <w:lang w:eastAsia="en-US"/>
        </w:rPr>
        <w:t xml:space="preserve"> </w:t>
      </w:r>
      <w:r w:rsidRPr="004A6FB4">
        <w:rPr>
          <w:rFonts w:ascii="Calibri" w:eastAsia="Calibri" w:hAnsi="Calibri" w:cs="Times New Roman"/>
          <w:bCs/>
          <w:sz w:val="24"/>
          <w:szCs w:val="24"/>
          <w:lang w:eastAsia="en-US"/>
        </w:rPr>
        <w:t>Grasso’s legal representative, is a South Australian practitioner. A hearing in person was requested. Through no fault of anyone involved, the COVID</w:t>
      </w:r>
      <w:r w:rsidR="00F96933">
        <w:rPr>
          <w:rFonts w:ascii="Calibri" w:eastAsia="Calibri" w:hAnsi="Calibri" w:cs="Times New Roman"/>
          <w:bCs/>
          <w:sz w:val="24"/>
          <w:szCs w:val="24"/>
          <w:lang w:eastAsia="en-US"/>
        </w:rPr>
        <w:t>-19</w:t>
      </w:r>
      <w:r w:rsidRPr="004A6FB4">
        <w:rPr>
          <w:rFonts w:ascii="Calibri" w:eastAsia="Calibri" w:hAnsi="Calibri" w:cs="Times New Roman"/>
          <w:bCs/>
          <w:sz w:val="24"/>
          <w:szCs w:val="24"/>
          <w:lang w:eastAsia="en-US"/>
        </w:rPr>
        <w:t xml:space="preserve"> restrictions, both locally and in relation to state borders, caused a considerable delay in relation to the disposition of this case.   </w:t>
      </w:r>
    </w:p>
    <w:p w14:paraId="5B4CE28B" w14:textId="77777777" w:rsidR="004A6FB4" w:rsidRPr="004A6FB4" w:rsidRDefault="004A6FB4" w:rsidP="004A6FB4">
      <w:pPr>
        <w:jc w:val="both"/>
        <w:rPr>
          <w:rFonts w:ascii="Calibri" w:eastAsia="Calibri" w:hAnsi="Calibri" w:cs="Times New Roman"/>
          <w:bCs/>
          <w:sz w:val="24"/>
          <w:szCs w:val="24"/>
          <w:lang w:eastAsia="en-US"/>
        </w:rPr>
      </w:pPr>
    </w:p>
    <w:p w14:paraId="4033C58B" w14:textId="2869E28A"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Mr</w:t>
      </w:r>
      <w:r>
        <w:rPr>
          <w:rFonts w:ascii="Calibri" w:eastAsia="Calibri" w:hAnsi="Calibri" w:cs="Times New Roman"/>
          <w:bCs/>
          <w:sz w:val="24"/>
          <w:szCs w:val="24"/>
          <w:lang w:eastAsia="en-US"/>
        </w:rPr>
        <w:t xml:space="preserve"> </w:t>
      </w:r>
      <w:r w:rsidRPr="004A6FB4">
        <w:rPr>
          <w:rFonts w:ascii="Calibri" w:eastAsia="Calibri" w:hAnsi="Calibri" w:cs="Times New Roman"/>
          <w:bCs/>
          <w:sz w:val="24"/>
          <w:szCs w:val="24"/>
          <w:lang w:eastAsia="en-US"/>
        </w:rPr>
        <w:t>Grasso wishes to send the samples for analysis by D</w:t>
      </w:r>
      <w:r w:rsidR="00F96933">
        <w:rPr>
          <w:rFonts w:ascii="Calibri" w:eastAsia="Calibri" w:hAnsi="Calibri" w:cs="Times New Roman"/>
          <w:bCs/>
          <w:sz w:val="24"/>
          <w:szCs w:val="24"/>
          <w:lang w:eastAsia="en-US"/>
        </w:rPr>
        <w:t xml:space="preserve">r </w:t>
      </w:r>
      <w:r w:rsidRPr="004A6FB4">
        <w:rPr>
          <w:rFonts w:ascii="Calibri" w:eastAsia="Calibri" w:hAnsi="Calibri" w:cs="Times New Roman"/>
          <w:bCs/>
          <w:sz w:val="24"/>
          <w:szCs w:val="24"/>
          <w:lang w:eastAsia="en-US"/>
        </w:rPr>
        <w:t>Ross Wenzel at Royal North Shore Hospital, Sydney. Neither is an approved drug testing laboratory for the purposes of the relevant Rule. Neither is accredited by the National Association of Testing Authorities.</w:t>
      </w:r>
    </w:p>
    <w:p w14:paraId="080DA9A6" w14:textId="77777777" w:rsidR="004A6FB4" w:rsidRPr="004A6FB4" w:rsidRDefault="004A6FB4" w:rsidP="004A6FB4">
      <w:pPr>
        <w:jc w:val="both"/>
        <w:rPr>
          <w:rFonts w:ascii="Calibri" w:eastAsia="Calibri" w:hAnsi="Calibri" w:cs="Times New Roman"/>
          <w:bCs/>
          <w:sz w:val="24"/>
          <w:szCs w:val="24"/>
          <w:lang w:eastAsia="en-US"/>
        </w:rPr>
      </w:pPr>
    </w:p>
    <w:p w14:paraId="1D2E4688" w14:textId="0F31F81C"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AHRR 191 (1) provides in essence that a certificate from an approved laboratory is prima facie evidence of the matters certified – in this case, a TCO2 reading of 37.9 mmol/L as certified by RASL.</w:t>
      </w:r>
    </w:p>
    <w:p w14:paraId="0B08037F" w14:textId="77777777" w:rsidR="004A6FB4" w:rsidRPr="004A6FB4" w:rsidRDefault="004A6FB4" w:rsidP="004A6FB4">
      <w:pPr>
        <w:jc w:val="both"/>
        <w:rPr>
          <w:rFonts w:ascii="Calibri" w:eastAsia="Calibri" w:hAnsi="Calibri" w:cs="Times New Roman"/>
          <w:bCs/>
          <w:sz w:val="24"/>
          <w:szCs w:val="24"/>
          <w:lang w:eastAsia="en-US"/>
        </w:rPr>
      </w:pPr>
    </w:p>
    <w:p w14:paraId="13548B80" w14:textId="7030DB22"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AHRR 191 (2) provides that a second such certificate from another approved laboratory is, together with the other certificate, conclusive evidence of the presence of a prohibited substance. In the present case, the second certificate is from ARFL and reveals a reading of 36.3 mmol/L.</w:t>
      </w:r>
    </w:p>
    <w:p w14:paraId="7BAC85AE" w14:textId="77777777" w:rsidR="004A6FB4" w:rsidRPr="004A6FB4" w:rsidRDefault="004A6FB4" w:rsidP="004A6FB4">
      <w:pPr>
        <w:jc w:val="both"/>
        <w:rPr>
          <w:rFonts w:ascii="Calibri" w:eastAsia="Calibri" w:hAnsi="Calibri" w:cs="Times New Roman"/>
          <w:bCs/>
          <w:sz w:val="24"/>
          <w:szCs w:val="24"/>
          <w:lang w:eastAsia="en-US"/>
        </w:rPr>
      </w:pPr>
    </w:p>
    <w:p w14:paraId="2D787AE7" w14:textId="24914FA9"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Thus, in this case there is conclusive evidence of the presence of a prohibited substance.</w:t>
      </w:r>
    </w:p>
    <w:p w14:paraId="75A9CC26" w14:textId="77777777" w:rsidR="004A6FB4" w:rsidRPr="004A6FB4" w:rsidRDefault="004A6FB4" w:rsidP="004A6FB4">
      <w:pPr>
        <w:jc w:val="both"/>
        <w:rPr>
          <w:rFonts w:ascii="Calibri" w:eastAsia="Calibri" w:hAnsi="Calibri" w:cs="Times New Roman"/>
          <w:bCs/>
          <w:sz w:val="24"/>
          <w:szCs w:val="24"/>
          <w:lang w:eastAsia="en-US"/>
        </w:rPr>
      </w:pPr>
    </w:p>
    <w:p w14:paraId="020FBBC0" w14:textId="07F67154"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Mr O’Dea argued that, as I understand it, he had been involved in a case where it was determined at VCAT that samples should be forwarded to Dr</w:t>
      </w:r>
      <w:r w:rsidR="00F96933">
        <w:rPr>
          <w:rFonts w:ascii="Calibri" w:eastAsia="Calibri" w:hAnsi="Calibri" w:cs="Times New Roman"/>
          <w:bCs/>
          <w:sz w:val="24"/>
          <w:szCs w:val="24"/>
          <w:lang w:eastAsia="en-US"/>
        </w:rPr>
        <w:t xml:space="preserve"> </w:t>
      </w:r>
      <w:r w:rsidRPr="004A6FB4">
        <w:rPr>
          <w:rFonts w:ascii="Calibri" w:eastAsia="Calibri" w:hAnsi="Calibri" w:cs="Times New Roman"/>
          <w:bCs/>
          <w:sz w:val="24"/>
          <w:szCs w:val="24"/>
          <w:lang w:eastAsia="en-US"/>
        </w:rPr>
        <w:t xml:space="preserve">Wenzel at Royal North Shore Hospital. This was a of called </w:t>
      </w:r>
      <w:proofErr w:type="spellStart"/>
      <w:r w:rsidRPr="004A6FB4">
        <w:rPr>
          <w:rFonts w:ascii="Calibri" w:eastAsia="Calibri" w:hAnsi="Calibri" w:cs="Times New Roman"/>
          <w:bCs/>
          <w:i/>
          <w:iCs/>
          <w:sz w:val="24"/>
          <w:szCs w:val="24"/>
          <w:lang w:eastAsia="en-US"/>
        </w:rPr>
        <w:t>Tardio</w:t>
      </w:r>
      <w:proofErr w:type="spellEnd"/>
      <w:r w:rsidRPr="004A6FB4">
        <w:rPr>
          <w:rFonts w:ascii="Calibri" w:eastAsia="Calibri" w:hAnsi="Calibri" w:cs="Times New Roman"/>
          <w:bCs/>
          <w:i/>
          <w:iCs/>
          <w:sz w:val="24"/>
          <w:szCs w:val="24"/>
          <w:lang w:eastAsia="en-US"/>
        </w:rPr>
        <w:t xml:space="preserve"> v HRV, </w:t>
      </w:r>
      <w:r w:rsidRPr="004A6FB4">
        <w:rPr>
          <w:rFonts w:ascii="Calibri" w:eastAsia="Calibri" w:hAnsi="Calibri" w:cs="Times New Roman"/>
          <w:bCs/>
          <w:sz w:val="24"/>
          <w:szCs w:val="24"/>
          <w:lang w:eastAsia="en-US"/>
        </w:rPr>
        <w:t>the order being made on 10 March 2020.  However, no written reasons were given. Of course, I accept the accuracy of Mr</w:t>
      </w:r>
      <w:r w:rsidR="00F96933">
        <w:rPr>
          <w:rFonts w:ascii="Calibri" w:eastAsia="Calibri" w:hAnsi="Calibri" w:cs="Times New Roman"/>
          <w:bCs/>
          <w:sz w:val="24"/>
          <w:szCs w:val="24"/>
          <w:lang w:eastAsia="en-US"/>
        </w:rPr>
        <w:t xml:space="preserve"> </w:t>
      </w:r>
      <w:r w:rsidRPr="004A6FB4">
        <w:rPr>
          <w:rFonts w:ascii="Calibri" w:eastAsia="Calibri" w:hAnsi="Calibri" w:cs="Times New Roman"/>
          <w:bCs/>
          <w:sz w:val="24"/>
          <w:szCs w:val="24"/>
          <w:lang w:eastAsia="en-US"/>
        </w:rPr>
        <w:t>O’Dea’s submission.</w:t>
      </w:r>
    </w:p>
    <w:p w14:paraId="29CF0D70" w14:textId="77777777" w:rsidR="004A6FB4" w:rsidRPr="004A6FB4" w:rsidRDefault="004A6FB4" w:rsidP="004A6FB4">
      <w:pPr>
        <w:jc w:val="both"/>
        <w:rPr>
          <w:rFonts w:ascii="Calibri" w:eastAsia="Calibri" w:hAnsi="Calibri" w:cs="Times New Roman"/>
          <w:bCs/>
          <w:sz w:val="24"/>
          <w:szCs w:val="24"/>
          <w:lang w:eastAsia="en-US"/>
        </w:rPr>
      </w:pPr>
    </w:p>
    <w:p w14:paraId="30A26155" w14:textId="0743462D"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 xml:space="preserve">However, I am not prepared to make such an order. Even if the power so to do existed within the Rules (and I am far from satisfied that it does), I would not be minded so to do.  I would refer to what was said by Garde P. in </w:t>
      </w:r>
      <w:r w:rsidRPr="004A6FB4">
        <w:rPr>
          <w:rFonts w:ascii="Calibri" w:eastAsia="Calibri" w:hAnsi="Calibri" w:cs="Times New Roman"/>
          <w:bCs/>
          <w:i/>
          <w:iCs/>
          <w:sz w:val="24"/>
          <w:szCs w:val="24"/>
          <w:lang w:eastAsia="en-US"/>
        </w:rPr>
        <w:t xml:space="preserve">Hope v Racing Victoria Limited (3) </w:t>
      </w:r>
      <w:r w:rsidRPr="004A6FB4">
        <w:rPr>
          <w:rFonts w:ascii="Calibri" w:eastAsia="Calibri" w:hAnsi="Calibri" w:cs="Times New Roman"/>
          <w:bCs/>
          <w:sz w:val="24"/>
          <w:szCs w:val="24"/>
          <w:lang w:eastAsia="en-US"/>
        </w:rPr>
        <w:t>[2019] VCAT 82 as follows:</w:t>
      </w:r>
    </w:p>
    <w:p w14:paraId="3AE7E093" w14:textId="77777777" w:rsidR="004A6FB4" w:rsidRPr="004A6FB4" w:rsidRDefault="004A6FB4" w:rsidP="004A6FB4">
      <w:pPr>
        <w:jc w:val="both"/>
        <w:rPr>
          <w:rFonts w:ascii="Calibri" w:eastAsia="Calibri" w:hAnsi="Calibri" w:cs="Times New Roman"/>
          <w:bCs/>
          <w:sz w:val="24"/>
          <w:szCs w:val="24"/>
          <w:lang w:eastAsia="en-US"/>
        </w:rPr>
      </w:pPr>
    </w:p>
    <w:p w14:paraId="607CD6A4" w14:textId="77777777" w:rsidR="004A6FB4" w:rsidRP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lastRenderedPageBreak/>
        <w:t xml:space="preserve">“…on the face of things, I would very much prefer an accredited laboratory, with the equipment, </w:t>
      </w:r>
      <w:proofErr w:type="gramStart"/>
      <w:r w:rsidRPr="004A6FB4">
        <w:rPr>
          <w:rFonts w:ascii="Calibri" w:eastAsia="Calibri" w:hAnsi="Calibri" w:cs="Times New Roman"/>
          <w:bCs/>
          <w:sz w:val="24"/>
          <w:szCs w:val="24"/>
          <w:lang w:eastAsia="en-US"/>
        </w:rPr>
        <w:t>processes</w:t>
      </w:r>
      <w:proofErr w:type="gramEnd"/>
      <w:r w:rsidRPr="004A6FB4">
        <w:rPr>
          <w:rFonts w:ascii="Calibri" w:eastAsia="Calibri" w:hAnsi="Calibri" w:cs="Times New Roman"/>
          <w:bCs/>
          <w:sz w:val="24"/>
          <w:szCs w:val="24"/>
          <w:lang w:eastAsia="en-US"/>
        </w:rPr>
        <w:t xml:space="preserve"> and inherent expertise that it has, to undertake a test of this character”.</w:t>
      </w:r>
    </w:p>
    <w:p w14:paraId="70DB3884" w14:textId="77777777" w:rsidR="004A6FB4" w:rsidRDefault="004A6FB4" w:rsidP="004A6FB4">
      <w:pPr>
        <w:jc w:val="both"/>
        <w:rPr>
          <w:rFonts w:ascii="Calibri" w:eastAsia="Calibri" w:hAnsi="Calibri" w:cs="Times New Roman"/>
          <w:bCs/>
          <w:sz w:val="24"/>
          <w:szCs w:val="24"/>
          <w:lang w:eastAsia="en-US"/>
        </w:rPr>
      </w:pPr>
    </w:p>
    <w:p w14:paraId="30433D7A" w14:textId="2514264D"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 xml:space="preserve">Garde P. was dealing specifically with a proposed referral to Royal North Shore Hospital. </w:t>
      </w:r>
    </w:p>
    <w:p w14:paraId="110E25AD" w14:textId="77777777" w:rsidR="004A6FB4" w:rsidRPr="004A6FB4" w:rsidRDefault="004A6FB4" w:rsidP="004A6FB4">
      <w:pPr>
        <w:jc w:val="both"/>
        <w:rPr>
          <w:rFonts w:ascii="Calibri" w:eastAsia="Calibri" w:hAnsi="Calibri" w:cs="Times New Roman"/>
          <w:bCs/>
          <w:sz w:val="24"/>
          <w:szCs w:val="24"/>
          <w:lang w:eastAsia="en-US"/>
        </w:rPr>
      </w:pPr>
    </w:p>
    <w:p w14:paraId="1E9A3A61" w14:textId="65CDFE9B"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 xml:space="preserve">Whilst this may not be an absolute statement that the referral sought would not comply with the Rule in question, it does show a decided reluctance to make such an order. It is a reluctance which I share. As I understand it, the relevant application was not </w:t>
      </w:r>
      <w:r w:rsidR="00F96933" w:rsidRPr="004A6FB4">
        <w:rPr>
          <w:rFonts w:ascii="Calibri" w:eastAsia="Calibri" w:hAnsi="Calibri" w:cs="Times New Roman"/>
          <w:bCs/>
          <w:sz w:val="24"/>
          <w:szCs w:val="24"/>
          <w:lang w:eastAsia="en-US"/>
        </w:rPr>
        <w:t>pursued,</w:t>
      </w:r>
      <w:r w:rsidRPr="004A6FB4">
        <w:rPr>
          <w:rFonts w:ascii="Calibri" w:eastAsia="Calibri" w:hAnsi="Calibri" w:cs="Times New Roman"/>
          <w:bCs/>
          <w:sz w:val="24"/>
          <w:szCs w:val="24"/>
          <w:lang w:eastAsia="en-US"/>
        </w:rPr>
        <w:t xml:space="preserve"> and His Honour did not have to go further.</w:t>
      </w:r>
    </w:p>
    <w:p w14:paraId="266136E7" w14:textId="77777777" w:rsidR="004A6FB4" w:rsidRPr="004A6FB4" w:rsidRDefault="004A6FB4" w:rsidP="004A6FB4">
      <w:pPr>
        <w:jc w:val="both"/>
        <w:rPr>
          <w:rFonts w:ascii="Calibri" w:eastAsia="Calibri" w:hAnsi="Calibri" w:cs="Times New Roman"/>
          <w:bCs/>
          <w:sz w:val="24"/>
          <w:szCs w:val="24"/>
          <w:lang w:eastAsia="en-US"/>
        </w:rPr>
      </w:pPr>
    </w:p>
    <w:p w14:paraId="1DBE528A" w14:textId="7A83F3D0"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 xml:space="preserve">Of course, in </w:t>
      </w:r>
      <w:r w:rsidRPr="004A6FB4">
        <w:rPr>
          <w:rFonts w:ascii="Calibri" w:eastAsia="Calibri" w:hAnsi="Calibri" w:cs="Times New Roman"/>
          <w:bCs/>
          <w:i/>
          <w:iCs/>
          <w:sz w:val="24"/>
          <w:szCs w:val="24"/>
          <w:lang w:eastAsia="en-US"/>
        </w:rPr>
        <w:t xml:space="preserve">Hope </w:t>
      </w:r>
      <w:r w:rsidRPr="004A6FB4">
        <w:rPr>
          <w:rFonts w:ascii="Calibri" w:eastAsia="Calibri" w:hAnsi="Calibri" w:cs="Times New Roman"/>
          <w:bCs/>
          <w:sz w:val="24"/>
          <w:szCs w:val="24"/>
          <w:lang w:eastAsia="en-US"/>
        </w:rPr>
        <w:t xml:space="preserve">it was not the AHR Rules that were involved, but those relating to thoroughbred racing. The relevant AHR Rules seem to me to be even more clear cut. Two certificates from approved laboratories represent conclusive evidence of the presence of a prohibited substance.  </w:t>
      </w:r>
    </w:p>
    <w:p w14:paraId="332D5FBC" w14:textId="77777777" w:rsidR="004A6FB4" w:rsidRPr="004A6FB4" w:rsidRDefault="004A6FB4" w:rsidP="004A6FB4">
      <w:pPr>
        <w:jc w:val="both"/>
        <w:rPr>
          <w:rFonts w:ascii="Calibri" w:eastAsia="Calibri" w:hAnsi="Calibri" w:cs="Times New Roman"/>
          <w:bCs/>
          <w:sz w:val="24"/>
          <w:szCs w:val="24"/>
          <w:lang w:eastAsia="en-US"/>
        </w:rPr>
      </w:pPr>
    </w:p>
    <w:p w14:paraId="29712D8F" w14:textId="2AAD7533"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 xml:space="preserve">I would also refer to the decisions of the Racing Appeals and Disciplinary Board in </w:t>
      </w:r>
      <w:r w:rsidRPr="004A6FB4">
        <w:rPr>
          <w:rFonts w:ascii="Calibri" w:eastAsia="Calibri" w:hAnsi="Calibri" w:cs="Times New Roman"/>
          <w:bCs/>
          <w:i/>
          <w:iCs/>
          <w:sz w:val="24"/>
          <w:szCs w:val="24"/>
          <w:lang w:eastAsia="en-US"/>
        </w:rPr>
        <w:t xml:space="preserve">Racing Victoria Stewards v Leek and Matthews </w:t>
      </w:r>
      <w:r w:rsidRPr="004A6FB4">
        <w:rPr>
          <w:rFonts w:ascii="Calibri" w:eastAsia="Calibri" w:hAnsi="Calibri" w:cs="Times New Roman"/>
          <w:bCs/>
          <w:sz w:val="24"/>
          <w:szCs w:val="24"/>
          <w:lang w:eastAsia="en-US"/>
        </w:rPr>
        <w:t xml:space="preserve">(delivered 10 October 2018) and </w:t>
      </w:r>
      <w:r w:rsidRPr="004A6FB4">
        <w:rPr>
          <w:rFonts w:ascii="Calibri" w:eastAsia="Calibri" w:hAnsi="Calibri" w:cs="Times New Roman"/>
          <w:bCs/>
          <w:i/>
          <w:iCs/>
          <w:sz w:val="24"/>
          <w:szCs w:val="24"/>
          <w:lang w:eastAsia="en-US"/>
        </w:rPr>
        <w:t xml:space="preserve">Racing Victoria Stewards v </w:t>
      </w:r>
      <w:proofErr w:type="spellStart"/>
      <w:r w:rsidRPr="004A6FB4">
        <w:rPr>
          <w:rFonts w:ascii="Calibri" w:eastAsia="Calibri" w:hAnsi="Calibri" w:cs="Times New Roman"/>
          <w:bCs/>
          <w:i/>
          <w:iCs/>
          <w:sz w:val="24"/>
          <w:szCs w:val="24"/>
          <w:lang w:eastAsia="en-US"/>
        </w:rPr>
        <w:t>Pateman</w:t>
      </w:r>
      <w:proofErr w:type="spellEnd"/>
      <w:r w:rsidRPr="004A6FB4">
        <w:rPr>
          <w:rFonts w:ascii="Calibri" w:eastAsia="Calibri" w:hAnsi="Calibri" w:cs="Times New Roman"/>
          <w:bCs/>
          <w:i/>
          <w:iCs/>
          <w:sz w:val="24"/>
          <w:szCs w:val="24"/>
          <w:lang w:eastAsia="en-US"/>
        </w:rPr>
        <w:t xml:space="preserve"> and Barton </w:t>
      </w:r>
      <w:r w:rsidRPr="004A6FB4">
        <w:rPr>
          <w:rFonts w:ascii="Calibri" w:eastAsia="Calibri" w:hAnsi="Calibri" w:cs="Times New Roman"/>
          <w:bCs/>
          <w:sz w:val="24"/>
          <w:szCs w:val="24"/>
          <w:lang w:eastAsia="en-US"/>
        </w:rPr>
        <w:t xml:space="preserve">(delivered 29 March 2019). In addition, there is the more recent decision of this Tribunal in </w:t>
      </w:r>
      <w:r w:rsidRPr="004A6FB4">
        <w:rPr>
          <w:rFonts w:ascii="Calibri" w:eastAsia="Calibri" w:hAnsi="Calibri" w:cs="Times New Roman"/>
          <w:bCs/>
          <w:i/>
          <w:iCs/>
          <w:sz w:val="24"/>
          <w:szCs w:val="24"/>
          <w:lang w:eastAsia="en-US"/>
        </w:rPr>
        <w:t xml:space="preserve">Racing Victoria Stewards v Laming </w:t>
      </w:r>
      <w:r w:rsidRPr="004A6FB4">
        <w:rPr>
          <w:rFonts w:ascii="Calibri" w:eastAsia="Calibri" w:hAnsi="Calibri" w:cs="Times New Roman"/>
          <w:bCs/>
          <w:sz w:val="24"/>
          <w:szCs w:val="24"/>
          <w:lang w:eastAsia="en-US"/>
        </w:rPr>
        <w:t>(delivered 21 April 2020).  Each involves a proposed sending of samples to Dr Ross Wenzel and the Royal North Shore Hospital. Each application was dismissed. Admittedly each involved thoroughbred racing, but, as stated, if anything, the situation pursuant to the AHR Rules is even more clear cut. Prima facie evidence and then conclusive evidence with a second certification operate. Such conclusive evidence exists in the present case.</w:t>
      </w:r>
    </w:p>
    <w:p w14:paraId="1CA02C69" w14:textId="77777777" w:rsidR="004A6FB4" w:rsidRPr="004A6FB4" w:rsidRDefault="004A6FB4" w:rsidP="004A6FB4">
      <w:pPr>
        <w:jc w:val="both"/>
        <w:rPr>
          <w:rFonts w:ascii="Calibri" w:eastAsia="Calibri" w:hAnsi="Calibri" w:cs="Times New Roman"/>
          <w:bCs/>
          <w:sz w:val="24"/>
          <w:szCs w:val="24"/>
          <w:lang w:eastAsia="en-US"/>
        </w:rPr>
      </w:pPr>
    </w:p>
    <w:p w14:paraId="75ED8DFA" w14:textId="77AFE5ED" w:rsid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I prefer and accept the submissions of Ms</w:t>
      </w:r>
      <w:r w:rsidR="00F96933">
        <w:rPr>
          <w:rFonts w:ascii="Calibri" w:eastAsia="Calibri" w:hAnsi="Calibri" w:cs="Times New Roman"/>
          <w:bCs/>
          <w:sz w:val="24"/>
          <w:szCs w:val="24"/>
          <w:lang w:eastAsia="en-US"/>
        </w:rPr>
        <w:t xml:space="preserve"> </w:t>
      </w:r>
      <w:r w:rsidRPr="004A6FB4">
        <w:rPr>
          <w:rFonts w:ascii="Calibri" w:eastAsia="Calibri" w:hAnsi="Calibri" w:cs="Times New Roman"/>
          <w:bCs/>
          <w:sz w:val="24"/>
          <w:szCs w:val="24"/>
          <w:lang w:eastAsia="en-US"/>
        </w:rPr>
        <w:t>Wood on behalf of the Stewards. Apart from the above problems facing this application, it is not disputed that the Royal North Shore Hospital is not accredited by the National Association of Testing Authorities to test animal blood or other products. Its accreditation extends only to human pathology. I also note and accept the opinion of Mr</w:t>
      </w:r>
      <w:r w:rsidR="00F96933">
        <w:rPr>
          <w:rFonts w:ascii="Calibri" w:eastAsia="Calibri" w:hAnsi="Calibri" w:cs="Times New Roman"/>
          <w:bCs/>
          <w:sz w:val="24"/>
          <w:szCs w:val="24"/>
          <w:lang w:eastAsia="en-US"/>
        </w:rPr>
        <w:t xml:space="preserve"> </w:t>
      </w:r>
      <w:r w:rsidRPr="004A6FB4">
        <w:rPr>
          <w:rFonts w:ascii="Calibri" w:eastAsia="Calibri" w:hAnsi="Calibri" w:cs="Times New Roman"/>
          <w:bCs/>
          <w:sz w:val="24"/>
          <w:szCs w:val="24"/>
          <w:lang w:eastAsia="en-US"/>
        </w:rPr>
        <w:t>Paul Zahra, Scientific Manager of RASL, that analysing a sample that has been frozen and stored for 18 months would be “a futile exercise” and not represent the TCO2 concentration at the time of sampling.</w:t>
      </w:r>
    </w:p>
    <w:p w14:paraId="3BD27D31" w14:textId="77777777" w:rsidR="004A6FB4" w:rsidRPr="004A6FB4" w:rsidRDefault="004A6FB4" w:rsidP="004A6FB4">
      <w:pPr>
        <w:jc w:val="both"/>
        <w:rPr>
          <w:rFonts w:ascii="Calibri" w:eastAsia="Calibri" w:hAnsi="Calibri" w:cs="Times New Roman"/>
          <w:bCs/>
          <w:sz w:val="24"/>
          <w:szCs w:val="24"/>
          <w:lang w:eastAsia="en-US"/>
        </w:rPr>
      </w:pPr>
    </w:p>
    <w:p w14:paraId="356CB784" w14:textId="77777777" w:rsidR="004A6FB4" w:rsidRPr="004A6FB4" w:rsidRDefault="004A6FB4" w:rsidP="004A6FB4">
      <w:pPr>
        <w:jc w:val="both"/>
        <w:rPr>
          <w:rFonts w:ascii="Calibri" w:eastAsia="Calibri" w:hAnsi="Calibri" w:cs="Times New Roman"/>
          <w:bCs/>
          <w:sz w:val="24"/>
          <w:szCs w:val="24"/>
          <w:lang w:eastAsia="en-US"/>
        </w:rPr>
      </w:pPr>
      <w:r w:rsidRPr="004A6FB4">
        <w:rPr>
          <w:rFonts w:ascii="Calibri" w:eastAsia="Calibri" w:hAnsi="Calibri" w:cs="Times New Roman"/>
          <w:bCs/>
          <w:sz w:val="24"/>
          <w:szCs w:val="24"/>
          <w:lang w:eastAsia="en-US"/>
        </w:rPr>
        <w:t>For all of the above reasons, including the bearing in mind of the wording of the Rules, the application is dismissed.</w:t>
      </w:r>
    </w:p>
    <w:p w14:paraId="0266BF56" w14:textId="7B9C6D52" w:rsidR="00EA5457" w:rsidRPr="001309D8" w:rsidRDefault="00444707" w:rsidP="008659F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EA5457">
        <w:rPr>
          <w:rFonts w:ascii="Calibri" w:eastAsia="Calibri" w:hAnsi="Calibri" w:cs="Times New Roman"/>
          <w:bCs/>
          <w:sz w:val="24"/>
          <w:szCs w:val="24"/>
          <w:lang w:eastAsia="en-US"/>
        </w:rPr>
        <w:t xml:space="preserve"> </w:t>
      </w:r>
    </w:p>
    <w:p w14:paraId="09232AF3" w14:textId="302F7B14" w:rsidR="00722449" w:rsidRPr="003D53ED" w:rsidRDefault="00722449" w:rsidP="009B2909">
      <w:pPr>
        <w:pBdr>
          <w:bottom w:val="single" w:sz="12" w:space="1" w:color="auto"/>
        </w:pBdr>
        <w:spacing w:line="259" w:lineRule="auto"/>
        <w:rPr>
          <w:rFonts w:ascii="Calibri" w:eastAsia="Calibri" w:hAnsi="Calibri" w:cs="Times New Roman"/>
          <w:lang w:eastAsia="en-US"/>
        </w:rPr>
      </w:pPr>
    </w:p>
    <w:p w14:paraId="563106E1" w14:textId="269BB3F2" w:rsidR="00300B90" w:rsidRPr="003D53ED" w:rsidRDefault="00300B90" w:rsidP="009B2909">
      <w:pPr>
        <w:spacing w:line="259" w:lineRule="auto"/>
        <w:rPr>
          <w:rFonts w:ascii="Calibri" w:eastAsia="Calibri" w:hAnsi="Calibri" w:cs="Times New Roman"/>
          <w:lang w:eastAsia="en-US"/>
        </w:rPr>
      </w:pPr>
    </w:p>
    <w:p w14:paraId="07F39927" w14:textId="274B996E" w:rsidR="007868CF" w:rsidRPr="00C6552E" w:rsidRDefault="008659F9" w:rsidP="009B2909">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030C"/>
    <w:multiLevelType w:val="hybridMultilevel"/>
    <w:tmpl w:val="A76AFCD2"/>
    <w:lvl w:ilvl="0" w:tplc="6BE0ED3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1C75F1A"/>
    <w:multiLevelType w:val="hybridMultilevel"/>
    <w:tmpl w:val="84261428"/>
    <w:lvl w:ilvl="0" w:tplc="C14C0A1E">
      <w:start w:val="1"/>
      <w:numFmt w:val="lowerRoman"/>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4"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5"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6" w15:restartNumberingAfterBreak="0">
    <w:nsid w:val="16E57316"/>
    <w:multiLevelType w:val="hybridMultilevel"/>
    <w:tmpl w:val="D2E8A71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4B57C5"/>
    <w:multiLevelType w:val="hybridMultilevel"/>
    <w:tmpl w:val="A25E64E0"/>
    <w:lvl w:ilvl="0" w:tplc="C14C0A1E">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667786E"/>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0"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1" w15:restartNumberingAfterBreak="0">
    <w:nsid w:val="32F51F9E"/>
    <w:multiLevelType w:val="hybridMultilevel"/>
    <w:tmpl w:val="EB524088"/>
    <w:lvl w:ilvl="0" w:tplc="E3AAA5C4">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12"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4"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852F1"/>
    <w:multiLevelType w:val="hybridMultilevel"/>
    <w:tmpl w:val="3FC4A124"/>
    <w:lvl w:ilvl="0" w:tplc="E9C489FE">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21" w15:restartNumberingAfterBreak="0">
    <w:nsid w:val="57BD449E"/>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2"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3" w15:restartNumberingAfterBreak="0">
    <w:nsid w:val="5B7E38DC"/>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4" w15:restartNumberingAfterBreak="0">
    <w:nsid w:val="6170453E"/>
    <w:multiLevelType w:val="hybridMultilevel"/>
    <w:tmpl w:val="97AACF8A"/>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25" w15:restartNumberingAfterBreak="0">
    <w:nsid w:val="6BA61B2B"/>
    <w:multiLevelType w:val="hybridMultilevel"/>
    <w:tmpl w:val="114CEA5E"/>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6BFE44B1"/>
    <w:multiLevelType w:val="hybridMultilevel"/>
    <w:tmpl w:val="B4B86D3C"/>
    <w:lvl w:ilvl="0" w:tplc="AAB8DE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8"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9" w15:restartNumberingAfterBreak="0">
    <w:nsid w:val="7F38520E"/>
    <w:multiLevelType w:val="hybridMultilevel"/>
    <w:tmpl w:val="83BEA296"/>
    <w:lvl w:ilvl="0" w:tplc="48B8360A">
      <w:start w:val="10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5"/>
  </w:num>
  <w:num w:numId="2">
    <w:abstractNumId w:val="17"/>
  </w:num>
  <w:num w:numId="3">
    <w:abstractNumId w:val="19"/>
  </w:num>
  <w:num w:numId="4">
    <w:abstractNumId w:val="16"/>
  </w:num>
  <w:num w:numId="5">
    <w:abstractNumId w:val="22"/>
  </w:num>
  <w:num w:numId="6">
    <w:abstractNumId w:val="13"/>
  </w:num>
  <w:num w:numId="7">
    <w:abstractNumId w:val="10"/>
  </w:num>
  <w:num w:numId="8">
    <w:abstractNumId w:val="2"/>
  </w:num>
  <w:num w:numId="9">
    <w:abstractNumId w:val="18"/>
  </w:num>
  <w:num w:numId="10">
    <w:abstractNumId w:val="5"/>
  </w:num>
  <w:num w:numId="11">
    <w:abstractNumId w:val="7"/>
  </w:num>
  <w:num w:numId="12">
    <w:abstractNumId w:val="14"/>
  </w:num>
  <w:num w:numId="13">
    <w:abstractNumId w:val="4"/>
  </w:num>
  <w:num w:numId="14">
    <w:abstractNumId w:val="12"/>
  </w:num>
  <w:num w:numId="15">
    <w:abstractNumId w:val="3"/>
  </w:num>
  <w:num w:numId="16">
    <w:abstractNumId w:val="27"/>
  </w:num>
  <w:num w:numId="17">
    <w:abstractNumId w:val="28"/>
  </w:num>
  <w:num w:numId="18">
    <w:abstractNumId w:val="25"/>
  </w:num>
  <w:num w:numId="19">
    <w:abstractNumId w:val="0"/>
  </w:num>
  <w:num w:numId="20">
    <w:abstractNumId w:val="8"/>
  </w:num>
  <w:num w:numId="21">
    <w:abstractNumId w:val="1"/>
  </w:num>
  <w:num w:numId="22">
    <w:abstractNumId w:val="20"/>
  </w:num>
  <w:num w:numId="23">
    <w:abstractNumId w:val="11"/>
  </w:num>
  <w:num w:numId="24">
    <w:abstractNumId w:val="26"/>
  </w:num>
  <w:num w:numId="25">
    <w:abstractNumId w:val="6"/>
  </w:num>
  <w:num w:numId="26">
    <w:abstractNumId w:val="2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3"/>
  </w:num>
  <w:num w:numId="30">
    <w:abstractNumId w:val="9"/>
  </w:num>
  <w:num w:numId="31">
    <w:abstractNumId w:val="21"/>
  </w:num>
  <w:num w:numId="3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B86"/>
    <w:rsid w:val="000C1E6B"/>
    <w:rsid w:val="000C73F9"/>
    <w:rsid w:val="000E5309"/>
    <w:rsid w:val="000E5956"/>
    <w:rsid w:val="000F5A17"/>
    <w:rsid w:val="00100F14"/>
    <w:rsid w:val="00105417"/>
    <w:rsid w:val="0012029D"/>
    <w:rsid w:val="001203CF"/>
    <w:rsid w:val="00122152"/>
    <w:rsid w:val="001309D8"/>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3EFF"/>
    <w:rsid w:val="001C5CAD"/>
    <w:rsid w:val="001D5EA1"/>
    <w:rsid w:val="001F08BD"/>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3329"/>
    <w:rsid w:val="00374C2A"/>
    <w:rsid w:val="0037568F"/>
    <w:rsid w:val="003758D2"/>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3ED"/>
    <w:rsid w:val="003D5FFA"/>
    <w:rsid w:val="003D66B1"/>
    <w:rsid w:val="003E79ED"/>
    <w:rsid w:val="003F3628"/>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44707"/>
    <w:rsid w:val="00454090"/>
    <w:rsid w:val="00454B49"/>
    <w:rsid w:val="00456418"/>
    <w:rsid w:val="00456518"/>
    <w:rsid w:val="004609CC"/>
    <w:rsid w:val="00471D5C"/>
    <w:rsid w:val="00473D0D"/>
    <w:rsid w:val="0047776C"/>
    <w:rsid w:val="00480874"/>
    <w:rsid w:val="00491007"/>
    <w:rsid w:val="0049338D"/>
    <w:rsid w:val="00493E50"/>
    <w:rsid w:val="00495519"/>
    <w:rsid w:val="004A103B"/>
    <w:rsid w:val="004A3FBE"/>
    <w:rsid w:val="004A5123"/>
    <w:rsid w:val="004A6FB4"/>
    <w:rsid w:val="004A729B"/>
    <w:rsid w:val="004A7BBC"/>
    <w:rsid w:val="004B2C80"/>
    <w:rsid w:val="004C433B"/>
    <w:rsid w:val="004D1509"/>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3073"/>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8F"/>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338D"/>
    <w:rsid w:val="00674577"/>
    <w:rsid w:val="00676117"/>
    <w:rsid w:val="006816AD"/>
    <w:rsid w:val="00687F75"/>
    <w:rsid w:val="00695E3E"/>
    <w:rsid w:val="006A44B4"/>
    <w:rsid w:val="006A5698"/>
    <w:rsid w:val="006C1E79"/>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22449"/>
    <w:rsid w:val="00731ECA"/>
    <w:rsid w:val="00732D8F"/>
    <w:rsid w:val="007375F8"/>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800189"/>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3269"/>
    <w:rsid w:val="008653EC"/>
    <w:rsid w:val="008659F9"/>
    <w:rsid w:val="00867C1C"/>
    <w:rsid w:val="00870101"/>
    <w:rsid w:val="00871B7E"/>
    <w:rsid w:val="00872340"/>
    <w:rsid w:val="008728E7"/>
    <w:rsid w:val="00872DE1"/>
    <w:rsid w:val="00874DB2"/>
    <w:rsid w:val="008754EE"/>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C43D2"/>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15D"/>
    <w:rsid w:val="009654BE"/>
    <w:rsid w:val="00967409"/>
    <w:rsid w:val="00974A79"/>
    <w:rsid w:val="00976F47"/>
    <w:rsid w:val="009816F3"/>
    <w:rsid w:val="00982869"/>
    <w:rsid w:val="00984AF4"/>
    <w:rsid w:val="00984E21"/>
    <w:rsid w:val="00987A3B"/>
    <w:rsid w:val="009909ED"/>
    <w:rsid w:val="00996987"/>
    <w:rsid w:val="009A7521"/>
    <w:rsid w:val="009B2909"/>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2D5"/>
    <w:rsid w:val="00A64410"/>
    <w:rsid w:val="00A72796"/>
    <w:rsid w:val="00A72D45"/>
    <w:rsid w:val="00A744E1"/>
    <w:rsid w:val="00A805FE"/>
    <w:rsid w:val="00A812BA"/>
    <w:rsid w:val="00A835AE"/>
    <w:rsid w:val="00A855AC"/>
    <w:rsid w:val="00A85A29"/>
    <w:rsid w:val="00A86237"/>
    <w:rsid w:val="00A92DDC"/>
    <w:rsid w:val="00A93172"/>
    <w:rsid w:val="00AA018F"/>
    <w:rsid w:val="00AB5FFD"/>
    <w:rsid w:val="00AB7C0C"/>
    <w:rsid w:val="00AC1060"/>
    <w:rsid w:val="00AC2BA7"/>
    <w:rsid w:val="00AC691F"/>
    <w:rsid w:val="00AD5BE1"/>
    <w:rsid w:val="00AD62DF"/>
    <w:rsid w:val="00AE007D"/>
    <w:rsid w:val="00AE03D8"/>
    <w:rsid w:val="00AE4311"/>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41CE"/>
    <w:rsid w:val="00B552F2"/>
    <w:rsid w:val="00B55525"/>
    <w:rsid w:val="00B64429"/>
    <w:rsid w:val="00B72763"/>
    <w:rsid w:val="00B75B7E"/>
    <w:rsid w:val="00B85F74"/>
    <w:rsid w:val="00B86063"/>
    <w:rsid w:val="00B922DE"/>
    <w:rsid w:val="00B926E1"/>
    <w:rsid w:val="00B9298E"/>
    <w:rsid w:val="00B9303A"/>
    <w:rsid w:val="00B97F57"/>
    <w:rsid w:val="00BA02D7"/>
    <w:rsid w:val="00BA04C8"/>
    <w:rsid w:val="00BA26D8"/>
    <w:rsid w:val="00BA3A4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205A8"/>
    <w:rsid w:val="00C215FB"/>
    <w:rsid w:val="00C22CA3"/>
    <w:rsid w:val="00C3090E"/>
    <w:rsid w:val="00C35CD3"/>
    <w:rsid w:val="00C410C0"/>
    <w:rsid w:val="00C42EAA"/>
    <w:rsid w:val="00C43BAA"/>
    <w:rsid w:val="00C43D9D"/>
    <w:rsid w:val="00C4626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03AA"/>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4E45"/>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856D2"/>
    <w:rsid w:val="00E93C7C"/>
    <w:rsid w:val="00E9457B"/>
    <w:rsid w:val="00EA0F2F"/>
    <w:rsid w:val="00EA5457"/>
    <w:rsid w:val="00EA5F8A"/>
    <w:rsid w:val="00EB0ECC"/>
    <w:rsid w:val="00EB0F16"/>
    <w:rsid w:val="00EB2A88"/>
    <w:rsid w:val="00EB462D"/>
    <w:rsid w:val="00EB6F45"/>
    <w:rsid w:val="00EC524F"/>
    <w:rsid w:val="00ED11A1"/>
    <w:rsid w:val="00EE40CD"/>
    <w:rsid w:val="00EE4B93"/>
    <w:rsid w:val="00EF292A"/>
    <w:rsid w:val="00F00258"/>
    <w:rsid w:val="00F0693E"/>
    <w:rsid w:val="00F13EA0"/>
    <w:rsid w:val="00F14511"/>
    <w:rsid w:val="00F14E00"/>
    <w:rsid w:val="00F23F6F"/>
    <w:rsid w:val="00F25C26"/>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96933"/>
    <w:rsid w:val="00FB49EA"/>
    <w:rsid w:val="00FB58DB"/>
    <w:rsid w:val="00FC127C"/>
    <w:rsid w:val="00FC6C13"/>
    <w:rsid w:val="00FC70FF"/>
    <w:rsid w:val="00FD19C7"/>
    <w:rsid w:val="00FD3EE6"/>
    <w:rsid w:val="00FD6796"/>
    <w:rsid w:val="00FE74B6"/>
    <w:rsid w:val="00FF17CE"/>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266">
      <w:bodyDiv w:val="1"/>
      <w:marLeft w:val="0"/>
      <w:marRight w:val="0"/>
      <w:marTop w:val="0"/>
      <w:marBottom w:val="0"/>
      <w:divBdr>
        <w:top w:val="none" w:sz="0" w:space="0" w:color="auto"/>
        <w:left w:val="none" w:sz="0" w:space="0" w:color="auto"/>
        <w:bottom w:val="none" w:sz="0" w:space="0" w:color="auto"/>
        <w:right w:val="none" w:sz="0" w:space="0" w:color="auto"/>
      </w:divBdr>
    </w:div>
    <w:div w:id="328754593">
      <w:bodyDiv w:val="1"/>
      <w:marLeft w:val="0"/>
      <w:marRight w:val="0"/>
      <w:marTop w:val="0"/>
      <w:marBottom w:val="0"/>
      <w:divBdr>
        <w:top w:val="none" w:sz="0" w:space="0" w:color="auto"/>
        <w:left w:val="none" w:sz="0" w:space="0" w:color="auto"/>
        <w:bottom w:val="none" w:sz="0" w:space="0" w:color="auto"/>
        <w:right w:val="none" w:sz="0" w:space="0" w:color="auto"/>
      </w:divBdr>
    </w:div>
    <w:div w:id="832915192">
      <w:bodyDiv w:val="1"/>
      <w:marLeft w:val="0"/>
      <w:marRight w:val="0"/>
      <w:marTop w:val="0"/>
      <w:marBottom w:val="0"/>
      <w:divBdr>
        <w:top w:val="none" w:sz="0" w:space="0" w:color="auto"/>
        <w:left w:val="none" w:sz="0" w:space="0" w:color="auto"/>
        <w:bottom w:val="none" w:sz="0" w:space="0" w:color="auto"/>
        <w:right w:val="none" w:sz="0" w:space="0" w:color="auto"/>
      </w:divBdr>
    </w:div>
    <w:div w:id="1005474951">
      <w:bodyDiv w:val="1"/>
      <w:marLeft w:val="0"/>
      <w:marRight w:val="0"/>
      <w:marTop w:val="0"/>
      <w:marBottom w:val="0"/>
      <w:divBdr>
        <w:top w:val="none" w:sz="0" w:space="0" w:color="auto"/>
        <w:left w:val="none" w:sz="0" w:space="0" w:color="auto"/>
        <w:bottom w:val="none" w:sz="0" w:space="0" w:color="auto"/>
        <w:right w:val="none" w:sz="0" w:space="0" w:color="auto"/>
      </w:divBdr>
    </w:div>
    <w:div w:id="14050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2021-03-01T05:35:00Z</cp:lastPrinted>
  <dcterms:created xsi:type="dcterms:W3CDTF">2021-02-15T00:37:00Z</dcterms:created>
  <dcterms:modified xsi:type="dcterms:W3CDTF">2021-03-01T05:36:00Z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