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6085" w14:textId="77777777" w:rsidR="00AF340F" w:rsidRPr="00AF340F" w:rsidRDefault="00AF340F" w:rsidP="00AF340F">
      <w:pPr>
        <w:pStyle w:val="Covertitle"/>
        <w:spacing w:before="1560"/>
      </w:pPr>
    </w:p>
    <w:p w14:paraId="1AA67225" w14:textId="54889E57" w:rsidR="001B51C7" w:rsidRPr="00FF2FD7" w:rsidRDefault="001B51C7" w:rsidP="00AF340F">
      <w:pPr>
        <w:pStyle w:val="Covertitle"/>
        <w:rPr>
          <w:sz w:val="32"/>
          <w:szCs w:val="32"/>
        </w:rPr>
      </w:pPr>
      <w:r w:rsidRPr="00FF2FD7">
        <w:rPr>
          <w:sz w:val="32"/>
          <w:szCs w:val="32"/>
        </w:rPr>
        <w:t>A</w:t>
      </w:r>
      <w:r w:rsidR="003052AB" w:rsidRPr="00FF2FD7">
        <w:rPr>
          <w:sz w:val="32"/>
          <w:szCs w:val="32"/>
        </w:rPr>
        <w:t>dult</w:t>
      </w:r>
      <w:r w:rsidRPr="00FF2FD7">
        <w:rPr>
          <w:sz w:val="32"/>
          <w:szCs w:val="32"/>
        </w:rPr>
        <w:t>, C</w:t>
      </w:r>
      <w:r w:rsidR="003052AB" w:rsidRPr="00FF2FD7">
        <w:rPr>
          <w:sz w:val="32"/>
          <w:szCs w:val="32"/>
        </w:rPr>
        <w:t>ommunity</w:t>
      </w:r>
      <w:r w:rsidRPr="00FF2FD7">
        <w:rPr>
          <w:sz w:val="32"/>
          <w:szCs w:val="32"/>
        </w:rPr>
        <w:t xml:space="preserve"> </w:t>
      </w:r>
      <w:r w:rsidR="003052AB" w:rsidRPr="00FF2FD7">
        <w:rPr>
          <w:sz w:val="32"/>
          <w:szCs w:val="32"/>
        </w:rPr>
        <w:t>and</w:t>
      </w:r>
      <w:r w:rsidRPr="00FF2FD7">
        <w:rPr>
          <w:sz w:val="32"/>
          <w:szCs w:val="32"/>
        </w:rPr>
        <w:t xml:space="preserve"> F</w:t>
      </w:r>
      <w:r w:rsidR="003052AB" w:rsidRPr="00FF2FD7">
        <w:rPr>
          <w:sz w:val="32"/>
          <w:szCs w:val="32"/>
        </w:rPr>
        <w:t>urther</w:t>
      </w:r>
      <w:r w:rsidRPr="00FF2FD7">
        <w:rPr>
          <w:sz w:val="32"/>
          <w:szCs w:val="32"/>
        </w:rPr>
        <w:t xml:space="preserve"> E</w:t>
      </w:r>
      <w:r w:rsidR="003052AB" w:rsidRPr="00FF2FD7">
        <w:rPr>
          <w:sz w:val="32"/>
          <w:szCs w:val="32"/>
        </w:rPr>
        <w:t>ducation</w:t>
      </w:r>
      <w:r w:rsidRPr="00FF2FD7">
        <w:rPr>
          <w:sz w:val="32"/>
          <w:szCs w:val="32"/>
        </w:rPr>
        <w:t xml:space="preserve"> B</w:t>
      </w:r>
      <w:r w:rsidR="003052AB" w:rsidRPr="00FF2FD7">
        <w:rPr>
          <w:sz w:val="32"/>
          <w:szCs w:val="32"/>
        </w:rPr>
        <w:t>oard</w:t>
      </w:r>
    </w:p>
    <w:p w14:paraId="5C67B29B" w14:textId="77777777" w:rsidR="005149CA" w:rsidRPr="002B0793" w:rsidRDefault="001B51C7" w:rsidP="00AF340F">
      <w:pPr>
        <w:pStyle w:val="Covertitle"/>
        <w:rPr>
          <w:sz w:val="56"/>
          <w:szCs w:val="56"/>
        </w:rPr>
      </w:pPr>
      <w:r w:rsidRPr="002B0793">
        <w:rPr>
          <w:sz w:val="56"/>
          <w:szCs w:val="56"/>
        </w:rPr>
        <w:t>202</w:t>
      </w:r>
      <w:r w:rsidR="00DD02BA" w:rsidRPr="002B0793">
        <w:rPr>
          <w:sz w:val="56"/>
          <w:szCs w:val="56"/>
        </w:rPr>
        <w:t>3</w:t>
      </w:r>
      <w:r w:rsidRPr="002B0793">
        <w:rPr>
          <w:sz w:val="56"/>
          <w:szCs w:val="56"/>
        </w:rPr>
        <w:t xml:space="preserve"> </w:t>
      </w:r>
      <w:r w:rsidR="00CF0FE4" w:rsidRPr="002B0793">
        <w:rPr>
          <w:sz w:val="56"/>
          <w:szCs w:val="56"/>
        </w:rPr>
        <w:t>P</w:t>
      </w:r>
      <w:r w:rsidR="003052AB" w:rsidRPr="002B0793">
        <w:rPr>
          <w:sz w:val="56"/>
          <w:szCs w:val="56"/>
        </w:rPr>
        <w:t>re</w:t>
      </w:r>
      <w:r w:rsidR="00CF0FE4" w:rsidRPr="002B0793">
        <w:rPr>
          <w:sz w:val="56"/>
          <w:szCs w:val="56"/>
        </w:rPr>
        <w:t>-</w:t>
      </w:r>
      <w:r w:rsidR="003052AB" w:rsidRPr="002B0793">
        <w:rPr>
          <w:sz w:val="56"/>
          <w:szCs w:val="56"/>
        </w:rPr>
        <w:t xml:space="preserve">accredited </w:t>
      </w:r>
      <w:r w:rsidR="00CF0FE4" w:rsidRPr="002B0793">
        <w:rPr>
          <w:sz w:val="56"/>
          <w:szCs w:val="56"/>
        </w:rPr>
        <w:t>T</w:t>
      </w:r>
      <w:r w:rsidR="003052AB" w:rsidRPr="002B0793">
        <w:rPr>
          <w:sz w:val="56"/>
          <w:szCs w:val="56"/>
        </w:rPr>
        <w:t>raining</w:t>
      </w:r>
      <w:r w:rsidR="00CF0FE4" w:rsidRPr="002B0793">
        <w:rPr>
          <w:sz w:val="56"/>
          <w:szCs w:val="56"/>
        </w:rPr>
        <w:br/>
        <w:t>D</w:t>
      </w:r>
      <w:r w:rsidR="003052AB" w:rsidRPr="002B0793">
        <w:rPr>
          <w:sz w:val="56"/>
          <w:szCs w:val="56"/>
        </w:rPr>
        <w:t xml:space="preserve">ata </w:t>
      </w:r>
      <w:r w:rsidR="00CF0FE4" w:rsidRPr="002B0793">
        <w:rPr>
          <w:sz w:val="56"/>
          <w:szCs w:val="56"/>
        </w:rPr>
        <w:t>E</w:t>
      </w:r>
      <w:r w:rsidR="003052AB" w:rsidRPr="002B0793">
        <w:rPr>
          <w:sz w:val="56"/>
          <w:szCs w:val="56"/>
        </w:rPr>
        <w:t>ntry</w:t>
      </w:r>
      <w:r w:rsidR="00CF0FE4" w:rsidRPr="002B0793">
        <w:rPr>
          <w:sz w:val="56"/>
          <w:szCs w:val="56"/>
        </w:rPr>
        <w:t xml:space="preserve"> </w:t>
      </w:r>
      <w:r w:rsidR="003052AB" w:rsidRPr="002B0793">
        <w:rPr>
          <w:sz w:val="56"/>
          <w:szCs w:val="56"/>
        </w:rPr>
        <w:t>and</w:t>
      </w:r>
      <w:r w:rsidR="00CF0FE4" w:rsidRPr="002B0793">
        <w:rPr>
          <w:sz w:val="56"/>
          <w:szCs w:val="56"/>
        </w:rPr>
        <w:t xml:space="preserve"> R</w:t>
      </w:r>
      <w:r w:rsidR="003052AB" w:rsidRPr="002B0793">
        <w:rPr>
          <w:sz w:val="56"/>
          <w:szCs w:val="56"/>
        </w:rPr>
        <w:t>eporting</w:t>
      </w:r>
      <w:r w:rsidRPr="002B0793">
        <w:rPr>
          <w:sz w:val="56"/>
          <w:szCs w:val="56"/>
        </w:rPr>
        <w:t xml:space="preserve"> G</w:t>
      </w:r>
      <w:r w:rsidR="003052AB" w:rsidRPr="002B0793">
        <w:rPr>
          <w:sz w:val="56"/>
          <w:szCs w:val="56"/>
        </w:rPr>
        <w:t>uidelines</w:t>
      </w:r>
    </w:p>
    <w:p w14:paraId="378113DB" w14:textId="35E63ABA" w:rsidR="002A5654" w:rsidRPr="005149CA" w:rsidRDefault="005149CA" w:rsidP="00AF340F">
      <w:pPr>
        <w:pStyle w:val="Covertitle"/>
        <w:rPr>
          <w:sz w:val="56"/>
          <w:szCs w:val="56"/>
        </w:rPr>
      </w:pPr>
      <w:r>
        <w:rPr>
          <w:noProof/>
        </w:rPr>
        <w:drawing>
          <wp:anchor distT="0" distB="0" distL="114300" distR="114300" simplePos="0" relativeHeight="251658240" behindDoc="0" locked="0" layoutInCell="1" allowOverlap="1" wp14:anchorId="3A296A00" wp14:editId="0138ACF4">
            <wp:simplePos x="0" y="0"/>
            <wp:positionH relativeFrom="column">
              <wp:posOffset>-139065</wp:posOffset>
            </wp:positionH>
            <wp:positionV relativeFrom="paragraph">
              <wp:posOffset>4645025</wp:posOffset>
            </wp:positionV>
            <wp:extent cx="3638550" cy="1044575"/>
            <wp:effectExtent l="0" t="0" r="0" b="3175"/>
            <wp:wrapThrough wrapText="bothSides">
              <wp:wrapPolygon edited="0">
                <wp:start x="0" y="0"/>
                <wp:lineTo x="0" y="21272"/>
                <wp:lineTo x="21487" y="21272"/>
                <wp:lineTo x="21487"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BF6FB" w14:textId="572D34CF" w:rsidR="001B51C7" w:rsidRPr="00500666" w:rsidRDefault="001B51C7" w:rsidP="000757C1">
      <w:pPr>
        <w:pStyle w:val="Heading2"/>
        <w:sectPr w:rsidR="001B51C7" w:rsidRPr="00500666" w:rsidSect="00A63D55">
          <w:headerReference w:type="default" r:id="rId9"/>
          <w:footerReference w:type="default" r:id="rId10"/>
          <w:pgSz w:w="11900" w:h="16840"/>
          <w:pgMar w:top="992" w:right="1134" w:bottom="1701" w:left="1134" w:header="709" w:footer="709" w:gutter="0"/>
          <w:cols w:space="708"/>
          <w:docGrid w:linePitch="360"/>
        </w:sectPr>
      </w:pPr>
    </w:p>
    <w:p w14:paraId="111EB914" w14:textId="725A40D4" w:rsidR="001B51C7" w:rsidRDefault="001B51C7" w:rsidP="00AF340F">
      <w:pPr>
        <w:pStyle w:val="ESHeading1"/>
      </w:pPr>
    </w:p>
    <w:bookmarkStart w:id="0" w:name="_Toc14362139" w:displacedByCustomXml="next"/>
    <w:bookmarkStart w:id="1" w:name="_Toc14423855" w:displacedByCustomXml="next"/>
    <w:bookmarkStart w:id="2" w:name="_Toc9002541" w:displacedByCustomXml="next"/>
    <w:bookmarkStart w:id="3" w:name="_Toc9350957" w:displacedByCustomXml="next"/>
    <w:bookmarkStart w:id="4" w:name="_Toc10718399" w:displacedByCustomXml="next"/>
    <w:sdt>
      <w:sdtPr>
        <w:rPr>
          <w:rFonts w:eastAsiaTheme="minorHAnsi" w:cstheme="minorBidi"/>
          <w:b w:val="0"/>
          <w:color w:val="auto"/>
          <w:sz w:val="22"/>
          <w:szCs w:val="24"/>
          <w:lang w:val="en-AU"/>
        </w:rPr>
        <w:id w:val="2046253573"/>
        <w:docPartObj>
          <w:docPartGallery w:val="Table of Contents"/>
          <w:docPartUnique/>
        </w:docPartObj>
      </w:sdtPr>
      <w:sdtEndPr>
        <w:rPr>
          <w:bCs/>
          <w:noProof/>
        </w:rPr>
      </w:sdtEndPr>
      <w:sdtContent>
        <w:p w14:paraId="1E33AEF6" w14:textId="2ACE0755" w:rsidR="00C85E21" w:rsidRDefault="00C85E21" w:rsidP="0010167E">
          <w:pPr>
            <w:pStyle w:val="TOCHeading"/>
          </w:pPr>
          <w:r>
            <w:t>Contents</w:t>
          </w:r>
        </w:p>
        <w:p w14:paraId="333FB620" w14:textId="48232833" w:rsidR="00D961B9" w:rsidRDefault="00612904">
          <w:pPr>
            <w:pStyle w:val="TOC1"/>
            <w:rPr>
              <w:rFonts w:asciiTheme="minorHAnsi" w:eastAsiaTheme="minorEastAsia" w:hAnsiTheme="minorHAnsi" w:cstheme="minorBidi"/>
              <w:bCs w:val="0"/>
              <w:szCs w:val="22"/>
              <w:lang w:eastAsia="en-AU"/>
            </w:rPr>
          </w:pPr>
          <w:r>
            <w:rPr>
              <w:bCs w:val="0"/>
            </w:rPr>
            <w:fldChar w:fldCharType="begin"/>
          </w:r>
          <w:r>
            <w:rPr>
              <w:bCs w:val="0"/>
            </w:rPr>
            <w:instrText xml:space="preserve"> TOC \o "1-2" \h \z \u </w:instrText>
          </w:r>
          <w:r>
            <w:rPr>
              <w:bCs w:val="0"/>
            </w:rPr>
            <w:fldChar w:fldCharType="separate"/>
          </w:r>
          <w:hyperlink w:anchor="_Toc115971690" w:history="1">
            <w:r w:rsidR="00D961B9" w:rsidRPr="00522B96">
              <w:rPr>
                <w:rStyle w:val="Hyperlink"/>
              </w:rPr>
              <w:t>Introduction</w:t>
            </w:r>
            <w:r w:rsidR="00D961B9">
              <w:rPr>
                <w:webHidden/>
              </w:rPr>
              <w:tab/>
            </w:r>
            <w:r w:rsidR="00D961B9">
              <w:rPr>
                <w:webHidden/>
              </w:rPr>
              <w:fldChar w:fldCharType="begin"/>
            </w:r>
            <w:r w:rsidR="00D961B9">
              <w:rPr>
                <w:webHidden/>
              </w:rPr>
              <w:instrText xml:space="preserve"> PAGEREF _Toc115971690 \h </w:instrText>
            </w:r>
            <w:r w:rsidR="00D961B9">
              <w:rPr>
                <w:webHidden/>
              </w:rPr>
            </w:r>
            <w:r w:rsidR="00D961B9">
              <w:rPr>
                <w:webHidden/>
              </w:rPr>
              <w:fldChar w:fldCharType="separate"/>
            </w:r>
            <w:r w:rsidR="00C219B2">
              <w:rPr>
                <w:webHidden/>
              </w:rPr>
              <w:t>3</w:t>
            </w:r>
            <w:r w:rsidR="00D961B9">
              <w:rPr>
                <w:webHidden/>
              </w:rPr>
              <w:fldChar w:fldCharType="end"/>
            </w:r>
          </w:hyperlink>
        </w:p>
        <w:p w14:paraId="2E3AC57D" w14:textId="39AC49E4" w:rsidR="00D961B9" w:rsidRDefault="00FF7878">
          <w:pPr>
            <w:pStyle w:val="TOC1"/>
            <w:rPr>
              <w:rFonts w:asciiTheme="minorHAnsi" w:eastAsiaTheme="minorEastAsia" w:hAnsiTheme="minorHAnsi" w:cstheme="minorBidi"/>
              <w:bCs w:val="0"/>
              <w:szCs w:val="22"/>
              <w:lang w:eastAsia="en-AU"/>
            </w:rPr>
          </w:pPr>
          <w:hyperlink w:anchor="_Toc115971691" w:history="1">
            <w:r w:rsidR="00D961B9" w:rsidRPr="00522B96">
              <w:rPr>
                <w:rStyle w:val="Hyperlink"/>
              </w:rPr>
              <w:t>Your Service Agreement – overall reporting requirements</w:t>
            </w:r>
            <w:r w:rsidR="00D961B9">
              <w:rPr>
                <w:webHidden/>
              </w:rPr>
              <w:tab/>
            </w:r>
            <w:r w:rsidR="00D961B9">
              <w:rPr>
                <w:webHidden/>
              </w:rPr>
              <w:fldChar w:fldCharType="begin"/>
            </w:r>
            <w:r w:rsidR="00D961B9">
              <w:rPr>
                <w:webHidden/>
              </w:rPr>
              <w:instrText xml:space="preserve"> PAGEREF _Toc115971691 \h </w:instrText>
            </w:r>
            <w:r w:rsidR="00D961B9">
              <w:rPr>
                <w:webHidden/>
              </w:rPr>
            </w:r>
            <w:r w:rsidR="00D961B9">
              <w:rPr>
                <w:webHidden/>
              </w:rPr>
              <w:fldChar w:fldCharType="separate"/>
            </w:r>
            <w:r w:rsidR="00C219B2">
              <w:rPr>
                <w:webHidden/>
              </w:rPr>
              <w:t>3</w:t>
            </w:r>
            <w:r w:rsidR="00D961B9">
              <w:rPr>
                <w:webHidden/>
              </w:rPr>
              <w:fldChar w:fldCharType="end"/>
            </w:r>
          </w:hyperlink>
        </w:p>
        <w:p w14:paraId="1FB71A6A" w14:textId="485FBDE3" w:rsidR="00D961B9" w:rsidRDefault="00FF7878">
          <w:pPr>
            <w:pStyle w:val="TOC1"/>
            <w:rPr>
              <w:rFonts w:asciiTheme="minorHAnsi" w:eastAsiaTheme="minorEastAsia" w:hAnsiTheme="minorHAnsi" w:cstheme="minorBidi"/>
              <w:bCs w:val="0"/>
              <w:szCs w:val="22"/>
              <w:lang w:eastAsia="en-AU"/>
            </w:rPr>
          </w:pPr>
          <w:hyperlink w:anchor="_Toc115971692" w:history="1">
            <w:r w:rsidR="00D961B9" w:rsidRPr="00522B96">
              <w:rPr>
                <w:rStyle w:val="Hyperlink"/>
              </w:rPr>
              <w:t>What’s new in 2023?</w:t>
            </w:r>
            <w:r w:rsidR="00D961B9">
              <w:rPr>
                <w:webHidden/>
              </w:rPr>
              <w:tab/>
            </w:r>
            <w:r w:rsidR="00D961B9">
              <w:rPr>
                <w:webHidden/>
              </w:rPr>
              <w:fldChar w:fldCharType="begin"/>
            </w:r>
            <w:r w:rsidR="00D961B9">
              <w:rPr>
                <w:webHidden/>
              </w:rPr>
              <w:instrText xml:space="preserve"> PAGEREF _Toc115971692 \h </w:instrText>
            </w:r>
            <w:r w:rsidR="00D961B9">
              <w:rPr>
                <w:webHidden/>
              </w:rPr>
            </w:r>
            <w:r w:rsidR="00D961B9">
              <w:rPr>
                <w:webHidden/>
              </w:rPr>
              <w:fldChar w:fldCharType="separate"/>
            </w:r>
            <w:r w:rsidR="00C219B2">
              <w:rPr>
                <w:webHidden/>
              </w:rPr>
              <w:t>4</w:t>
            </w:r>
            <w:r w:rsidR="00D961B9">
              <w:rPr>
                <w:webHidden/>
              </w:rPr>
              <w:fldChar w:fldCharType="end"/>
            </w:r>
          </w:hyperlink>
        </w:p>
        <w:p w14:paraId="4E7D0B5B" w14:textId="43DA87D3" w:rsidR="00D961B9" w:rsidRDefault="00FF7878">
          <w:pPr>
            <w:pStyle w:val="TOC1"/>
            <w:rPr>
              <w:rFonts w:asciiTheme="minorHAnsi" w:eastAsiaTheme="minorEastAsia" w:hAnsiTheme="minorHAnsi" w:cstheme="minorBidi"/>
              <w:bCs w:val="0"/>
              <w:szCs w:val="22"/>
              <w:lang w:eastAsia="en-AU"/>
            </w:rPr>
          </w:pPr>
          <w:hyperlink w:anchor="_Toc115971693" w:history="1">
            <w:r w:rsidR="00D961B9" w:rsidRPr="00522B96">
              <w:rPr>
                <w:rStyle w:val="Hyperlink"/>
              </w:rPr>
              <w:t>Entering General Pre-accredited and Digital Skills enrolment data into your SMS</w:t>
            </w:r>
            <w:r w:rsidR="00D961B9">
              <w:rPr>
                <w:webHidden/>
              </w:rPr>
              <w:tab/>
            </w:r>
            <w:r w:rsidR="00D961B9">
              <w:rPr>
                <w:webHidden/>
              </w:rPr>
              <w:fldChar w:fldCharType="begin"/>
            </w:r>
            <w:r w:rsidR="00D961B9">
              <w:rPr>
                <w:webHidden/>
              </w:rPr>
              <w:instrText xml:space="preserve"> PAGEREF _Toc115971693 \h </w:instrText>
            </w:r>
            <w:r w:rsidR="00D961B9">
              <w:rPr>
                <w:webHidden/>
              </w:rPr>
            </w:r>
            <w:r w:rsidR="00D961B9">
              <w:rPr>
                <w:webHidden/>
              </w:rPr>
              <w:fldChar w:fldCharType="separate"/>
            </w:r>
            <w:r w:rsidR="00C219B2">
              <w:rPr>
                <w:webHidden/>
              </w:rPr>
              <w:t>5</w:t>
            </w:r>
            <w:r w:rsidR="00D961B9">
              <w:rPr>
                <w:webHidden/>
              </w:rPr>
              <w:fldChar w:fldCharType="end"/>
            </w:r>
          </w:hyperlink>
        </w:p>
        <w:p w14:paraId="2E297A67" w14:textId="4C6F8B0B" w:rsidR="00D961B9" w:rsidRDefault="00FF7878">
          <w:pPr>
            <w:pStyle w:val="TOC1"/>
            <w:rPr>
              <w:rFonts w:asciiTheme="minorHAnsi" w:eastAsiaTheme="minorEastAsia" w:hAnsiTheme="minorHAnsi" w:cstheme="minorBidi"/>
              <w:bCs w:val="0"/>
              <w:szCs w:val="22"/>
              <w:lang w:eastAsia="en-AU"/>
            </w:rPr>
          </w:pPr>
          <w:hyperlink w:anchor="_Toc115971694" w:history="1">
            <w:r w:rsidR="00D961B9" w:rsidRPr="00522B96">
              <w:rPr>
                <w:rStyle w:val="Hyperlink"/>
              </w:rPr>
              <w:t>Reporting enrolment information</w:t>
            </w:r>
            <w:r w:rsidR="00D961B9">
              <w:rPr>
                <w:webHidden/>
              </w:rPr>
              <w:tab/>
            </w:r>
            <w:r w:rsidR="00D961B9">
              <w:rPr>
                <w:webHidden/>
              </w:rPr>
              <w:fldChar w:fldCharType="begin"/>
            </w:r>
            <w:r w:rsidR="00D961B9">
              <w:rPr>
                <w:webHidden/>
              </w:rPr>
              <w:instrText xml:space="preserve"> PAGEREF _Toc115971694 \h </w:instrText>
            </w:r>
            <w:r w:rsidR="00D961B9">
              <w:rPr>
                <w:webHidden/>
              </w:rPr>
            </w:r>
            <w:r w:rsidR="00D961B9">
              <w:rPr>
                <w:webHidden/>
              </w:rPr>
              <w:fldChar w:fldCharType="separate"/>
            </w:r>
            <w:r w:rsidR="00C219B2">
              <w:rPr>
                <w:webHidden/>
              </w:rPr>
              <w:t>7</w:t>
            </w:r>
            <w:r w:rsidR="00D961B9">
              <w:rPr>
                <w:webHidden/>
              </w:rPr>
              <w:fldChar w:fldCharType="end"/>
            </w:r>
          </w:hyperlink>
        </w:p>
        <w:p w14:paraId="08497AD1" w14:textId="02D07F30" w:rsidR="00D961B9" w:rsidRDefault="00FF7878">
          <w:pPr>
            <w:pStyle w:val="TOC2"/>
            <w:rPr>
              <w:rFonts w:asciiTheme="minorHAnsi" w:eastAsiaTheme="minorEastAsia" w:hAnsiTheme="minorHAnsi" w:cstheme="minorBidi"/>
              <w:noProof/>
              <w:szCs w:val="22"/>
              <w:lang w:eastAsia="en-AU"/>
            </w:rPr>
          </w:pPr>
          <w:hyperlink w:anchor="_Toc115971695" w:history="1">
            <w:r w:rsidR="00D961B9" w:rsidRPr="00522B96">
              <w:rPr>
                <w:rStyle w:val="Hyperlink"/>
                <w:noProof/>
              </w:rPr>
              <w:t>Payment and reporting requirements</w:t>
            </w:r>
            <w:r w:rsidR="00D961B9">
              <w:rPr>
                <w:noProof/>
                <w:webHidden/>
              </w:rPr>
              <w:tab/>
            </w:r>
            <w:r w:rsidR="00D961B9">
              <w:rPr>
                <w:noProof/>
                <w:webHidden/>
              </w:rPr>
              <w:fldChar w:fldCharType="begin"/>
            </w:r>
            <w:r w:rsidR="00D961B9">
              <w:rPr>
                <w:noProof/>
                <w:webHidden/>
              </w:rPr>
              <w:instrText xml:space="preserve"> PAGEREF _Toc115971695 \h </w:instrText>
            </w:r>
            <w:r w:rsidR="00D961B9">
              <w:rPr>
                <w:noProof/>
                <w:webHidden/>
              </w:rPr>
            </w:r>
            <w:r w:rsidR="00D961B9">
              <w:rPr>
                <w:noProof/>
                <w:webHidden/>
              </w:rPr>
              <w:fldChar w:fldCharType="separate"/>
            </w:r>
            <w:r w:rsidR="00C219B2">
              <w:rPr>
                <w:noProof/>
                <w:webHidden/>
              </w:rPr>
              <w:t>7</w:t>
            </w:r>
            <w:r w:rsidR="00D961B9">
              <w:rPr>
                <w:noProof/>
                <w:webHidden/>
              </w:rPr>
              <w:fldChar w:fldCharType="end"/>
            </w:r>
          </w:hyperlink>
        </w:p>
        <w:p w14:paraId="05F95CA6" w14:textId="4B8BBE65" w:rsidR="00D961B9" w:rsidRDefault="00FF7878">
          <w:pPr>
            <w:pStyle w:val="TOC2"/>
            <w:rPr>
              <w:rFonts w:asciiTheme="minorHAnsi" w:eastAsiaTheme="minorEastAsia" w:hAnsiTheme="minorHAnsi" w:cstheme="minorBidi"/>
              <w:noProof/>
              <w:szCs w:val="22"/>
              <w:lang w:eastAsia="en-AU"/>
            </w:rPr>
          </w:pPr>
          <w:hyperlink w:anchor="_Toc115971696" w:history="1">
            <w:r w:rsidR="00D961B9" w:rsidRPr="00522B96">
              <w:rPr>
                <w:rStyle w:val="Hyperlink"/>
                <w:noProof/>
              </w:rPr>
              <w:t>How often should data be submitted to SVTS?</w:t>
            </w:r>
            <w:r w:rsidR="00D961B9">
              <w:rPr>
                <w:noProof/>
                <w:webHidden/>
              </w:rPr>
              <w:tab/>
            </w:r>
            <w:r w:rsidR="00D961B9">
              <w:rPr>
                <w:noProof/>
                <w:webHidden/>
              </w:rPr>
              <w:fldChar w:fldCharType="begin"/>
            </w:r>
            <w:r w:rsidR="00D961B9">
              <w:rPr>
                <w:noProof/>
                <w:webHidden/>
              </w:rPr>
              <w:instrText xml:space="preserve"> PAGEREF _Toc115971696 \h </w:instrText>
            </w:r>
            <w:r w:rsidR="00D961B9">
              <w:rPr>
                <w:noProof/>
                <w:webHidden/>
              </w:rPr>
            </w:r>
            <w:r w:rsidR="00D961B9">
              <w:rPr>
                <w:noProof/>
                <w:webHidden/>
              </w:rPr>
              <w:fldChar w:fldCharType="separate"/>
            </w:r>
            <w:r w:rsidR="00C219B2">
              <w:rPr>
                <w:noProof/>
                <w:webHidden/>
              </w:rPr>
              <w:t>8</w:t>
            </w:r>
            <w:r w:rsidR="00D961B9">
              <w:rPr>
                <w:noProof/>
                <w:webHidden/>
              </w:rPr>
              <w:fldChar w:fldCharType="end"/>
            </w:r>
          </w:hyperlink>
        </w:p>
        <w:p w14:paraId="4A641309" w14:textId="78B200D1" w:rsidR="00D961B9" w:rsidRDefault="00FF7878">
          <w:pPr>
            <w:pStyle w:val="TOC2"/>
            <w:rPr>
              <w:rFonts w:asciiTheme="minorHAnsi" w:eastAsiaTheme="minorEastAsia" w:hAnsiTheme="minorHAnsi" w:cstheme="minorBidi"/>
              <w:noProof/>
              <w:szCs w:val="22"/>
              <w:lang w:eastAsia="en-AU"/>
            </w:rPr>
          </w:pPr>
          <w:hyperlink w:anchor="_Toc115971697" w:history="1">
            <w:r w:rsidR="00D961B9" w:rsidRPr="00522B96">
              <w:rPr>
                <w:rStyle w:val="Hyperlink"/>
                <w:noProof/>
              </w:rPr>
              <w:t>Accessing and using the Skills Victoria Training System (SVTS)</w:t>
            </w:r>
            <w:r w:rsidR="00D961B9">
              <w:rPr>
                <w:noProof/>
                <w:webHidden/>
              </w:rPr>
              <w:tab/>
            </w:r>
            <w:r w:rsidR="00D961B9">
              <w:rPr>
                <w:noProof/>
                <w:webHidden/>
              </w:rPr>
              <w:fldChar w:fldCharType="begin"/>
            </w:r>
            <w:r w:rsidR="00D961B9">
              <w:rPr>
                <w:noProof/>
                <w:webHidden/>
              </w:rPr>
              <w:instrText xml:space="preserve"> PAGEREF _Toc115971697 \h </w:instrText>
            </w:r>
            <w:r w:rsidR="00D961B9">
              <w:rPr>
                <w:noProof/>
                <w:webHidden/>
              </w:rPr>
            </w:r>
            <w:r w:rsidR="00D961B9">
              <w:rPr>
                <w:noProof/>
                <w:webHidden/>
              </w:rPr>
              <w:fldChar w:fldCharType="separate"/>
            </w:r>
            <w:r w:rsidR="00C219B2">
              <w:rPr>
                <w:noProof/>
                <w:webHidden/>
              </w:rPr>
              <w:t>8</w:t>
            </w:r>
            <w:r w:rsidR="00D961B9">
              <w:rPr>
                <w:noProof/>
                <w:webHidden/>
              </w:rPr>
              <w:fldChar w:fldCharType="end"/>
            </w:r>
          </w:hyperlink>
        </w:p>
        <w:p w14:paraId="3FCBD322" w14:textId="7C3B2C17" w:rsidR="00C85E21" w:rsidRDefault="00612904">
          <w:r>
            <w:rPr>
              <w:rFonts w:cs="Calibri Light"/>
              <w:bCs/>
              <w:noProof/>
              <w:szCs w:val="20"/>
            </w:rPr>
            <w:fldChar w:fldCharType="end"/>
          </w:r>
        </w:p>
      </w:sdtContent>
    </w:sdt>
    <w:p w14:paraId="22AA2F00" w14:textId="7B558C4B" w:rsidR="002E12CD" w:rsidRDefault="002E12CD" w:rsidP="002E12CD">
      <w:pPr>
        <w:pStyle w:val="ESHeading1"/>
      </w:pPr>
    </w:p>
    <w:p w14:paraId="38258E6F" w14:textId="11BFEA2C" w:rsidR="00A2194E" w:rsidRDefault="00A2194E">
      <w:pPr>
        <w:spacing w:after="0" w:line="240" w:lineRule="auto"/>
        <w:rPr>
          <w:rFonts w:eastAsiaTheme="majorEastAsia" w:cstheme="majorBidi"/>
          <w:b/>
          <w:color w:val="004EA8" w:themeColor="accent1"/>
          <w:sz w:val="32"/>
          <w:szCs w:val="32"/>
        </w:rPr>
      </w:pPr>
      <w:bookmarkStart w:id="5" w:name="_Toc115258870"/>
      <w:r>
        <w:br w:type="page"/>
      </w:r>
    </w:p>
    <w:p w14:paraId="7E047F6D" w14:textId="29CCFD7E" w:rsidR="002D124A" w:rsidRDefault="002D124A" w:rsidP="004B0382">
      <w:pPr>
        <w:pStyle w:val="Heading1"/>
      </w:pPr>
      <w:bookmarkStart w:id="6" w:name="_Toc115971690"/>
      <w:r w:rsidRPr="004B0382">
        <w:lastRenderedPageBreak/>
        <w:t>Introduction</w:t>
      </w:r>
      <w:bookmarkEnd w:id="5"/>
      <w:bookmarkEnd w:id="6"/>
    </w:p>
    <w:p w14:paraId="0D99853E" w14:textId="664E7E32" w:rsidR="002D124A" w:rsidRPr="00B85529" w:rsidRDefault="002D124A" w:rsidP="002D124A">
      <w:pPr>
        <w:rPr>
          <w:rFonts w:cstheme="minorHAnsi"/>
        </w:rPr>
      </w:pPr>
      <w:r w:rsidRPr="00B85529">
        <w:rPr>
          <w:rFonts w:cstheme="minorHAnsi"/>
        </w:rPr>
        <w:t>Th</w:t>
      </w:r>
      <w:r>
        <w:rPr>
          <w:rFonts w:cstheme="minorHAnsi"/>
        </w:rPr>
        <w:t>ese</w:t>
      </w:r>
      <w:r w:rsidRPr="00B85529">
        <w:rPr>
          <w:rFonts w:cstheme="minorHAnsi"/>
        </w:rPr>
        <w:t xml:space="preserve"> </w:t>
      </w:r>
      <w:r>
        <w:rPr>
          <w:rFonts w:cstheme="minorHAnsi"/>
        </w:rPr>
        <w:t>g</w:t>
      </w:r>
      <w:r w:rsidRPr="00B85529">
        <w:rPr>
          <w:rFonts w:cstheme="minorHAnsi"/>
        </w:rPr>
        <w:t>uide</w:t>
      </w:r>
      <w:r>
        <w:rPr>
          <w:rFonts w:cstheme="minorHAnsi"/>
        </w:rPr>
        <w:t>lines</w:t>
      </w:r>
      <w:r w:rsidRPr="00B85529">
        <w:rPr>
          <w:rFonts w:cstheme="minorHAnsi"/>
        </w:rPr>
        <w:t xml:space="preserve"> provide advice on how </w:t>
      </w:r>
      <w:r>
        <w:rPr>
          <w:rFonts w:cstheme="minorHAnsi"/>
        </w:rPr>
        <w:t xml:space="preserve">enrolment </w:t>
      </w:r>
      <w:r w:rsidRPr="00B85529">
        <w:rPr>
          <w:rFonts w:cstheme="minorHAnsi"/>
        </w:rPr>
        <w:t>data relat</w:t>
      </w:r>
      <w:r>
        <w:rPr>
          <w:rFonts w:cstheme="minorHAnsi"/>
        </w:rPr>
        <w:t>ing</w:t>
      </w:r>
      <w:r w:rsidRPr="00B85529">
        <w:rPr>
          <w:rFonts w:cstheme="minorHAnsi"/>
        </w:rPr>
        <w:t xml:space="preserve"> to 2023 Service Agreements with the ACFE Board </w:t>
      </w:r>
      <w:r>
        <w:rPr>
          <w:rFonts w:cstheme="minorHAnsi"/>
        </w:rPr>
        <w:t>should</w:t>
      </w:r>
      <w:r w:rsidRPr="00B85529">
        <w:rPr>
          <w:rFonts w:cstheme="minorHAnsi"/>
        </w:rPr>
        <w:t xml:space="preserve"> be </w:t>
      </w:r>
      <w:r>
        <w:rPr>
          <w:rFonts w:cstheme="minorHAnsi"/>
        </w:rPr>
        <w:t xml:space="preserve">recorded </w:t>
      </w:r>
      <w:r w:rsidR="00EC1B1E">
        <w:rPr>
          <w:rFonts w:cstheme="minorHAnsi"/>
        </w:rPr>
        <w:t xml:space="preserve">in your Student Management System </w:t>
      </w:r>
      <w:r w:rsidR="00351FA9">
        <w:rPr>
          <w:rFonts w:cstheme="minorHAnsi"/>
        </w:rPr>
        <w:t xml:space="preserve">(SMS) </w:t>
      </w:r>
      <w:r>
        <w:rPr>
          <w:rFonts w:cstheme="minorHAnsi"/>
        </w:rPr>
        <w:t xml:space="preserve">and </w:t>
      </w:r>
      <w:r w:rsidRPr="00B85529">
        <w:rPr>
          <w:rFonts w:cstheme="minorHAnsi"/>
        </w:rPr>
        <w:t>reported</w:t>
      </w:r>
      <w:r w:rsidR="00EC1B1E">
        <w:rPr>
          <w:rFonts w:cstheme="minorHAnsi"/>
        </w:rPr>
        <w:t xml:space="preserve"> to the Department</w:t>
      </w:r>
      <w:r w:rsidRPr="00B85529">
        <w:rPr>
          <w:rFonts w:cstheme="minorHAnsi"/>
        </w:rPr>
        <w:t xml:space="preserve">. </w:t>
      </w:r>
      <w:r>
        <w:rPr>
          <w:rFonts w:cstheme="minorHAnsi"/>
        </w:rPr>
        <w:t>They</w:t>
      </w:r>
      <w:r w:rsidRPr="00B85529">
        <w:rPr>
          <w:rFonts w:cstheme="minorHAnsi"/>
        </w:rPr>
        <w:t xml:space="preserve"> </w:t>
      </w:r>
      <w:r>
        <w:rPr>
          <w:rFonts w:cstheme="minorHAnsi"/>
        </w:rPr>
        <w:t>cover</w:t>
      </w:r>
      <w:r w:rsidRPr="00B85529">
        <w:rPr>
          <w:rFonts w:cstheme="minorHAnsi"/>
        </w:rPr>
        <w:t xml:space="preserve"> training under the General Pre-accredited and Digital Skills program streams and </w:t>
      </w:r>
      <w:r>
        <w:rPr>
          <w:rFonts w:cstheme="minorHAnsi"/>
        </w:rPr>
        <w:t>are</w:t>
      </w:r>
      <w:r w:rsidRPr="00B85529">
        <w:rPr>
          <w:rFonts w:cstheme="minorHAnsi"/>
        </w:rPr>
        <w:t xml:space="preserve"> designed to </w:t>
      </w:r>
      <w:r>
        <w:rPr>
          <w:rFonts w:cstheme="minorHAnsi"/>
        </w:rPr>
        <w:t>help</w:t>
      </w:r>
      <w:r w:rsidRPr="00B85529">
        <w:rPr>
          <w:rFonts w:cstheme="minorHAnsi"/>
        </w:rPr>
        <w:t xml:space="preserve"> </w:t>
      </w:r>
      <w:r>
        <w:rPr>
          <w:rFonts w:cstheme="minorHAnsi"/>
        </w:rPr>
        <w:t>Learn Local</w:t>
      </w:r>
      <w:r w:rsidR="00476DF7">
        <w:rPr>
          <w:rFonts w:cstheme="minorHAnsi"/>
        </w:rPr>
        <w:t xml:space="preserve"> provider</w:t>
      </w:r>
      <w:r w:rsidRPr="00B85529">
        <w:rPr>
          <w:rFonts w:cstheme="minorHAnsi"/>
        </w:rPr>
        <w:t xml:space="preserve">s </w:t>
      </w:r>
      <w:r>
        <w:rPr>
          <w:rFonts w:cstheme="minorHAnsi"/>
        </w:rPr>
        <w:t>understand</w:t>
      </w:r>
      <w:r w:rsidRPr="00B85529">
        <w:rPr>
          <w:rFonts w:cstheme="minorHAnsi"/>
        </w:rPr>
        <w:t>:</w:t>
      </w:r>
    </w:p>
    <w:p w14:paraId="55994CC0" w14:textId="49AB6556"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how and what data should be entered into the</w:t>
      </w:r>
      <w:r w:rsidR="005E5DFC" w:rsidRPr="005E5DFC">
        <w:rPr>
          <w:rFonts w:cstheme="minorHAnsi"/>
          <w:sz w:val="22"/>
          <w:szCs w:val="22"/>
        </w:rPr>
        <w:t>ir</w:t>
      </w:r>
      <w:r w:rsidRPr="005E5DFC">
        <w:rPr>
          <w:rFonts w:cstheme="minorHAnsi"/>
          <w:sz w:val="22"/>
          <w:szCs w:val="22"/>
        </w:rPr>
        <w:t xml:space="preserve"> S</w:t>
      </w:r>
      <w:r w:rsidR="00351FA9">
        <w:rPr>
          <w:rFonts w:cstheme="minorHAnsi"/>
          <w:sz w:val="22"/>
          <w:szCs w:val="22"/>
        </w:rPr>
        <w:t>MS</w:t>
      </w:r>
      <w:r w:rsidRPr="005E5DFC">
        <w:rPr>
          <w:rFonts w:cstheme="minorHAnsi"/>
          <w:sz w:val="22"/>
          <w:szCs w:val="22"/>
        </w:rPr>
        <w:t xml:space="preserve"> </w:t>
      </w:r>
    </w:p>
    <w:p w14:paraId="7522488C" w14:textId="4F5B6158"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 xml:space="preserve">when and how data </w:t>
      </w:r>
      <w:r w:rsidR="005E5DFC" w:rsidRPr="005E5DFC">
        <w:rPr>
          <w:rFonts w:cstheme="minorHAnsi"/>
          <w:sz w:val="22"/>
          <w:szCs w:val="22"/>
        </w:rPr>
        <w:t>should</w:t>
      </w:r>
      <w:r w:rsidRPr="005E5DFC">
        <w:rPr>
          <w:rFonts w:cstheme="minorHAnsi"/>
          <w:sz w:val="22"/>
          <w:szCs w:val="22"/>
        </w:rPr>
        <w:t xml:space="preserve"> be uploaded to the Department’s Skills Victoria Training System</w:t>
      </w:r>
      <w:r w:rsidR="00351FA9">
        <w:rPr>
          <w:rFonts w:cstheme="minorHAnsi"/>
          <w:sz w:val="22"/>
          <w:szCs w:val="22"/>
        </w:rPr>
        <w:t xml:space="preserve"> (SVTS)</w:t>
      </w:r>
      <w:r w:rsidRPr="005E5DFC">
        <w:rPr>
          <w:rFonts w:cstheme="minorHAnsi"/>
          <w:sz w:val="22"/>
          <w:szCs w:val="22"/>
        </w:rPr>
        <w:t xml:space="preserve"> </w:t>
      </w:r>
    </w:p>
    <w:p w14:paraId="3F462B28" w14:textId="4961DB2B"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 xml:space="preserve">who to contact </w:t>
      </w:r>
      <w:r w:rsidR="00A62794">
        <w:rPr>
          <w:rFonts w:cstheme="minorHAnsi"/>
          <w:sz w:val="22"/>
          <w:szCs w:val="22"/>
        </w:rPr>
        <w:t>if</w:t>
      </w:r>
      <w:r w:rsidRPr="005E5DFC">
        <w:rPr>
          <w:rFonts w:cstheme="minorHAnsi"/>
          <w:sz w:val="22"/>
          <w:szCs w:val="22"/>
        </w:rPr>
        <w:t xml:space="preserve"> reporting issues arise.</w:t>
      </w:r>
    </w:p>
    <w:p w14:paraId="01F26099" w14:textId="2805F598" w:rsidR="002D124A" w:rsidRPr="00B85529" w:rsidRDefault="002D124A" w:rsidP="002D124A">
      <w:pPr>
        <w:rPr>
          <w:rFonts w:cstheme="minorHAnsi"/>
        </w:rPr>
      </w:pPr>
      <w:r w:rsidRPr="00B85529">
        <w:rPr>
          <w:rFonts w:cstheme="minorHAnsi"/>
        </w:rPr>
        <w:t>While</w:t>
      </w:r>
      <w:r>
        <w:rPr>
          <w:rFonts w:cstheme="minorHAnsi"/>
        </w:rPr>
        <w:t xml:space="preserve"> </w:t>
      </w:r>
      <w:r w:rsidRPr="00B85529">
        <w:rPr>
          <w:rFonts w:cstheme="minorHAnsi"/>
        </w:rPr>
        <w:t xml:space="preserve">designed to be accessible to all </w:t>
      </w:r>
      <w:r w:rsidR="00054149">
        <w:rPr>
          <w:rFonts w:cstheme="minorHAnsi"/>
        </w:rPr>
        <w:t xml:space="preserve">Learn Local </w:t>
      </w:r>
      <w:r w:rsidRPr="00B85529">
        <w:rPr>
          <w:rFonts w:cstheme="minorHAnsi"/>
        </w:rPr>
        <w:t xml:space="preserve">stakeholders, </w:t>
      </w:r>
      <w:r>
        <w:rPr>
          <w:rFonts w:cstheme="minorHAnsi"/>
        </w:rPr>
        <w:t>these guidelines are</w:t>
      </w:r>
      <w:r w:rsidRPr="00B85529">
        <w:rPr>
          <w:rFonts w:cstheme="minorHAnsi"/>
        </w:rPr>
        <w:t xml:space="preserve"> primarily targeted at </w:t>
      </w:r>
      <w:r w:rsidR="005E5DFC">
        <w:rPr>
          <w:rFonts w:cstheme="minorHAnsi"/>
        </w:rPr>
        <w:t>those</w:t>
      </w:r>
      <w:r w:rsidRPr="00B85529">
        <w:rPr>
          <w:rFonts w:cstheme="minorHAnsi"/>
        </w:rPr>
        <w:t xml:space="preserve"> responsible for data entry and reporting.</w:t>
      </w:r>
    </w:p>
    <w:p w14:paraId="5698AAB4" w14:textId="67C76BE9" w:rsidR="002D124A" w:rsidRDefault="002D124A" w:rsidP="002D124A">
      <w:pPr>
        <w:rPr>
          <w:rFonts w:cstheme="minorHAnsi"/>
        </w:rPr>
      </w:pPr>
      <w:r w:rsidRPr="00B85529">
        <w:rPr>
          <w:rFonts w:cstheme="minorHAnsi"/>
        </w:rPr>
        <w:t>Th</w:t>
      </w:r>
      <w:r>
        <w:rPr>
          <w:rFonts w:cstheme="minorHAnsi"/>
        </w:rPr>
        <w:t>is document</w:t>
      </w:r>
      <w:r w:rsidRPr="00B85529">
        <w:rPr>
          <w:rFonts w:cstheme="minorHAnsi"/>
        </w:rPr>
        <w:t xml:space="preserve"> will be updated to reflect new ACFE Board initiatives and feedback from users. The latest version</w:t>
      </w:r>
      <w:r>
        <w:rPr>
          <w:rFonts w:cstheme="minorHAnsi"/>
        </w:rPr>
        <w:t xml:space="preserve"> will be</w:t>
      </w:r>
      <w:r w:rsidRPr="00B85529">
        <w:rPr>
          <w:rFonts w:cstheme="minorHAnsi"/>
        </w:rPr>
        <w:t xml:space="preserve"> available under the 2023 ACFE Training delivery Guidelines section of the </w:t>
      </w:r>
      <w:hyperlink r:id="rId11" w:history="1">
        <w:r w:rsidRPr="00B85529">
          <w:rPr>
            <w:rStyle w:val="Hyperlink"/>
            <w:rFonts w:cstheme="minorHAnsi"/>
          </w:rPr>
          <w:t>www.vic.gov.au/pre-accredited-training-and-programs</w:t>
        </w:r>
      </w:hyperlink>
      <w:r w:rsidRPr="00B85529">
        <w:rPr>
          <w:rFonts w:cstheme="minorHAnsi"/>
        </w:rPr>
        <w:t xml:space="preserve"> webpage.</w:t>
      </w:r>
    </w:p>
    <w:p w14:paraId="4F4E36F1" w14:textId="77777777" w:rsidR="005A2581" w:rsidRDefault="005A2581" w:rsidP="004B0382">
      <w:pPr>
        <w:pStyle w:val="Heading1"/>
      </w:pPr>
      <w:bookmarkStart w:id="7" w:name="_Toc115258871"/>
    </w:p>
    <w:p w14:paraId="39D9A1D1" w14:textId="0BD8FC96" w:rsidR="002D124A" w:rsidRPr="00B85529" w:rsidRDefault="00C40BD7" w:rsidP="004B0382">
      <w:pPr>
        <w:pStyle w:val="Heading1"/>
      </w:pPr>
      <w:bookmarkStart w:id="8" w:name="_Toc115971691"/>
      <w:r>
        <w:t xml:space="preserve">Your </w:t>
      </w:r>
      <w:r w:rsidR="002D124A" w:rsidRPr="00B85529">
        <w:t xml:space="preserve">Service </w:t>
      </w:r>
      <w:r w:rsidR="002D124A" w:rsidRPr="004B0382">
        <w:t>Agreement</w:t>
      </w:r>
      <w:r w:rsidR="002D124A" w:rsidRPr="00B85529">
        <w:t xml:space="preserve"> </w:t>
      </w:r>
      <w:r w:rsidR="002D124A">
        <w:t>– overall</w:t>
      </w:r>
      <w:r w:rsidR="007B6543">
        <w:t xml:space="preserve"> reporting</w:t>
      </w:r>
      <w:r w:rsidR="002D124A" w:rsidRPr="00B85529">
        <w:t xml:space="preserve"> requirements</w:t>
      </w:r>
      <w:bookmarkEnd w:id="7"/>
      <w:bookmarkEnd w:id="8"/>
    </w:p>
    <w:p w14:paraId="6D21B460" w14:textId="0E47B595" w:rsidR="002D124A" w:rsidRPr="007B6543" w:rsidRDefault="002D124A" w:rsidP="007B6543">
      <w:pPr>
        <w:pStyle w:val="ListParagraph"/>
        <w:numPr>
          <w:ilvl w:val="0"/>
          <w:numId w:val="42"/>
        </w:numPr>
        <w:spacing w:after="160" w:line="259" w:lineRule="auto"/>
        <w:ind w:left="357" w:hanging="357"/>
        <w:contextualSpacing w:val="0"/>
        <w:rPr>
          <w:rFonts w:cstheme="minorHAnsi"/>
          <w:sz w:val="22"/>
          <w:szCs w:val="22"/>
        </w:rPr>
      </w:pPr>
      <w:r w:rsidRPr="007B6543">
        <w:rPr>
          <w:rFonts w:cstheme="minorHAnsi"/>
          <w:sz w:val="22"/>
          <w:szCs w:val="22"/>
        </w:rPr>
        <w:t>Learn Local</w:t>
      </w:r>
      <w:r w:rsidR="00476DF7" w:rsidRPr="007B6543">
        <w:rPr>
          <w:rFonts w:cstheme="minorHAnsi"/>
          <w:sz w:val="22"/>
          <w:szCs w:val="22"/>
        </w:rPr>
        <w:t xml:space="preserve"> provider</w:t>
      </w:r>
      <w:r w:rsidRPr="007B6543">
        <w:rPr>
          <w:rFonts w:cstheme="minorHAnsi"/>
          <w:sz w:val="22"/>
          <w:szCs w:val="22"/>
        </w:rPr>
        <w:t>s contracted to deliver pre-accredited training with the ACFE Board must maintain an up-to-date S</w:t>
      </w:r>
      <w:r w:rsidR="00351FA9">
        <w:rPr>
          <w:rFonts w:cstheme="minorHAnsi"/>
          <w:sz w:val="22"/>
          <w:szCs w:val="22"/>
        </w:rPr>
        <w:t>MS</w:t>
      </w:r>
      <w:r w:rsidRPr="007B6543">
        <w:rPr>
          <w:rFonts w:cstheme="minorHAnsi"/>
          <w:sz w:val="22"/>
          <w:szCs w:val="22"/>
        </w:rPr>
        <w:t xml:space="preserve"> that is compliant with the Victorian implementation of the Australian Vocational Education and Training Management Information Statistical Standard (AVETMISS) as detailed in the</w:t>
      </w:r>
      <w:r w:rsidR="003235E5">
        <w:rPr>
          <w:rFonts w:cstheme="minorHAnsi"/>
          <w:sz w:val="22"/>
          <w:szCs w:val="22"/>
        </w:rPr>
        <w:t xml:space="preserve"> current</w:t>
      </w:r>
      <w:r w:rsidRPr="007B6543">
        <w:rPr>
          <w:rFonts w:cstheme="minorHAnsi"/>
          <w:sz w:val="22"/>
          <w:szCs w:val="22"/>
        </w:rPr>
        <w:t xml:space="preserve"> </w:t>
      </w:r>
      <w:hyperlink r:id="rId12" w:history="1">
        <w:r w:rsidRPr="003235E5">
          <w:rPr>
            <w:rStyle w:val="Hyperlink"/>
            <w:rFonts w:cstheme="minorHAnsi"/>
            <w:i/>
            <w:iCs/>
            <w:sz w:val="22"/>
            <w:szCs w:val="22"/>
          </w:rPr>
          <w:t>Victorian VET Student Statistical Data Collection Guidelines</w:t>
        </w:r>
      </w:hyperlink>
      <w:r w:rsidR="00ED08C8">
        <w:rPr>
          <w:rFonts w:cstheme="minorHAnsi"/>
          <w:sz w:val="22"/>
          <w:szCs w:val="22"/>
        </w:rPr>
        <w:t xml:space="preserve"> (Statistical Guidelines).</w:t>
      </w:r>
      <w:r w:rsidRPr="007B6543">
        <w:rPr>
          <w:rFonts w:cstheme="minorHAnsi"/>
          <w:sz w:val="22"/>
          <w:szCs w:val="22"/>
        </w:rPr>
        <w:t xml:space="preserve"> They must also have staff trained in the use of this software.</w:t>
      </w:r>
    </w:p>
    <w:p w14:paraId="4111C4D4" w14:textId="3035A6BC" w:rsidR="002D124A" w:rsidRPr="009B6E89" w:rsidRDefault="002D124A" w:rsidP="002D124A">
      <w:pPr>
        <w:pStyle w:val="ListParagraph"/>
        <w:numPr>
          <w:ilvl w:val="0"/>
          <w:numId w:val="42"/>
        </w:numPr>
        <w:spacing w:after="160" w:line="259" w:lineRule="auto"/>
        <w:ind w:left="357" w:hanging="357"/>
        <w:contextualSpacing w:val="0"/>
        <w:rPr>
          <w:rFonts w:cstheme="minorHAnsi"/>
          <w:sz w:val="22"/>
          <w:szCs w:val="22"/>
        </w:rPr>
      </w:pPr>
      <w:r w:rsidRPr="009B6E89">
        <w:rPr>
          <w:rFonts w:cstheme="minorHAnsi"/>
          <w:sz w:val="22"/>
          <w:szCs w:val="22"/>
        </w:rPr>
        <w:t>Learn Local</w:t>
      </w:r>
      <w:r w:rsidR="00476DF7">
        <w:rPr>
          <w:rFonts w:cstheme="minorHAnsi"/>
          <w:sz w:val="22"/>
          <w:szCs w:val="22"/>
        </w:rPr>
        <w:t xml:space="preserve"> provider</w:t>
      </w:r>
      <w:r w:rsidRPr="009B6E89">
        <w:rPr>
          <w:rFonts w:cstheme="minorHAnsi"/>
          <w:sz w:val="22"/>
          <w:szCs w:val="22"/>
        </w:rPr>
        <w:t>s must submit their training activity data (minimum quarterly) to the Department’s SVTS to meet the requirements for payment under the terms and conditions of the Service Agreement Section 4.9</w:t>
      </w:r>
    </w:p>
    <w:p w14:paraId="17F50375" w14:textId="42250FA3" w:rsidR="00FD398A" w:rsidRPr="00FD398A" w:rsidRDefault="002D124A" w:rsidP="00FD398A">
      <w:pPr>
        <w:pStyle w:val="ListParagraph"/>
        <w:numPr>
          <w:ilvl w:val="0"/>
          <w:numId w:val="42"/>
        </w:numPr>
        <w:spacing w:after="120" w:line="259" w:lineRule="auto"/>
        <w:ind w:left="357" w:hanging="357"/>
        <w:contextualSpacing w:val="0"/>
        <w:rPr>
          <w:rFonts w:cstheme="minorHAnsi"/>
          <w:sz w:val="22"/>
          <w:szCs w:val="22"/>
        </w:rPr>
      </w:pPr>
      <w:r w:rsidRPr="009B6E89">
        <w:rPr>
          <w:rFonts w:cstheme="minorHAnsi"/>
          <w:sz w:val="22"/>
          <w:szCs w:val="22"/>
        </w:rPr>
        <w:t>Payment of government subsidies, loadings and concession rebates is contingent on the accurate and timely reporting of data to the Department. Data that is not successfully uploaded into SVTS will be deemed as training that has not been delivered and may result in non-payment.</w:t>
      </w:r>
      <w:r w:rsidR="003933FD">
        <w:rPr>
          <w:rFonts w:cstheme="minorHAnsi"/>
          <w:sz w:val="22"/>
          <w:szCs w:val="22"/>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AFF"/>
        <w:tblLook w:val="04A0" w:firstRow="1" w:lastRow="0" w:firstColumn="1" w:lastColumn="0" w:noHBand="0" w:noVBand="1"/>
      </w:tblPr>
      <w:tblGrid>
        <w:gridCol w:w="9497"/>
      </w:tblGrid>
      <w:tr w:rsidR="002D124A" w14:paraId="0DEC69A4" w14:textId="77777777" w:rsidTr="005A2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shd w:val="clear" w:color="auto" w:fill="D9EAFF"/>
          </w:tcPr>
          <w:p w14:paraId="0FDEC2CD" w14:textId="63B1FC59" w:rsidR="002D124A" w:rsidRPr="00F973A1" w:rsidRDefault="004B0382" w:rsidP="005A2581">
            <w:pPr>
              <w:pStyle w:val="Heading4"/>
              <w:shd w:val="clear" w:color="auto" w:fill="D9EAFF"/>
            </w:pPr>
            <w:bookmarkStart w:id="9" w:name="_Toc64383583"/>
            <w:r w:rsidRPr="004B0382">
              <w:t>H</w:t>
            </w:r>
            <w:r w:rsidR="002D124A" w:rsidRPr="004B0382">
              <w:t>ow</w:t>
            </w:r>
            <w:r w:rsidR="002D124A" w:rsidRPr="00CF68A9">
              <w:rPr>
                <w:shd w:val="clear" w:color="auto" w:fill="D9EAFF"/>
              </w:rPr>
              <w:t xml:space="preserve"> to ensure you have an AVETMISS compliant S</w:t>
            </w:r>
            <w:bookmarkEnd w:id="9"/>
            <w:r w:rsidR="00351FA9">
              <w:rPr>
                <w:shd w:val="clear" w:color="auto" w:fill="D9EAFF"/>
              </w:rPr>
              <w:t>MS</w:t>
            </w:r>
          </w:p>
          <w:p w14:paraId="1740F2B3" w14:textId="22C615A4" w:rsidR="002D124A" w:rsidRPr="009B6E89" w:rsidRDefault="002D124A" w:rsidP="005A2581">
            <w:pPr>
              <w:shd w:val="clear" w:color="auto" w:fill="D9EAFF"/>
              <w:rPr>
                <w:rFonts w:cs="Calibri"/>
                <w:b w:val="0"/>
                <w:bCs/>
                <w:color w:val="auto"/>
                <w:szCs w:val="22"/>
              </w:rPr>
            </w:pPr>
            <w:r w:rsidRPr="00CF68A9">
              <w:rPr>
                <w:rFonts w:cs="Calibri"/>
                <w:b w:val="0"/>
                <w:bCs/>
                <w:color w:val="auto"/>
                <w:szCs w:val="22"/>
                <w:shd w:val="clear" w:color="auto" w:fill="D9EAFF"/>
              </w:rPr>
              <w:t xml:space="preserve">The Department provides SMS vendors with a list of relevant changes (including new funding codes) required for </w:t>
            </w:r>
            <w:r w:rsidR="00351FA9">
              <w:rPr>
                <w:rFonts w:cs="Calibri"/>
                <w:b w:val="0"/>
                <w:bCs/>
                <w:color w:val="auto"/>
                <w:szCs w:val="22"/>
                <w:shd w:val="clear" w:color="auto" w:fill="D9EAFF"/>
              </w:rPr>
              <w:t xml:space="preserve">their </w:t>
            </w:r>
            <w:r w:rsidRPr="00CF68A9">
              <w:rPr>
                <w:rFonts w:cs="Calibri"/>
                <w:b w:val="0"/>
                <w:bCs/>
                <w:color w:val="auto"/>
                <w:szCs w:val="22"/>
                <w:shd w:val="clear" w:color="auto" w:fill="D9EAFF"/>
              </w:rPr>
              <w:t>software to be compliant for reporting current year training.</w:t>
            </w:r>
            <w:r w:rsidR="004B0382" w:rsidRPr="00CF68A9">
              <w:rPr>
                <w:rFonts w:cs="Calibri"/>
                <w:b w:val="0"/>
                <w:bCs/>
                <w:color w:val="auto"/>
                <w:szCs w:val="22"/>
                <w:shd w:val="clear" w:color="auto" w:fill="D9EAFF"/>
              </w:rPr>
              <w:t xml:space="preserve"> </w:t>
            </w:r>
            <w:r w:rsidRPr="00CF68A9">
              <w:rPr>
                <w:rFonts w:cs="Calibri"/>
                <w:b w:val="0"/>
                <w:bCs/>
                <w:color w:val="auto"/>
                <w:szCs w:val="22"/>
                <w:shd w:val="clear" w:color="auto" w:fill="D9EAFF"/>
              </w:rPr>
              <w:t xml:space="preserve">As a result, an update procedure may need to be run for these codes to be accessible in your SMS. This procedure will vary for different </w:t>
            </w:r>
            <w:r w:rsidR="00D11A08">
              <w:rPr>
                <w:rFonts w:cs="Calibri"/>
                <w:b w:val="0"/>
                <w:bCs/>
                <w:color w:val="auto"/>
                <w:szCs w:val="22"/>
                <w:shd w:val="clear" w:color="auto" w:fill="D9EAFF"/>
              </w:rPr>
              <w:t>s</w:t>
            </w:r>
            <w:r w:rsidRPr="00CF68A9">
              <w:rPr>
                <w:rFonts w:cs="Calibri"/>
                <w:b w:val="0"/>
                <w:bCs/>
                <w:color w:val="auto"/>
                <w:szCs w:val="22"/>
                <w:shd w:val="clear" w:color="auto" w:fill="D9EAFF"/>
              </w:rPr>
              <w:t>ystems, and you should contact your vendor for support if required.</w:t>
            </w:r>
          </w:p>
          <w:p w14:paraId="31AB778C" w14:textId="12846FB8" w:rsidR="002D124A" w:rsidRPr="009B6E89" w:rsidRDefault="002D124A" w:rsidP="005A2581">
            <w:pPr>
              <w:shd w:val="clear" w:color="auto" w:fill="D9EAFF"/>
              <w:rPr>
                <w:rFonts w:cs="Calibri"/>
                <w:szCs w:val="22"/>
                <w:shd w:val="clear" w:color="auto" w:fill="BADAFF" w:themeFill="accent1" w:themeFillTint="33"/>
              </w:rPr>
            </w:pPr>
            <w:r w:rsidRPr="003933FD">
              <w:rPr>
                <w:rFonts w:cs="Calibri"/>
                <w:b w:val="0"/>
                <w:bCs/>
                <w:color w:val="auto"/>
                <w:szCs w:val="22"/>
                <w:shd w:val="clear" w:color="auto" w:fill="D9EAFF"/>
              </w:rPr>
              <w:t xml:space="preserve">A </w:t>
            </w:r>
            <w:hyperlink r:id="rId13" w:history="1">
              <w:r w:rsidRPr="003933FD">
                <w:rPr>
                  <w:rStyle w:val="Hyperlink"/>
                  <w:rFonts w:cs="Calibri"/>
                  <w:b w:val="0"/>
                  <w:bCs/>
                  <w:szCs w:val="22"/>
                  <w:shd w:val="clear" w:color="auto" w:fill="D9EAFF"/>
                </w:rPr>
                <w:t>Register of AVETMISS compliant SMS software</w:t>
              </w:r>
            </w:hyperlink>
            <w:r w:rsidRPr="003933FD">
              <w:rPr>
                <w:rFonts w:cs="Calibri"/>
                <w:b w:val="0"/>
                <w:bCs/>
                <w:color w:val="auto"/>
                <w:szCs w:val="22"/>
                <w:shd w:val="clear" w:color="auto" w:fill="D9EAFF"/>
              </w:rPr>
              <w:t xml:space="preserve"> is maintained by the</w:t>
            </w:r>
            <w:r w:rsidR="00FD398A" w:rsidRPr="003933FD">
              <w:rPr>
                <w:rFonts w:cs="Calibri"/>
                <w:b w:val="0"/>
                <w:bCs/>
                <w:color w:val="auto"/>
                <w:szCs w:val="22"/>
                <w:shd w:val="clear" w:color="auto" w:fill="D9EAFF"/>
              </w:rPr>
              <w:t xml:space="preserve"> NCVER</w:t>
            </w:r>
            <w:r w:rsidR="00FD398A" w:rsidRPr="00CF68A9">
              <w:rPr>
                <w:rFonts w:cs="Calibri"/>
                <w:b w:val="0"/>
                <w:bCs/>
                <w:color w:val="auto"/>
                <w:szCs w:val="22"/>
                <w:shd w:val="clear" w:color="auto" w:fill="D9EAFF"/>
              </w:rPr>
              <w:t>.</w:t>
            </w:r>
          </w:p>
          <w:p w14:paraId="1A160A62" w14:textId="2D1B06F6" w:rsidR="002D124A" w:rsidRPr="00351FA9" w:rsidRDefault="002D124A" w:rsidP="005A2581">
            <w:pPr>
              <w:pStyle w:val="BodyText1"/>
              <w:ind w:right="113"/>
              <w:rPr>
                <w:rFonts w:asciiTheme="minorHAnsi" w:hAnsiTheme="minorHAnsi" w:cstheme="minorHAnsi"/>
                <w:b w:val="0"/>
                <w:bCs/>
                <w:color w:val="auto"/>
                <w:sz w:val="22"/>
                <w:szCs w:val="22"/>
              </w:rPr>
            </w:pPr>
            <w:r w:rsidRPr="00351FA9">
              <w:rPr>
                <w:rFonts w:asciiTheme="minorHAnsi" w:hAnsiTheme="minorHAnsi" w:cstheme="minorHAnsi"/>
                <w:b w:val="0"/>
                <w:bCs/>
                <w:color w:val="auto"/>
                <w:sz w:val="22"/>
                <w:szCs w:val="22"/>
              </w:rPr>
              <w:t>Learn Local</w:t>
            </w:r>
            <w:r w:rsidR="00476DF7" w:rsidRPr="00351FA9">
              <w:rPr>
                <w:rFonts w:asciiTheme="minorHAnsi" w:hAnsiTheme="minorHAnsi" w:cstheme="minorHAnsi"/>
                <w:b w:val="0"/>
                <w:bCs/>
                <w:color w:val="auto"/>
                <w:sz w:val="22"/>
                <w:szCs w:val="22"/>
              </w:rPr>
              <w:t xml:space="preserve"> provider</w:t>
            </w:r>
            <w:r w:rsidRPr="00351FA9">
              <w:rPr>
                <w:rFonts w:asciiTheme="minorHAnsi" w:hAnsiTheme="minorHAnsi" w:cstheme="minorHAnsi"/>
                <w:b w:val="0"/>
                <w:bCs/>
                <w:color w:val="auto"/>
                <w:sz w:val="22"/>
                <w:szCs w:val="22"/>
              </w:rPr>
              <w:t>s should therefore:</w:t>
            </w:r>
          </w:p>
          <w:p w14:paraId="5A9900E1" w14:textId="77777777" w:rsidR="002D124A" w:rsidRPr="009B6E89" w:rsidRDefault="002D124A" w:rsidP="005A2581">
            <w:pPr>
              <w:pStyle w:val="Bullet1"/>
              <w:rPr>
                <w:rFonts w:cs="Calibri"/>
                <w:b w:val="0"/>
                <w:bCs/>
                <w:color w:val="auto"/>
                <w:szCs w:val="22"/>
              </w:rPr>
            </w:pPr>
            <w:r w:rsidRPr="009B6E89">
              <w:rPr>
                <w:rFonts w:cs="Calibri"/>
                <w:b w:val="0"/>
                <w:bCs/>
                <w:color w:val="auto"/>
                <w:szCs w:val="22"/>
              </w:rPr>
              <w:t xml:space="preserve">check the NCVER list to ensure their SMS software is compliant and </w:t>
            </w:r>
            <w:r w:rsidRPr="009B6E89">
              <w:rPr>
                <w:rFonts w:cs="Calibri"/>
                <w:color w:val="auto"/>
                <w:szCs w:val="22"/>
              </w:rPr>
              <w:t>up to date</w:t>
            </w:r>
          </w:p>
          <w:p w14:paraId="3AC3A92E" w14:textId="73039CAA" w:rsidR="002D124A" w:rsidRPr="00CF68A9" w:rsidRDefault="002D124A" w:rsidP="00DC668A">
            <w:pPr>
              <w:pStyle w:val="Bullet1"/>
              <w:spacing w:after="120"/>
              <w:rPr>
                <w:rFonts w:cs="Calibri"/>
                <w:bCs/>
                <w:color w:val="auto"/>
                <w:szCs w:val="22"/>
              </w:rPr>
            </w:pPr>
            <w:r w:rsidRPr="009B6E89">
              <w:rPr>
                <w:rFonts w:cs="Calibri"/>
                <w:b w:val="0"/>
                <w:bCs/>
                <w:color w:val="auto"/>
                <w:szCs w:val="22"/>
              </w:rPr>
              <w:t xml:space="preserve">ensure staff are trained in the use </w:t>
            </w:r>
            <w:r w:rsidR="00A62794">
              <w:rPr>
                <w:rFonts w:cs="Calibri"/>
                <w:b w:val="0"/>
                <w:bCs/>
                <w:color w:val="auto"/>
                <w:szCs w:val="22"/>
              </w:rPr>
              <w:t xml:space="preserve">of </w:t>
            </w:r>
            <w:r w:rsidRPr="009B6E89">
              <w:rPr>
                <w:rFonts w:cs="Calibri"/>
                <w:b w:val="0"/>
                <w:bCs/>
                <w:color w:val="auto"/>
                <w:szCs w:val="22"/>
              </w:rPr>
              <w:t>the</w:t>
            </w:r>
            <w:r w:rsidR="00351FA9">
              <w:rPr>
                <w:rFonts w:cs="Calibri"/>
                <w:b w:val="0"/>
                <w:bCs/>
                <w:color w:val="auto"/>
                <w:szCs w:val="22"/>
              </w:rPr>
              <w:t>ir</w:t>
            </w:r>
            <w:r w:rsidRPr="009B6E89">
              <w:rPr>
                <w:rFonts w:cs="Calibri"/>
                <w:b w:val="0"/>
                <w:bCs/>
                <w:color w:val="auto"/>
                <w:szCs w:val="22"/>
              </w:rPr>
              <w:t xml:space="preserve"> SMS software.</w:t>
            </w:r>
          </w:p>
          <w:p w14:paraId="7F3E23B2" w14:textId="76A1BBA1" w:rsidR="002D124A" w:rsidRPr="00D0056B" w:rsidRDefault="00CF68A9" w:rsidP="00DC668A">
            <w:pPr>
              <w:rPr>
                <w:b w:val="0"/>
                <w:bCs/>
                <w:color w:val="auto"/>
              </w:rPr>
            </w:pPr>
            <w:r w:rsidRPr="00D0056B">
              <w:rPr>
                <w:color w:val="auto"/>
              </w:rPr>
              <w:t>Please note:</w:t>
            </w:r>
            <w:r w:rsidRPr="00D0056B">
              <w:rPr>
                <w:b w:val="0"/>
                <w:bCs/>
                <w:color w:val="auto"/>
              </w:rPr>
              <w:t xml:space="preserve"> Training Delivery Support Grants provide funds for eligible </w:t>
            </w:r>
            <w:r w:rsidR="006742E3">
              <w:rPr>
                <w:b w:val="0"/>
                <w:bCs/>
                <w:color w:val="auto"/>
              </w:rPr>
              <w:t>Learn Local</w:t>
            </w:r>
            <w:r w:rsidR="00476DF7">
              <w:rPr>
                <w:b w:val="0"/>
                <w:bCs/>
                <w:color w:val="auto"/>
              </w:rPr>
              <w:t xml:space="preserve"> provider</w:t>
            </w:r>
            <w:r w:rsidRPr="00D0056B">
              <w:rPr>
                <w:b w:val="0"/>
                <w:bCs/>
                <w:color w:val="auto"/>
              </w:rPr>
              <w:t xml:space="preserve">s to purchase and train staff in the use of SMS </w:t>
            </w:r>
            <w:r w:rsidR="00D0056B" w:rsidRPr="00D0056B">
              <w:rPr>
                <w:b w:val="0"/>
                <w:bCs/>
                <w:color w:val="auto"/>
              </w:rPr>
              <w:t>software.</w:t>
            </w:r>
          </w:p>
        </w:tc>
      </w:tr>
    </w:tbl>
    <w:p w14:paraId="7FBEBE8C" w14:textId="33584C81" w:rsidR="002D124A" w:rsidRPr="00B85529" w:rsidRDefault="002D124A" w:rsidP="004B0382">
      <w:pPr>
        <w:pStyle w:val="Heading1"/>
      </w:pPr>
      <w:bookmarkStart w:id="10" w:name="_Toc115258872"/>
      <w:bookmarkStart w:id="11" w:name="_Toc115971692"/>
      <w:bookmarkStart w:id="12" w:name="_Hlk82080210"/>
      <w:r w:rsidRPr="00862CE9">
        <w:lastRenderedPageBreak/>
        <w:t>What’s new in 2023?</w:t>
      </w:r>
      <w:bookmarkEnd w:id="10"/>
      <w:bookmarkEnd w:id="11"/>
    </w:p>
    <w:p w14:paraId="0B98D187" w14:textId="5AAB0FFD" w:rsidR="00A336AF" w:rsidRPr="006F30AD" w:rsidRDefault="00A336AF" w:rsidP="00862CE9">
      <w:pPr>
        <w:pStyle w:val="Heading3"/>
      </w:pPr>
      <w:bookmarkStart w:id="13" w:name="_Toc115258873"/>
      <w:bookmarkEnd w:id="12"/>
      <w:r w:rsidRPr="006F30AD">
        <w:t>Replacement of LEAP with a short module program category</w:t>
      </w:r>
    </w:p>
    <w:p w14:paraId="00AAEFC1" w14:textId="5F5D669A" w:rsidR="00A336AF" w:rsidRPr="00E17610" w:rsidRDefault="00A336AF" w:rsidP="00862CE9">
      <w:r w:rsidRPr="00E17610">
        <w:t xml:space="preserve">To </w:t>
      </w:r>
      <w:r w:rsidR="00862CE9">
        <w:t>enable</w:t>
      </w:r>
      <w:r w:rsidRPr="00E17610">
        <w:t xml:space="preserve"> greater flexibility for Learn Local providers</w:t>
      </w:r>
      <w:r w:rsidR="00886E4E">
        <w:t>,</w:t>
      </w:r>
      <w:r w:rsidRPr="00E17610">
        <w:t xml:space="preserve"> the Learner Engagement A-frame Program (LEAP) </w:t>
      </w:r>
      <w:r w:rsidR="007716E6">
        <w:t>has been super</w:t>
      </w:r>
      <w:r w:rsidR="00C90C6F">
        <w:t>s</w:t>
      </w:r>
      <w:r w:rsidR="007716E6">
        <w:t xml:space="preserve">eded by </w:t>
      </w:r>
      <w:r w:rsidRPr="00E17610">
        <w:t>a</w:t>
      </w:r>
      <w:r w:rsidR="00581C94">
        <w:t xml:space="preserve"> new</w:t>
      </w:r>
      <w:r w:rsidRPr="00E17610">
        <w:t xml:space="preserve"> ‘short</w:t>
      </w:r>
      <w:r w:rsidR="0076505B">
        <w:t xml:space="preserve"> </w:t>
      </w:r>
      <w:r w:rsidRPr="00E17610">
        <w:t xml:space="preserve">module’ program category </w:t>
      </w:r>
      <w:r w:rsidR="002B763A">
        <w:t>for</w:t>
      </w:r>
      <w:r w:rsidRPr="00E17610">
        <w:t xml:space="preserve"> </w:t>
      </w:r>
      <w:r>
        <w:t>General P</w:t>
      </w:r>
      <w:r w:rsidRPr="00E17610">
        <w:t>re-accredited</w:t>
      </w:r>
      <w:r w:rsidR="003235E5">
        <w:t xml:space="preserve"> (SHM) </w:t>
      </w:r>
      <w:r>
        <w:t>and Digital Skills</w:t>
      </w:r>
      <w:r w:rsidR="003235E5">
        <w:t xml:space="preserve"> (DSM)</w:t>
      </w:r>
      <w:r w:rsidRPr="00E17610">
        <w:t xml:space="preserve"> training delivery </w:t>
      </w:r>
      <w:r w:rsidR="002B763A">
        <w:t>in</w:t>
      </w:r>
      <w:r w:rsidRPr="00E17610">
        <w:t xml:space="preserve"> 2023. </w:t>
      </w:r>
      <w:r w:rsidR="003235E5">
        <w:t>When reporting training activity for short modules in 2023, Learn Local providers will no longer need to use a separate funding code.</w:t>
      </w:r>
    </w:p>
    <w:p w14:paraId="76F8636A" w14:textId="77777777" w:rsidR="00FC67BC" w:rsidRDefault="00A336AF" w:rsidP="002A7992">
      <w:pPr>
        <w:rPr>
          <w:color w:val="000000"/>
          <w:szCs w:val="22"/>
        </w:rPr>
      </w:pPr>
      <w:r w:rsidRPr="00E17610">
        <w:rPr>
          <w:color w:val="000000"/>
          <w:szCs w:val="22"/>
        </w:rPr>
        <w:t>Th</w:t>
      </w:r>
      <w:r w:rsidR="00581C94">
        <w:rPr>
          <w:color w:val="000000"/>
          <w:szCs w:val="22"/>
        </w:rPr>
        <w:t xml:space="preserve">is </w:t>
      </w:r>
      <w:proofErr w:type="gramStart"/>
      <w:r w:rsidR="00581C94">
        <w:rPr>
          <w:color w:val="000000"/>
          <w:szCs w:val="22"/>
        </w:rPr>
        <w:t>new</w:t>
      </w:r>
      <w:r w:rsidRPr="00E17610">
        <w:rPr>
          <w:color w:val="000000"/>
          <w:szCs w:val="22"/>
        </w:rPr>
        <w:t xml:space="preserve"> </w:t>
      </w:r>
      <w:r w:rsidR="00B962CC">
        <w:rPr>
          <w:color w:val="000000"/>
          <w:szCs w:val="22"/>
        </w:rPr>
        <w:t>short</w:t>
      </w:r>
      <w:proofErr w:type="gramEnd"/>
      <w:r w:rsidR="00A60F16">
        <w:rPr>
          <w:color w:val="000000"/>
          <w:szCs w:val="22"/>
        </w:rPr>
        <w:t xml:space="preserve"> </w:t>
      </w:r>
      <w:r w:rsidR="00B962CC">
        <w:rPr>
          <w:color w:val="000000"/>
          <w:szCs w:val="22"/>
        </w:rPr>
        <w:t xml:space="preserve">module </w:t>
      </w:r>
      <w:r w:rsidRPr="00E17610">
        <w:rPr>
          <w:color w:val="000000"/>
          <w:szCs w:val="22"/>
        </w:rPr>
        <w:t xml:space="preserve">program category </w:t>
      </w:r>
      <w:r w:rsidR="005C30A3">
        <w:rPr>
          <w:color w:val="000000"/>
          <w:szCs w:val="22"/>
        </w:rPr>
        <w:t>can</w:t>
      </w:r>
      <w:r w:rsidR="00933D97">
        <w:rPr>
          <w:color w:val="000000"/>
          <w:szCs w:val="22"/>
        </w:rPr>
        <w:t xml:space="preserve"> </w:t>
      </w:r>
      <w:r w:rsidRPr="00E17610">
        <w:rPr>
          <w:color w:val="000000"/>
          <w:szCs w:val="22"/>
        </w:rPr>
        <w:t>includ</w:t>
      </w:r>
      <w:r w:rsidR="00E509ED">
        <w:rPr>
          <w:color w:val="000000"/>
          <w:szCs w:val="22"/>
        </w:rPr>
        <w:t>e</w:t>
      </w:r>
      <w:r w:rsidR="00FC67BC">
        <w:rPr>
          <w:color w:val="000000"/>
          <w:szCs w:val="22"/>
        </w:rPr>
        <w:t>:</w:t>
      </w:r>
      <w:r w:rsidR="002A7992">
        <w:rPr>
          <w:color w:val="000000"/>
          <w:szCs w:val="22"/>
        </w:rPr>
        <w:t xml:space="preserve"> </w:t>
      </w:r>
    </w:p>
    <w:p w14:paraId="4FB28CD4" w14:textId="77777777" w:rsidR="00FC67BC" w:rsidRDefault="00E509ED" w:rsidP="00FC67BC">
      <w:pPr>
        <w:pStyle w:val="Bullet1"/>
      </w:pPr>
      <w:r>
        <w:t xml:space="preserve">modules </w:t>
      </w:r>
      <w:r w:rsidR="00A336AF" w:rsidRPr="00E17610">
        <w:t>with a focus on engagement</w:t>
      </w:r>
    </w:p>
    <w:p w14:paraId="5A3FBD90" w14:textId="79125778" w:rsidR="00584760" w:rsidRDefault="00A336AF" w:rsidP="00FC67BC">
      <w:pPr>
        <w:pStyle w:val="Bullet1"/>
      </w:pPr>
      <w:r w:rsidRPr="00E17610">
        <w:t>short</w:t>
      </w:r>
      <w:r w:rsidR="00AD3E58">
        <w:t>, succinct</w:t>
      </w:r>
      <w:r w:rsidR="00933D97">
        <w:t xml:space="preserve"> </w:t>
      </w:r>
      <w:r w:rsidRPr="00E17610">
        <w:t>digital, vocational and employability skills</w:t>
      </w:r>
      <w:r w:rsidR="00DB32D6">
        <w:t xml:space="preserve"> standalone </w:t>
      </w:r>
      <w:r w:rsidR="00AD3E58">
        <w:t>m</w:t>
      </w:r>
      <w:r w:rsidRPr="00E17610">
        <w:t>odules</w:t>
      </w:r>
    </w:p>
    <w:p w14:paraId="38BC6C12" w14:textId="7F73890B" w:rsidR="00A336AF" w:rsidRDefault="00584760" w:rsidP="003955E7">
      <w:pPr>
        <w:pStyle w:val="Bullet1"/>
      </w:pPr>
      <w:r>
        <w:t>modules</w:t>
      </w:r>
      <w:r w:rsidR="00351FA9">
        <w:t xml:space="preserve"> </w:t>
      </w:r>
      <w:r w:rsidR="00A336AF" w:rsidRPr="00E17610">
        <w:t>that can be appended to other pre-accredited modules.</w:t>
      </w:r>
    </w:p>
    <w:p w14:paraId="106B29E4" w14:textId="7A32DC2D" w:rsidR="00BD0B28" w:rsidRDefault="00BD0B28">
      <w:pPr>
        <w:spacing w:after="0" w:line="240" w:lineRule="auto"/>
      </w:pPr>
    </w:p>
    <w:p w14:paraId="3E038890" w14:textId="77777777" w:rsidR="00BD0B28" w:rsidRDefault="00BD0B28">
      <w:pPr>
        <w:spacing w:after="0" w:line="240" w:lineRule="auto"/>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AFF"/>
        <w:tblCellMar>
          <w:left w:w="0" w:type="dxa"/>
          <w:right w:w="0" w:type="dxa"/>
        </w:tblCellMar>
        <w:tblLook w:val="04A0" w:firstRow="1" w:lastRow="0" w:firstColumn="1" w:lastColumn="0" w:noHBand="0" w:noVBand="1"/>
      </w:tblPr>
      <w:tblGrid>
        <w:gridCol w:w="9498"/>
      </w:tblGrid>
      <w:tr w:rsidR="006954F6" w:rsidRPr="00B85529" w14:paraId="5A710594" w14:textId="77777777" w:rsidTr="00E76CB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98" w:type="dxa"/>
            <w:shd w:val="clear" w:color="auto" w:fill="D9EAFF"/>
          </w:tcPr>
          <w:p w14:paraId="6D2D6A72" w14:textId="77777777" w:rsidR="006954F6" w:rsidRPr="00B85529" w:rsidRDefault="006954F6" w:rsidP="00E76CB3">
            <w:pPr>
              <w:pStyle w:val="Heading4"/>
              <w:ind w:left="142"/>
              <w:rPr>
                <w:b w:val="0"/>
              </w:rPr>
            </w:pPr>
            <w:r w:rsidRPr="006E402F">
              <w:rPr>
                <w:shd w:val="clear" w:color="auto" w:fill="D9EAFF"/>
              </w:rPr>
              <w:t>A note on terminology</w:t>
            </w:r>
          </w:p>
          <w:p w14:paraId="02598EC7" w14:textId="05852876" w:rsidR="006954F6" w:rsidRPr="006E402F" w:rsidRDefault="006954F6" w:rsidP="00E76CB3">
            <w:pPr>
              <w:ind w:left="142"/>
              <w:rPr>
                <w:b w:val="0"/>
                <w:bCs/>
                <w:color w:val="auto"/>
              </w:rPr>
            </w:pPr>
            <w:r w:rsidRPr="006E402F">
              <w:rPr>
                <w:b w:val="0"/>
                <w:bCs/>
                <w:color w:val="auto"/>
              </w:rPr>
              <w:t>Different terminology used in the ACFE Board Service Agreement/Delivery Plan, the</w:t>
            </w:r>
            <w:r w:rsidR="00351FA9">
              <w:rPr>
                <w:b w:val="0"/>
                <w:bCs/>
                <w:color w:val="auto"/>
              </w:rPr>
              <w:t xml:space="preserve"> </w:t>
            </w:r>
            <w:r w:rsidR="00ED08C8">
              <w:rPr>
                <w:b w:val="0"/>
                <w:bCs/>
                <w:color w:val="auto"/>
              </w:rPr>
              <w:t>Statistical Guidelines</w:t>
            </w:r>
            <w:r w:rsidRPr="006E402F">
              <w:rPr>
                <w:b w:val="0"/>
                <w:bCs/>
                <w:color w:val="auto"/>
              </w:rPr>
              <w:t xml:space="preserve"> and the Student Management Systems can cause confusion. </w:t>
            </w:r>
          </w:p>
          <w:p w14:paraId="40C72968" w14:textId="77777777" w:rsidR="006954F6" w:rsidRPr="00844503" w:rsidRDefault="006954F6" w:rsidP="00E76CB3">
            <w:pPr>
              <w:ind w:left="142"/>
              <w:rPr>
                <w:b w:val="0"/>
                <w:bCs/>
                <w:color w:val="auto"/>
              </w:rPr>
            </w:pPr>
            <w:r w:rsidRPr="00844503">
              <w:rPr>
                <w:b w:val="0"/>
                <w:bCs/>
                <w:color w:val="auto"/>
              </w:rPr>
              <w:t>For example:</w:t>
            </w:r>
          </w:p>
          <w:tbl>
            <w:tblPr>
              <w:tblStyle w:val="TableGrid"/>
              <w:tblW w:w="0" w:type="auto"/>
              <w:tblInd w:w="113" w:type="dxa"/>
              <w:tblLook w:val="04A0" w:firstRow="1" w:lastRow="0" w:firstColumn="1" w:lastColumn="0" w:noHBand="0" w:noVBand="1"/>
            </w:tblPr>
            <w:tblGrid>
              <w:gridCol w:w="2434"/>
              <w:gridCol w:w="3260"/>
              <w:gridCol w:w="3544"/>
            </w:tblGrid>
            <w:tr w:rsidR="006954F6" w:rsidRPr="006954F6" w14:paraId="66F8571E" w14:textId="77777777" w:rsidTr="00D11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001A70"/>
                </w:tcPr>
                <w:p w14:paraId="338C4EB4" w14:textId="77777777" w:rsidR="006954F6" w:rsidRPr="000757C1" w:rsidRDefault="006954F6" w:rsidP="000757C1">
                  <w:pPr>
                    <w:pStyle w:val="TableHead"/>
                    <w:rPr>
                      <w:rFonts w:asciiTheme="minorHAnsi" w:hAnsiTheme="minorHAnsi" w:cstheme="minorHAnsi"/>
                      <w:b/>
                      <w:bCs/>
                    </w:rPr>
                  </w:pPr>
                  <w:r w:rsidRPr="000757C1">
                    <w:rPr>
                      <w:rFonts w:asciiTheme="minorHAnsi" w:hAnsiTheme="minorHAnsi" w:cstheme="minorHAnsi"/>
                      <w:b/>
                      <w:bCs/>
                    </w:rPr>
                    <w:t>Statistical Guidelines</w:t>
                  </w:r>
                </w:p>
              </w:tc>
              <w:tc>
                <w:tcPr>
                  <w:tcW w:w="3260" w:type="dxa"/>
                  <w:shd w:val="clear" w:color="auto" w:fill="001A70"/>
                </w:tcPr>
                <w:p w14:paraId="28B42AA8" w14:textId="77777777" w:rsidR="006954F6" w:rsidRPr="000757C1" w:rsidRDefault="006954F6" w:rsidP="000757C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0757C1">
                    <w:rPr>
                      <w:rFonts w:asciiTheme="minorHAnsi" w:hAnsiTheme="minorHAnsi" w:cstheme="minorHAnsi"/>
                      <w:b/>
                      <w:bCs/>
                      <w:szCs w:val="22"/>
                    </w:rPr>
                    <w:t>Student Management Systems</w:t>
                  </w:r>
                </w:p>
              </w:tc>
              <w:tc>
                <w:tcPr>
                  <w:tcW w:w="3544" w:type="dxa"/>
                  <w:shd w:val="clear" w:color="auto" w:fill="001A70"/>
                </w:tcPr>
                <w:p w14:paraId="22D52BA6" w14:textId="77777777" w:rsidR="006954F6" w:rsidRPr="000757C1" w:rsidRDefault="006954F6" w:rsidP="000757C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0757C1">
                    <w:rPr>
                      <w:rFonts w:asciiTheme="minorHAnsi" w:hAnsiTheme="minorHAnsi" w:cstheme="minorHAnsi"/>
                      <w:b/>
                      <w:bCs/>
                      <w:szCs w:val="22"/>
                    </w:rPr>
                    <w:t>Service Agreements/Delivery Plans</w:t>
                  </w:r>
                </w:p>
              </w:tc>
            </w:tr>
            <w:tr w:rsidR="006954F6" w:rsidRPr="006954F6" w14:paraId="191C41F2"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033159A" w14:textId="77777777" w:rsidR="006954F6" w:rsidRPr="00D6209A" w:rsidRDefault="006954F6" w:rsidP="00DC668A">
                  <w:pPr>
                    <w:pStyle w:val="Tabletext"/>
                  </w:pPr>
                  <w:r w:rsidRPr="00D6209A">
                    <w:t>Subject Identifier</w:t>
                  </w:r>
                </w:p>
              </w:tc>
              <w:tc>
                <w:tcPr>
                  <w:tcW w:w="3260" w:type="dxa"/>
                </w:tcPr>
                <w:p w14:paraId="22D0B0E1"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code</w:t>
                  </w:r>
                </w:p>
              </w:tc>
              <w:tc>
                <w:tcPr>
                  <w:tcW w:w="3544" w:type="dxa"/>
                </w:tcPr>
                <w:p w14:paraId="3B1E6BD9" w14:textId="566E44C5"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rsidRPr="00A44890">
                    <w:t>Module (course)</w:t>
                  </w:r>
                  <w:r w:rsidR="006954F6" w:rsidRPr="00A44890">
                    <w:t xml:space="preserve"> Code</w:t>
                  </w:r>
                </w:p>
              </w:tc>
            </w:tr>
            <w:tr w:rsidR="006954F6" w:rsidRPr="006954F6" w14:paraId="22888FE5"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C1A99C8" w14:textId="77777777" w:rsidR="006954F6" w:rsidRPr="00D6209A" w:rsidRDefault="006954F6" w:rsidP="00DC668A">
                  <w:pPr>
                    <w:pStyle w:val="Tabletext"/>
                  </w:pPr>
                  <w:r w:rsidRPr="00D6209A">
                    <w:t>Subject Name</w:t>
                  </w:r>
                </w:p>
              </w:tc>
              <w:tc>
                <w:tcPr>
                  <w:tcW w:w="3260" w:type="dxa"/>
                </w:tcPr>
                <w:p w14:paraId="538A88B0"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name</w:t>
                  </w:r>
                </w:p>
              </w:tc>
              <w:tc>
                <w:tcPr>
                  <w:tcW w:w="3544" w:type="dxa"/>
                </w:tcPr>
                <w:p w14:paraId="04AAABAC" w14:textId="1E8EC664"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rsidRPr="00A44890">
                    <w:t>Module</w:t>
                  </w:r>
                  <w:r w:rsidR="006954F6" w:rsidRPr="00A44890">
                    <w:t xml:space="preserve"> </w:t>
                  </w:r>
                  <w:r w:rsidRPr="00A44890">
                    <w:t>(c</w:t>
                  </w:r>
                  <w:r w:rsidR="006954F6" w:rsidRPr="00A44890">
                    <w:t>ourse</w:t>
                  </w:r>
                  <w:r w:rsidRPr="00A44890">
                    <w:t>)</w:t>
                  </w:r>
                  <w:r w:rsidR="006954F6" w:rsidRPr="00A44890">
                    <w:t xml:space="preserve"> Name</w:t>
                  </w:r>
                </w:p>
              </w:tc>
            </w:tr>
            <w:tr w:rsidR="006954F6" w:rsidRPr="006954F6" w14:paraId="4F1E5DE2"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C0516AF" w14:textId="77777777" w:rsidR="006954F6" w:rsidRPr="00D6209A" w:rsidRDefault="006954F6" w:rsidP="00DC668A">
                  <w:pPr>
                    <w:pStyle w:val="Tabletext"/>
                  </w:pPr>
                  <w:r w:rsidRPr="00D6209A">
                    <w:t>Nominal Hours</w:t>
                  </w:r>
                </w:p>
              </w:tc>
              <w:tc>
                <w:tcPr>
                  <w:tcW w:w="3260" w:type="dxa"/>
                </w:tcPr>
                <w:p w14:paraId="1A443741"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nominal hours</w:t>
                  </w:r>
                </w:p>
              </w:tc>
              <w:tc>
                <w:tcPr>
                  <w:tcW w:w="3544" w:type="dxa"/>
                </w:tcPr>
                <w:p w14:paraId="46087FDF" w14:textId="4B3D0A77"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t>Module Student Contact Hours</w:t>
                  </w:r>
                  <w:r w:rsidR="00A44890">
                    <w:t xml:space="preserve"> (SCH)</w:t>
                  </w:r>
                </w:p>
              </w:tc>
            </w:tr>
          </w:tbl>
          <w:p w14:paraId="5B049911" w14:textId="77777777" w:rsidR="006954F6" w:rsidRPr="00B85529" w:rsidRDefault="006954F6" w:rsidP="00E76CB3">
            <w:pPr>
              <w:pStyle w:val="BlockText"/>
              <w:keepLines/>
              <w:ind w:left="113" w:right="113"/>
              <w:rPr>
                <w:rFonts w:asciiTheme="minorHAnsi" w:hAnsiTheme="minorHAnsi" w:cstheme="minorHAnsi"/>
              </w:rPr>
            </w:pPr>
          </w:p>
        </w:tc>
      </w:tr>
      <w:tr w:rsidR="006954F6" w:rsidRPr="00B85529" w14:paraId="5A9FE999" w14:textId="77777777" w:rsidTr="00E76CB3">
        <w:trPr>
          <w:cantSplit/>
        </w:trPr>
        <w:tc>
          <w:tcPr>
            <w:cnfStyle w:val="001000000000" w:firstRow="0" w:lastRow="0" w:firstColumn="1" w:lastColumn="0" w:oddVBand="0" w:evenVBand="0" w:oddHBand="0" w:evenHBand="0" w:firstRowFirstColumn="0" w:firstRowLastColumn="0" w:lastRowFirstColumn="0" w:lastRowLastColumn="0"/>
            <w:tcW w:w="9498" w:type="dxa"/>
            <w:shd w:val="clear" w:color="auto" w:fill="D9EAFF"/>
          </w:tcPr>
          <w:p w14:paraId="3CEFE7E4" w14:textId="7703BBFF" w:rsidR="006954F6" w:rsidRPr="00844503" w:rsidRDefault="006954F6" w:rsidP="00DC668A">
            <w:pPr>
              <w:ind w:left="142"/>
            </w:pPr>
            <w:r w:rsidRPr="00DC668A">
              <w:rPr>
                <w:bCs/>
                <w:color w:val="auto"/>
              </w:rPr>
              <w:t>For clarity, this document uses the Statistical Guidelines terminology and the corresponding ‘NAT Files’ which are referenced on the data entry screens of most compliant SMS software. It also references the corresponding Service Agreement</w:t>
            </w:r>
            <w:r w:rsidR="00351FA9">
              <w:rPr>
                <w:bCs/>
                <w:color w:val="auto"/>
              </w:rPr>
              <w:t>/</w:t>
            </w:r>
            <w:r w:rsidRPr="00DC668A">
              <w:rPr>
                <w:bCs/>
                <w:color w:val="auto"/>
              </w:rPr>
              <w:t>Delivery Plan terminology, where appropriate.</w:t>
            </w:r>
          </w:p>
        </w:tc>
      </w:tr>
    </w:tbl>
    <w:p w14:paraId="31B34004" w14:textId="77777777" w:rsidR="00487AAF" w:rsidRDefault="00487AAF">
      <w:pPr>
        <w:spacing w:after="0" w:line="240" w:lineRule="auto"/>
      </w:pPr>
    </w:p>
    <w:p w14:paraId="086668CE" w14:textId="77777777" w:rsidR="00487AAF" w:rsidRDefault="00487AAF">
      <w:pPr>
        <w:spacing w:after="0" w:line="240" w:lineRule="auto"/>
      </w:pPr>
    </w:p>
    <w:p w14:paraId="387F42B4" w14:textId="43906C0A" w:rsidR="00487AAF" w:rsidRPr="00BD0B28" w:rsidRDefault="00262F6C" w:rsidP="0010167E">
      <w:pPr>
        <w:pStyle w:val="Heading3"/>
      </w:pPr>
      <w:r>
        <w:t>I</w:t>
      </w:r>
      <w:r w:rsidR="00487AAF" w:rsidRPr="00BD0B28">
        <w:t>mprov</w:t>
      </w:r>
      <w:r>
        <w:t>ing</w:t>
      </w:r>
      <w:r w:rsidR="00487AAF" w:rsidRPr="00BD0B28">
        <w:t xml:space="preserve"> these guidelines</w:t>
      </w:r>
    </w:p>
    <w:p w14:paraId="052ED4E0" w14:textId="7ACCA8B6" w:rsidR="00487AAF" w:rsidRPr="00B85529" w:rsidRDefault="00487AAF" w:rsidP="00487AAF">
      <w:pPr>
        <w:rPr>
          <w:rFonts w:cstheme="minorHAnsi"/>
        </w:rPr>
      </w:pPr>
      <w:r w:rsidRPr="00B85529">
        <w:rPr>
          <w:rFonts w:cstheme="minorHAnsi"/>
        </w:rPr>
        <w:t xml:space="preserve">The Department is committed to continually improving these guidelines to ensure they are accessible to users and have information that encourages high-quality, timely reporting. If you have suggestions for improvement, please contact </w:t>
      </w:r>
      <w:hyperlink r:id="rId14" w:history="1">
        <w:r w:rsidRPr="00B85529">
          <w:rPr>
            <w:rFonts w:cstheme="minorHAnsi"/>
            <w:color w:val="0000FF"/>
            <w:u w:val="single"/>
          </w:rPr>
          <w:t>training.participation@education.vic.gov.au</w:t>
        </w:r>
      </w:hyperlink>
      <w:r w:rsidRPr="00B85529">
        <w:rPr>
          <w:rFonts w:cstheme="minorHAnsi"/>
        </w:rPr>
        <w:t>.</w:t>
      </w:r>
    </w:p>
    <w:p w14:paraId="70B71CEE" w14:textId="0265C01D" w:rsidR="00475976" w:rsidRDefault="00475976">
      <w:pPr>
        <w:spacing w:after="0" w:line="240" w:lineRule="auto"/>
        <w:rPr>
          <w:rFonts w:eastAsiaTheme="majorEastAsia" w:cstheme="majorBidi"/>
          <w:b/>
          <w:color w:val="004EA8" w:themeColor="accent1"/>
          <w:sz w:val="32"/>
          <w:szCs w:val="32"/>
        </w:rPr>
      </w:pPr>
      <w:r>
        <w:br w:type="page"/>
      </w:r>
    </w:p>
    <w:p w14:paraId="090FFA99" w14:textId="06BC7886" w:rsidR="00A344D3" w:rsidRPr="00B85529" w:rsidRDefault="00A344D3" w:rsidP="00DA73CF">
      <w:pPr>
        <w:pStyle w:val="Heading1"/>
      </w:pPr>
      <w:bookmarkStart w:id="14" w:name="_Toc115971693"/>
      <w:r>
        <w:lastRenderedPageBreak/>
        <w:t>Entering</w:t>
      </w:r>
      <w:r w:rsidRPr="00B85529">
        <w:t xml:space="preserve"> General Pre-</w:t>
      </w:r>
      <w:r w:rsidRPr="00DA73CF">
        <w:t>accredited</w:t>
      </w:r>
      <w:r w:rsidRPr="00B85529">
        <w:t xml:space="preserve"> and Digital Skills</w:t>
      </w:r>
      <w:r>
        <w:t xml:space="preserve"> enrolment data into your SMS</w:t>
      </w:r>
      <w:bookmarkEnd w:id="13"/>
      <w:bookmarkEnd w:id="14"/>
    </w:p>
    <w:p w14:paraId="450D8737" w14:textId="55702A22" w:rsidR="00A344D3" w:rsidRPr="00B85529" w:rsidRDefault="00A344D3" w:rsidP="00A344D3">
      <w:pPr>
        <w:rPr>
          <w:rFonts w:cstheme="minorHAnsi"/>
        </w:rPr>
      </w:pPr>
      <w:r w:rsidRPr="00B85529">
        <w:rPr>
          <w:rFonts w:cstheme="minorHAnsi"/>
        </w:rPr>
        <w:t xml:space="preserve">The </w:t>
      </w:r>
      <w:r w:rsidR="00ED08C8">
        <w:rPr>
          <w:rFonts w:cstheme="minorHAnsi"/>
        </w:rPr>
        <w:t>Statistical</w:t>
      </w:r>
      <w:r w:rsidR="00E42F04">
        <w:rPr>
          <w:rFonts w:cstheme="minorHAnsi"/>
        </w:rPr>
        <w:t xml:space="preserve"> Guidelines </w:t>
      </w:r>
      <w:r w:rsidRPr="00B85529">
        <w:rPr>
          <w:rFonts w:cstheme="minorHAnsi"/>
        </w:rPr>
        <w:t xml:space="preserve">are the primary reference when entering data into </w:t>
      </w:r>
      <w:r>
        <w:rPr>
          <w:rFonts w:cstheme="minorHAnsi"/>
        </w:rPr>
        <w:t>your</w:t>
      </w:r>
      <w:r w:rsidRPr="00B85529">
        <w:rPr>
          <w:rFonts w:cstheme="minorHAnsi"/>
        </w:rPr>
        <w:t xml:space="preserve"> SMS</w:t>
      </w:r>
      <w:r>
        <w:rPr>
          <w:rFonts w:cstheme="minorHAnsi"/>
        </w:rPr>
        <w:t>,</w:t>
      </w:r>
      <w:r w:rsidRPr="00B85529">
        <w:rPr>
          <w:rFonts w:cstheme="minorHAnsi"/>
        </w:rPr>
        <w:t xml:space="preserve"> except where specific exceptions are provided in the Service Agreement</w:t>
      </w:r>
      <w:r w:rsidR="009336E8">
        <w:rPr>
          <w:rFonts w:cstheme="minorHAnsi"/>
        </w:rPr>
        <w:t>/</w:t>
      </w:r>
      <w:r w:rsidRPr="00B85529">
        <w:rPr>
          <w:rFonts w:cstheme="minorHAnsi"/>
        </w:rPr>
        <w:t>Delivery Plan</w:t>
      </w:r>
      <w:r>
        <w:rPr>
          <w:rFonts w:cstheme="minorHAnsi"/>
        </w:rPr>
        <w:t>,</w:t>
      </w:r>
      <w:r w:rsidRPr="00B85529">
        <w:rPr>
          <w:rFonts w:cstheme="minorHAnsi"/>
        </w:rPr>
        <w:t xml:space="preserve"> or th</w:t>
      </w:r>
      <w:r>
        <w:rPr>
          <w:rFonts w:cstheme="minorHAnsi"/>
        </w:rPr>
        <w:t>is document</w:t>
      </w:r>
      <w:r w:rsidRPr="00B85529">
        <w:rPr>
          <w:rFonts w:cstheme="minorHAnsi"/>
        </w:rPr>
        <w:t>.</w:t>
      </w:r>
    </w:p>
    <w:p w14:paraId="183E3F56" w14:textId="12CBA4EF" w:rsidR="00415DFD" w:rsidRDefault="00A344D3" w:rsidP="00A344D3">
      <w:pPr>
        <w:rPr>
          <w:rFonts w:cstheme="minorHAnsi"/>
        </w:rPr>
      </w:pPr>
      <w:r>
        <w:rPr>
          <w:rFonts w:cstheme="minorHAnsi"/>
        </w:rPr>
        <w:t>The following table provides additional information or clarification in relation to fields relevant to pre-accredited</w:t>
      </w:r>
      <w:r w:rsidR="00EB2553">
        <w:rPr>
          <w:rFonts w:cstheme="minorHAnsi"/>
        </w:rPr>
        <w:t xml:space="preserve"> ACFE</w:t>
      </w:r>
      <w:r w:rsidR="00A64814">
        <w:rPr>
          <w:rFonts w:cstheme="minorHAnsi"/>
        </w:rPr>
        <w:t>-funded</w:t>
      </w:r>
      <w:r>
        <w:rPr>
          <w:rFonts w:cstheme="minorHAnsi"/>
        </w:rPr>
        <w:t xml:space="preserve"> training delivery.</w:t>
      </w:r>
    </w:p>
    <w:p w14:paraId="29832B8F" w14:textId="77777777" w:rsidR="00A14671" w:rsidRDefault="00A14671" w:rsidP="00A344D3">
      <w:pPr>
        <w:rPr>
          <w:rFonts w:cstheme="minorHAnsi"/>
        </w:rPr>
      </w:pPr>
    </w:p>
    <w:tbl>
      <w:tblPr>
        <w:tblStyle w:val="TableGrid"/>
        <w:tblW w:w="976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253"/>
        <w:gridCol w:w="7513"/>
      </w:tblGrid>
      <w:tr w:rsidR="00225CCF" w:rsidRPr="00CC0A46" w14:paraId="2EC48409" w14:textId="77777777" w:rsidTr="00910422">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2253" w:type="dxa"/>
            <w:tcBorders>
              <w:right w:val="none" w:sz="0" w:space="0" w:color="auto"/>
            </w:tcBorders>
            <w:shd w:val="clear" w:color="auto" w:fill="364283"/>
          </w:tcPr>
          <w:p w14:paraId="2FC3A371" w14:textId="14404815" w:rsidR="00225CCF" w:rsidRPr="00CC0A46" w:rsidRDefault="00575071" w:rsidP="00775509">
            <w:pPr>
              <w:spacing w:before="60" w:after="60"/>
              <w:rPr>
                <w:bCs/>
                <w:sz w:val="20"/>
                <w:szCs w:val="20"/>
              </w:rPr>
            </w:pPr>
            <w:r w:rsidRPr="00CC0A46">
              <w:rPr>
                <w:bCs/>
                <w:sz w:val="20"/>
                <w:szCs w:val="20"/>
              </w:rPr>
              <w:t xml:space="preserve">SVTS </w:t>
            </w:r>
            <w:r w:rsidR="00225CCF" w:rsidRPr="00CC0A46">
              <w:rPr>
                <w:bCs/>
                <w:sz w:val="20"/>
                <w:szCs w:val="20"/>
              </w:rPr>
              <w:t>Area</w:t>
            </w:r>
            <w:r w:rsidR="00910422">
              <w:rPr>
                <w:bCs/>
                <w:sz w:val="20"/>
                <w:szCs w:val="20"/>
              </w:rPr>
              <w:t>/</w:t>
            </w:r>
            <w:r w:rsidR="00E10679" w:rsidRPr="00CC0A46">
              <w:rPr>
                <w:bCs/>
                <w:sz w:val="20"/>
                <w:szCs w:val="20"/>
              </w:rPr>
              <w:t>NAT</w:t>
            </w:r>
            <w:r w:rsidR="00225CCF" w:rsidRPr="00CC0A46">
              <w:rPr>
                <w:bCs/>
                <w:sz w:val="20"/>
                <w:szCs w:val="20"/>
              </w:rPr>
              <w:t xml:space="preserve"> file</w:t>
            </w:r>
          </w:p>
        </w:tc>
        <w:tc>
          <w:tcPr>
            <w:tcW w:w="7513" w:type="dxa"/>
            <w:tcBorders>
              <w:left w:val="none" w:sz="0" w:space="0" w:color="auto"/>
            </w:tcBorders>
            <w:shd w:val="clear" w:color="auto" w:fill="364283"/>
          </w:tcPr>
          <w:p w14:paraId="6B441AC9" w14:textId="71878270" w:rsidR="00225CCF" w:rsidRPr="00CC0A46" w:rsidRDefault="00225CCF" w:rsidP="00775509">
            <w:pPr>
              <w:spacing w:before="60" w:after="60"/>
              <w:cnfStyle w:val="100000000000" w:firstRow="1" w:lastRow="0" w:firstColumn="0" w:lastColumn="0" w:oddVBand="0" w:evenVBand="0" w:oddHBand="0" w:evenHBand="0" w:firstRowFirstColumn="0" w:firstRowLastColumn="0" w:lastRowFirstColumn="0" w:lastRowLastColumn="0"/>
              <w:rPr>
                <w:b w:val="0"/>
                <w:bCs/>
                <w:sz w:val="20"/>
                <w:szCs w:val="20"/>
              </w:rPr>
            </w:pPr>
            <w:r w:rsidRPr="00CC0A46">
              <w:rPr>
                <w:bCs/>
                <w:sz w:val="20"/>
                <w:szCs w:val="20"/>
              </w:rPr>
              <w:t>ACFE specific requirements</w:t>
            </w:r>
          </w:p>
        </w:tc>
      </w:tr>
      <w:tr w:rsidR="00225CCF" w:rsidRPr="00CC0A46" w14:paraId="75950C7D"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440A2037" w14:textId="727A608C" w:rsidR="00225CCF" w:rsidRPr="00ED08C8" w:rsidRDefault="00225CCF" w:rsidP="00E76CB3">
            <w:pPr>
              <w:rPr>
                <w:b/>
                <w:bCs/>
                <w:sz w:val="20"/>
                <w:szCs w:val="20"/>
              </w:rPr>
            </w:pPr>
            <w:r w:rsidRPr="00CC0A46">
              <w:rPr>
                <w:b/>
                <w:bCs/>
                <w:color w:val="auto"/>
                <w:sz w:val="20"/>
                <w:szCs w:val="20"/>
              </w:rPr>
              <w:t>Organisation (Learn Local)</w:t>
            </w:r>
            <w:r w:rsidR="00ED08C8">
              <w:rPr>
                <w:b/>
                <w:bCs/>
                <w:sz w:val="20"/>
                <w:szCs w:val="20"/>
              </w:rPr>
              <w:t xml:space="preserve"> – </w:t>
            </w:r>
            <w:r w:rsidRPr="00CC0A46">
              <w:rPr>
                <w:b/>
                <w:bCs/>
                <w:color w:val="auto"/>
                <w:sz w:val="20"/>
                <w:szCs w:val="20"/>
              </w:rPr>
              <w:t>NAT00010</w:t>
            </w:r>
          </w:p>
        </w:tc>
        <w:tc>
          <w:tcPr>
            <w:tcW w:w="7513" w:type="dxa"/>
          </w:tcPr>
          <w:p w14:paraId="5942DFEA"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Training Organisation Type Identifier</w:t>
            </w:r>
            <w:r w:rsidRPr="00CC0A46">
              <w:rPr>
                <w:sz w:val="20"/>
                <w:szCs w:val="20"/>
              </w:rPr>
              <w:t xml:space="preserve"> – enter 61 (Community-based Adult Education Provider)</w:t>
            </w:r>
          </w:p>
        </w:tc>
      </w:tr>
      <w:tr w:rsidR="00225CCF" w:rsidRPr="00CC0A46" w14:paraId="765C01AB"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720D1A9B" w14:textId="54F3CF91" w:rsidR="00225CCF" w:rsidRPr="00ED08C8" w:rsidRDefault="00225CCF" w:rsidP="00E76CB3">
            <w:pPr>
              <w:rPr>
                <w:b/>
                <w:bCs/>
                <w:sz w:val="20"/>
                <w:szCs w:val="20"/>
              </w:rPr>
            </w:pPr>
            <w:r w:rsidRPr="00CC0A46">
              <w:rPr>
                <w:b/>
                <w:bCs/>
                <w:color w:val="auto"/>
                <w:sz w:val="20"/>
                <w:szCs w:val="20"/>
              </w:rPr>
              <w:t>Subject (module)</w:t>
            </w:r>
            <w:r w:rsidR="00ED08C8">
              <w:rPr>
                <w:b/>
                <w:bCs/>
                <w:sz w:val="20"/>
                <w:szCs w:val="20"/>
              </w:rPr>
              <w:t xml:space="preserve"> – </w:t>
            </w:r>
            <w:r w:rsidRPr="00CC0A46">
              <w:rPr>
                <w:b/>
                <w:bCs/>
                <w:color w:val="auto"/>
                <w:sz w:val="20"/>
                <w:szCs w:val="20"/>
              </w:rPr>
              <w:t>NAT00060</w:t>
            </w:r>
          </w:p>
        </w:tc>
        <w:tc>
          <w:tcPr>
            <w:tcW w:w="7513" w:type="dxa"/>
          </w:tcPr>
          <w:p w14:paraId="0ADFB8F8" w14:textId="0E3C5B7D" w:rsidR="00D0365E" w:rsidRPr="00CC0A46" w:rsidRDefault="00D0365E"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 xml:space="preserve">Subject </w:t>
            </w:r>
            <w:r w:rsidR="00510920" w:rsidRPr="00910422">
              <w:rPr>
                <w:b/>
                <w:bCs/>
                <w:sz w:val="20"/>
                <w:szCs w:val="20"/>
              </w:rPr>
              <w:t>Identifier</w:t>
            </w:r>
            <w:r w:rsidR="00510920" w:rsidRPr="00CC0A46">
              <w:rPr>
                <w:sz w:val="20"/>
                <w:szCs w:val="20"/>
              </w:rPr>
              <w:t xml:space="preserve"> </w:t>
            </w:r>
            <w:r w:rsidR="00E20EEE" w:rsidRPr="00CC0A46">
              <w:rPr>
                <w:sz w:val="20"/>
                <w:szCs w:val="20"/>
              </w:rPr>
              <w:t>–</w:t>
            </w:r>
            <w:r w:rsidR="00510920" w:rsidRPr="00CC0A46">
              <w:rPr>
                <w:sz w:val="20"/>
                <w:szCs w:val="20"/>
              </w:rPr>
              <w:t xml:space="preserve"> </w:t>
            </w:r>
            <w:r w:rsidR="00E20EEE" w:rsidRPr="00CC0A46">
              <w:rPr>
                <w:sz w:val="20"/>
                <w:szCs w:val="20"/>
              </w:rPr>
              <w:t xml:space="preserve">enter the </w:t>
            </w:r>
            <w:r w:rsidR="008D3A70" w:rsidRPr="00CC0A46">
              <w:rPr>
                <w:b/>
                <w:bCs/>
                <w:sz w:val="20"/>
                <w:szCs w:val="20"/>
                <w:u w:val="single"/>
              </w:rPr>
              <w:t>exact</w:t>
            </w:r>
            <w:r w:rsidR="008D3A70" w:rsidRPr="00CC0A46">
              <w:rPr>
                <w:sz w:val="20"/>
                <w:szCs w:val="20"/>
              </w:rPr>
              <w:t xml:space="preserve"> </w:t>
            </w:r>
            <w:r w:rsidR="00E20EEE" w:rsidRPr="00CC0A46">
              <w:rPr>
                <w:sz w:val="20"/>
                <w:szCs w:val="20"/>
              </w:rPr>
              <w:t>module</w:t>
            </w:r>
            <w:r w:rsidR="008D3A70" w:rsidRPr="00CC0A46">
              <w:rPr>
                <w:sz w:val="20"/>
                <w:szCs w:val="20"/>
              </w:rPr>
              <w:t xml:space="preserve"> (course)</w:t>
            </w:r>
            <w:r w:rsidR="00E20EEE" w:rsidRPr="00CC0A46">
              <w:rPr>
                <w:sz w:val="20"/>
                <w:szCs w:val="20"/>
              </w:rPr>
              <w:t xml:space="preserve"> code </w:t>
            </w:r>
            <w:r w:rsidR="00D97631" w:rsidRPr="00CC0A46">
              <w:rPr>
                <w:sz w:val="20"/>
                <w:szCs w:val="20"/>
              </w:rPr>
              <w:t>as per</w:t>
            </w:r>
            <w:r w:rsidR="0069220A" w:rsidRPr="00CC0A46">
              <w:rPr>
                <w:sz w:val="20"/>
                <w:szCs w:val="20"/>
              </w:rPr>
              <w:t xml:space="preserve"> your approved Delivery Plan</w:t>
            </w:r>
          </w:p>
          <w:p w14:paraId="7FB6831E" w14:textId="510CE60E" w:rsidR="008D3A70" w:rsidRPr="00CC0A46" w:rsidRDefault="008D3A70"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Subject Name</w:t>
            </w:r>
            <w:r w:rsidRPr="00CC0A46">
              <w:rPr>
                <w:sz w:val="20"/>
                <w:szCs w:val="20"/>
              </w:rPr>
              <w:t xml:space="preserve"> </w:t>
            </w:r>
            <w:r w:rsidR="00D97631" w:rsidRPr="00CC0A46">
              <w:rPr>
                <w:sz w:val="20"/>
                <w:szCs w:val="20"/>
              </w:rPr>
              <w:t>–</w:t>
            </w:r>
            <w:r w:rsidRPr="00CC0A46">
              <w:rPr>
                <w:sz w:val="20"/>
                <w:szCs w:val="20"/>
              </w:rPr>
              <w:t xml:space="preserve"> </w:t>
            </w:r>
            <w:r w:rsidR="00D97631" w:rsidRPr="00CC0A46">
              <w:rPr>
                <w:sz w:val="20"/>
                <w:szCs w:val="20"/>
              </w:rPr>
              <w:t>enter the module (course) name as per your approved Delivery Plan</w:t>
            </w:r>
          </w:p>
          <w:p w14:paraId="76B16BB6" w14:textId="6337B21A"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Nominal Hours</w:t>
            </w:r>
            <w:r w:rsidRPr="00CC0A46">
              <w:rPr>
                <w:sz w:val="20"/>
                <w:szCs w:val="20"/>
              </w:rPr>
              <w:t xml:space="preserve"> – enter </w:t>
            </w:r>
            <w:r w:rsidR="000645D4" w:rsidRPr="00CC0A46">
              <w:rPr>
                <w:sz w:val="20"/>
                <w:szCs w:val="20"/>
              </w:rPr>
              <w:t xml:space="preserve">the </w:t>
            </w:r>
            <w:r w:rsidRPr="00CC0A46">
              <w:rPr>
                <w:sz w:val="20"/>
                <w:szCs w:val="20"/>
              </w:rPr>
              <w:t xml:space="preserve">Module SCH as per </w:t>
            </w:r>
            <w:r w:rsidR="0069220A" w:rsidRPr="00CC0A46">
              <w:rPr>
                <w:sz w:val="20"/>
                <w:szCs w:val="20"/>
              </w:rPr>
              <w:t xml:space="preserve">your approved </w:t>
            </w:r>
            <w:r w:rsidRPr="00CC0A46">
              <w:rPr>
                <w:sz w:val="20"/>
                <w:szCs w:val="20"/>
              </w:rPr>
              <w:t>Delivery Plan</w:t>
            </w:r>
          </w:p>
          <w:p w14:paraId="0F7E2B9E"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VET flag</w:t>
            </w:r>
            <w:r w:rsidRPr="00CC0A46">
              <w:rPr>
                <w:sz w:val="20"/>
                <w:szCs w:val="20"/>
              </w:rPr>
              <w:t xml:space="preserve"> – enter Y (the intention of the training program is vocational)</w:t>
            </w:r>
          </w:p>
        </w:tc>
      </w:tr>
      <w:tr w:rsidR="00225CCF" w:rsidRPr="00CC0A46" w14:paraId="2D045936"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42B902F1" w14:textId="36C0D719" w:rsidR="00225CCF" w:rsidRPr="00ED08C8" w:rsidRDefault="00225CCF" w:rsidP="00E76CB3">
            <w:pPr>
              <w:rPr>
                <w:b/>
                <w:bCs/>
                <w:sz w:val="20"/>
                <w:szCs w:val="20"/>
              </w:rPr>
            </w:pPr>
            <w:r w:rsidRPr="00CC0A46">
              <w:rPr>
                <w:b/>
                <w:bCs/>
                <w:color w:val="auto"/>
                <w:sz w:val="20"/>
                <w:szCs w:val="20"/>
              </w:rPr>
              <w:t>Program details</w:t>
            </w:r>
            <w:r w:rsidR="00ED08C8">
              <w:rPr>
                <w:b/>
                <w:bCs/>
                <w:sz w:val="20"/>
                <w:szCs w:val="20"/>
              </w:rPr>
              <w:t xml:space="preserve"> – </w:t>
            </w:r>
            <w:r w:rsidRPr="00CC0A46">
              <w:rPr>
                <w:b/>
                <w:bCs/>
                <w:color w:val="auto"/>
                <w:sz w:val="20"/>
                <w:szCs w:val="20"/>
              </w:rPr>
              <w:t>NAT00030</w:t>
            </w:r>
          </w:p>
        </w:tc>
        <w:tc>
          <w:tcPr>
            <w:tcW w:w="7513" w:type="dxa"/>
          </w:tcPr>
          <w:p w14:paraId="3AAD7F95"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Subjects are the unit of delivery in pre-accredited training. ACFE Board funded training is not delivered as part of a Program, therefore all NAT00030 Program (qualification/course) details should be left blank.</w:t>
            </w:r>
          </w:p>
        </w:tc>
      </w:tr>
      <w:tr w:rsidR="00191D6F" w:rsidRPr="00CC0A46" w14:paraId="6EB01A5D"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val="restart"/>
          </w:tcPr>
          <w:p w14:paraId="09CACB85" w14:textId="77777777" w:rsidR="00191D6F" w:rsidRDefault="00191D6F" w:rsidP="00E76CB3">
            <w:pPr>
              <w:rPr>
                <w:b/>
                <w:bCs/>
                <w:sz w:val="20"/>
                <w:szCs w:val="20"/>
              </w:rPr>
            </w:pPr>
            <w:r w:rsidRPr="00CC0A46">
              <w:rPr>
                <w:b/>
                <w:bCs/>
                <w:color w:val="auto"/>
                <w:sz w:val="20"/>
                <w:szCs w:val="20"/>
              </w:rPr>
              <w:t>Training activity</w:t>
            </w:r>
            <w:r w:rsidR="00ED08C8">
              <w:rPr>
                <w:b/>
                <w:bCs/>
                <w:sz w:val="20"/>
                <w:szCs w:val="20"/>
              </w:rPr>
              <w:t xml:space="preserve"> – </w:t>
            </w:r>
            <w:r w:rsidRPr="00CC0A46">
              <w:rPr>
                <w:b/>
                <w:bCs/>
                <w:color w:val="auto"/>
                <w:sz w:val="20"/>
                <w:szCs w:val="20"/>
              </w:rPr>
              <w:t>NAT00120</w:t>
            </w:r>
          </w:p>
          <w:p w14:paraId="2940D1B9" w14:textId="77777777" w:rsidR="00910422" w:rsidRDefault="00910422" w:rsidP="00E76CB3">
            <w:pPr>
              <w:rPr>
                <w:b/>
                <w:bCs/>
                <w:sz w:val="20"/>
                <w:szCs w:val="20"/>
              </w:rPr>
            </w:pPr>
          </w:p>
          <w:p w14:paraId="2AF787BB" w14:textId="77777777" w:rsidR="00910422" w:rsidRDefault="00910422" w:rsidP="00E76CB3">
            <w:pPr>
              <w:rPr>
                <w:b/>
                <w:bCs/>
                <w:sz w:val="20"/>
                <w:szCs w:val="20"/>
              </w:rPr>
            </w:pPr>
          </w:p>
          <w:p w14:paraId="3E639CA1" w14:textId="77777777" w:rsidR="00910422" w:rsidRDefault="00910422" w:rsidP="00E76CB3">
            <w:pPr>
              <w:rPr>
                <w:b/>
                <w:bCs/>
                <w:sz w:val="20"/>
                <w:szCs w:val="20"/>
              </w:rPr>
            </w:pPr>
          </w:p>
          <w:p w14:paraId="5C429600" w14:textId="77777777" w:rsidR="00910422" w:rsidRDefault="00910422" w:rsidP="00E76CB3">
            <w:pPr>
              <w:rPr>
                <w:b/>
                <w:bCs/>
                <w:sz w:val="20"/>
                <w:szCs w:val="20"/>
              </w:rPr>
            </w:pPr>
          </w:p>
          <w:p w14:paraId="5C75095C" w14:textId="77777777" w:rsidR="00910422" w:rsidRDefault="00910422" w:rsidP="00E76CB3">
            <w:pPr>
              <w:rPr>
                <w:b/>
                <w:bCs/>
                <w:sz w:val="20"/>
                <w:szCs w:val="20"/>
              </w:rPr>
            </w:pPr>
          </w:p>
          <w:p w14:paraId="1FBB6141" w14:textId="77777777" w:rsidR="00910422" w:rsidRDefault="00910422" w:rsidP="00E76CB3">
            <w:pPr>
              <w:rPr>
                <w:b/>
                <w:bCs/>
                <w:sz w:val="20"/>
                <w:szCs w:val="20"/>
              </w:rPr>
            </w:pPr>
          </w:p>
          <w:p w14:paraId="6682DC7C" w14:textId="77777777" w:rsidR="00910422" w:rsidRDefault="00910422" w:rsidP="00E76CB3">
            <w:pPr>
              <w:rPr>
                <w:b/>
                <w:bCs/>
                <w:sz w:val="20"/>
                <w:szCs w:val="20"/>
              </w:rPr>
            </w:pPr>
          </w:p>
          <w:p w14:paraId="5D468611" w14:textId="77777777" w:rsidR="00910422" w:rsidRDefault="00910422" w:rsidP="00E76CB3">
            <w:pPr>
              <w:rPr>
                <w:b/>
                <w:bCs/>
                <w:sz w:val="20"/>
                <w:szCs w:val="20"/>
              </w:rPr>
            </w:pPr>
          </w:p>
          <w:p w14:paraId="01A35D48" w14:textId="77777777" w:rsidR="00910422" w:rsidRDefault="00910422" w:rsidP="00E76CB3">
            <w:pPr>
              <w:rPr>
                <w:b/>
                <w:bCs/>
                <w:sz w:val="20"/>
                <w:szCs w:val="20"/>
              </w:rPr>
            </w:pPr>
          </w:p>
          <w:p w14:paraId="3819FBA9" w14:textId="77777777" w:rsidR="00910422" w:rsidRDefault="00910422" w:rsidP="00E76CB3">
            <w:pPr>
              <w:rPr>
                <w:b/>
                <w:bCs/>
                <w:sz w:val="20"/>
                <w:szCs w:val="20"/>
              </w:rPr>
            </w:pPr>
          </w:p>
          <w:p w14:paraId="23DE29E2" w14:textId="77777777" w:rsidR="00910422" w:rsidRDefault="00910422" w:rsidP="00E76CB3">
            <w:pPr>
              <w:rPr>
                <w:b/>
                <w:bCs/>
                <w:sz w:val="20"/>
                <w:szCs w:val="20"/>
              </w:rPr>
            </w:pPr>
          </w:p>
          <w:p w14:paraId="2B74845A" w14:textId="77777777" w:rsidR="00910422" w:rsidRDefault="00910422" w:rsidP="00E76CB3">
            <w:pPr>
              <w:rPr>
                <w:b/>
                <w:bCs/>
                <w:sz w:val="20"/>
                <w:szCs w:val="20"/>
              </w:rPr>
            </w:pPr>
          </w:p>
          <w:p w14:paraId="7780F3D3" w14:textId="77777777" w:rsidR="00910422" w:rsidRDefault="00910422" w:rsidP="00E76CB3">
            <w:pPr>
              <w:rPr>
                <w:b/>
                <w:bCs/>
                <w:sz w:val="20"/>
                <w:szCs w:val="20"/>
              </w:rPr>
            </w:pPr>
          </w:p>
          <w:p w14:paraId="6D7A1FF1" w14:textId="77777777" w:rsidR="00910422" w:rsidRDefault="00910422" w:rsidP="00E76CB3">
            <w:pPr>
              <w:rPr>
                <w:b/>
                <w:bCs/>
                <w:sz w:val="20"/>
                <w:szCs w:val="20"/>
              </w:rPr>
            </w:pPr>
          </w:p>
          <w:p w14:paraId="04260886" w14:textId="77777777" w:rsidR="00910422" w:rsidRDefault="00910422" w:rsidP="00E76CB3">
            <w:pPr>
              <w:rPr>
                <w:b/>
                <w:bCs/>
                <w:sz w:val="20"/>
                <w:szCs w:val="20"/>
              </w:rPr>
            </w:pPr>
          </w:p>
          <w:p w14:paraId="20E2F20A" w14:textId="77777777" w:rsidR="00910422" w:rsidRDefault="00910422" w:rsidP="00E76CB3">
            <w:pPr>
              <w:rPr>
                <w:b/>
                <w:bCs/>
                <w:sz w:val="20"/>
                <w:szCs w:val="20"/>
              </w:rPr>
            </w:pPr>
          </w:p>
          <w:p w14:paraId="5E1EAAFE" w14:textId="76174C98" w:rsidR="00910422" w:rsidRPr="00CC0A46" w:rsidRDefault="00910422" w:rsidP="00E76CB3">
            <w:pPr>
              <w:rPr>
                <w:b/>
                <w:bCs/>
                <w:sz w:val="20"/>
                <w:szCs w:val="20"/>
              </w:rPr>
            </w:pPr>
            <w:r w:rsidRPr="00CC0A46">
              <w:rPr>
                <w:b/>
                <w:bCs/>
                <w:color w:val="auto"/>
                <w:sz w:val="20"/>
                <w:szCs w:val="20"/>
              </w:rPr>
              <w:lastRenderedPageBreak/>
              <w:t>Training activity</w:t>
            </w:r>
            <w:r>
              <w:rPr>
                <w:b/>
                <w:bCs/>
                <w:sz w:val="20"/>
                <w:szCs w:val="20"/>
              </w:rPr>
              <w:t xml:space="preserve"> – </w:t>
            </w:r>
            <w:r w:rsidRPr="00CC0A46">
              <w:rPr>
                <w:b/>
                <w:bCs/>
                <w:color w:val="auto"/>
                <w:sz w:val="20"/>
                <w:szCs w:val="20"/>
              </w:rPr>
              <w:t>NAT00120</w:t>
            </w:r>
            <w:r>
              <w:rPr>
                <w:b/>
                <w:bCs/>
                <w:color w:val="auto"/>
                <w:sz w:val="20"/>
                <w:szCs w:val="20"/>
              </w:rPr>
              <w:t xml:space="preserve"> (continued)</w:t>
            </w:r>
          </w:p>
        </w:tc>
        <w:tc>
          <w:tcPr>
            <w:tcW w:w="7513" w:type="dxa"/>
          </w:tcPr>
          <w:p w14:paraId="5992C583" w14:textId="365C698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lastRenderedPageBreak/>
              <w:t>Client Tuition Fee</w:t>
            </w:r>
            <w:r w:rsidRPr="00CC0A46">
              <w:rPr>
                <w:sz w:val="20"/>
                <w:szCs w:val="20"/>
              </w:rPr>
              <w:t xml:space="preserve"> – enter the amount that the learner has been charged to enrol in the subject (refer to the grey box on page </w:t>
            </w:r>
            <w:r w:rsidR="00910422">
              <w:rPr>
                <w:sz w:val="20"/>
                <w:szCs w:val="20"/>
              </w:rPr>
              <w:t xml:space="preserve">7 </w:t>
            </w:r>
            <w:r w:rsidRPr="00CC0A46">
              <w:rPr>
                <w:sz w:val="20"/>
                <w:szCs w:val="20"/>
              </w:rPr>
              <w:t>for further information)</w:t>
            </w:r>
          </w:p>
        </w:tc>
      </w:tr>
      <w:tr w:rsidR="00191D6F" w:rsidRPr="00CC0A46" w14:paraId="518ABBC2"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ADF3D8B" w14:textId="329B6EFA" w:rsidR="00191D6F" w:rsidRPr="00CC0A46" w:rsidRDefault="00191D6F" w:rsidP="00E76CB3">
            <w:pPr>
              <w:rPr>
                <w:b/>
                <w:bCs/>
                <w:color w:val="auto"/>
                <w:sz w:val="20"/>
                <w:szCs w:val="20"/>
              </w:rPr>
            </w:pPr>
          </w:p>
        </w:tc>
        <w:tc>
          <w:tcPr>
            <w:tcW w:w="7513" w:type="dxa"/>
          </w:tcPr>
          <w:p w14:paraId="5DB706BF"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Commencing Program Identifier</w:t>
            </w:r>
            <w:r w:rsidRPr="00CC0A46">
              <w:rPr>
                <w:sz w:val="20"/>
                <w:szCs w:val="20"/>
              </w:rPr>
              <w:t xml:space="preserve"> – enter 8 (unit of competency or subject enrolment only)</w:t>
            </w:r>
          </w:p>
        </w:tc>
      </w:tr>
      <w:tr w:rsidR="00805ADA" w:rsidRPr="00CC0A46" w14:paraId="2A0D1B64"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AAF62A9" w14:textId="77777777" w:rsidR="00805ADA" w:rsidRPr="00CC0A46" w:rsidRDefault="00805ADA" w:rsidP="00E76CB3">
            <w:pPr>
              <w:rPr>
                <w:sz w:val="20"/>
                <w:szCs w:val="20"/>
              </w:rPr>
            </w:pPr>
          </w:p>
        </w:tc>
        <w:tc>
          <w:tcPr>
            <w:tcW w:w="7513" w:type="dxa"/>
          </w:tcPr>
          <w:p w14:paraId="45F815DB" w14:textId="060A8BAF" w:rsidR="00805ADA" w:rsidRDefault="00ED08C8"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Fee Exemption/</w:t>
            </w:r>
            <w:r w:rsidR="00805ADA" w:rsidRPr="00910422">
              <w:rPr>
                <w:b/>
                <w:bCs/>
                <w:sz w:val="20"/>
                <w:szCs w:val="20"/>
              </w:rPr>
              <w:t xml:space="preserve">Concession </w:t>
            </w:r>
            <w:r w:rsidRPr="00910422">
              <w:rPr>
                <w:b/>
                <w:bCs/>
                <w:sz w:val="20"/>
                <w:szCs w:val="20"/>
              </w:rPr>
              <w:t>Type Identifier</w:t>
            </w:r>
            <w:r>
              <w:rPr>
                <w:sz w:val="20"/>
                <w:szCs w:val="20"/>
              </w:rPr>
              <w:t xml:space="preserve"> – enter the correct concession code to ensure </w:t>
            </w:r>
            <w:r w:rsidR="00910422">
              <w:rPr>
                <w:sz w:val="20"/>
                <w:szCs w:val="20"/>
              </w:rPr>
              <w:t xml:space="preserve">the appropriate </w:t>
            </w:r>
            <w:r>
              <w:rPr>
                <w:sz w:val="20"/>
                <w:szCs w:val="20"/>
              </w:rPr>
              <w:t>payment for eligible learners</w:t>
            </w:r>
          </w:p>
          <w:p w14:paraId="2E876C8D"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 Asylum Seeker NOT currently holding a relevant Pensioner Concession Card, Health Care </w:t>
            </w:r>
            <w:proofErr w:type="gramStart"/>
            <w:r>
              <w:rPr>
                <w:sz w:val="20"/>
                <w:szCs w:val="20"/>
              </w:rPr>
              <w:t>Card</w:t>
            </w:r>
            <w:proofErr w:type="gramEnd"/>
            <w:r>
              <w:rPr>
                <w:sz w:val="20"/>
                <w:szCs w:val="20"/>
              </w:rPr>
              <w:t xml:space="preserve"> or Veteran’s Gold Card</w:t>
            </w:r>
          </w:p>
          <w:p w14:paraId="0088BBD1"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 – Health Care Card</w:t>
            </w:r>
          </w:p>
          <w:p w14:paraId="5F3C3D20"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 – Indigenous Students without a concession card</w:t>
            </w:r>
          </w:p>
          <w:p w14:paraId="4A26EFC1"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 – Pensioner Concession Card</w:t>
            </w:r>
          </w:p>
          <w:p w14:paraId="5C936065"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 – Veteran Gold Card</w:t>
            </w:r>
          </w:p>
          <w:p w14:paraId="5568A19E" w14:textId="3265F743" w:rsidR="00ED08C8" w:rsidRDefault="00ED08C8" w:rsidP="00E76CB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 - None</w:t>
            </w:r>
          </w:p>
        </w:tc>
      </w:tr>
      <w:tr w:rsidR="00191D6F" w:rsidRPr="00CC0A46" w14:paraId="4DD511D9"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4B81182B" w14:textId="77777777" w:rsidR="00191D6F" w:rsidRPr="00CC0A46" w:rsidRDefault="00191D6F" w:rsidP="00E76CB3">
            <w:pPr>
              <w:rPr>
                <w:sz w:val="20"/>
                <w:szCs w:val="20"/>
              </w:rPr>
            </w:pPr>
          </w:p>
        </w:tc>
        <w:tc>
          <w:tcPr>
            <w:tcW w:w="7513" w:type="dxa"/>
          </w:tcPr>
          <w:p w14:paraId="58C279D6" w14:textId="77777777" w:rsidR="00191D6F"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Funding Source Identifier – National Code</w:t>
            </w:r>
            <w:r>
              <w:rPr>
                <w:sz w:val="20"/>
                <w:szCs w:val="20"/>
              </w:rPr>
              <w:t xml:space="preserve"> – enter</w:t>
            </w:r>
          </w:p>
          <w:p w14:paraId="328906C2" w14:textId="7AAF170E"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 Commonwealth and State general purpose recurrent</w:t>
            </w:r>
          </w:p>
        </w:tc>
      </w:tr>
      <w:tr w:rsidR="00191D6F" w:rsidRPr="00CC0A46" w14:paraId="0383BB41"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5251D5C5" w14:textId="77777777" w:rsidR="00191D6F" w:rsidRPr="00CC0A46" w:rsidRDefault="00191D6F" w:rsidP="00E76CB3">
            <w:pPr>
              <w:rPr>
                <w:sz w:val="20"/>
                <w:szCs w:val="20"/>
              </w:rPr>
            </w:pPr>
          </w:p>
        </w:tc>
        <w:tc>
          <w:tcPr>
            <w:tcW w:w="7513" w:type="dxa"/>
          </w:tcPr>
          <w:p w14:paraId="3D18F090"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Funding Source Identifier – State Training Authority</w:t>
            </w:r>
            <w:r w:rsidRPr="00CC0A46">
              <w:rPr>
                <w:sz w:val="20"/>
                <w:szCs w:val="20"/>
              </w:rPr>
              <w:t xml:space="preserve"> – enter</w:t>
            </w:r>
          </w:p>
          <w:p w14:paraId="00D19D2E"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ACE – General Pre-accredited</w:t>
            </w:r>
          </w:p>
          <w:p w14:paraId="0487B186"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AC2 – Digital Skills</w:t>
            </w:r>
          </w:p>
          <w:p w14:paraId="60359AE2" w14:textId="7A94166A" w:rsidR="00BE673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Refer to Table 1 for more information about Funding Source Identifiers</w:t>
            </w:r>
          </w:p>
        </w:tc>
      </w:tr>
      <w:tr w:rsidR="00191D6F" w:rsidRPr="00CC0A46" w14:paraId="27CCC007"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04D17827" w14:textId="77777777" w:rsidR="00191D6F" w:rsidRPr="00CC0A46" w:rsidRDefault="00191D6F" w:rsidP="00E76CB3">
            <w:pPr>
              <w:rPr>
                <w:sz w:val="20"/>
                <w:szCs w:val="20"/>
              </w:rPr>
            </w:pPr>
          </w:p>
        </w:tc>
        <w:tc>
          <w:tcPr>
            <w:tcW w:w="7513" w:type="dxa"/>
          </w:tcPr>
          <w:p w14:paraId="74EFA063"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Indigenous Status Identifier</w:t>
            </w:r>
            <w:r>
              <w:rPr>
                <w:sz w:val="20"/>
                <w:szCs w:val="20"/>
              </w:rPr>
              <w:t xml:space="preserve"> – where a learner self-assesses as indigenous – enter</w:t>
            </w:r>
          </w:p>
          <w:p w14:paraId="27E8D99F" w14:textId="77777777" w:rsidR="00191D6F"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 for Aboriginal</w:t>
            </w:r>
          </w:p>
          <w:p w14:paraId="2AF172B8" w14:textId="77777777" w:rsidR="00191D6F"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 for Torres Strait Islander</w:t>
            </w:r>
          </w:p>
          <w:p w14:paraId="0BCABB0A"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 for Aboriginal AND Torres Strait Islander</w:t>
            </w:r>
          </w:p>
          <w:p w14:paraId="7B7618F7"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This field provides the data that triggers the 50 per cent loading for Koorie learners in pre-accredited training.</w:t>
            </w:r>
          </w:p>
          <w:p w14:paraId="72FB2524" w14:textId="72F8FB63" w:rsidR="00191D6F" w:rsidRPr="00CC0A46"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Please note that it is intended as a self-assessment response by the student and must not be determined by the Learn Local provider.</w:t>
            </w:r>
          </w:p>
        </w:tc>
      </w:tr>
      <w:tr w:rsidR="00191D6F" w:rsidRPr="00CC0A46" w14:paraId="63B0D475"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6FB35659" w14:textId="77777777" w:rsidR="00191D6F" w:rsidRPr="00CC0A46" w:rsidRDefault="00191D6F" w:rsidP="00E76CB3">
            <w:pPr>
              <w:rPr>
                <w:sz w:val="20"/>
                <w:szCs w:val="20"/>
              </w:rPr>
            </w:pPr>
          </w:p>
        </w:tc>
        <w:tc>
          <w:tcPr>
            <w:tcW w:w="7513" w:type="dxa"/>
          </w:tcPr>
          <w:p w14:paraId="1C033426"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Outcome Identifier – Training Organisation</w:t>
            </w:r>
            <w:r w:rsidRPr="00CC0A46">
              <w:rPr>
                <w:sz w:val="20"/>
                <w:szCs w:val="20"/>
              </w:rPr>
              <w:t xml:space="preserve"> – enter </w:t>
            </w:r>
          </w:p>
          <w:p w14:paraId="41F459B1"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 xml:space="preserve">81 (non-assessable enrolment – satisfactorily completed), or </w:t>
            </w:r>
          </w:p>
          <w:p w14:paraId="5621A481"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82 (non-assessable enrolment – withdrawn or not satisfactorily completed)</w:t>
            </w:r>
          </w:p>
        </w:tc>
      </w:tr>
      <w:tr w:rsidR="00191D6F" w:rsidRPr="00CC0A46" w14:paraId="5561122D"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1D3866A" w14:textId="77777777" w:rsidR="00191D6F" w:rsidRPr="00CC0A46" w:rsidRDefault="00191D6F" w:rsidP="00E76CB3">
            <w:pPr>
              <w:rPr>
                <w:sz w:val="20"/>
                <w:szCs w:val="20"/>
              </w:rPr>
            </w:pPr>
          </w:p>
        </w:tc>
        <w:tc>
          <w:tcPr>
            <w:tcW w:w="7513" w:type="dxa"/>
          </w:tcPr>
          <w:p w14:paraId="58BFE92C" w14:textId="2AC18B0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Scheduled Hours</w:t>
            </w:r>
            <w:r w:rsidRPr="00CC0A46">
              <w:rPr>
                <w:sz w:val="20"/>
                <w:szCs w:val="20"/>
              </w:rPr>
              <w:t xml:space="preserve"> – enter the Module SCH as per your approved Delivery Plan</w:t>
            </w:r>
          </w:p>
        </w:tc>
      </w:tr>
      <w:tr w:rsidR="00191D6F" w:rsidRPr="00CC0A46" w14:paraId="551190CE"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61A0DFA4" w14:textId="77777777" w:rsidR="00191D6F" w:rsidRPr="00CC0A46" w:rsidRDefault="00191D6F" w:rsidP="00E76CB3">
            <w:pPr>
              <w:rPr>
                <w:sz w:val="20"/>
                <w:szCs w:val="20"/>
              </w:rPr>
            </w:pPr>
          </w:p>
        </w:tc>
        <w:tc>
          <w:tcPr>
            <w:tcW w:w="7513" w:type="dxa"/>
          </w:tcPr>
          <w:p w14:paraId="73B07F53" w14:textId="58EAA88B"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Unique Student Identifier</w:t>
            </w:r>
            <w:r>
              <w:rPr>
                <w:sz w:val="20"/>
                <w:szCs w:val="20"/>
              </w:rPr>
              <w:t xml:space="preserve"> – this field must be left blank for all pre-accredited module enrolments </w:t>
            </w:r>
          </w:p>
        </w:tc>
      </w:tr>
    </w:tbl>
    <w:p w14:paraId="4179575A" w14:textId="77777777" w:rsidR="00415DFD" w:rsidRDefault="00415DFD" w:rsidP="002C1BC6">
      <w:pPr>
        <w:rPr>
          <w:rFonts w:cstheme="minorHAnsi"/>
        </w:rPr>
      </w:pPr>
    </w:p>
    <w:p w14:paraId="316B3C34" w14:textId="107CFE8D" w:rsidR="002C1BC6" w:rsidRDefault="002C1BC6" w:rsidP="002C1BC6">
      <w:pPr>
        <w:rPr>
          <w:rFonts w:cstheme="minorHAnsi"/>
        </w:rPr>
      </w:pPr>
      <w:r w:rsidRPr="00B85529">
        <w:rPr>
          <w:rFonts w:cstheme="minorHAnsi"/>
        </w:rPr>
        <w:t xml:space="preserve">The </w:t>
      </w:r>
      <w:r w:rsidRPr="00E42F04">
        <w:rPr>
          <w:rFonts w:cstheme="minorHAnsi"/>
        </w:rPr>
        <w:t>system</w:t>
      </w:r>
      <w:r w:rsidRPr="00B85529">
        <w:rPr>
          <w:rFonts w:cstheme="minorHAnsi"/>
        </w:rPr>
        <w:t xml:space="preserve"> </w:t>
      </w:r>
      <w:r>
        <w:rPr>
          <w:rFonts w:cstheme="minorHAnsi"/>
        </w:rPr>
        <w:t>may</w:t>
      </w:r>
      <w:r w:rsidRPr="00B85529">
        <w:rPr>
          <w:rFonts w:cstheme="minorHAnsi"/>
        </w:rPr>
        <w:t xml:space="preserve"> generate errors and warning</w:t>
      </w:r>
      <w:r>
        <w:rPr>
          <w:rFonts w:cstheme="minorHAnsi"/>
        </w:rPr>
        <w:t>s</w:t>
      </w:r>
      <w:r w:rsidRPr="00B85529">
        <w:rPr>
          <w:rFonts w:cstheme="minorHAnsi"/>
        </w:rPr>
        <w:t xml:space="preserve"> where your data are inconsistent with the Statistic</w:t>
      </w:r>
      <w:r w:rsidR="00E42F04">
        <w:rPr>
          <w:rFonts w:cstheme="minorHAnsi"/>
        </w:rPr>
        <w:t>al</w:t>
      </w:r>
      <w:r w:rsidRPr="00B85529">
        <w:rPr>
          <w:rFonts w:cstheme="minorHAnsi"/>
        </w:rPr>
        <w:t xml:space="preserve"> Guidelines. More information on these errors is provided in </w:t>
      </w:r>
      <w:r w:rsidRPr="00010C0E">
        <w:rPr>
          <w:rFonts w:cstheme="minorHAnsi"/>
        </w:rPr>
        <w:t xml:space="preserve">the </w:t>
      </w:r>
      <w:hyperlink r:id="rId15" w:history="1">
        <w:r w:rsidRPr="00010C0E">
          <w:rPr>
            <w:rStyle w:val="Hyperlink"/>
            <w:rFonts w:cstheme="minorHAnsi"/>
          </w:rPr>
          <w:t xml:space="preserve">Validation </w:t>
        </w:r>
        <w:r w:rsidR="00A62794">
          <w:rPr>
            <w:rStyle w:val="Hyperlink"/>
            <w:rFonts w:cstheme="minorHAnsi"/>
          </w:rPr>
          <w:t>R</w:t>
        </w:r>
        <w:r w:rsidRPr="00010C0E">
          <w:rPr>
            <w:rStyle w:val="Hyperlink"/>
            <w:rFonts w:cstheme="minorHAnsi"/>
          </w:rPr>
          <w:t>ule and Rejects Supplement</w:t>
        </w:r>
      </w:hyperlink>
      <w:r w:rsidRPr="00010C0E">
        <w:rPr>
          <w:rFonts w:cstheme="minorHAnsi"/>
        </w:rPr>
        <w:t xml:space="preserve"> on the Department’s training data collection website.</w:t>
      </w:r>
    </w:p>
    <w:p w14:paraId="5B79B819" w14:textId="77777777" w:rsidR="00A14671" w:rsidRDefault="00A14671" w:rsidP="00D0311C">
      <w:pPr>
        <w:pStyle w:val="Heading3"/>
        <w:rPr>
          <w:rFonts w:cs="Calibri"/>
          <w:sz w:val="20"/>
          <w:szCs w:val="20"/>
        </w:rPr>
      </w:pPr>
    </w:p>
    <w:p w14:paraId="394779DA" w14:textId="2B043533" w:rsidR="00CD5548" w:rsidRPr="00CC0A46" w:rsidRDefault="00CD5548" w:rsidP="00D0311C">
      <w:pPr>
        <w:pStyle w:val="Heading3"/>
        <w:rPr>
          <w:rFonts w:cs="Calibri"/>
          <w:bCs/>
          <w:i/>
          <w:iCs/>
          <w:sz w:val="20"/>
          <w:szCs w:val="20"/>
        </w:rPr>
      </w:pPr>
      <w:r w:rsidRPr="00CC0A46">
        <w:rPr>
          <w:rFonts w:cs="Calibri"/>
          <w:sz w:val="20"/>
          <w:szCs w:val="20"/>
        </w:rPr>
        <w:t>Table 1 – 2023 Funding codes</w:t>
      </w:r>
    </w:p>
    <w:tbl>
      <w:tblPr>
        <w:tblW w:w="9735" w:type="dxa"/>
        <w:tblLook w:val="04A0" w:firstRow="1" w:lastRow="0" w:firstColumn="1" w:lastColumn="0" w:noHBand="0" w:noVBand="1"/>
      </w:tblPr>
      <w:tblGrid>
        <w:gridCol w:w="1005"/>
        <w:gridCol w:w="3061"/>
        <w:gridCol w:w="5669"/>
      </w:tblGrid>
      <w:tr w:rsidR="00050033" w:rsidRPr="00CC0A46" w14:paraId="0B50ACD1" w14:textId="77777777" w:rsidTr="00A14671">
        <w:trPr>
          <w:trHeight w:val="290"/>
        </w:trPr>
        <w:tc>
          <w:tcPr>
            <w:tcW w:w="1005" w:type="dxa"/>
            <w:tcBorders>
              <w:top w:val="nil"/>
              <w:left w:val="nil"/>
              <w:bottom w:val="nil"/>
              <w:right w:val="nil"/>
            </w:tcBorders>
            <w:shd w:val="clear" w:color="auto" w:fill="364283"/>
            <w:noWrap/>
            <w:vAlign w:val="bottom"/>
            <w:hideMark/>
          </w:tcPr>
          <w:p w14:paraId="79775DB0" w14:textId="77777777" w:rsidR="00050033" w:rsidRPr="00CC0A46" w:rsidRDefault="00050033" w:rsidP="00CC0A46">
            <w:pPr>
              <w:spacing w:before="60" w:after="60"/>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Funding code</w:t>
            </w:r>
          </w:p>
        </w:tc>
        <w:tc>
          <w:tcPr>
            <w:tcW w:w="3061" w:type="dxa"/>
            <w:tcBorders>
              <w:top w:val="nil"/>
              <w:left w:val="nil"/>
              <w:bottom w:val="nil"/>
              <w:right w:val="nil"/>
            </w:tcBorders>
            <w:shd w:val="clear" w:color="auto" w:fill="364283"/>
            <w:noWrap/>
            <w:vAlign w:val="center"/>
            <w:hideMark/>
          </w:tcPr>
          <w:p w14:paraId="73522311" w14:textId="56A6BD05" w:rsidR="00050033" w:rsidRPr="00CC0A46" w:rsidRDefault="00050033" w:rsidP="00CC0A46">
            <w:pPr>
              <w:spacing w:before="60" w:after="60"/>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Program</w:t>
            </w:r>
            <w:r w:rsidR="00513D3A">
              <w:rPr>
                <w:rFonts w:eastAsia="Times New Roman" w:cstheme="minorHAnsi"/>
                <w:b/>
                <w:color w:val="FFFFFF" w:themeColor="background1"/>
                <w:sz w:val="20"/>
                <w:szCs w:val="20"/>
                <w:lang w:eastAsia="en-AU"/>
              </w:rPr>
              <w:t xml:space="preserve"> </w:t>
            </w:r>
            <w:r w:rsidRPr="00CC0A46">
              <w:rPr>
                <w:rFonts w:eastAsia="Times New Roman" w:cstheme="minorHAnsi"/>
                <w:b/>
                <w:color w:val="FFFFFF" w:themeColor="background1"/>
                <w:sz w:val="20"/>
                <w:szCs w:val="20"/>
                <w:lang w:eastAsia="en-AU"/>
              </w:rPr>
              <w:t>category</w:t>
            </w:r>
          </w:p>
        </w:tc>
        <w:tc>
          <w:tcPr>
            <w:tcW w:w="5669" w:type="dxa"/>
            <w:tcBorders>
              <w:top w:val="nil"/>
              <w:left w:val="nil"/>
              <w:bottom w:val="nil"/>
              <w:right w:val="nil"/>
            </w:tcBorders>
            <w:shd w:val="clear" w:color="auto" w:fill="364283"/>
            <w:noWrap/>
            <w:vAlign w:val="center"/>
            <w:hideMark/>
          </w:tcPr>
          <w:p w14:paraId="31184660" w14:textId="77777777" w:rsidR="00050033" w:rsidRPr="00CC0A46" w:rsidRDefault="00050033" w:rsidP="00D11558">
            <w:pPr>
              <w:spacing w:after="0" w:line="240" w:lineRule="auto"/>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Description</w:t>
            </w:r>
          </w:p>
        </w:tc>
      </w:tr>
      <w:tr w:rsidR="00050033" w:rsidRPr="00CC0A46" w14:paraId="65D6DD6E" w14:textId="77777777" w:rsidTr="00A14671">
        <w:trPr>
          <w:trHeight w:val="290"/>
        </w:trPr>
        <w:tc>
          <w:tcPr>
            <w:tcW w:w="1005" w:type="dxa"/>
            <w:tcBorders>
              <w:top w:val="nil"/>
              <w:left w:val="nil"/>
              <w:right w:val="nil"/>
            </w:tcBorders>
            <w:shd w:val="clear" w:color="auto" w:fill="auto"/>
            <w:noWrap/>
            <w:hideMark/>
          </w:tcPr>
          <w:p w14:paraId="31027C88"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ACE</w:t>
            </w:r>
          </w:p>
        </w:tc>
        <w:tc>
          <w:tcPr>
            <w:tcW w:w="3061" w:type="dxa"/>
            <w:tcBorders>
              <w:top w:val="nil"/>
              <w:left w:val="nil"/>
              <w:right w:val="nil"/>
            </w:tcBorders>
            <w:shd w:val="clear" w:color="auto" w:fill="auto"/>
            <w:noWrap/>
            <w:hideMark/>
          </w:tcPr>
          <w:p w14:paraId="4770467F"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General Pre-accredited programs </w:t>
            </w:r>
          </w:p>
        </w:tc>
        <w:tc>
          <w:tcPr>
            <w:tcW w:w="5669" w:type="dxa"/>
            <w:tcBorders>
              <w:top w:val="nil"/>
              <w:left w:val="nil"/>
              <w:right w:val="nil"/>
            </w:tcBorders>
            <w:shd w:val="clear" w:color="auto" w:fill="auto"/>
            <w:noWrap/>
            <w:hideMark/>
          </w:tcPr>
          <w:p w14:paraId="394D4EDA" w14:textId="21AFADAF"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For individuals enrolled in pre-accredited local programs delivered by Learn Local </w:t>
            </w:r>
            <w:r w:rsidR="00476DF7" w:rsidRPr="00CC0A46">
              <w:rPr>
                <w:rFonts w:eastAsia="Times New Roman" w:cstheme="minorHAnsi"/>
                <w:bCs/>
                <w:sz w:val="20"/>
                <w:szCs w:val="20"/>
                <w:lang w:eastAsia="en-AU"/>
              </w:rPr>
              <w:t>provider</w:t>
            </w:r>
            <w:r w:rsidRPr="00CC0A46">
              <w:rPr>
                <w:rFonts w:eastAsia="Times New Roman" w:cstheme="minorHAnsi"/>
                <w:bCs/>
                <w:sz w:val="20"/>
                <w:szCs w:val="20"/>
                <w:lang w:eastAsia="en-AU"/>
              </w:rPr>
              <w:t>s as funded through contracts with the ACFE Board.</w:t>
            </w:r>
          </w:p>
        </w:tc>
      </w:tr>
      <w:tr w:rsidR="00050033" w:rsidRPr="00CC0A46" w14:paraId="489B8BB9" w14:textId="77777777" w:rsidTr="00A14671">
        <w:trPr>
          <w:trHeight w:val="290"/>
        </w:trPr>
        <w:tc>
          <w:tcPr>
            <w:tcW w:w="1005" w:type="dxa"/>
            <w:tcBorders>
              <w:top w:val="nil"/>
              <w:left w:val="nil"/>
              <w:bottom w:val="single" w:sz="4" w:space="0" w:color="auto"/>
              <w:right w:val="nil"/>
            </w:tcBorders>
            <w:shd w:val="clear" w:color="auto" w:fill="auto"/>
            <w:noWrap/>
            <w:hideMark/>
          </w:tcPr>
          <w:p w14:paraId="7EF9B5CD"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AC2</w:t>
            </w:r>
          </w:p>
        </w:tc>
        <w:tc>
          <w:tcPr>
            <w:tcW w:w="3061" w:type="dxa"/>
            <w:tcBorders>
              <w:top w:val="nil"/>
              <w:left w:val="nil"/>
              <w:bottom w:val="single" w:sz="4" w:space="0" w:color="auto"/>
              <w:right w:val="nil"/>
            </w:tcBorders>
            <w:shd w:val="clear" w:color="auto" w:fill="auto"/>
            <w:noWrap/>
            <w:hideMark/>
          </w:tcPr>
          <w:p w14:paraId="4CC06871"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Digital Skills Programs</w:t>
            </w:r>
          </w:p>
        </w:tc>
        <w:tc>
          <w:tcPr>
            <w:tcW w:w="5669" w:type="dxa"/>
            <w:tcBorders>
              <w:top w:val="nil"/>
              <w:left w:val="nil"/>
              <w:bottom w:val="single" w:sz="4" w:space="0" w:color="auto"/>
              <w:right w:val="nil"/>
            </w:tcBorders>
            <w:shd w:val="clear" w:color="auto" w:fill="auto"/>
            <w:noWrap/>
            <w:hideMark/>
          </w:tcPr>
          <w:p w14:paraId="0C739158" w14:textId="1F2C5129"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For individuals enrolled in pre-accredited local programs under the 2021-22 Budget Digital Skills Initiative delivered by Learn Local </w:t>
            </w:r>
            <w:r w:rsidR="00476DF7" w:rsidRPr="00CC0A46">
              <w:rPr>
                <w:rFonts w:eastAsia="Times New Roman" w:cstheme="minorHAnsi"/>
                <w:bCs/>
                <w:sz w:val="20"/>
                <w:szCs w:val="20"/>
                <w:lang w:eastAsia="en-AU"/>
              </w:rPr>
              <w:t>provider</w:t>
            </w:r>
            <w:r w:rsidRPr="00CC0A46">
              <w:rPr>
                <w:rFonts w:eastAsia="Times New Roman" w:cstheme="minorHAnsi"/>
                <w:bCs/>
                <w:sz w:val="20"/>
                <w:szCs w:val="20"/>
                <w:lang w:eastAsia="en-AU"/>
              </w:rPr>
              <w:t>s as funded through contracts with the ACFE Board.</w:t>
            </w:r>
          </w:p>
        </w:tc>
      </w:tr>
    </w:tbl>
    <w:p w14:paraId="4889DA39" w14:textId="4FDF15F6" w:rsidR="00250DE2" w:rsidRDefault="00250DE2" w:rsidP="00D724AF">
      <w:pPr>
        <w:rPr>
          <w:rFonts w:cstheme="minorHAnsi"/>
          <w:i/>
          <w:iCs/>
          <w:sz w:val="16"/>
          <w:szCs w:val="16"/>
        </w:rPr>
      </w:pPr>
    </w:p>
    <w:p w14:paraId="7E16BBC7" w14:textId="74A89167" w:rsidR="00837745" w:rsidRDefault="00837745" w:rsidP="00837745">
      <w:r>
        <w:t xml:space="preserve">Learn Local providers are reminded to use the </w:t>
      </w:r>
      <w:r w:rsidRPr="00A62794">
        <w:rPr>
          <w:b/>
          <w:bCs/>
        </w:rPr>
        <w:t xml:space="preserve">exact module </w:t>
      </w:r>
      <w:r w:rsidR="00EE0F51" w:rsidRPr="00A62794">
        <w:rPr>
          <w:b/>
          <w:bCs/>
        </w:rPr>
        <w:t xml:space="preserve">(course) </w:t>
      </w:r>
      <w:r w:rsidRPr="00A62794">
        <w:rPr>
          <w:b/>
          <w:bCs/>
        </w:rPr>
        <w:t>codes</w:t>
      </w:r>
      <w:r>
        <w:t xml:space="preserve"> </w:t>
      </w:r>
      <w:r w:rsidR="00EC42C3">
        <w:t xml:space="preserve">used </w:t>
      </w:r>
      <w:r>
        <w:t xml:space="preserve">in the agreed Delivery Plan when entering data into their SMS. This will ensure that reported data is successfully uploaded to SVTS and in turn ensures that milestone payments can be made in line with contract payment dates once threshold delivery targets are met. </w:t>
      </w:r>
    </w:p>
    <w:p w14:paraId="01DF0911" w14:textId="7C3D174E" w:rsidR="00FA2808" w:rsidRDefault="00FA2808" w:rsidP="00837745">
      <w:r w:rsidRPr="00FA2808">
        <w:rPr>
          <w:b/>
          <w:bCs/>
        </w:rPr>
        <w:t>Please note:</w:t>
      </w:r>
      <w:r w:rsidRPr="00FA2808">
        <w:t xml:space="preserve"> </w:t>
      </w:r>
      <w:r w:rsidR="004C605B">
        <w:t>The</w:t>
      </w:r>
      <w:r w:rsidR="00AC01FC">
        <w:t xml:space="preserve"> </w:t>
      </w:r>
      <w:r w:rsidRPr="00FA2808">
        <w:t xml:space="preserve">ACR and ACJ funding codes are no longer required for Reconnect </w:t>
      </w:r>
      <w:r>
        <w:t xml:space="preserve">referrals or </w:t>
      </w:r>
      <w:r w:rsidRPr="00FA2808">
        <w:t>Asylum Seeker</w:t>
      </w:r>
      <w:r>
        <w:t>s respectively</w:t>
      </w:r>
      <w:r w:rsidRPr="00FA2808">
        <w:t>.</w:t>
      </w:r>
      <w:r w:rsidR="00E45A4B">
        <w:t xml:space="preserve"> </w:t>
      </w:r>
      <w:r w:rsidR="00F83E79">
        <w:t xml:space="preserve">However, </w:t>
      </w:r>
      <w:r w:rsidR="00E45A4B">
        <w:t xml:space="preserve">Learn Local providers should </w:t>
      </w:r>
      <w:r w:rsidR="00F83E79">
        <w:t xml:space="preserve">continue to </w:t>
      </w:r>
      <w:r w:rsidR="00E45A4B">
        <w:t>use the</w:t>
      </w:r>
      <w:r w:rsidR="00825A33">
        <w:t xml:space="preserve"> </w:t>
      </w:r>
      <w:r w:rsidR="00F83E79">
        <w:t>Concession Type identifier</w:t>
      </w:r>
      <w:r w:rsidR="00612C22">
        <w:t xml:space="preserve"> </w:t>
      </w:r>
      <w:r w:rsidR="00825A33">
        <w:t>of ‘</w:t>
      </w:r>
      <w:r w:rsidR="00612C22">
        <w:t>A</w:t>
      </w:r>
      <w:r w:rsidR="00825A33">
        <w:t>’</w:t>
      </w:r>
      <w:r w:rsidR="00612C22">
        <w:t xml:space="preserve"> when enrolling</w:t>
      </w:r>
      <w:r w:rsidR="00825A33">
        <w:t xml:space="preserve"> an Asylum Seeker.</w:t>
      </w:r>
      <w:r w:rsidR="00612C22">
        <w:t xml:space="preserve"> </w:t>
      </w:r>
    </w:p>
    <w:p w14:paraId="5F281448" w14:textId="1F9F04C5" w:rsidR="00A14671" w:rsidRDefault="00A14671" w:rsidP="00837745"/>
    <w:p w14:paraId="3286C1A6" w14:textId="76BFCD1A" w:rsidR="00A14671" w:rsidRDefault="00A14671" w:rsidP="00837745"/>
    <w:p w14:paraId="372C4972" w14:textId="390A5C94" w:rsidR="00A14671" w:rsidRDefault="00A14671" w:rsidP="00837745"/>
    <w:p w14:paraId="5D8E5C27" w14:textId="39721B76" w:rsidR="00A14671" w:rsidRDefault="00A14671" w:rsidP="00837745"/>
    <w:tbl>
      <w:tblPr>
        <w:tblStyle w:val="TableGrid"/>
        <w:tblW w:w="0" w:type="auto"/>
        <w:tblLook w:val="04A0" w:firstRow="1" w:lastRow="0" w:firstColumn="1" w:lastColumn="0" w:noHBand="0" w:noVBand="1"/>
      </w:tblPr>
      <w:tblGrid>
        <w:gridCol w:w="9487"/>
      </w:tblGrid>
      <w:tr w:rsidR="00AA1127" w14:paraId="22651B3D" w14:textId="77777777" w:rsidTr="00AA1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shd w:val="clear" w:color="auto" w:fill="F2F2F2" w:themeFill="background1" w:themeFillShade="F2"/>
          </w:tcPr>
          <w:p w14:paraId="362A94DB" w14:textId="5D6357D8" w:rsidR="00AA1127" w:rsidRPr="00AA1127" w:rsidRDefault="00AA1127" w:rsidP="00AA1127">
            <w:pPr>
              <w:rPr>
                <w:rFonts w:cstheme="minorHAnsi"/>
                <w:bCs/>
                <w:color w:val="auto"/>
                <w:shd w:val="clear" w:color="auto" w:fill="F2F2F2" w:themeFill="background1" w:themeFillShade="F2"/>
              </w:rPr>
            </w:pPr>
            <w:r w:rsidRPr="00AA1127">
              <w:rPr>
                <w:rFonts w:cstheme="minorHAnsi"/>
                <w:bCs/>
                <w:color w:val="auto"/>
                <w:shd w:val="clear" w:color="auto" w:fill="F2F2F2" w:themeFill="background1" w:themeFillShade="F2"/>
              </w:rPr>
              <w:lastRenderedPageBreak/>
              <w:t>Client Tuition Fee</w:t>
            </w:r>
          </w:p>
          <w:p w14:paraId="4067A7F6" w14:textId="25A9B31F" w:rsidR="00AA1127" w:rsidRPr="00AA1127" w:rsidRDefault="00AA1127" w:rsidP="00AA1127">
            <w:pPr>
              <w:rPr>
                <w:rFonts w:cstheme="minorHAnsi"/>
                <w:b w:val="0"/>
                <w:bCs/>
                <w:color w:val="auto"/>
              </w:rPr>
            </w:pPr>
            <w:r w:rsidRPr="00AA1127">
              <w:rPr>
                <w:rFonts w:cstheme="minorHAnsi"/>
                <w:b w:val="0"/>
                <w:bCs/>
                <w:color w:val="auto"/>
                <w:shd w:val="clear" w:color="auto" w:fill="F2F2F2" w:themeFill="background1" w:themeFillShade="F2"/>
              </w:rPr>
              <w:t>In 2023, Learn Local</w:t>
            </w:r>
            <w:r w:rsidR="00756603">
              <w:rPr>
                <w:rFonts w:cstheme="minorHAnsi"/>
                <w:b w:val="0"/>
                <w:bCs/>
                <w:color w:val="auto"/>
                <w:shd w:val="clear" w:color="auto" w:fill="F2F2F2" w:themeFill="background1" w:themeFillShade="F2"/>
              </w:rPr>
              <w:t xml:space="preserve"> provider</w:t>
            </w:r>
            <w:r w:rsidRPr="00AA1127">
              <w:rPr>
                <w:rFonts w:cstheme="minorHAnsi"/>
                <w:b w:val="0"/>
                <w:bCs/>
                <w:color w:val="auto"/>
                <w:shd w:val="clear" w:color="auto" w:fill="F2F2F2" w:themeFill="background1" w:themeFillShade="F2"/>
              </w:rPr>
              <w:t xml:space="preserve">s can charge a Tuition Fee of up </w:t>
            </w:r>
            <w:r w:rsidRPr="001961FD">
              <w:rPr>
                <w:rFonts w:cstheme="minorHAnsi"/>
                <w:b w:val="0"/>
                <w:bCs/>
                <w:color w:val="auto"/>
                <w:shd w:val="clear" w:color="auto" w:fill="F2F2F2" w:themeFill="background1" w:themeFillShade="F2"/>
              </w:rPr>
              <w:t>to $1.0</w:t>
            </w:r>
            <w:r w:rsidRPr="006824EF">
              <w:rPr>
                <w:rFonts w:cstheme="minorHAnsi"/>
                <w:b w:val="0"/>
                <w:bCs/>
                <w:color w:val="auto"/>
                <w:shd w:val="clear" w:color="auto" w:fill="F2F2F2" w:themeFill="background1" w:themeFillShade="F2"/>
              </w:rPr>
              <w:t>8</w:t>
            </w:r>
            <w:r w:rsidRPr="00AA1127">
              <w:rPr>
                <w:rFonts w:cstheme="minorHAnsi"/>
                <w:b w:val="0"/>
                <w:bCs/>
                <w:color w:val="auto"/>
                <w:shd w:val="clear" w:color="auto" w:fill="F2F2F2" w:themeFill="background1" w:themeFillShade="F2"/>
              </w:rPr>
              <w:t xml:space="preserve"> per hour of training for all learners.</w:t>
            </w:r>
          </w:p>
          <w:p w14:paraId="63A35551" w14:textId="73CE518C" w:rsidR="00AA1127" w:rsidRPr="00AA1127" w:rsidRDefault="00AA1127" w:rsidP="00AA1127">
            <w:pPr>
              <w:shd w:val="clear" w:color="auto" w:fill="F2F2F2" w:themeFill="background1" w:themeFillShade="F2"/>
              <w:rPr>
                <w:rFonts w:cstheme="minorHAnsi"/>
                <w:b w:val="0"/>
                <w:bCs/>
                <w:color w:val="auto"/>
              </w:rPr>
            </w:pPr>
            <w:r w:rsidRPr="00AA1127">
              <w:rPr>
                <w:rFonts w:cstheme="minorHAnsi"/>
                <w:b w:val="0"/>
                <w:bCs/>
                <w:color w:val="auto"/>
                <w:shd w:val="clear" w:color="auto" w:fill="F2F2F2" w:themeFill="background1" w:themeFillShade="F2"/>
              </w:rPr>
              <w:t xml:space="preserve">Concessional Tuition Fee arrangements apply for learners who hold either a Health, Pensioner Concession or Veteran’s Gold Card at the time of their enrolment. In 2023, total tuition fees for concessional learner are capped at </w:t>
            </w:r>
            <w:r w:rsidRPr="001961FD">
              <w:rPr>
                <w:rFonts w:cstheme="minorHAnsi"/>
                <w:b w:val="0"/>
                <w:bCs/>
                <w:color w:val="auto"/>
                <w:shd w:val="clear" w:color="auto" w:fill="F2F2F2" w:themeFill="background1" w:themeFillShade="F2"/>
              </w:rPr>
              <w:t>$50</w:t>
            </w:r>
            <w:r w:rsidRPr="00AA1127">
              <w:rPr>
                <w:rFonts w:cstheme="minorHAnsi"/>
                <w:b w:val="0"/>
                <w:bCs/>
                <w:color w:val="auto"/>
                <w:shd w:val="clear" w:color="auto" w:fill="F2F2F2" w:themeFill="background1" w:themeFillShade="F2"/>
              </w:rPr>
              <w:t xml:space="preserve"> per annum for all subject enrolments in any individual Learn </w:t>
            </w:r>
            <w:r w:rsidR="00756603">
              <w:rPr>
                <w:rFonts w:cstheme="minorHAnsi"/>
                <w:b w:val="0"/>
                <w:bCs/>
                <w:color w:val="auto"/>
                <w:shd w:val="clear" w:color="auto" w:fill="F2F2F2" w:themeFill="background1" w:themeFillShade="F2"/>
              </w:rPr>
              <w:t>L</w:t>
            </w:r>
            <w:r w:rsidRPr="00AA1127">
              <w:rPr>
                <w:rFonts w:cstheme="minorHAnsi"/>
                <w:b w:val="0"/>
                <w:bCs/>
                <w:color w:val="auto"/>
                <w:shd w:val="clear" w:color="auto" w:fill="F2F2F2" w:themeFill="background1" w:themeFillShade="F2"/>
              </w:rPr>
              <w:t>ocal</w:t>
            </w:r>
            <w:r w:rsidR="00756603">
              <w:rPr>
                <w:rFonts w:cstheme="minorHAnsi"/>
                <w:b w:val="0"/>
                <w:bCs/>
                <w:color w:val="auto"/>
                <w:shd w:val="clear" w:color="auto" w:fill="F2F2F2" w:themeFill="background1" w:themeFillShade="F2"/>
              </w:rPr>
              <w:t xml:space="preserve"> provider</w:t>
            </w:r>
            <w:r w:rsidRPr="00AA1127">
              <w:rPr>
                <w:rFonts w:cstheme="minorHAnsi"/>
                <w:b w:val="0"/>
                <w:bCs/>
                <w:color w:val="auto"/>
                <w:shd w:val="clear" w:color="auto" w:fill="F2F2F2" w:themeFill="background1" w:themeFillShade="F2"/>
              </w:rPr>
              <w:t xml:space="preserve">. </w:t>
            </w:r>
            <w:r w:rsidRPr="001961FD">
              <w:rPr>
                <w:rFonts w:cstheme="minorHAnsi"/>
                <w:color w:val="auto"/>
                <w:shd w:val="clear" w:color="auto" w:fill="F2F2F2" w:themeFill="background1" w:themeFillShade="F2"/>
              </w:rPr>
              <w:t>Please note that most S</w:t>
            </w:r>
            <w:r w:rsidR="00910422">
              <w:rPr>
                <w:rFonts w:cstheme="minorHAnsi"/>
                <w:color w:val="auto"/>
                <w:shd w:val="clear" w:color="auto" w:fill="F2F2F2" w:themeFill="background1" w:themeFillShade="F2"/>
              </w:rPr>
              <w:t>MS software</w:t>
            </w:r>
            <w:r w:rsidRPr="001961FD">
              <w:rPr>
                <w:rFonts w:cstheme="minorHAnsi"/>
                <w:color w:val="auto"/>
                <w:shd w:val="clear" w:color="auto" w:fill="F2F2F2" w:themeFill="background1" w:themeFillShade="F2"/>
              </w:rPr>
              <w:t xml:space="preserve"> will not provide warnings when aggregate fees exceed this cap for eligible students.</w:t>
            </w:r>
          </w:p>
          <w:p w14:paraId="6D6DA523" w14:textId="1A4A1B81" w:rsidR="00AA1127" w:rsidRPr="00AA1127" w:rsidRDefault="00AA1127" w:rsidP="00250DE2">
            <w:r w:rsidRPr="00AA1127">
              <w:rPr>
                <w:rFonts w:cstheme="minorHAnsi"/>
                <w:b w:val="0"/>
                <w:bCs/>
                <w:color w:val="auto"/>
                <w:shd w:val="clear" w:color="auto" w:fill="F2F2F2" w:themeFill="background1" w:themeFillShade="F2"/>
              </w:rPr>
              <w:t>The tuition fee amount must be entered as an hourly rate in cents per hour excluding GST (that is, 77 not 0.77). This field must be 00000 where no such fees/costs are charged. This field must not be blank.</w:t>
            </w:r>
          </w:p>
        </w:tc>
      </w:tr>
    </w:tbl>
    <w:p w14:paraId="68D959B6" w14:textId="77777777" w:rsidR="00930E06" w:rsidRDefault="00930E06" w:rsidP="00312B0B">
      <w:pPr>
        <w:pStyle w:val="Heading1"/>
      </w:pPr>
      <w:bookmarkStart w:id="15" w:name="_Toc115258874"/>
    </w:p>
    <w:p w14:paraId="6AD3E9AC" w14:textId="362DAA08" w:rsidR="00312B0B" w:rsidRPr="00BF01E5" w:rsidRDefault="00312B0B" w:rsidP="00BF01E5">
      <w:pPr>
        <w:pStyle w:val="Heading1"/>
        <w:rPr>
          <w:color w:val="004EA8" w:themeColor="accent1"/>
        </w:rPr>
      </w:pPr>
      <w:bookmarkStart w:id="16" w:name="_Toc115971694"/>
      <w:r>
        <w:t>Reporting enrolment information</w:t>
      </w:r>
      <w:bookmarkEnd w:id="15"/>
      <w:bookmarkEnd w:id="16"/>
    </w:p>
    <w:p w14:paraId="5EB84E03" w14:textId="77777777" w:rsidR="00312B0B" w:rsidRDefault="00312B0B" w:rsidP="00312B0B">
      <w:pPr>
        <w:pStyle w:val="Heading2"/>
      </w:pPr>
      <w:bookmarkStart w:id="17" w:name="_Toc115258875"/>
      <w:bookmarkStart w:id="18" w:name="_Toc115971695"/>
      <w:r>
        <w:t>Payment and reporting requirements</w:t>
      </w:r>
      <w:bookmarkEnd w:id="17"/>
      <w:bookmarkEnd w:id="18"/>
    </w:p>
    <w:p w14:paraId="5F95C3E5" w14:textId="4B1757DF" w:rsidR="00312B0B" w:rsidRDefault="00312B0B" w:rsidP="00312B0B">
      <w:pPr>
        <w:rPr>
          <w:rFonts w:cstheme="minorHAnsi"/>
        </w:rPr>
      </w:pPr>
      <w:r>
        <w:rPr>
          <w:rFonts w:cstheme="minorHAnsi"/>
        </w:rPr>
        <w:t>Learn Local</w:t>
      </w:r>
      <w:r w:rsidR="00756603">
        <w:rPr>
          <w:rFonts w:cstheme="minorHAnsi"/>
        </w:rPr>
        <w:t xml:space="preserve"> provider</w:t>
      </w:r>
      <w:r>
        <w:rPr>
          <w:rFonts w:cstheme="minorHAnsi"/>
        </w:rPr>
        <w:t>s</w:t>
      </w:r>
      <w:r w:rsidRPr="00B85529">
        <w:rPr>
          <w:rFonts w:cstheme="minorHAnsi"/>
        </w:rPr>
        <w:t xml:space="preserve"> must accurately report all ACFE</w:t>
      </w:r>
      <w:r w:rsidR="00247026">
        <w:rPr>
          <w:rFonts w:cstheme="minorHAnsi"/>
        </w:rPr>
        <w:t>-funded</w:t>
      </w:r>
      <w:r w:rsidRPr="00B85529">
        <w:rPr>
          <w:rFonts w:cstheme="minorHAnsi"/>
        </w:rPr>
        <w:t xml:space="preserve"> training delivery </w:t>
      </w:r>
      <w:r w:rsidR="0092502C">
        <w:rPr>
          <w:rFonts w:cstheme="minorHAnsi"/>
        </w:rPr>
        <w:t xml:space="preserve">at the end of each quarter </w:t>
      </w:r>
      <w:r w:rsidRPr="00B85529">
        <w:rPr>
          <w:rFonts w:cstheme="minorHAnsi"/>
        </w:rPr>
        <w:t>in accordance with the</w:t>
      </w:r>
      <w:r>
        <w:rPr>
          <w:rFonts w:cstheme="minorHAnsi"/>
        </w:rPr>
        <w:t xml:space="preserve">ir Service </w:t>
      </w:r>
      <w:r w:rsidR="00A62794">
        <w:rPr>
          <w:rFonts w:cstheme="minorHAnsi"/>
        </w:rPr>
        <w:t>Plan</w:t>
      </w:r>
      <w:r>
        <w:rPr>
          <w:rFonts w:cstheme="minorHAnsi"/>
        </w:rPr>
        <w:t xml:space="preserve"> and</w:t>
      </w:r>
      <w:r w:rsidRPr="00B85529">
        <w:rPr>
          <w:rFonts w:cstheme="minorHAnsi"/>
        </w:rPr>
        <w:t xml:space="preserve"> the payment and reporting schedule (</w:t>
      </w:r>
      <w:r w:rsidR="00D83827">
        <w:rPr>
          <w:rFonts w:cstheme="minorHAnsi"/>
        </w:rPr>
        <w:t xml:space="preserve">see </w:t>
      </w:r>
      <w:r w:rsidRPr="00422BE9">
        <w:rPr>
          <w:rFonts w:cstheme="minorHAnsi"/>
        </w:rPr>
        <w:t>Table 2</w:t>
      </w:r>
      <w:r w:rsidRPr="00B85529">
        <w:rPr>
          <w:rFonts w:cstheme="minorHAnsi"/>
        </w:rPr>
        <w:t>).</w:t>
      </w:r>
      <w:r>
        <w:rPr>
          <w:rFonts w:cstheme="minorHAnsi"/>
        </w:rPr>
        <w:t xml:space="preserve"> For more detailed information about reporting and enrolment dates please refer to the</w:t>
      </w:r>
      <w:r w:rsidR="00386E82">
        <w:rPr>
          <w:rFonts w:cstheme="minorHAnsi"/>
        </w:rPr>
        <w:t xml:space="preserve"> current</w:t>
      </w:r>
      <w:r>
        <w:rPr>
          <w:rFonts w:cstheme="minorHAnsi"/>
        </w:rPr>
        <w:t xml:space="preserve"> </w:t>
      </w:r>
      <w:hyperlink r:id="rId16" w:history="1">
        <w:r w:rsidR="00386E82" w:rsidRPr="00386E82">
          <w:rPr>
            <w:rStyle w:val="Hyperlink"/>
            <w:rFonts w:cstheme="minorHAnsi"/>
          </w:rPr>
          <w:t>ACFE</w:t>
        </w:r>
        <w:r w:rsidRPr="00386E82">
          <w:rPr>
            <w:rStyle w:val="Hyperlink"/>
            <w:rFonts w:cstheme="minorHAnsi"/>
          </w:rPr>
          <w:t xml:space="preserve"> Training Delivery Guidelines</w:t>
        </w:r>
      </w:hyperlink>
      <w:r>
        <w:rPr>
          <w:rFonts w:cstheme="minorHAnsi"/>
        </w:rPr>
        <w:t>.</w:t>
      </w:r>
    </w:p>
    <w:p w14:paraId="0F891D3C" w14:textId="702B2D17" w:rsidR="00312B0B" w:rsidRPr="00B85529" w:rsidRDefault="00312B0B" w:rsidP="00312B0B">
      <w:pPr>
        <w:rPr>
          <w:rFonts w:cstheme="minorHAnsi"/>
        </w:rPr>
      </w:pPr>
      <w:r>
        <w:rPr>
          <w:rFonts w:cstheme="minorHAnsi"/>
        </w:rPr>
        <w:t>The f</w:t>
      </w:r>
      <w:r w:rsidRPr="00B85529">
        <w:rPr>
          <w:rFonts w:cstheme="minorHAnsi"/>
        </w:rPr>
        <w:t>inal payment (</w:t>
      </w:r>
      <w:r w:rsidR="00920283">
        <w:rPr>
          <w:rFonts w:cstheme="minorHAnsi"/>
        </w:rPr>
        <w:t>p</w:t>
      </w:r>
      <w:r w:rsidRPr="00B85529">
        <w:rPr>
          <w:rFonts w:cstheme="minorHAnsi"/>
        </w:rPr>
        <w:t xml:space="preserve">ayment 5) will be released upon the completion of the reconciliation of your 2023 delivery as reported in SVTS </w:t>
      </w:r>
      <w:r w:rsidRPr="00920283">
        <w:rPr>
          <w:rFonts w:cstheme="minorHAnsi"/>
        </w:rPr>
        <w:t>by 1</w:t>
      </w:r>
      <w:r w:rsidR="00A62794">
        <w:rPr>
          <w:rFonts w:cstheme="minorHAnsi"/>
        </w:rPr>
        <w:t>5</w:t>
      </w:r>
      <w:r w:rsidRPr="00920283">
        <w:rPr>
          <w:rFonts w:cstheme="minorHAnsi"/>
        </w:rPr>
        <w:t xml:space="preserve"> January 2024</w:t>
      </w:r>
      <w:r>
        <w:rPr>
          <w:rFonts w:cstheme="minorHAnsi"/>
        </w:rPr>
        <w:t xml:space="preserve"> </w:t>
      </w:r>
      <w:r w:rsidRPr="00B85529">
        <w:rPr>
          <w:rFonts w:cstheme="minorHAnsi"/>
        </w:rPr>
        <w:t xml:space="preserve">and your ACFE </w:t>
      </w:r>
      <w:r>
        <w:rPr>
          <w:rFonts w:cstheme="minorHAnsi"/>
        </w:rPr>
        <w:t xml:space="preserve">Service </w:t>
      </w:r>
      <w:r w:rsidR="00A62794">
        <w:rPr>
          <w:rFonts w:cstheme="minorHAnsi"/>
        </w:rPr>
        <w:t>Plan</w:t>
      </w:r>
      <w:r>
        <w:rPr>
          <w:rFonts w:cstheme="minorHAnsi"/>
        </w:rPr>
        <w:t>/D</w:t>
      </w:r>
      <w:r w:rsidRPr="00B85529">
        <w:rPr>
          <w:rFonts w:cstheme="minorHAnsi"/>
        </w:rPr>
        <w:t xml:space="preserve">elivery </w:t>
      </w:r>
      <w:r>
        <w:rPr>
          <w:rFonts w:cstheme="minorHAnsi"/>
        </w:rPr>
        <w:t>P</w:t>
      </w:r>
      <w:r w:rsidRPr="00B85529">
        <w:rPr>
          <w:rFonts w:cstheme="minorHAnsi"/>
        </w:rPr>
        <w:t>lan. Th</w:t>
      </w:r>
      <w:r w:rsidR="002160D6">
        <w:rPr>
          <w:rFonts w:cstheme="minorHAnsi"/>
        </w:rPr>
        <w:t>is</w:t>
      </w:r>
      <w:r w:rsidRPr="00B85529">
        <w:rPr>
          <w:rFonts w:cstheme="minorHAnsi"/>
        </w:rPr>
        <w:t xml:space="preserve"> payment may be varied where under-delivery </w:t>
      </w:r>
      <w:r>
        <w:rPr>
          <w:rFonts w:cstheme="minorHAnsi"/>
        </w:rPr>
        <w:t>occurs</w:t>
      </w:r>
      <w:r w:rsidRPr="00B85529">
        <w:rPr>
          <w:rFonts w:cstheme="minorHAnsi"/>
        </w:rPr>
        <w:t>.</w:t>
      </w:r>
    </w:p>
    <w:p w14:paraId="1A332FA3" w14:textId="4631C1F9" w:rsidR="00312B0B" w:rsidRDefault="00312B0B" w:rsidP="00312B0B">
      <w:pPr>
        <w:rPr>
          <w:rFonts w:cstheme="minorHAnsi"/>
        </w:rPr>
      </w:pPr>
      <w:r w:rsidRPr="00B85529">
        <w:rPr>
          <w:rFonts w:cstheme="minorHAnsi"/>
        </w:rPr>
        <w:t xml:space="preserve">Where </w:t>
      </w:r>
      <w:r w:rsidR="008E1999">
        <w:rPr>
          <w:rFonts w:cstheme="minorHAnsi"/>
        </w:rPr>
        <w:t>Learn Local</w:t>
      </w:r>
      <w:r w:rsidR="00756603">
        <w:rPr>
          <w:rFonts w:cstheme="minorHAnsi"/>
        </w:rPr>
        <w:t xml:space="preserve"> provider</w:t>
      </w:r>
      <w:r w:rsidRPr="00B85529">
        <w:rPr>
          <w:rFonts w:cstheme="minorHAnsi"/>
        </w:rPr>
        <w:t>s fail to upload their final delivery data in SVTS by the required date, additional evidence of delivery will be required (e.g., enrolment/attendance data) for approval by the ACFE</w:t>
      </w:r>
      <w:r>
        <w:rPr>
          <w:rFonts w:cstheme="minorHAnsi"/>
        </w:rPr>
        <w:t xml:space="preserve"> Board</w:t>
      </w:r>
      <w:r w:rsidRPr="00B85529">
        <w:rPr>
          <w:rFonts w:cstheme="minorHAnsi"/>
        </w:rPr>
        <w:t xml:space="preserve"> before payments </w:t>
      </w:r>
      <w:r>
        <w:rPr>
          <w:rFonts w:cstheme="minorHAnsi"/>
        </w:rPr>
        <w:t>can be</w:t>
      </w:r>
      <w:r w:rsidRPr="00B85529">
        <w:rPr>
          <w:rFonts w:cstheme="minorHAnsi"/>
        </w:rPr>
        <w:t xml:space="preserve"> released.</w:t>
      </w:r>
    </w:p>
    <w:p w14:paraId="38B73377" w14:textId="0B905EA2" w:rsidR="00312B0B" w:rsidRDefault="00312B0B" w:rsidP="00312B0B">
      <w:pPr>
        <w:rPr>
          <w:rFonts w:cstheme="minorHAnsi"/>
        </w:rPr>
      </w:pPr>
      <w:r w:rsidRPr="00B85529">
        <w:rPr>
          <w:rFonts w:cstheme="minorHAnsi"/>
        </w:rPr>
        <w:t xml:space="preserve">In accordance with the terms and conditions of the Service Agreement Section 4.9, the ACFE Board may in its discretion give notice to contracted </w:t>
      </w:r>
      <w:r w:rsidR="008E1999">
        <w:rPr>
          <w:rFonts w:cstheme="minorHAnsi"/>
        </w:rPr>
        <w:t>Learn Local</w:t>
      </w:r>
      <w:r w:rsidR="00756603">
        <w:rPr>
          <w:rFonts w:cstheme="minorHAnsi"/>
        </w:rPr>
        <w:t xml:space="preserve"> provider</w:t>
      </w:r>
      <w:r w:rsidRPr="00B85529">
        <w:rPr>
          <w:rFonts w:cstheme="minorHAnsi"/>
        </w:rPr>
        <w:t>s to repay unacquitted funds against the agreed Service Plan and approved Delivery Plan.</w:t>
      </w:r>
    </w:p>
    <w:p w14:paraId="673E3F5C" w14:textId="3DC61F9D" w:rsidR="00312B0B" w:rsidRDefault="00312B0B" w:rsidP="00312B0B">
      <w:pPr>
        <w:rPr>
          <w:rFonts w:cstheme="minorHAnsi"/>
        </w:rPr>
      </w:pPr>
      <w:r w:rsidRPr="009E7463">
        <w:rPr>
          <w:rFonts w:cstheme="minorHAnsi"/>
        </w:rPr>
        <w:t xml:space="preserve">Where </w:t>
      </w:r>
      <w:r w:rsidR="008E1999" w:rsidRPr="009E7463">
        <w:rPr>
          <w:rFonts w:cstheme="minorHAnsi"/>
        </w:rPr>
        <w:t>Learn Local</w:t>
      </w:r>
      <w:r w:rsidR="00756603" w:rsidRPr="009E7463">
        <w:rPr>
          <w:rFonts w:cstheme="minorHAnsi"/>
        </w:rPr>
        <w:t xml:space="preserve"> provider</w:t>
      </w:r>
      <w:r w:rsidRPr="009E7463">
        <w:rPr>
          <w:rFonts w:cstheme="minorHAnsi"/>
        </w:rPr>
        <w:t>s fail to report enrolment information in SVTS by the due date, payments may be denied.</w:t>
      </w:r>
    </w:p>
    <w:p w14:paraId="74B796E9" w14:textId="77777777" w:rsidR="00F77E79" w:rsidRPr="00F77E79" w:rsidRDefault="00F77E79" w:rsidP="00F77E79">
      <w:pPr>
        <w:spacing w:after="0" w:line="240" w:lineRule="auto"/>
        <w:rPr>
          <w:rFonts w:cstheme="minorHAnsi"/>
          <w:sz w:val="16"/>
          <w:szCs w:val="16"/>
        </w:rPr>
      </w:pPr>
    </w:p>
    <w:p w14:paraId="5A11922C" w14:textId="77777777" w:rsidR="00312B0B" w:rsidRPr="00CC0A46" w:rsidRDefault="00312B0B" w:rsidP="00492E49">
      <w:pPr>
        <w:pStyle w:val="Heading3"/>
        <w:rPr>
          <w:bCs/>
          <w:i/>
          <w:iCs/>
          <w:sz w:val="20"/>
          <w:szCs w:val="20"/>
        </w:rPr>
      </w:pPr>
      <w:r w:rsidRPr="00CC0A46">
        <w:rPr>
          <w:sz w:val="20"/>
          <w:szCs w:val="20"/>
        </w:rPr>
        <w:t>Table 2 – 2023 Payment and Reporting Schedule for General Pre-accredited and Digital Skills</w:t>
      </w:r>
    </w:p>
    <w:tbl>
      <w:tblPr>
        <w:tblStyle w:val="TableGrid3"/>
        <w:tblW w:w="5078" w:type="pct"/>
        <w:tblInd w:w="-5" w:type="dxa"/>
        <w:tblLook w:val="04A0" w:firstRow="1" w:lastRow="0" w:firstColumn="1" w:lastColumn="0" w:noHBand="0" w:noVBand="1"/>
      </w:tblPr>
      <w:tblGrid>
        <w:gridCol w:w="1172"/>
        <w:gridCol w:w="2089"/>
        <w:gridCol w:w="1284"/>
        <w:gridCol w:w="1735"/>
        <w:gridCol w:w="3642"/>
      </w:tblGrid>
      <w:tr w:rsidR="00940805" w:rsidRPr="00CC0A46" w14:paraId="3998573D" w14:textId="77777777" w:rsidTr="00F77E7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91" w:type="pct"/>
            <w:tcBorders>
              <w:top w:val="single" w:sz="4" w:space="0" w:color="FFFFFF" w:themeColor="background1"/>
              <w:left w:val="single" w:sz="4" w:space="0" w:color="FFFFFF" w:themeColor="background1"/>
              <w:bottom w:val="single" w:sz="4" w:space="0" w:color="FFFFFF" w:themeColor="background1"/>
            </w:tcBorders>
            <w:shd w:val="clear" w:color="auto" w:fill="364283"/>
            <w:vAlign w:val="center"/>
          </w:tcPr>
          <w:p w14:paraId="6F219572" w14:textId="1037A80F" w:rsidR="00312B0B" w:rsidRPr="00CC0A46" w:rsidRDefault="009E7463" w:rsidP="00415299">
            <w:pPr>
              <w:spacing w:after="0" w:line="220" w:lineRule="atLeast"/>
              <w:rPr>
                <w:rFonts w:eastAsiaTheme="minorEastAsia" w:cs="Calibri"/>
                <w:bCs/>
                <w:sz w:val="20"/>
                <w:szCs w:val="20"/>
                <w:shd w:val="clear" w:color="auto" w:fill="364283"/>
              </w:rPr>
            </w:pPr>
            <w:r w:rsidRPr="00CC0A46">
              <w:rPr>
                <w:rFonts w:eastAsiaTheme="minorEastAsia" w:cs="Calibri"/>
                <w:bCs/>
                <w:sz w:val="20"/>
                <w:szCs w:val="20"/>
                <w:shd w:val="clear" w:color="auto" w:fill="364283"/>
              </w:rPr>
              <w:t>Milestone</w:t>
            </w:r>
          </w:p>
        </w:tc>
        <w:tc>
          <w:tcPr>
            <w:tcW w:w="1053" w:type="pct"/>
            <w:tcBorders>
              <w:top w:val="single" w:sz="4" w:space="0" w:color="FFFFFF" w:themeColor="background1"/>
              <w:bottom w:val="single" w:sz="4" w:space="0" w:color="FFFFFF" w:themeColor="background1"/>
            </w:tcBorders>
            <w:shd w:val="clear" w:color="auto" w:fill="364283"/>
            <w:vAlign w:val="center"/>
          </w:tcPr>
          <w:p w14:paraId="766F3317" w14:textId="7AB13660" w:rsidR="00312B0B" w:rsidRPr="00CC0A46" w:rsidRDefault="00312B0B" w:rsidP="00415299">
            <w:pPr>
              <w:spacing w:after="0" w:line="220" w:lineRule="atLeast"/>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 xml:space="preserve">Payment </w:t>
            </w:r>
            <w:r w:rsidR="002F3285" w:rsidRPr="00CC0A46">
              <w:rPr>
                <w:rFonts w:eastAsiaTheme="minorEastAsia" w:cs="Calibri"/>
                <w:sz w:val="20"/>
                <w:szCs w:val="20"/>
                <w:shd w:val="clear" w:color="auto" w:fill="364283"/>
              </w:rPr>
              <w:t>month</w:t>
            </w:r>
          </w:p>
        </w:tc>
        <w:tc>
          <w:tcPr>
            <w:tcW w:w="645" w:type="pct"/>
            <w:tcBorders>
              <w:top w:val="single" w:sz="4" w:space="0" w:color="FFFFFF" w:themeColor="background1"/>
              <w:bottom w:val="single" w:sz="4" w:space="0" w:color="FFFFFF" w:themeColor="background1"/>
            </w:tcBorders>
            <w:shd w:val="clear" w:color="auto" w:fill="364283"/>
            <w:vAlign w:val="center"/>
          </w:tcPr>
          <w:p w14:paraId="23080327" w14:textId="77777777" w:rsidR="00312B0B" w:rsidRPr="00CC0A46" w:rsidRDefault="00312B0B" w:rsidP="00415299">
            <w:pPr>
              <w:spacing w:after="0" w:line="220" w:lineRule="atLeast"/>
              <w:jc w:val="center"/>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Payment percentage (%)</w:t>
            </w:r>
          </w:p>
        </w:tc>
        <w:tc>
          <w:tcPr>
            <w:tcW w:w="875" w:type="pct"/>
            <w:tcBorders>
              <w:top w:val="single" w:sz="4" w:space="0" w:color="FFFFFF" w:themeColor="background1"/>
              <w:bottom w:val="single" w:sz="4" w:space="0" w:color="FFFFFF" w:themeColor="background1"/>
            </w:tcBorders>
            <w:shd w:val="clear" w:color="auto" w:fill="364283"/>
            <w:vAlign w:val="center"/>
          </w:tcPr>
          <w:p w14:paraId="056DA425" w14:textId="77777777" w:rsidR="00312B0B" w:rsidRPr="00CC0A46" w:rsidRDefault="00312B0B" w:rsidP="00415299">
            <w:pPr>
              <w:spacing w:after="0" w:line="220" w:lineRule="atLeast"/>
              <w:jc w:val="center"/>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Cumulative payment percentage (%)</w:t>
            </w:r>
          </w:p>
        </w:tc>
        <w:tc>
          <w:tcPr>
            <w:tcW w:w="1836" w:type="pct"/>
            <w:tcBorders>
              <w:top w:val="single" w:sz="4" w:space="0" w:color="FFFFFF" w:themeColor="background1"/>
              <w:bottom w:val="single" w:sz="4" w:space="0" w:color="FFFFFF" w:themeColor="background1"/>
              <w:right w:val="single" w:sz="4" w:space="0" w:color="FFFFFF" w:themeColor="background1"/>
            </w:tcBorders>
            <w:shd w:val="clear" w:color="auto" w:fill="364283"/>
            <w:vAlign w:val="center"/>
          </w:tcPr>
          <w:p w14:paraId="5A3EE307" w14:textId="77777777" w:rsidR="00312B0B" w:rsidRPr="00CC0A46" w:rsidRDefault="00312B0B" w:rsidP="00415299">
            <w:pPr>
              <w:spacing w:after="0" w:line="220" w:lineRule="atLeast"/>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Requirement for release of payment</w:t>
            </w:r>
          </w:p>
        </w:tc>
      </w:tr>
      <w:tr w:rsidR="00415299" w:rsidRPr="00CC0A46" w14:paraId="46D8459D"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top w:val="single" w:sz="4" w:space="0" w:color="FFFFFF" w:themeColor="background1"/>
            </w:tcBorders>
            <w:shd w:val="clear" w:color="auto" w:fill="auto"/>
          </w:tcPr>
          <w:p w14:paraId="245794E1"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1</w:t>
            </w:r>
          </w:p>
        </w:tc>
        <w:tc>
          <w:tcPr>
            <w:tcW w:w="1053" w:type="pct"/>
            <w:tcBorders>
              <w:top w:val="single" w:sz="4" w:space="0" w:color="FFFFFF" w:themeColor="background1"/>
            </w:tcBorders>
            <w:shd w:val="clear" w:color="auto" w:fill="auto"/>
          </w:tcPr>
          <w:p w14:paraId="4EF74DC9" w14:textId="493A9B04"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January/February</w:t>
            </w:r>
            <w:r w:rsidR="00415299" w:rsidRPr="00CC0A46">
              <w:rPr>
                <w:rFonts w:eastAsiaTheme="minorEastAsia" w:cs="Calibri"/>
                <w:sz w:val="20"/>
                <w:szCs w:val="20"/>
              </w:rPr>
              <w:t xml:space="preserve"> (payment 1)</w:t>
            </w:r>
          </w:p>
        </w:tc>
        <w:tc>
          <w:tcPr>
            <w:tcW w:w="645" w:type="pct"/>
            <w:tcBorders>
              <w:top w:val="single" w:sz="4" w:space="0" w:color="FFFFFF" w:themeColor="background1"/>
            </w:tcBorders>
            <w:shd w:val="clear" w:color="auto" w:fill="auto"/>
          </w:tcPr>
          <w:p w14:paraId="006FEDE4"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35%</w:t>
            </w:r>
          </w:p>
        </w:tc>
        <w:tc>
          <w:tcPr>
            <w:tcW w:w="875" w:type="pct"/>
            <w:tcBorders>
              <w:top w:val="single" w:sz="4" w:space="0" w:color="FFFFFF" w:themeColor="background1"/>
            </w:tcBorders>
            <w:shd w:val="clear" w:color="auto" w:fill="auto"/>
          </w:tcPr>
          <w:p w14:paraId="6105FD72"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35%</w:t>
            </w:r>
          </w:p>
        </w:tc>
        <w:tc>
          <w:tcPr>
            <w:tcW w:w="1836" w:type="pct"/>
            <w:tcBorders>
              <w:top w:val="single" w:sz="4" w:space="0" w:color="FFFFFF" w:themeColor="background1"/>
            </w:tcBorders>
            <w:shd w:val="clear" w:color="auto" w:fill="auto"/>
          </w:tcPr>
          <w:p w14:paraId="3DD8F268"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Contract execution</w:t>
            </w:r>
          </w:p>
        </w:tc>
      </w:tr>
      <w:tr w:rsidR="00415299" w:rsidRPr="00CC0A46" w14:paraId="4B542FF0"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shd w:val="clear" w:color="auto" w:fill="auto"/>
          </w:tcPr>
          <w:p w14:paraId="71F37CF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2</w:t>
            </w:r>
          </w:p>
        </w:tc>
        <w:tc>
          <w:tcPr>
            <w:tcW w:w="1053" w:type="pct"/>
            <w:shd w:val="clear" w:color="auto" w:fill="auto"/>
          </w:tcPr>
          <w:p w14:paraId="250DDCE9" w14:textId="0AF1582A"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April</w:t>
            </w:r>
            <w:r w:rsidR="00415299" w:rsidRPr="00CC0A46">
              <w:rPr>
                <w:rFonts w:eastAsiaTheme="minorEastAsia" w:cs="Calibri"/>
                <w:sz w:val="20"/>
                <w:szCs w:val="20"/>
              </w:rPr>
              <w:t xml:space="preserve"> (payment 2)</w:t>
            </w:r>
          </w:p>
        </w:tc>
        <w:tc>
          <w:tcPr>
            <w:tcW w:w="645" w:type="pct"/>
            <w:shd w:val="clear" w:color="auto" w:fill="auto"/>
          </w:tcPr>
          <w:p w14:paraId="1FE08DB8"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25%</w:t>
            </w:r>
          </w:p>
        </w:tc>
        <w:tc>
          <w:tcPr>
            <w:tcW w:w="875" w:type="pct"/>
            <w:shd w:val="clear" w:color="auto" w:fill="auto"/>
          </w:tcPr>
          <w:p w14:paraId="04A992BB"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60%</w:t>
            </w:r>
          </w:p>
        </w:tc>
        <w:tc>
          <w:tcPr>
            <w:tcW w:w="1836" w:type="pct"/>
            <w:shd w:val="clear" w:color="auto" w:fill="auto"/>
          </w:tcPr>
          <w:p w14:paraId="786EBCF6"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25% enrolments reported by 31 March</w:t>
            </w:r>
          </w:p>
        </w:tc>
      </w:tr>
      <w:tr w:rsidR="00415299" w:rsidRPr="00CC0A46" w14:paraId="3E28250A"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shd w:val="clear" w:color="auto" w:fill="auto"/>
          </w:tcPr>
          <w:p w14:paraId="77BFECB7"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3</w:t>
            </w:r>
          </w:p>
        </w:tc>
        <w:tc>
          <w:tcPr>
            <w:tcW w:w="1053" w:type="pct"/>
            <w:shd w:val="clear" w:color="auto" w:fill="auto"/>
          </w:tcPr>
          <w:p w14:paraId="18E92337" w14:textId="07653463" w:rsidR="00312B0B" w:rsidRPr="00CC0A46" w:rsidRDefault="00415299"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Not applicable</w:t>
            </w:r>
          </w:p>
        </w:tc>
        <w:tc>
          <w:tcPr>
            <w:tcW w:w="645" w:type="pct"/>
            <w:shd w:val="clear" w:color="auto" w:fill="auto"/>
          </w:tcPr>
          <w:p w14:paraId="42F8BCD6" w14:textId="7CFB1C11" w:rsidR="00312B0B" w:rsidRPr="00CC0A46" w:rsidRDefault="00415299"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N/A</w:t>
            </w:r>
          </w:p>
        </w:tc>
        <w:tc>
          <w:tcPr>
            <w:tcW w:w="875" w:type="pct"/>
            <w:shd w:val="clear" w:color="auto" w:fill="auto"/>
          </w:tcPr>
          <w:p w14:paraId="5B713EFF" w14:textId="4AEBCE4F" w:rsidR="00312B0B" w:rsidRPr="00CC0A46" w:rsidRDefault="00415299"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N/A</w:t>
            </w:r>
          </w:p>
        </w:tc>
        <w:tc>
          <w:tcPr>
            <w:tcW w:w="1836" w:type="pct"/>
            <w:shd w:val="clear" w:color="auto" w:fill="auto"/>
          </w:tcPr>
          <w:p w14:paraId="228AB400" w14:textId="32E2F23E"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Non-financial progress report</w:t>
            </w:r>
            <w:r w:rsidR="0092502C" w:rsidRPr="00CC0A46">
              <w:rPr>
                <w:rFonts w:eastAsiaTheme="minorEastAsia" w:cs="Calibri"/>
                <w:sz w:val="20"/>
                <w:szCs w:val="20"/>
              </w:rPr>
              <w:t>ed</w:t>
            </w:r>
            <w:r w:rsidRPr="00CC0A46">
              <w:rPr>
                <w:rFonts w:eastAsiaTheme="minorEastAsia" w:cs="Calibri"/>
                <w:sz w:val="20"/>
                <w:szCs w:val="20"/>
              </w:rPr>
              <w:t xml:space="preserve"> by 31 May</w:t>
            </w:r>
          </w:p>
        </w:tc>
      </w:tr>
      <w:tr w:rsidR="00415299" w:rsidRPr="00CC0A46" w14:paraId="40DE4F1E"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bottom w:val="single" w:sz="4" w:space="0" w:color="FFFFFF" w:themeColor="background1"/>
            </w:tcBorders>
            <w:shd w:val="clear" w:color="auto" w:fill="auto"/>
          </w:tcPr>
          <w:p w14:paraId="2521BD9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4</w:t>
            </w:r>
          </w:p>
        </w:tc>
        <w:tc>
          <w:tcPr>
            <w:tcW w:w="1053" w:type="pct"/>
            <w:tcBorders>
              <w:bottom w:val="single" w:sz="4" w:space="0" w:color="FFFFFF" w:themeColor="background1"/>
            </w:tcBorders>
            <w:shd w:val="clear" w:color="auto" w:fill="auto"/>
          </w:tcPr>
          <w:p w14:paraId="1A72EBE0" w14:textId="4C4B3974"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August</w:t>
            </w:r>
            <w:r w:rsidR="00415299" w:rsidRPr="00CC0A46">
              <w:rPr>
                <w:rFonts w:eastAsiaTheme="minorEastAsia" w:cs="Calibri"/>
                <w:sz w:val="20"/>
                <w:szCs w:val="20"/>
              </w:rPr>
              <w:t xml:space="preserve"> (payment 3)</w:t>
            </w:r>
          </w:p>
        </w:tc>
        <w:tc>
          <w:tcPr>
            <w:tcW w:w="645" w:type="pct"/>
            <w:tcBorders>
              <w:bottom w:val="single" w:sz="4" w:space="0" w:color="FFFFFF" w:themeColor="background1"/>
            </w:tcBorders>
            <w:shd w:val="clear" w:color="auto" w:fill="auto"/>
          </w:tcPr>
          <w:p w14:paraId="45CFB5AF"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20%</w:t>
            </w:r>
          </w:p>
        </w:tc>
        <w:tc>
          <w:tcPr>
            <w:tcW w:w="875" w:type="pct"/>
            <w:tcBorders>
              <w:bottom w:val="single" w:sz="4" w:space="0" w:color="FFFFFF" w:themeColor="background1"/>
            </w:tcBorders>
            <w:shd w:val="clear" w:color="auto" w:fill="auto"/>
          </w:tcPr>
          <w:p w14:paraId="4C79D516"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80%</w:t>
            </w:r>
          </w:p>
        </w:tc>
        <w:tc>
          <w:tcPr>
            <w:tcW w:w="1836" w:type="pct"/>
            <w:tcBorders>
              <w:bottom w:val="single" w:sz="4" w:space="0" w:color="FFFFFF" w:themeColor="background1"/>
            </w:tcBorders>
            <w:shd w:val="clear" w:color="auto" w:fill="auto"/>
          </w:tcPr>
          <w:p w14:paraId="78F09703"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i/>
                <w:sz w:val="20"/>
                <w:szCs w:val="20"/>
              </w:rPr>
            </w:pPr>
            <w:r w:rsidRPr="00CC0A46">
              <w:rPr>
                <w:rFonts w:eastAsiaTheme="minorEastAsia" w:cs="Calibri"/>
                <w:sz w:val="20"/>
                <w:szCs w:val="20"/>
              </w:rPr>
              <w:t>55% enrolments reported by 31 July</w:t>
            </w:r>
          </w:p>
        </w:tc>
      </w:tr>
      <w:tr w:rsidR="00415299" w:rsidRPr="00CC0A46" w14:paraId="703FDD60"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bottom w:val="single" w:sz="4" w:space="0" w:color="auto"/>
            </w:tcBorders>
            <w:shd w:val="clear" w:color="auto" w:fill="auto"/>
          </w:tcPr>
          <w:p w14:paraId="2B8E03A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5</w:t>
            </w:r>
          </w:p>
        </w:tc>
        <w:tc>
          <w:tcPr>
            <w:tcW w:w="1053" w:type="pct"/>
            <w:tcBorders>
              <w:bottom w:val="single" w:sz="4" w:space="0" w:color="auto"/>
            </w:tcBorders>
            <w:shd w:val="clear" w:color="auto" w:fill="auto"/>
          </w:tcPr>
          <w:p w14:paraId="022EB14E" w14:textId="057BDEC3"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October</w:t>
            </w:r>
            <w:r w:rsidR="00415299" w:rsidRPr="00CC0A46">
              <w:rPr>
                <w:rFonts w:eastAsiaTheme="minorEastAsia" w:cs="Calibri"/>
                <w:sz w:val="20"/>
                <w:szCs w:val="20"/>
              </w:rPr>
              <w:t xml:space="preserve"> (payment 4)</w:t>
            </w:r>
          </w:p>
        </w:tc>
        <w:tc>
          <w:tcPr>
            <w:tcW w:w="645" w:type="pct"/>
            <w:tcBorders>
              <w:bottom w:val="single" w:sz="4" w:space="0" w:color="auto"/>
            </w:tcBorders>
            <w:shd w:val="clear" w:color="auto" w:fill="auto"/>
          </w:tcPr>
          <w:p w14:paraId="5454A113"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20%</w:t>
            </w:r>
          </w:p>
        </w:tc>
        <w:tc>
          <w:tcPr>
            <w:tcW w:w="875" w:type="pct"/>
            <w:tcBorders>
              <w:bottom w:val="single" w:sz="4" w:space="0" w:color="auto"/>
            </w:tcBorders>
            <w:shd w:val="clear" w:color="auto" w:fill="auto"/>
          </w:tcPr>
          <w:p w14:paraId="4DB44865"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100%</w:t>
            </w:r>
          </w:p>
        </w:tc>
        <w:tc>
          <w:tcPr>
            <w:tcW w:w="1836" w:type="pct"/>
            <w:tcBorders>
              <w:bottom w:val="single" w:sz="4" w:space="0" w:color="auto"/>
            </w:tcBorders>
            <w:shd w:val="clear" w:color="auto" w:fill="auto"/>
          </w:tcPr>
          <w:p w14:paraId="184A2A27"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75% enrolments reported by 30 September</w:t>
            </w:r>
          </w:p>
        </w:tc>
      </w:tr>
    </w:tbl>
    <w:p w14:paraId="27991A1B" w14:textId="7897FF88" w:rsidR="00A62794" w:rsidRPr="00B85529" w:rsidRDefault="00A62794" w:rsidP="00A62794">
      <w:pPr>
        <w:pStyle w:val="Heading2"/>
        <w:spacing w:before="0"/>
      </w:pPr>
      <w:bookmarkStart w:id="19" w:name="_Toc115971696"/>
      <w:bookmarkStart w:id="20" w:name="_Toc115258876"/>
      <w:r>
        <w:lastRenderedPageBreak/>
        <w:t>How often should data be submitted to SVTS</w:t>
      </w:r>
      <w:r w:rsidR="00697FF4">
        <w:t>?</w:t>
      </w:r>
      <w:bookmarkEnd w:id="19"/>
    </w:p>
    <w:p w14:paraId="378B551A" w14:textId="13ABC77C" w:rsidR="00A62794" w:rsidRPr="00B85529" w:rsidRDefault="00A62794" w:rsidP="00A62794">
      <w:pPr>
        <w:rPr>
          <w:rFonts w:cstheme="minorHAnsi"/>
        </w:rPr>
      </w:pPr>
      <w:r>
        <w:rPr>
          <w:rFonts w:cstheme="minorHAnsi"/>
        </w:rPr>
        <w:t>While Learn Local provider</w:t>
      </w:r>
      <w:r w:rsidRPr="00B85529">
        <w:rPr>
          <w:rFonts w:cstheme="minorHAnsi"/>
        </w:rPr>
        <w:t xml:space="preserve">s are </w:t>
      </w:r>
      <w:r>
        <w:rPr>
          <w:rFonts w:cstheme="minorHAnsi"/>
        </w:rPr>
        <w:t xml:space="preserve">required to report </w:t>
      </w:r>
      <w:r w:rsidRPr="00B85529">
        <w:rPr>
          <w:rFonts w:cstheme="minorHAnsi"/>
        </w:rPr>
        <w:t xml:space="preserve">pre-accredited training activity </w:t>
      </w:r>
      <w:r>
        <w:rPr>
          <w:rFonts w:cstheme="minorHAnsi"/>
        </w:rPr>
        <w:t xml:space="preserve">on a quarterly basis under the terms of their contract, they are </w:t>
      </w:r>
      <w:r w:rsidRPr="00B85529">
        <w:rPr>
          <w:rFonts w:cstheme="minorHAnsi"/>
        </w:rPr>
        <w:t xml:space="preserve">encouraged to report on </w:t>
      </w:r>
      <w:r w:rsidR="00F77E79">
        <w:rPr>
          <w:rFonts w:cstheme="minorHAnsi"/>
        </w:rPr>
        <w:t>a</w:t>
      </w:r>
      <w:r w:rsidRPr="00B85529">
        <w:rPr>
          <w:rFonts w:cstheme="minorHAnsi"/>
        </w:rPr>
        <w:t xml:space="preserve"> more frequent basis. </w:t>
      </w:r>
    </w:p>
    <w:p w14:paraId="774C915F" w14:textId="77777777" w:rsidR="00A62794" w:rsidRDefault="00A62794" w:rsidP="00A62794">
      <w:pPr>
        <w:rPr>
          <w:rFonts w:cstheme="minorHAnsi"/>
        </w:rPr>
      </w:pPr>
      <w:r>
        <w:rPr>
          <w:rFonts w:cstheme="minorHAnsi"/>
        </w:rPr>
        <w:t>Early</w:t>
      </w:r>
      <w:r w:rsidRPr="00B85529">
        <w:rPr>
          <w:rFonts w:cstheme="minorHAnsi"/>
        </w:rPr>
        <w:t xml:space="preserve"> </w:t>
      </w:r>
      <w:r>
        <w:rPr>
          <w:rFonts w:cstheme="minorHAnsi"/>
        </w:rPr>
        <w:t xml:space="preserve">and regular </w:t>
      </w:r>
      <w:r w:rsidRPr="00B85529">
        <w:rPr>
          <w:rFonts w:cstheme="minorHAnsi"/>
        </w:rPr>
        <w:t xml:space="preserve">reporting </w:t>
      </w:r>
      <w:r>
        <w:rPr>
          <w:rFonts w:cstheme="minorHAnsi"/>
        </w:rPr>
        <w:t>enables Learn Local providers and regional offices to have better oversight of training activity and progress towards their Service Plan targets.</w:t>
      </w:r>
    </w:p>
    <w:p w14:paraId="4F71DBED" w14:textId="77777777" w:rsidR="00A62794" w:rsidRDefault="00A62794" w:rsidP="00A62794">
      <w:pPr>
        <w:rPr>
          <w:rFonts w:cstheme="minorHAnsi"/>
        </w:rPr>
      </w:pPr>
      <w:r>
        <w:rPr>
          <w:rFonts w:cstheme="minorHAnsi"/>
        </w:rPr>
        <w:t xml:space="preserve">It also provides </w:t>
      </w:r>
      <w:r w:rsidRPr="00B85529">
        <w:rPr>
          <w:rFonts w:cstheme="minorHAnsi"/>
        </w:rPr>
        <w:t>the ACFE Board with</w:t>
      </w:r>
      <w:r>
        <w:rPr>
          <w:rFonts w:cstheme="minorHAnsi"/>
        </w:rPr>
        <w:t xml:space="preserve"> the</w:t>
      </w:r>
      <w:r w:rsidRPr="00B85529">
        <w:rPr>
          <w:rFonts w:cstheme="minorHAnsi"/>
        </w:rPr>
        <w:t xml:space="preserve"> </w:t>
      </w:r>
      <w:r>
        <w:rPr>
          <w:rFonts w:cstheme="minorHAnsi"/>
        </w:rPr>
        <w:t xml:space="preserve">most current and accurate information available </w:t>
      </w:r>
      <w:r w:rsidRPr="00B85529">
        <w:rPr>
          <w:rFonts w:cstheme="minorHAnsi"/>
        </w:rPr>
        <w:t xml:space="preserve">to </w:t>
      </w:r>
      <w:r>
        <w:rPr>
          <w:rFonts w:cstheme="minorHAnsi"/>
        </w:rPr>
        <w:t>review</w:t>
      </w:r>
      <w:r w:rsidRPr="00B85529">
        <w:rPr>
          <w:rFonts w:cstheme="minorHAnsi"/>
        </w:rPr>
        <w:t xml:space="preserve"> and </w:t>
      </w:r>
      <w:r>
        <w:rPr>
          <w:rFonts w:cstheme="minorHAnsi"/>
        </w:rPr>
        <w:t>change</w:t>
      </w:r>
      <w:r w:rsidRPr="00B85529">
        <w:rPr>
          <w:rFonts w:cstheme="minorHAnsi"/>
        </w:rPr>
        <w:t xml:space="preserve"> policies and priorities to ensure a high-quality and sustainable sector. This is particularly important as we recover from</w:t>
      </w:r>
      <w:r>
        <w:rPr>
          <w:rFonts w:cstheme="minorHAnsi"/>
        </w:rPr>
        <w:t xml:space="preserve"> </w:t>
      </w:r>
      <w:r w:rsidRPr="001756C8">
        <w:rPr>
          <w:rFonts w:cstheme="minorHAnsi"/>
        </w:rPr>
        <w:t>COVID-19 disruptions.</w:t>
      </w:r>
      <w:r w:rsidRPr="00B85529">
        <w:rPr>
          <w:rFonts w:cstheme="minorHAnsi"/>
        </w:rPr>
        <w:t xml:space="preserve"> </w:t>
      </w:r>
    </w:p>
    <w:p w14:paraId="5E0EFB06" w14:textId="77777777" w:rsidR="00A62794" w:rsidRPr="00B85529" w:rsidRDefault="00A62794" w:rsidP="00A62794">
      <w:pPr>
        <w:rPr>
          <w:rFonts w:cstheme="minorHAnsi"/>
        </w:rPr>
      </w:pPr>
      <w:r>
        <w:rPr>
          <w:rFonts w:cstheme="minorHAnsi"/>
        </w:rPr>
        <w:t>Please n</w:t>
      </w:r>
      <w:r w:rsidRPr="00B85529">
        <w:rPr>
          <w:rFonts w:cstheme="minorHAnsi"/>
        </w:rPr>
        <w:t xml:space="preserve">ote that students do not need to have fully completed a pre-accredited </w:t>
      </w:r>
      <w:r>
        <w:rPr>
          <w:rFonts w:cstheme="minorHAnsi"/>
        </w:rPr>
        <w:t>module (</w:t>
      </w:r>
      <w:r w:rsidRPr="00B85529">
        <w:rPr>
          <w:rFonts w:cstheme="minorHAnsi"/>
        </w:rPr>
        <w:t>course</w:t>
      </w:r>
      <w:r>
        <w:rPr>
          <w:rFonts w:cstheme="minorHAnsi"/>
        </w:rPr>
        <w:t>)</w:t>
      </w:r>
      <w:r w:rsidRPr="00B85529">
        <w:rPr>
          <w:rFonts w:cstheme="minorHAnsi"/>
        </w:rPr>
        <w:t xml:space="preserve"> before the data is reported.</w:t>
      </w:r>
    </w:p>
    <w:p w14:paraId="7FC0EC8B" w14:textId="1D35FDF6" w:rsidR="00A62794" w:rsidRDefault="00A62794" w:rsidP="00A62794">
      <w:pPr>
        <w:rPr>
          <w:rFonts w:cstheme="minorHAnsi"/>
        </w:rPr>
      </w:pPr>
      <w:r>
        <w:rPr>
          <w:rFonts w:cstheme="minorHAnsi"/>
        </w:rPr>
        <w:t>Learn Local provider</w:t>
      </w:r>
      <w:r w:rsidRPr="00B85529">
        <w:rPr>
          <w:rFonts w:cstheme="minorHAnsi"/>
        </w:rPr>
        <w:t xml:space="preserve">s are also encouraged </w:t>
      </w:r>
      <w:r>
        <w:rPr>
          <w:rFonts w:cstheme="minorHAnsi"/>
        </w:rPr>
        <w:t xml:space="preserve">to </w:t>
      </w:r>
      <w:r w:rsidRPr="00B85529">
        <w:rPr>
          <w:rFonts w:cstheme="minorHAnsi"/>
        </w:rPr>
        <w:t>p</w:t>
      </w:r>
      <w:r>
        <w:rPr>
          <w:rFonts w:cstheme="minorHAnsi"/>
        </w:rPr>
        <w:t>rovide</w:t>
      </w:r>
      <w:r w:rsidRPr="00B85529">
        <w:rPr>
          <w:rFonts w:cstheme="minorHAnsi"/>
        </w:rPr>
        <w:t xml:space="preserve"> important market intelligence</w:t>
      </w:r>
      <w:r w:rsidR="00F77E79">
        <w:rPr>
          <w:rFonts w:cstheme="minorHAnsi"/>
        </w:rPr>
        <w:t xml:space="preserve"> to their Regional Office</w:t>
      </w:r>
      <w:r w:rsidR="00F77E79" w:rsidRPr="00B85529">
        <w:rPr>
          <w:rFonts w:cstheme="minorHAnsi"/>
        </w:rPr>
        <w:t xml:space="preserve"> </w:t>
      </w:r>
      <w:r w:rsidRPr="00B85529">
        <w:rPr>
          <w:rFonts w:cstheme="minorHAnsi"/>
        </w:rPr>
        <w:t>that may not be apparent from the</w:t>
      </w:r>
      <w:r>
        <w:rPr>
          <w:rFonts w:cstheme="minorHAnsi"/>
        </w:rPr>
        <w:t>ir</w:t>
      </w:r>
      <w:r w:rsidRPr="00B85529">
        <w:rPr>
          <w:rFonts w:cstheme="minorHAnsi"/>
        </w:rPr>
        <w:t xml:space="preserve"> training dat</w:t>
      </w:r>
      <w:r>
        <w:rPr>
          <w:rFonts w:cstheme="minorHAnsi"/>
        </w:rPr>
        <w:t>a.</w:t>
      </w:r>
    </w:p>
    <w:p w14:paraId="3B5C7BF1" w14:textId="77777777" w:rsidR="0076505B" w:rsidRDefault="0076505B" w:rsidP="00A62794"/>
    <w:p w14:paraId="2F9DB177" w14:textId="226B1230" w:rsidR="00312B0B" w:rsidRPr="00B85529" w:rsidRDefault="00312B0B" w:rsidP="00312B0B">
      <w:pPr>
        <w:pStyle w:val="Heading2"/>
      </w:pPr>
      <w:bookmarkStart w:id="21" w:name="_Toc115971697"/>
      <w:r>
        <w:t>A</w:t>
      </w:r>
      <w:r w:rsidRPr="00B85529">
        <w:t>ccess</w:t>
      </w:r>
      <w:r>
        <w:t>ing</w:t>
      </w:r>
      <w:r w:rsidRPr="00B85529">
        <w:t xml:space="preserve"> </w:t>
      </w:r>
      <w:r>
        <w:t xml:space="preserve">and using </w:t>
      </w:r>
      <w:r w:rsidRPr="00B85529">
        <w:t>the Skills Victoria Training System</w:t>
      </w:r>
      <w:r>
        <w:t xml:space="preserve"> (SVTS)</w:t>
      </w:r>
      <w:bookmarkEnd w:id="20"/>
      <w:bookmarkEnd w:id="21"/>
    </w:p>
    <w:p w14:paraId="4FADF267" w14:textId="6B280600" w:rsidR="00312B0B" w:rsidRDefault="00312B0B" w:rsidP="00312B0B">
      <w:pPr>
        <w:rPr>
          <w:rFonts w:cstheme="minorHAnsi"/>
        </w:rPr>
      </w:pPr>
      <w:r w:rsidRPr="00B85529">
        <w:rPr>
          <w:rFonts w:cstheme="minorHAnsi"/>
        </w:rPr>
        <w:t>Details on how to access and use SVTS are provided</w:t>
      </w:r>
      <w:r>
        <w:rPr>
          <w:rFonts w:cstheme="minorHAnsi"/>
        </w:rPr>
        <w:t xml:space="preserve"> at </w:t>
      </w:r>
      <w:hyperlink r:id="rId17" w:history="1">
        <w:r w:rsidRPr="000656A3">
          <w:rPr>
            <w:rStyle w:val="Hyperlink"/>
            <w:rFonts w:cstheme="minorHAnsi"/>
          </w:rPr>
          <w:t>www.education.vic.gov.au/svts</w:t>
        </w:r>
      </w:hyperlink>
      <w:r w:rsidRPr="00B85529">
        <w:rPr>
          <w:rFonts w:cstheme="minorHAnsi"/>
        </w:rPr>
        <w:t>.</w:t>
      </w:r>
      <w:r>
        <w:rPr>
          <w:rFonts w:cstheme="minorHAnsi"/>
        </w:rPr>
        <w:t xml:space="preserve"> </w:t>
      </w:r>
      <w:r w:rsidRPr="00B85529">
        <w:rPr>
          <w:rFonts w:cstheme="minorHAnsi"/>
        </w:rPr>
        <w:t>The</w:t>
      </w:r>
      <w:r>
        <w:rPr>
          <w:rFonts w:cstheme="minorHAnsi"/>
        </w:rPr>
        <w:t xml:space="preserve"> </w:t>
      </w:r>
      <w:r w:rsidR="00F77E79">
        <w:rPr>
          <w:rFonts w:cstheme="minorHAnsi"/>
        </w:rPr>
        <w:t>Statistical</w:t>
      </w:r>
      <w:r w:rsidRPr="00F77E79">
        <w:rPr>
          <w:rFonts w:cstheme="minorHAnsi"/>
        </w:rPr>
        <w:t xml:space="preserve"> Guidelines</w:t>
      </w:r>
      <w:r w:rsidR="00F77E79">
        <w:rPr>
          <w:rFonts w:cstheme="minorHAnsi"/>
        </w:rPr>
        <w:t xml:space="preserve"> are</w:t>
      </w:r>
      <w:r>
        <w:rPr>
          <w:rFonts w:cstheme="minorHAnsi"/>
        </w:rPr>
        <w:t xml:space="preserve"> also a useful resource. </w:t>
      </w:r>
    </w:p>
    <w:p w14:paraId="1C6E38D1" w14:textId="0B026F4E" w:rsidR="00A62794" w:rsidRPr="00783D56" w:rsidRDefault="00312B0B" w:rsidP="00A62794">
      <w:pPr>
        <w:rPr>
          <w:rFonts w:cstheme="minorHAnsi"/>
        </w:rPr>
      </w:pPr>
      <w:r>
        <w:rPr>
          <w:rFonts w:cstheme="minorHAnsi"/>
        </w:rPr>
        <w:t>T</w:t>
      </w:r>
      <w:r w:rsidRPr="00B85529">
        <w:rPr>
          <w:rFonts w:cstheme="minorHAnsi"/>
        </w:rPr>
        <w:t xml:space="preserve">he website and user documentation </w:t>
      </w:r>
      <w:r>
        <w:rPr>
          <w:rFonts w:cstheme="minorHAnsi"/>
        </w:rPr>
        <w:t>were</w:t>
      </w:r>
      <w:r w:rsidRPr="00B85529">
        <w:rPr>
          <w:rFonts w:cstheme="minorHAnsi"/>
        </w:rPr>
        <w:t xml:space="preserve"> primarily </w:t>
      </w:r>
      <w:r>
        <w:rPr>
          <w:rFonts w:cstheme="minorHAnsi"/>
        </w:rPr>
        <w:t>develop</w:t>
      </w:r>
      <w:r w:rsidRPr="00B85529">
        <w:rPr>
          <w:rFonts w:cstheme="minorHAnsi"/>
        </w:rPr>
        <w:t xml:space="preserve">ed for </w:t>
      </w:r>
      <w:r>
        <w:rPr>
          <w:rFonts w:cstheme="minorHAnsi"/>
        </w:rPr>
        <w:t xml:space="preserve">training </w:t>
      </w:r>
      <w:r w:rsidRPr="00B85529">
        <w:rPr>
          <w:rFonts w:cstheme="minorHAnsi"/>
        </w:rPr>
        <w:t xml:space="preserve">providers with </w:t>
      </w:r>
      <w:r w:rsidRPr="00F77E79">
        <w:rPr>
          <w:rFonts w:cstheme="minorHAnsi"/>
          <w:i/>
          <w:iCs/>
        </w:rPr>
        <w:t>Skills First</w:t>
      </w:r>
      <w:r w:rsidRPr="00B85529">
        <w:rPr>
          <w:rFonts w:cstheme="minorHAnsi"/>
        </w:rPr>
        <w:t xml:space="preserve"> contracts </w:t>
      </w:r>
      <w:r>
        <w:rPr>
          <w:rFonts w:cstheme="minorHAnsi"/>
        </w:rPr>
        <w:t xml:space="preserve">to deliver accredited programs. </w:t>
      </w:r>
      <w:r w:rsidR="00A62794" w:rsidRPr="006C4931">
        <w:rPr>
          <w:rFonts w:cstheme="minorHAnsi"/>
          <w:i/>
          <w:iCs/>
        </w:rPr>
        <w:t>Skills First</w:t>
      </w:r>
      <w:r w:rsidR="00A62794">
        <w:rPr>
          <w:rFonts w:cstheme="minorHAnsi"/>
        </w:rPr>
        <w:t xml:space="preserve"> r</w:t>
      </w:r>
      <w:r w:rsidR="00A62794" w:rsidRPr="00B85529">
        <w:rPr>
          <w:rFonts w:cstheme="minorHAnsi"/>
        </w:rPr>
        <w:t xml:space="preserve">eporting </w:t>
      </w:r>
      <w:r w:rsidR="00A62794">
        <w:rPr>
          <w:rFonts w:cstheme="minorHAnsi"/>
        </w:rPr>
        <w:t xml:space="preserve">and contract </w:t>
      </w:r>
      <w:r w:rsidR="00A62794" w:rsidRPr="00B85529">
        <w:rPr>
          <w:rFonts w:cstheme="minorHAnsi"/>
        </w:rPr>
        <w:t>requirements do not apply to pre-accredited training</w:t>
      </w:r>
      <w:r w:rsidR="00F77E79">
        <w:rPr>
          <w:rFonts w:cstheme="minorHAnsi"/>
        </w:rPr>
        <w:t xml:space="preserve"> and should therefore be disregarded by Learn Local providers</w:t>
      </w:r>
      <w:r w:rsidR="0010167E">
        <w:rPr>
          <w:rFonts w:cstheme="minorHAnsi"/>
        </w:rPr>
        <w:t xml:space="preserve"> when reporting pre-accredited training contracted with the ACFE Board.</w:t>
      </w:r>
    </w:p>
    <w:p w14:paraId="6DFCBC5F" w14:textId="77777777" w:rsidR="00F77E79" w:rsidRPr="00783D56" w:rsidRDefault="00F77E79" w:rsidP="00F77E79">
      <w:pPr>
        <w:rPr>
          <w:rFonts w:eastAsia="Times New Roman" w:cstheme="minorHAnsi"/>
          <w:b/>
          <w:lang w:eastAsia="en-AU"/>
        </w:rPr>
      </w:pPr>
      <w:bookmarkStart w:id="22" w:name="_Toc64383587"/>
      <w:r>
        <w:rPr>
          <w:rFonts w:cstheme="minorHAnsi"/>
          <w:bCs/>
        </w:rPr>
        <w:t>Please note that a</w:t>
      </w:r>
      <w:r w:rsidRPr="00783D56">
        <w:rPr>
          <w:rFonts w:cstheme="minorHAnsi"/>
          <w:bCs/>
        </w:rPr>
        <w:t>ccess to S</w:t>
      </w:r>
      <w:r>
        <w:rPr>
          <w:rFonts w:cstheme="minorHAnsi"/>
          <w:bCs/>
        </w:rPr>
        <w:t>VTS</w:t>
      </w:r>
      <w:r w:rsidRPr="00783D56">
        <w:rPr>
          <w:rFonts w:cstheme="minorHAnsi"/>
          <w:bCs/>
        </w:rPr>
        <w:t xml:space="preserve"> will be suspended if </w:t>
      </w:r>
      <w:r>
        <w:rPr>
          <w:rFonts w:cstheme="minorHAnsi"/>
          <w:bCs/>
        </w:rPr>
        <w:t>you</w:t>
      </w:r>
      <w:r w:rsidRPr="00783D56">
        <w:rPr>
          <w:rFonts w:cstheme="minorHAnsi"/>
          <w:bCs/>
        </w:rPr>
        <w:t xml:space="preserve"> do not </w:t>
      </w:r>
      <w:r>
        <w:rPr>
          <w:rFonts w:cstheme="minorHAnsi"/>
          <w:bCs/>
        </w:rPr>
        <w:t>log into</w:t>
      </w:r>
      <w:r w:rsidRPr="00783D56">
        <w:rPr>
          <w:rFonts w:cstheme="minorHAnsi"/>
          <w:bCs/>
        </w:rPr>
        <w:t xml:space="preserve"> the system for more than 90 days</w:t>
      </w:r>
      <w:r w:rsidRPr="00783D56">
        <w:rPr>
          <w:rFonts w:eastAsia="Times New Roman" w:cstheme="minorHAnsi"/>
          <w:bCs/>
          <w:lang w:eastAsia="en-AU"/>
        </w:rPr>
        <w:t>.</w:t>
      </w:r>
    </w:p>
    <w:p w14:paraId="5D0CC259" w14:textId="77777777" w:rsidR="00475976" w:rsidRDefault="00475976" w:rsidP="005F706E"/>
    <w:p w14:paraId="42E2CDCC" w14:textId="4D88C392" w:rsidR="00312B0B" w:rsidRPr="00B85529" w:rsidRDefault="00312B0B" w:rsidP="00312B0B">
      <w:pPr>
        <w:pStyle w:val="Heading4"/>
        <w:rPr>
          <w:rFonts w:cstheme="minorHAnsi"/>
        </w:rPr>
      </w:pPr>
      <w:r w:rsidRPr="00B85529">
        <w:rPr>
          <w:rFonts w:cstheme="minorHAnsi"/>
        </w:rPr>
        <w:t>How to get help with S</w:t>
      </w:r>
      <w:bookmarkEnd w:id="22"/>
      <w:r>
        <w:rPr>
          <w:rFonts w:cstheme="minorHAnsi"/>
        </w:rPr>
        <w:t>VTS</w:t>
      </w:r>
    </w:p>
    <w:p w14:paraId="11FDD0CC" w14:textId="77777777" w:rsidR="00312B0B" w:rsidRPr="00B85529" w:rsidRDefault="00312B0B" w:rsidP="00312B0B">
      <w:pPr>
        <w:rPr>
          <w:rFonts w:cstheme="minorHAnsi"/>
        </w:rPr>
      </w:pPr>
      <w:r w:rsidRPr="00B85529">
        <w:rPr>
          <w:rFonts w:cstheme="minorHAnsi"/>
        </w:rPr>
        <w:t xml:space="preserve">Queries regarding registration or login-in issues should be directed to the Department’s Service Desk on </w:t>
      </w:r>
      <w:r w:rsidRPr="005A7A40">
        <w:rPr>
          <w:rStyle w:val="Hyperlink"/>
        </w:rPr>
        <w:t>1800 641 943</w:t>
      </w:r>
      <w:r w:rsidRPr="00B85529">
        <w:rPr>
          <w:rFonts w:cstheme="minorHAnsi"/>
        </w:rPr>
        <w:t xml:space="preserve">. Select &gt; option 1, and then &gt; option 4 to get through to the correct area. </w:t>
      </w:r>
      <w:r>
        <w:rPr>
          <w:rFonts w:cstheme="minorHAnsi"/>
        </w:rPr>
        <w:t>A</w:t>
      </w:r>
      <w:r w:rsidRPr="00B85529">
        <w:rPr>
          <w:rFonts w:cstheme="minorHAnsi"/>
        </w:rPr>
        <w:t>lternatively</w:t>
      </w:r>
      <w:r>
        <w:rPr>
          <w:rFonts w:cstheme="minorHAnsi"/>
        </w:rPr>
        <w:t>,</w:t>
      </w:r>
      <w:r w:rsidRPr="00B85529">
        <w:rPr>
          <w:rFonts w:cstheme="minorHAnsi"/>
        </w:rPr>
        <w:t xml:space="preserve"> </w:t>
      </w:r>
      <w:r>
        <w:rPr>
          <w:rFonts w:cstheme="minorHAnsi"/>
        </w:rPr>
        <w:t>you can email</w:t>
      </w:r>
      <w:r w:rsidRPr="00B85529">
        <w:rPr>
          <w:rFonts w:cstheme="minorHAnsi"/>
        </w:rPr>
        <w:t xml:space="preserve"> </w:t>
      </w:r>
      <w:hyperlink r:id="rId18" w:history="1">
        <w:r w:rsidRPr="005E3677">
          <w:rPr>
            <w:rStyle w:val="Hyperlink"/>
            <w:rFonts w:cstheme="minorHAnsi"/>
          </w:rPr>
          <w:t>servicedesk@education.vic.gov.au</w:t>
        </w:r>
      </w:hyperlink>
      <w:r w:rsidRPr="00B85529">
        <w:rPr>
          <w:rFonts w:cstheme="minorHAnsi"/>
        </w:rPr>
        <w:t>. Please include your TOID and username if you are submitting an email to the Service Desk.</w:t>
      </w:r>
    </w:p>
    <w:p w14:paraId="513FD2BD" w14:textId="77777777" w:rsidR="00312B0B" w:rsidRPr="00B85529" w:rsidRDefault="00312B0B" w:rsidP="00312B0B">
      <w:pPr>
        <w:ind w:right="-143"/>
        <w:rPr>
          <w:rFonts w:cstheme="minorHAnsi"/>
        </w:rPr>
      </w:pPr>
      <w:r w:rsidRPr="00B85529">
        <w:rPr>
          <w:rFonts w:cstheme="minorHAnsi"/>
        </w:rPr>
        <w:t xml:space="preserve">Queries related to SVTS data upload should be logged through the ‘Enquiries’ option within SVTS: </w:t>
      </w:r>
      <w:r w:rsidRPr="00B85529">
        <w:rPr>
          <w:rFonts w:cstheme="minorHAnsi"/>
        </w:rPr>
        <w:br/>
        <w:t>Log in to SVTS &gt; Select ‘Stakeholder’ from the left menu &gt; Select ‘Enquiries’ &gt; Click ‘Make an Enquiry’.</w:t>
      </w:r>
    </w:p>
    <w:bookmarkEnd w:id="4"/>
    <w:bookmarkEnd w:id="3"/>
    <w:bookmarkEnd w:id="2"/>
    <w:bookmarkEnd w:id="1"/>
    <w:bookmarkEnd w:id="0"/>
    <w:p w14:paraId="18847215" w14:textId="77777777" w:rsidR="00312B0B" w:rsidRDefault="00312B0B" w:rsidP="005F706E"/>
    <w:sectPr w:rsidR="00312B0B" w:rsidSect="00CF0FE4">
      <w:footerReference w:type="default" r:id="rId19"/>
      <w:pgSz w:w="11900" w:h="16840"/>
      <w:pgMar w:top="426" w:right="1127" w:bottom="426" w:left="993"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3B54" w14:textId="77777777" w:rsidR="008551FA" w:rsidRDefault="008551FA" w:rsidP="003967DD">
      <w:pPr>
        <w:spacing w:after="0"/>
      </w:pPr>
      <w:r>
        <w:separator/>
      </w:r>
    </w:p>
  </w:endnote>
  <w:endnote w:type="continuationSeparator" w:id="0">
    <w:p w14:paraId="172C8011" w14:textId="77777777" w:rsidR="008551FA" w:rsidRDefault="008551FA" w:rsidP="003967DD">
      <w:pPr>
        <w:spacing w:after="0"/>
      </w:pPr>
      <w:r>
        <w:continuationSeparator/>
      </w:r>
    </w:p>
  </w:endnote>
  <w:endnote w:type="continuationNotice" w:id="1">
    <w:p w14:paraId="4160057C" w14:textId="77777777" w:rsidR="008551FA" w:rsidRDefault="00855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BACE" w14:textId="2FB5BED1" w:rsidR="001B51C7" w:rsidRDefault="001B51C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85327"/>
      <w:docPartObj>
        <w:docPartGallery w:val="Page Numbers (Bottom of Page)"/>
        <w:docPartUnique/>
      </w:docPartObj>
    </w:sdtPr>
    <w:sdtEndPr>
      <w:rPr>
        <w:color w:val="7F7F7F" w:themeColor="background1" w:themeShade="7F"/>
        <w:spacing w:val="60"/>
        <w:sz w:val="16"/>
        <w:szCs w:val="16"/>
      </w:rPr>
    </w:sdtEndPr>
    <w:sdtContent>
      <w:p w14:paraId="51D41AA4" w14:textId="6CD102CB" w:rsidR="00910422" w:rsidRPr="00910422" w:rsidRDefault="00910422">
        <w:pPr>
          <w:pStyle w:val="Footer"/>
          <w:pBdr>
            <w:top w:val="single" w:sz="4" w:space="1" w:color="D9D9D9" w:themeColor="background1" w:themeShade="D9"/>
          </w:pBdr>
          <w:rPr>
            <w:b/>
            <w:bCs/>
            <w:sz w:val="16"/>
            <w:szCs w:val="16"/>
          </w:rPr>
        </w:pPr>
        <w:r w:rsidRPr="00910422">
          <w:rPr>
            <w:sz w:val="16"/>
            <w:szCs w:val="16"/>
          </w:rPr>
          <w:fldChar w:fldCharType="begin"/>
        </w:r>
        <w:r w:rsidRPr="00910422">
          <w:rPr>
            <w:sz w:val="16"/>
            <w:szCs w:val="16"/>
          </w:rPr>
          <w:instrText xml:space="preserve"> PAGE   \* MERGEFORMAT </w:instrText>
        </w:r>
        <w:r w:rsidRPr="00910422">
          <w:rPr>
            <w:sz w:val="16"/>
            <w:szCs w:val="16"/>
          </w:rPr>
          <w:fldChar w:fldCharType="separate"/>
        </w:r>
        <w:r w:rsidRPr="00910422">
          <w:rPr>
            <w:b/>
            <w:bCs/>
            <w:noProof/>
            <w:sz w:val="16"/>
            <w:szCs w:val="16"/>
          </w:rPr>
          <w:t>2</w:t>
        </w:r>
        <w:r w:rsidRPr="00910422">
          <w:rPr>
            <w:b/>
            <w:bCs/>
            <w:noProof/>
            <w:sz w:val="16"/>
            <w:szCs w:val="16"/>
          </w:rPr>
          <w:fldChar w:fldCharType="end"/>
        </w:r>
        <w:r w:rsidRPr="00910422">
          <w:rPr>
            <w:b/>
            <w:bCs/>
            <w:sz w:val="16"/>
            <w:szCs w:val="16"/>
          </w:rPr>
          <w:t xml:space="preserve"> | </w:t>
        </w:r>
        <w:r w:rsidRPr="00910422">
          <w:rPr>
            <w:color w:val="7F7F7F" w:themeColor="background1" w:themeShade="7F"/>
            <w:spacing w:val="60"/>
            <w:sz w:val="16"/>
            <w:szCs w:val="16"/>
          </w:rPr>
          <w:t>Page</w:t>
        </w:r>
        <w:r w:rsidR="00BA116A">
          <w:rPr>
            <w:color w:val="7F7F7F" w:themeColor="background1" w:themeShade="7F"/>
            <w:spacing w:val="60"/>
            <w:sz w:val="16"/>
            <w:szCs w:val="16"/>
          </w:rPr>
          <w:tab/>
        </w:r>
      </w:p>
    </w:sdtContent>
  </w:sdt>
  <w:p w14:paraId="1F2116B1" w14:textId="77777777" w:rsidR="00A74548" w:rsidRPr="00A76793" w:rsidRDefault="00A74548" w:rsidP="00A7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6165" w14:textId="77777777" w:rsidR="008551FA" w:rsidRDefault="008551FA" w:rsidP="003967DD">
      <w:pPr>
        <w:spacing w:after="0"/>
      </w:pPr>
      <w:r>
        <w:separator/>
      </w:r>
    </w:p>
  </w:footnote>
  <w:footnote w:type="continuationSeparator" w:id="0">
    <w:p w14:paraId="4E477D49" w14:textId="77777777" w:rsidR="008551FA" w:rsidRDefault="008551FA" w:rsidP="003967DD">
      <w:pPr>
        <w:spacing w:after="0"/>
      </w:pPr>
      <w:r>
        <w:continuationSeparator/>
      </w:r>
    </w:p>
  </w:footnote>
  <w:footnote w:type="continuationNotice" w:id="1">
    <w:p w14:paraId="7EA03A00" w14:textId="77777777" w:rsidR="008551FA" w:rsidRDefault="008551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BB5" w14:textId="469ABE45" w:rsidR="001B51C7" w:rsidRDefault="001B51C7"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32"/>
    <w:multiLevelType w:val="hybridMultilevel"/>
    <w:tmpl w:val="6226C5EC"/>
    <w:lvl w:ilvl="0" w:tplc="3CE47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802959"/>
    <w:multiLevelType w:val="hybridMultilevel"/>
    <w:tmpl w:val="5F884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F4F48"/>
    <w:multiLevelType w:val="hybridMultilevel"/>
    <w:tmpl w:val="6794F7A2"/>
    <w:lvl w:ilvl="0" w:tplc="D96A5E1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9F2D97"/>
    <w:multiLevelType w:val="hybridMultilevel"/>
    <w:tmpl w:val="52B8CC10"/>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A76E4"/>
    <w:multiLevelType w:val="hybridMultilevel"/>
    <w:tmpl w:val="8FA6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2077C"/>
    <w:multiLevelType w:val="hybridMultilevel"/>
    <w:tmpl w:val="7E52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51818"/>
    <w:multiLevelType w:val="hybridMultilevel"/>
    <w:tmpl w:val="23FE18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055140"/>
    <w:multiLevelType w:val="hybridMultilevel"/>
    <w:tmpl w:val="7B085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080E85"/>
    <w:multiLevelType w:val="hybridMultilevel"/>
    <w:tmpl w:val="0F78B1B4"/>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7F2F88"/>
    <w:multiLevelType w:val="hybridMultilevel"/>
    <w:tmpl w:val="526C6F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2E6D10"/>
    <w:multiLevelType w:val="hybridMultilevel"/>
    <w:tmpl w:val="74BCEFA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17601"/>
    <w:multiLevelType w:val="hybridMultilevel"/>
    <w:tmpl w:val="CB2A8800"/>
    <w:lvl w:ilvl="0" w:tplc="D96A5E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5C346B"/>
    <w:multiLevelType w:val="hybridMultilevel"/>
    <w:tmpl w:val="5F1C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E6080"/>
    <w:multiLevelType w:val="hybridMultilevel"/>
    <w:tmpl w:val="0DD4F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D419C"/>
    <w:multiLevelType w:val="hybridMultilevel"/>
    <w:tmpl w:val="0D50FF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5B1DCD"/>
    <w:multiLevelType w:val="hybridMultilevel"/>
    <w:tmpl w:val="8D78A788"/>
    <w:lvl w:ilvl="0" w:tplc="4E86E4C0">
      <w:start w:val="1"/>
      <w:numFmt w:val="bullet"/>
      <w:pStyle w:val="Indentedbulletedtex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16" w15:restartNumberingAfterBreak="0">
    <w:nsid w:val="26623545"/>
    <w:multiLevelType w:val="hybridMultilevel"/>
    <w:tmpl w:val="8CB0A088"/>
    <w:lvl w:ilvl="0" w:tplc="C42A15B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448FB"/>
    <w:multiLevelType w:val="hybridMultilevel"/>
    <w:tmpl w:val="7D06D860"/>
    <w:lvl w:ilvl="0" w:tplc="5A54A1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6E1B84"/>
    <w:multiLevelType w:val="hybridMultilevel"/>
    <w:tmpl w:val="96BE7C1E"/>
    <w:lvl w:ilvl="0" w:tplc="0C1ABB6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B05705"/>
    <w:multiLevelType w:val="hybridMultilevel"/>
    <w:tmpl w:val="5C441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83532"/>
    <w:multiLevelType w:val="hybridMultilevel"/>
    <w:tmpl w:val="E7A2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BA5690"/>
    <w:multiLevelType w:val="hybridMultilevel"/>
    <w:tmpl w:val="38F8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125BB1"/>
    <w:multiLevelType w:val="hybridMultilevel"/>
    <w:tmpl w:val="D3DC5D64"/>
    <w:lvl w:ilvl="0" w:tplc="8962F91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645DC"/>
    <w:multiLevelType w:val="hybridMultilevel"/>
    <w:tmpl w:val="F21009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4161D77"/>
    <w:multiLevelType w:val="hybridMultilevel"/>
    <w:tmpl w:val="92F2BA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851688E"/>
    <w:multiLevelType w:val="hybridMultilevel"/>
    <w:tmpl w:val="AF386DD4"/>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AF70065"/>
    <w:multiLevelType w:val="hybridMultilevel"/>
    <w:tmpl w:val="C088AF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3D6AEA"/>
    <w:multiLevelType w:val="hybridMultilevel"/>
    <w:tmpl w:val="E1984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713E7"/>
    <w:multiLevelType w:val="hybridMultilevel"/>
    <w:tmpl w:val="2C1CA9A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C83D28"/>
    <w:multiLevelType w:val="hybridMultilevel"/>
    <w:tmpl w:val="ABD4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5F78BA"/>
    <w:multiLevelType w:val="hybridMultilevel"/>
    <w:tmpl w:val="AC3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3A5309"/>
    <w:multiLevelType w:val="hybridMultilevel"/>
    <w:tmpl w:val="D79C35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0645E9"/>
    <w:multiLevelType w:val="hybridMultilevel"/>
    <w:tmpl w:val="7976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873E6E"/>
    <w:multiLevelType w:val="hybridMultilevel"/>
    <w:tmpl w:val="37B6BC1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B95DC4"/>
    <w:multiLevelType w:val="hybridMultilevel"/>
    <w:tmpl w:val="E4AC2D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2E0A04"/>
    <w:multiLevelType w:val="hybridMultilevel"/>
    <w:tmpl w:val="25A8F08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E13E9"/>
    <w:multiLevelType w:val="hybridMultilevel"/>
    <w:tmpl w:val="E684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F6384"/>
    <w:multiLevelType w:val="hybridMultilevel"/>
    <w:tmpl w:val="07E415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243921"/>
    <w:multiLevelType w:val="hybridMultilevel"/>
    <w:tmpl w:val="327AF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7361A6"/>
    <w:multiLevelType w:val="hybridMultilevel"/>
    <w:tmpl w:val="C7849B84"/>
    <w:lvl w:ilvl="0" w:tplc="4BBE0E4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11449301">
    <w:abstractNumId w:val="34"/>
  </w:num>
  <w:num w:numId="2" w16cid:durableId="89397683">
    <w:abstractNumId w:val="17"/>
  </w:num>
  <w:num w:numId="3" w16cid:durableId="1496341597">
    <w:abstractNumId w:val="23"/>
  </w:num>
  <w:num w:numId="4" w16cid:durableId="503715175">
    <w:abstractNumId w:val="29"/>
  </w:num>
  <w:num w:numId="5" w16cid:durableId="1805587389">
    <w:abstractNumId w:val="4"/>
  </w:num>
  <w:num w:numId="6" w16cid:durableId="727729947">
    <w:abstractNumId w:val="40"/>
  </w:num>
  <w:num w:numId="7" w16cid:durableId="555974421">
    <w:abstractNumId w:val="5"/>
  </w:num>
  <w:num w:numId="8" w16cid:durableId="1280531359">
    <w:abstractNumId w:val="41"/>
  </w:num>
  <w:num w:numId="9" w16cid:durableId="1102844109">
    <w:abstractNumId w:val="33"/>
  </w:num>
  <w:num w:numId="10" w16cid:durableId="1538160561">
    <w:abstractNumId w:val="21"/>
  </w:num>
  <w:num w:numId="11" w16cid:durableId="1711028354">
    <w:abstractNumId w:val="36"/>
  </w:num>
  <w:num w:numId="12" w16cid:durableId="1397708189">
    <w:abstractNumId w:val="24"/>
  </w:num>
  <w:num w:numId="13" w16cid:durableId="683019363">
    <w:abstractNumId w:val="12"/>
  </w:num>
  <w:num w:numId="14" w16cid:durableId="1692878539">
    <w:abstractNumId w:val="27"/>
  </w:num>
  <w:num w:numId="15" w16cid:durableId="1503855832">
    <w:abstractNumId w:val="42"/>
  </w:num>
  <w:num w:numId="16" w16cid:durableId="1347438436">
    <w:abstractNumId w:val="6"/>
  </w:num>
  <w:num w:numId="17" w16cid:durableId="1087657660">
    <w:abstractNumId w:val="20"/>
  </w:num>
  <w:num w:numId="18" w16cid:durableId="1986624209">
    <w:abstractNumId w:val="30"/>
  </w:num>
  <w:num w:numId="19" w16cid:durableId="1292130868">
    <w:abstractNumId w:val="39"/>
  </w:num>
  <w:num w:numId="20" w16cid:durableId="792947786">
    <w:abstractNumId w:val="15"/>
  </w:num>
  <w:num w:numId="21" w16cid:durableId="170411859">
    <w:abstractNumId w:val="1"/>
  </w:num>
  <w:num w:numId="22" w16cid:durableId="772632181">
    <w:abstractNumId w:val="32"/>
  </w:num>
  <w:num w:numId="23" w16cid:durableId="1923174646">
    <w:abstractNumId w:val="7"/>
  </w:num>
  <w:num w:numId="24" w16cid:durableId="737745373">
    <w:abstractNumId w:val="13"/>
  </w:num>
  <w:num w:numId="25" w16cid:durableId="1684280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558647">
    <w:abstractNumId w:val="35"/>
  </w:num>
  <w:num w:numId="27" w16cid:durableId="1994749856">
    <w:abstractNumId w:val="0"/>
  </w:num>
  <w:num w:numId="28" w16cid:durableId="847713465">
    <w:abstractNumId w:val="16"/>
  </w:num>
  <w:num w:numId="29" w16cid:durableId="1182167745">
    <w:abstractNumId w:val="9"/>
  </w:num>
  <w:num w:numId="30" w16cid:durableId="1291937591">
    <w:abstractNumId w:val="43"/>
  </w:num>
  <w:num w:numId="31" w16cid:durableId="1822231821">
    <w:abstractNumId w:val="28"/>
  </w:num>
  <w:num w:numId="32" w16cid:durableId="1431317959">
    <w:abstractNumId w:val="25"/>
  </w:num>
  <w:num w:numId="33" w16cid:durableId="851921218">
    <w:abstractNumId w:val="37"/>
  </w:num>
  <w:num w:numId="34" w16cid:durableId="93598518">
    <w:abstractNumId w:val="26"/>
  </w:num>
  <w:num w:numId="35" w16cid:durableId="1681085881">
    <w:abstractNumId w:val="38"/>
  </w:num>
  <w:num w:numId="36" w16cid:durableId="1170750232">
    <w:abstractNumId w:val="10"/>
  </w:num>
  <w:num w:numId="37" w16cid:durableId="1207110376">
    <w:abstractNumId w:val="31"/>
  </w:num>
  <w:num w:numId="38" w16cid:durableId="1138955945">
    <w:abstractNumId w:val="8"/>
  </w:num>
  <w:num w:numId="39" w16cid:durableId="25454050">
    <w:abstractNumId w:val="14"/>
  </w:num>
  <w:num w:numId="40" w16cid:durableId="1684090282">
    <w:abstractNumId w:val="11"/>
  </w:num>
  <w:num w:numId="41" w16cid:durableId="383410595">
    <w:abstractNumId w:val="2"/>
  </w:num>
  <w:num w:numId="42" w16cid:durableId="1771319372">
    <w:abstractNumId w:val="3"/>
  </w:num>
  <w:num w:numId="43" w16cid:durableId="23943505">
    <w:abstractNumId w:val="18"/>
  </w:num>
  <w:num w:numId="44" w16cid:durableId="1411540536">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ADD"/>
    <w:rsid w:val="000052B4"/>
    <w:rsid w:val="00006EAF"/>
    <w:rsid w:val="00010B3E"/>
    <w:rsid w:val="00010C0E"/>
    <w:rsid w:val="00011B91"/>
    <w:rsid w:val="0001225D"/>
    <w:rsid w:val="000131CB"/>
    <w:rsid w:val="00013339"/>
    <w:rsid w:val="000136A4"/>
    <w:rsid w:val="00016D4E"/>
    <w:rsid w:val="00017263"/>
    <w:rsid w:val="00017872"/>
    <w:rsid w:val="000179ED"/>
    <w:rsid w:val="00017DCD"/>
    <w:rsid w:val="00021F4E"/>
    <w:rsid w:val="00022C0B"/>
    <w:rsid w:val="0002404D"/>
    <w:rsid w:val="00024796"/>
    <w:rsid w:val="00024FBB"/>
    <w:rsid w:val="00025EAA"/>
    <w:rsid w:val="000306CE"/>
    <w:rsid w:val="000316D8"/>
    <w:rsid w:val="00032775"/>
    <w:rsid w:val="000328A7"/>
    <w:rsid w:val="000335A2"/>
    <w:rsid w:val="00033720"/>
    <w:rsid w:val="0003667E"/>
    <w:rsid w:val="00036C37"/>
    <w:rsid w:val="00040885"/>
    <w:rsid w:val="00041746"/>
    <w:rsid w:val="00044648"/>
    <w:rsid w:val="00044A91"/>
    <w:rsid w:val="00046997"/>
    <w:rsid w:val="000479C2"/>
    <w:rsid w:val="00047B0A"/>
    <w:rsid w:val="00050033"/>
    <w:rsid w:val="0005111F"/>
    <w:rsid w:val="000513EA"/>
    <w:rsid w:val="000533F5"/>
    <w:rsid w:val="00054149"/>
    <w:rsid w:val="00054863"/>
    <w:rsid w:val="00057351"/>
    <w:rsid w:val="000645D4"/>
    <w:rsid w:val="00065195"/>
    <w:rsid w:val="00065C45"/>
    <w:rsid w:val="00070E92"/>
    <w:rsid w:val="000720C7"/>
    <w:rsid w:val="000757C1"/>
    <w:rsid w:val="00075A74"/>
    <w:rsid w:val="00075B6A"/>
    <w:rsid w:val="00082B0F"/>
    <w:rsid w:val="00083585"/>
    <w:rsid w:val="0008449A"/>
    <w:rsid w:val="00087088"/>
    <w:rsid w:val="000A1D1D"/>
    <w:rsid w:val="000A3588"/>
    <w:rsid w:val="000A4011"/>
    <w:rsid w:val="000A47D4"/>
    <w:rsid w:val="000B1180"/>
    <w:rsid w:val="000B19E0"/>
    <w:rsid w:val="000B27CF"/>
    <w:rsid w:val="000B409F"/>
    <w:rsid w:val="000B5A3E"/>
    <w:rsid w:val="000B6195"/>
    <w:rsid w:val="000B7857"/>
    <w:rsid w:val="000C1BA9"/>
    <w:rsid w:val="000C2ED0"/>
    <w:rsid w:val="000C6343"/>
    <w:rsid w:val="000D09FE"/>
    <w:rsid w:val="000D29D2"/>
    <w:rsid w:val="000D417D"/>
    <w:rsid w:val="000D4D73"/>
    <w:rsid w:val="000D525E"/>
    <w:rsid w:val="000D7204"/>
    <w:rsid w:val="000D736A"/>
    <w:rsid w:val="000D7F93"/>
    <w:rsid w:val="000E15B0"/>
    <w:rsid w:val="000E1ADB"/>
    <w:rsid w:val="000E3A6A"/>
    <w:rsid w:val="000E3F5E"/>
    <w:rsid w:val="000E646A"/>
    <w:rsid w:val="000E7B6E"/>
    <w:rsid w:val="000F3067"/>
    <w:rsid w:val="000F380D"/>
    <w:rsid w:val="000F6F82"/>
    <w:rsid w:val="00101370"/>
    <w:rsid w:val="0010167E"/>
    <w:rsid w:val="00102272"/>
    <w:rsid w:val="00105A7E"/>
    <w:rsid w:val="001079D9"/>
    <w:rsid w:val="001120D7"/>
    <w:rsid w:val="001121C6"/>
    <w:rsid w:val="00113629"/>
    <w:rsid w:val="00114D0E"/>
    <w:rsid w:val="00115488"/>
    <w:rsid w:val="001172B0"/>
    <w:rsid w:val="001173A1"/>
    <w:rsid w:val="00122369"/>
    <w:rsid w:val="00123831"/>
    <w:rsid w:val="00124D09"/>
    <w:rsid w:val="00124E79"/>
    <w:rsid w:val="001265B4"/>
    <w:rsid w:val="001312E3"/>
    <w:rsid w:val="001333E2"/>
    <w:rsid w:val="001336C5"/>
    <w:rsid w:val="00135140"/>
    <w:rsid w:val="001358AF"/>
    <w:rsid w:val="00141F23"/>
    <w:rsid w:val="0014347D"/>
    <w:rsid w:val="001452D1"/>
    <w:rsid w:val="00145459"/>
    <w:rsid w:val="00145F01"/>
    <w:rsid w:val="001467B1"/>
    <w:rsid w:val="00147562"/>
    <w:rsid w:val="001477BC"/>
    <w:rsid w:val="0015315E"/>
    <w:rsid w:val="001557F8"/>
    <w:rsid w:val="001648CE"/>
    <w:rsid w:val="00164B3C"/>
    <w:rsid w:val="0017152B"/>
    <w:rsid w:val="001728C0"/>
    <w:rsid w:val="00175327"/>
    <w:rsid w:val="001756C8"/>
    <w:rsid w:val="00184FB7"/>
    <w:rsid w:val="00185428"/>
    <w:rsid w:val="00187B1F"/>
    <w:rsid w:val="00191D6F"/>
    <w:rsid w:val="00193DB0"/>
    <w:rsid w:val="001961FD"/>
    <w:rsid w:val="001964A0"/>
    <w:rsid w:val="001A003A"/>
    <w:rsid w:val="001A25BA"/>
    <w:rsid w:val="001A349F"/>
    <w:rsid w:val="001A5336"/>
    <w:rsid w:val="001A6153"/>
    <w:rsid w:val="001A746E"/>
    <w:rsid w:val="001B51C7"/>
    <w:rsid w:val="001C79D6"/>
    <w:rsid w:val="001D3982"/>
    <w:rsid w:val="001E1580"/>
    <w:rsid w:val="001E3774"/>
    <w:rsid w:val="001E540C"/>
    <w:rsid w:val="001F27E2"/>
    <w:rsid w:val="001F31D8"/>
    <w:rsid w:val="001F6893"/>
    <w:rsid w:val="00202FC4"/>
    <w:rsid w:val="00204F42"/>
    <w:rsid w:val="002057E9"/>
    <w:rsid w:val="00205D1E"/>
    <w:rsid w:val="00206304"/>
    <w:rsid w:val="002074FE"/>
    <w:rsid w:val="00207974"/>
    <w:rsid w:val="00210E1F"/>
    <w:rsid w:val="0021159E"/>
    <w:rsid w:val="002145F3"/>
    <w:rsid w:val="002160D6"/>
    <w:rsid w:val="002164D8"/>
    <w:rsid w:val="00216E48"/>
    <w:rsid w:val="00217270"/>
    <w:rsid w:val="00217423"/>
    <w:rsid w:val="002211B1"/>
    <w:rsid w:val="00222292"/>
    <w:rsid w:val="002235CD"/>
    <w:rsid w:val="00223D6F"/>
    <w:rsid w:val="00225CCF"/>
    <w:rsid w:val="0023019B"/>
    <w:rsid w:val="002307EF"/>
    <w:rsid w:val="00230A5B"/>
    <w:rsid w:val="002310B3"/>
    <w:rsid w:val="00232626"/>
    <w:rsid w:val="00232CD5"/>
    <w:rsid w:val="00232D34"/>
    <w:rsid w:val="00233AA7"/>
    <w:rsid w:val="002364A7"/>
    <w:rsid w:val="00236C85"/>
    <w:rsid w:val="00244B5C"/>
    <w:rsid w:val="00244C77"/>
    <w:rsid w:val="00245F81"/>
    <w:rsid w:val="00247026"/>
    <w:rsid w:val="00247B3F"/>
    <w:rsid w:val="00247F97"/>
    <w:rsid w:val="00250DE2"/>
    <w:rsid w:val="00251329"/>
    <w:rsid w:val="00251866"/>
    <w:rsid w:val="0025694B"/>
    <w:rsid w:val="00257848"/>
    <w:rsid w:val="00261827"/>
    <w:rsid w:val="00262F6C"/>
    <w:rsid w:val="002631CB"/>
    <w:rsid w:val="0026464F"/>
    <w:rsid w:val="002649C7"/>
    <w:rsid w:val="00265AAE"/>
    <w:rsid w:val="00266AF7"/>
    <w:rsid w:val="002719F2"/>
    <w:rsid w:val="002738E7"/>
    <w:rsid w:val="0027667B"/>
    <w:rsid w:val="00276B4F"/>
    <w:rsid w:val="0027783A"/>
    <w:rsid w:val="00280DA3"/>
    <w:rsid w:val="002814DC"/>
    <w:rsid w:val="00283B6B"/>
    <w:rsid w:val="002848A8"/>
    <w:rsid w:val="00284F97"/>
    <w:rsid w:val="00285CC2"/>
    <w:rsid w:val="00291248"/>
    <w:rsid w:val="00292BB0"/>
    <w:rsid w:val="00294564"/>
    <w:rsid w:val="002A343B"/>
    <w:rsid w:val="002A4A96"/>
    <w:rsid w:val="002A4EEB"/>
    <w:rsid w:val="002A5244"/>
    <w:rsid w:val="002A5654"/>
    <w:rsid w:val="002A5BC0"/>
    <w:rsid w:val="002A7992"/>
    <w:rsid w:val="002A7FB2"/>
    <w:rsid w:val="002B0793"/>
    <w:rsid w:val="002B0974"/>
    <w:rsid w:val="002B0BBE"/>
    <w:rsid w:val="002B1DA2"/>
    <w:rsid w:val="002B3FED"/>
    <w:rsid w:val="002B5269"/>
    <w:rsid w:val="002B5B40"/>
    <w:rsid w:val="002B763A"/>
    <w:rsid w:val="002C1BC6"/>
    <w:rsid w:val="002C28DD"/>
    <w:rsid w:val="002C616B"/>
    <w:rsid w:val="002D0C24"/>
    <w:rsid w:val="002D124A"/>
    <w:rsid w:val="002D2821"/>
    <w:rsid w:val="002D4CF2"/>
    <w:rsid w:val="002E12CD"/>
    <w:rsid w:val="002E2E1B"/>
    <w:rsid w:val="002E3BED"/>
    <w:rsid w:val="002E3D70"/>
    <w:rsid w:val="002F05B7"/>
    <w:rsid w:val="002F13BC"/>
    <w:rsid w:val="002F19D2"/>
    <w:rsid w:val="002F2B18"/>
    <w:rsid w:val="002F3069"/>
    <w:rsid w:val="002F3285"/>
    <w:rsid w:val="002F6A00"/>
    <w:rsid w:val="00300311"/>
    <w:rsid w:val="003032F0"/>
    <w:rsid w:val="003052AB"/>
    <w:rsid w:val="00305B89"/>
    <w:rsid w:val="00307A31"/>
    <w:rsid w:val="00310C05"/>
    <w:rsid w:val="00311107"/>
    <w:rsid w:val="00312720"/>
    <w:rsid w:val="00312AA3"/>
    <w:rsid w:val="00312B0B"/>
    <w:rsid w:val="00314946"/>
    <w:rsid w:val="00315296"/>
    <w:rsid w:val="003158A0"/>
    <w:rsid w:val="00316AEA"/>
    <w:rsid w:val="003226BE"/>
    <w:rsid w:val="00322B2D"/>
    <w:rsid w:val="003235E5"/>
    <w:rsid w:val="003238DD"/>
    <w:rsid w:val="00324FFB"/>
    <w:rsid w:val="003269BF"/>
    <w:rsid w:val="003274DB"/>
    <w:rsid w:val="0033089F"/>
    <w:rsid w:val="00333E66"/>
    <w:rsid w:val="003418C8"/>
    <w:rsid w:val="00341BA0"/>
    <w:rsid w:val="00344C0D"/>
    <w:rsid w:val="00345266"/>
    <w:rsid w:val="003452E4"/>
    <w:rsid w:val="0034754A"/>
    <w:rsid w:val="00351424"/>
    <w:rsid w:val="00351FA9"/>
    <w:rsid w:val="00352AD8"/>
    <w:rsid w:val="00354D78"/>
    <w:rsid w:val="00356AC7"/>
    <w:rsid w:val="0035763F"/>
    <w:rsid w:val="00364190"/>
    <w:rsid w:val="0036457E"/>
    <w:rsid w:val="00364F68"/>
    <w:rsid w:val="0036797A"/>
    <w:rsid w:val="00370607"/>
    <w:rsid w:val="00370760"/>
    <w:rsid w:val="003708CF"/>
    <w:rsid w:val="00382910"/>
    <w:rsid w:val="00385F3E"/>
    <w:rsid w:val="00386E82"/>
    <w:rsid w:val="00390052"/>
    <w:rsid w:val="00391244"/>
    <w:rsid w:val="00392CFC"/>
    <w:rsid w:val="003933FD"/>
    <w:rsid w:val="0039500B"/>
    <w:rsid w:val="003955E7"/>
    <w:rsid w:val="00395EA0"/>
    <w:rsid w:val="003962EA"/>
    <w:rsid w:val="003967DD"/>
    <w:rsid w:val="003A13F9"/>
    <w:rsid w:val="003A2086"/>
    <w:rsid w:val="003A3E50"/>
    <w:rsid w:val="003B0686"/>
    <w:rsid w:val="003B0940"/>
    <w:rsid w:val="003B3AA3"/>
    <w:rsid w:val="003B4B2D"/>
    <w:rsid w:val="003B7795"/>
    <w:rsid w:val="003C093C"/>
    <w:rsid w:val="003C2875"/>
    <w:rsid w:val="003C6534"/>
    <w:rsid w:val="003C7292"/>
    <w:rsid w:val="003D7F2A"/>
    <w:rsid w:val="003E1443"/>
    <w:rsid w:val="003E2C75"/>
    <w:rsid w:val="003E48B5"/>
    <w:rsid w:val="003E5174"/>
    <w:rsid w:val="003E5339"/>
    <w:rsid w:val="003E7C69"/>
    <w:rsid w:val="003F0885"/>
    <w:rsid w:val="003F1CCC"/>
    <w:rsid w:val="003F1EB8"/>
    <w:rsid w:val="003F3B0D"/>
    <w:rsid w:val="003F3B6E"/>
    <w:rsid w:val="003F42F3"/>
    <w:rsid w:val="0040080C"/>
    <w:rsid w:val="004024C1"/>
    <w:rsid w:val="0040395E"/>
    <w:rsid w:val="00405338"/>
    <w:rsid w:val="00410E6C"/>
    <w:rsid w:val="004127A4"/>
    <w:rsid w:val="004147FB"/>
    <w:rsid w:val="00415299"/>
    <w:rsid w:val="00415385"/>
    <w:rsid w:val="00415DFD"/>
    <w:rsid w:val="00417380"/>
    <w:rsid w:val="00417BCB"/>
    <w:rsid w:val="00421742"/>
    <w:rsid w:val="00423056"/>
    <w:rsid w:val="00423EE3"/>
    <w:rsid w:val="00426CE7"/>
    <w:rsid w:val="00431257"/>
    <w:rsid w:val="00432157"/>
    <w:rsid w:val="00436524"/>
    <w:rsid w:val="004405B2"/>
    <w:rsid w:val="00440E2C"/>
    <w:rsid w:val="0044196C"/>
    <w:rsid w:val="00442920"/>
    <w:rsid w:val="0044365F"/>
    <w:rsid w:val="00443A27"/>
    <w:rsid w:val="00443B84"/>
    <w:rsid w:val="0044593F"/>
    <w:rsid w:val="0044722D"/>
    <w:rsid w:val="0044780A"/>
    <w:rsid w:val="00452226"/>
    <w:rsid w:val="004528AD"/>
    <w:rsid w:val="004535D5"/>
    <w:rsid w:val="00453D56"/>
    <w:rsid w:val="0045448E"/>
    <w:rsid w:val="00454B1D"/>
    <w:rsid w:val="00454E02"/>
    <w:rsid w:val="004556F7"/>
    <w:rsid w:val="00456981"/>
    <w:rsid w:val="00460B07"/>
    <w:rsid w:val="004617AC"/>
    <w:rsid w:val="00462706"/>
    <w:rsid w:val="004628A6"/>
    <w:rsid w:val="00464409"/>
    <w:rsid w:val="004674E0"/>
    <w:rsid w:val="00470A4F"/>
    <w:rsid w:val="00470E06"/>
    <w:rsid w:val="00471320"/>
    <w:rsid w:val="00471604"/>
    <w:rsid w:val="00474954"/>
    <w:rsid w:val="00475976"/>
    <w:rsid w:val="00475CF0"/>
    <w:rsid w:val="00476DF7"/>
    <w:rsid w:val="004818DC"/>
    <w:rsid w:val="00481983"/>
    <w:rsid w:val="00483C19"/>
    <w:rsid w:val="00487AAF"/>
    <w:rsid w:val="00490FCE"/>
    <w:rsid w:val="00491ADD"/>
    <w:rsid w:val="00492E49"/>
    <w:rsid w:val="0049301C"/>
    <w:rsid w:val="00496461"/>
    <w:rsid w:val="00496ADB"/>
    <w:rsid w:val="004A0D8A"/>
    <w:rsid w:val="004A136E"/>
    <w:rsid w:val="004A23B2"/>
    <w:rsid w:val="004A2F9B"/>
    <w:rsid w:val="004A5ED6"/>
    <w:rsid w:val="004A6E97"/>
    <w:rsid w:val="004A732E"/>
    <w:rsid w:val="004B0382"/>
    <w:rsid w:val="004B0A81"/>
    <w:rsid w:val="004B6E05"/>
    <w:rsid w:val="004C2868"/>
    <w:rsid w:val="004C5FBA"/>
    <w:rsid w:val="004C605B"/>
    <w:rsid w:val="004C6C75"/>
    <w:rsid w:val="004D31B5"/>
    <w:rsid w:val="004D3F10"/>
    <w:rsid w:val="004E058C"/>
    <w:rsid w:val="004E2DA9"/>
    <w:rsid w:val="004E3E83"/>
    <w:rsid w:val="004E4A59"/>
    <w:rsid w:val="004E5604"/>
    <w:rsid w:val="004E5DDB"/>
    <w:rsid w:val="004E6A73"/>
    <w:rsid w:val="004F0C28"/>
    <w:rsid w:val="004F29CD"/>
    <w:rsid w:val="004F34EE"/>
    <w:rsid w:val="004F60E9"/>
    <w:rsid w:val="004F73F1"/>
    <w:rsid w:val="004F7DE6"/>
    <w:rsid w:val="00500258"/>
    <w:rsid w:val="00500666"/>
    <w:rsid w:val="00500ECB"/>
    <w:rsid w:val="00502A52"/>
    <w:rsid w:val="00507616"/>
    <w:rsid w:val="00510920"/>
    <w:rsid w:val="005116A5"/>
    <w:rsid w:val="005129BF"/>
    <w:rsid w:val="00513D3A"/>
    <w:rsid w:val="005147EB"/>
    <w:rsid w:val="005149CA"/>
    <w:rsid w:val="00514DD8"/>
    <w:rsid w:val="0051798B"/>
    <w:rsid w:val="00521257"/>
    <w:rsid w:val="0052256C"/>
    <w:rsid w:val="0052329E"/>
    <w:rsid w:val="00524AD9"/>
    <w:rsid w:val="00527C38"/>
    <w:rsid w:val="00530476"/>
    <w:rsid w:val="00531B8A"/>
    <w:rsid w:val="00532671"/>
    <w:rsid w:val="00534CEA"/>
    <w:rsid w:val="0053750D"/>
    <w:rsid w:val="00541890"/>
    <w:rsid w:val="005428B1"/>
    <w:rsid w:val="00543EBB"/>
    <w:rsid w:val="0054696E"/>
    <w:rsid w:val="00550A4C"/>
    <w:rsid w:val="00550DA4"/>
    <w:rsid w:val="00553856"/>
    <w:rsid w:val="00553C51"/>
    <w:rsid w:val="00553D7D"/>
    <w:rsid w:val="00553E71"/>
    <w:rsid w:val="005550E6"/>
    <w:rsid w:val="00560874"/>
    <w:rsid w:val="005615F8"/>
    <w:rsid w:val="00561608"/>
    <w:rsid w:val="00565B04"/>
    <w:rsid w:val="00565EEC"/>
    <w:rsid w:val="00573E5A"/>
    <w:rsid w:val="00575071"/>
    <w:rsid w:val="00575706"/>
    <w:rsid w:val="00576FCA"/>
    <w:rsid w:val="00577904"/>
    <w:rsid w:val="005809E9"/>
    <w:rsid w:val="005818A4"/>
    <w:rsid w:val="00581C94"/>
    <w:rsid w:val="00584366"/>
    <w:rsid w:val="00584760"/>
    <w:rsid w:val="00584E03"/>
    <w:rsid w:val="00585A28"/>
    <w:rsid w:val="00585ED3"/>
    <w:rsid w:val="0058740B"/>
    <w:rsid w:val="005902A5"/>
    <w:rsid w:val="00591C12"/>
    <w:rsid w:val="00591C1F"/>
    <w:rsid w:val="00592601"/>
    <w:rsid w:val="0059483C"/>
    <w:rsid w:val="005948E6"/>
    <w:rsid w:val="005A2581"/>
    <w:rsid w:val="005A3BCB"/>
    <w:rsid w:val="005A470E"/>
    <w:rsid w:val="005A4B82"/>
    <w:rsid w:val="005A535A"/>
    <w:rsid w:val="005A68FC"/>
    <w:rsid w:val="005A7A40"/>
    <w:rsid w:val="005B1595"/>
    <w:rsid w:val="005B1E81"/>
    <w:rsid w:val="005B349D"/>
    <w:rsid w:val="005B5DF5"/>
    <w:rsid w:val="005B6176"/>
    <w:rsid w:val="005B6C4B"/>
    <w:rsid w:val="005C097E"/>
    <w:rsid w:val="005C27E8"/>
    <w:rsid w:val="005C30A3"/>
    <w:rsid w:val="005C40BC"/>
    <w:rsid w:val="005C4F61"/>
    <w:rsid w:val="005C5469"/>
    <w:rsid w:val="005C6D78"/>
    <w:rsid w:val="005C75E4"/>
    <w:rsid w:val="005D05B9"/>
    <w:rsid w:val="005D065B"/>
    <w:rsid w:val="005D3FA4"/>
    <w:rsid w:val="005D4797"/>
    <w:rsid w:val="005D4EA4"/>
    <w:rsid w:val="005D6A8E"/>
    <w:rsid w:val="005E0149"/>
    <w:rsid w:val="005E0C80"/>
    <w:rsid w:val="005E0DD6"/>
    <w:rsid w:val="005E1A95"/>
    <w:rsid w:val="005E4308"/>
    <w:rsid w:val="005E4B5D"/>
    <w:rsid w:val="005E5DF1"/>
    <w:rsid w:val="005E5DFC"/>
    <w:rsid w:val="005E6524"/>
    <w:rsid w:val="005E7285"/>
    <w:rsid w:val="005F2680"/>
    <w:rsid w:val="005F4315"/>
    <w:rsid w:val="005F6265"/>
    <w:rsid w:val="005F706E"/>
    <w:rsid w:val="005F71A7"/>
    <w:rsid w:val="00601520"/>
    <w:rsid w:val="006025BE"/>
    <w:rsid w:val="0060336B"/>
    <w:rsid w:val="00604B72"/>
    <w:rsid w:val="006072BC"/>
    <w:rsid w:val="006107AF"/>
    <w:rsid w:val="006124A3"/>
    <w:rsid w:val="00612904"/>
    <w:rsid w:val="00612A51"/>
    <w:rsid w:val="00612C22"/>
    <w:rsid w:val="00612F94"/>
    <w:rsid w:val="006130B1"/>
    <w:rsid w:val="006135D4"/>
    <w:rsid w:val="00613CC4"/>
    <w:rsid w:val="00616072"/>
    <w:rsid w:val="00616AA6"/>
    <w:rsid w:val="006170DB"/>
    <w:rsid w:val="006209BA"/>
    <w:rsid w:val="006230D1"/>
    <w:rsid w:val="00623571"/>
    <w:rsid w:val="00624A55"/>
    <w:rsid w:val="00624E55"/>
    <w:rsid w:val="00625B94"/>
    <w:rsid w:val="00626BE8"/>
    <w:rsid w:val="00630A73"/>
    <w:rsid w:val="006347AE"/>
    <w:rsid w:val="00635021"/>
    <w:rsid w:val="006376E2"/>
    <w:rsid w:val="00640397"/>
    <w:rsid w:val="00640511"/>
    <w:rsid w:val="006413C1"/>
    <w:rsid w:val="00643898"/>
    <w:rsid w:val="00644322"/>
    <w:rsid w:val="00650A35"/>
    <w:rsid w:val="00652175"/>
    <w:rsid w:val="00652C57"/>
    <w:rsid w:val="006533C3"/>
    <w:rsid w:val="00656E5D"/>
    <w:rsid w:val="00657F43"/>
    <w:rsid w:val="006608F8"/>
    <w:rsid w:val="006611AA"/>
    <w:rsid w:val="00661A00"/>
    <w:rsid w:val="00662164"/>
    <w:rsid w:val="00663882"/>
    <w:rsid w:val="00664802"/>
    <w:rsid w:val="00664A38"/>
    <w:rsid w:val="006663B2"/>
    <w:rsid w:val="0067278F"/>
    <w:rsid w:val="006742E3"/>
    <w:rsid w:val="0067553B"/>
    <w:rsid w:val="0068008E"/>
    <w:rsid w:val="0068011E"/>
    <w:rsid w:val="006824EF"/>
    <w:rsid w:val="00682AC3"/>
    <w:rsid w:val="006857B0"/>
    <w:rsid w:val="006860CD"/>
    <w:rsid w:val="0069220A"/>
    <w:rsid w:val="00692B8D"/>
    <w:rsid w:val="00693F4E"/>
    <w:rsid w:val="006954F6"/>
    <w:rsid w:val="00697FF4"/>
    <w:rsid w:val="006A039F"/>
    <w:rsid w:val="006A2014"/>
    <w:rsid w:val="006A25AC"/>
    <w:rsid w:val="006A46EB"/>
    <w:rsid w:val="006B03FD"/>
    <w:rsid w:val="006B1DDB"/>
    <w:rsid w:val="006B20EF"/>
    <w:rsid w:val="006B43DD"/>
    <w:rsid w:val="006B4941"/>
    <w:rsid w:val="006B7524"/>
    <w:rsid w:val="006C01E9"/>
    <w:rsid w:val="006C2081"/>
    <w:rsid w:val="006C5784"/>
    <w:rsid w:val="006C6550"/>
    <w:rsid w:val="006D0654"/>
    <w:rsid w:val="006D0768"/>
    <w:rsid w:val="006D1262"/>
    <w:rsid w:val="006D4456"/>
    <w:rsid w:val="006D44BA"/>
    <w:rsid w:val="006D79F8"/>
    <w:rsid w:val="006E0DF5"/>
    <w:rsid w:val="006E402F"/>
    <w:rsid w:val="006E43EE"/>
    <w:rsid w:val="006E5EBF"/>
    <w:rsid w:val="006E61C7"/>
    <w:rsid w:val="006F24D2"/>
    <w:rsid w:val="006F30AD"/>
    <w:rsid w:val="006F3470"/>
    <w:rsid w:val="006F4F27"/>
    <w:rsid w:val="006F5840"/>
    <w:rsid w:val="00700D6D"/>
    <w:rsid w:val="00701504"/>
    <w:rsid w:val="007039F2"/>
    <w:rsid w:val="00713CBD"/>
    <w:rsid w:val="00714456"/>
    <w:rsid w:val="00714502"/>
    <w:rsid w:val="00715E35"/>
    <w:rsid w:val="007225DD"/>
    <w:rsid w:val="00723A1C"/>
    <w:rsid w:val="00724A60"/>
    <w:rsid w:val="00726653"/>
    <w:rsid w:val="0072706E"/>
    <w:rsid w:val="00730D8E"/>
    <w:rsid w:val="007310FB"/>
    <w:rsid w:val="00731530"/>
    <w:rsid w:val="00732A99"/>
    <w:rsid w:val="00732ED5"/>
    <w:rsid w:val="0073484A"/>
    <w:rsid w:val="00734A45"/>
    <w:rsid w:val="00736FB0"/>
    <w:rsid w:val="00736FFD"/>
    <w:rsid w:val="007373DF"/>
    <w:rsid w:val="00737419"/>
    <w:rsid w:val="00740363"/>
    <w:rsid w:val="00741555"/>
    <w:rsid w:val="007419BD"/>
    <w:rsid w:val="00742999"/>
    <w:rsid w:val="00743B33"/>
    <w:rsid w:val="007449A3"/>
    <w:rsid w:val="00744E2D"/>
    <w:rsid w:val="00744E46"/>
    <w:rsid w:val="00744F3B"/>
    <w:rsid w:val="00746AB6"/>
    <w:rsid w:val="007519F0"/>
    <w:rsid w:val="00756603"/>
    <w:rsid w:val="007619ED"/>
    <w:rsid w:val="00761E31"/>
    <w:rsid w:val="0076505B"/>
    <w:rsid w:val="007674A3"/>
    <w:rsid w:val="0077168D"/>
    <w:rsid w:val="007716E6"/>
    <w:rsid w:val="00775509"/>
    <w:rsid w:val="00783A7A"/>
    <w:rsid w:val="00786E40"/>
    <w:rsid w:val="00787965"/>
    <w:rsid w:val="00790128"/>
    <w:rsid w:val="00791665"/>
    <w:rsid w:val="00794310"/>
    <w:rsid w:val="007961BD"/>
    <w:rsid w:val="0079659B"/>
    <w:rsid w:val="00797043"/>
    <w:rsid w:val="00797B36"/>
    <w:rsid w:val="007A22F9"/>
    <w:rsid w:val="007A24C5"/>
    <w:rsid w:val="007A5485"/>
    <w:rsid w:val="007A54B8"/>
    <w:rsid w:val="007A55E4"/>
    <w:rsid w:val="007A5DAB"/>
    <w:rsid w:val="007A6EF8"/>
    <w:rsid w:val="007A7578"/>
    <w:rsid w:val="007B0E48"/>
    <w:rsid w:val="007B1CBB"/>
    <w:rsid w:val="007B2C1D"/>
    <w:rsid w:val="007B3A7D"/>
    <w:rsid w:val="007B556E"/>
    <w:rsid w:val="007B5D17"/>
    <w:rsid w:val="007B6543"/>
    <w:rsid w:val="007B6A0A"/>
    <w:rsid w:val="007B78C9"/>
    <w:rsid w:val="007C0F60"/>
    <w:rsid w:val="007C3877"/>
    <w:rsid w:val="007C5E59"/>
    <w:rsid w:val="007C6194"/>
    <w:rsid w:val="007C7B47"/>
    <w:rsid w:val="007D10FC"/>
    <w:rsid w:val="007D1727"/>
    <w:rsid w:val="007D1879"/>
    <w:rsid w:val="007D3E38"/>
    <w:rsid w:val="007D4C74"/>
    <w:rsid w:val="007D6F7F"/>
    <w:rsid w:val="007E2542"/>
    <w:rsid w:val="007E3C30"/>
    <w:rsid w:val="007E4611"/>
    <w:rsid w:val="007E49EA"/>
    <w:rsid w:val="007E5E54"/>
    <w:rsid w:val="007F25CE"/>
    <w:rsid w:val="00802303"/>
    <w:rsid w:val="0080467C"/>
    <w:rsid w:val="00805ADA"/>
    <w:rsid w:val="008100E9"/>
    <w:rsid w:val="008102B5"/>
    <w:rsid w:val="00810AD1"/>
    <w:rsid w:val="00811BAD"/>
    <w:rsid w:val="00813F8E"/>
    <w:rsid w:val="008154D6"/>
    <w:rsid w:val="0081747A"/>
    <w:rsid w:val="008176E6"/>
    <w:rsid w:val="008211E6"/>
    <w:rsid w:val="00821319"/>
    <w:rsid w:val="008213CC"/>
    <w:rsid w:val="00821531"/>
    <w:rsid w:val="00825A33"/>
    <w:rsid w:val="00825C10"/>
    <w:rsid w:val="008265FC"/>
    <w:rsid w:val="00826DBA"/>
    <w:rsid w:val="00833085"/>
    <w:rsid w:val="008349F9"/>
    <w:rsid w:val="00836807"/>
    <w:rsid w:val="00837745"/>
    <w:rsid w:val="00837D9D"/>
    <w:rsid w:val="0084041F"/>
    <w:rsid w:val="00840ED0"/>
    <w:rsid w:val="008410DC"/>
    <w:rsid w:val="00841D62"/>
    <w:rsid w:val="00842823"/>
    <w:rsid w:val="00844197"/>
    <w:rsid w:val="00844503"/>
    <w:rsid w:val="00845637"/>
    <w:rsid w:val="00846F10"/>
    <w:rsid w:val="00850ABE"/>
    <w:rsid w:val="0085127A"/>
    <w:rsid w:val="00854945"/>
    <w:rsid w:val="008551FA"/>
    <w:rsid w:val="00855BC9"/>
    <w:rsid w:val="00862CE9"/>
    <w:rsid w:val="00862EFF"/>
    <w:rsid w:val="00865F8E"/>
    <w:rsid w:val="008674F9"/>
    <w:rsid w:val="00872DCB"/>
    <w:rsid w:val="008819F8"/>
    <w:rsid w:val="00882E0E"/>
    <w:rsid w:val="00883174"/>
    <w:rsid w:val="00884A85"/>
    <w:rsid w:val="00886E4E"/>
    <w:rsid w:val="00894CDA"/>
    <w:rsid w:val="00894E8F"/>
    <w:rsid w:val="008A39F4"/>
    <w:rsid w:val="008A5A38"/>
    <w:rsid w:val="008A71B1"/>
    <w:rsid w:val="008A77C7"/>
    <w:rsid w:val="008A7A0F"/>
    <w:rsid w:val="008B0322"/>
    <w:rsid w:val="008B1CAC"/>
    <w:rsid w:val="008B2947"/>
    <w:rsid w:val="008B638A"/>
    <w:rsid w:val="008B67DB"/>
    <w:rsid w:val="008B78D4"/>
    <w:rsid w:val="008C016D"/>
    <w:rsid w:val="008C1A30"/>
    <w:rsid w:val="008C1B4E"/>
    <w:rsid w:val="008C22B7"/>
    <w:rsid w:val="008C43CD"/>
    <w:rsid w:val="008C532A"/>
    <w:rsid w:val="008D0B4D"/>
    <w:rsid w:val="008D1B95"/>
    <w:rsid w:val="008D2698"/>
    <w:rsid w:val="008D3A70"/>
    <w:rsid w:val="008D4AD7"/>
    <w:rsid w:val="008D5406"/>
    <w:rsid w:val="008D5913"/>
    <w:rsid w:val="008D69B9"/>
    <w:rsid w:val="008D73E1"/>
    <w:rsid w:val="008E1999"/>
    <w:rsid w:val="008E614E"/>
    <w:rsid w:val="008E666C"/>
    <w:rsid w:val="008F31AC"/>
    <w:rsid w:val="008F636E"/>
    <w:rsid w:val="008F70A2"/>
    <w:rsid w:val="0090180E"/>
    <w:rsid w:val="00903A80"/>
    <w:rsid w:val="009067F4"/>
    <w:rsid w:val="00906DDC"/>
    <w:rsid w:val="00910422"/>
    <w:rsid w:val="009107A5"/>
    <w:rsid w:val="009114E7"/>
    <w:rsid w:val="009122C8"/>
    <w:rsid w:val="00914482"/>
    <w:rsid w:val="00917582"/>
    <w:rsid w:val="00920283"/>
    <w:rsid w:val="009225A2"/>
    <w:rsid w:val="00923AD2"/>
    <w:rsid w:val="00924D3A"/>
    <w:rsid w:val="0092502C"/>
    <w:rsid w:val="00930E06"/>
    <w:rsid w:val="009310B6"/>
    <w:rsid w:val="00931141"/>
    <w:rsid w:val="00931843"/>
    <w:rsid w:val="00932AAE"/>
    <w:rsid w:val="009336E8"/>
    <w:rsid w:val="00933D97"/>
    <w:rsid w:val="009354D8"/>
    <w:rsid w:val="00935CF5"/>
    <w:rsid w:val="009363F1"/>
    <w:rsid w:val="00940805"/>
    <w:rsid w:val="009419CC"/>
    <w:rsid w:val="00942417"/>
    <w:rsid w:val="0094427B"/>
    <w:rsid w:val="00945422"/>
    <w:rsid w:val="0094566F"/>
    <w:rsid w:val="00947D14"/>
    <w:rsid w:val="00950B3A"/>
    <w:rsid w:val="00951752"/>
    <w:rsid w:val="00952325"/>
    <w:rsid w:val="00952AEB"/>
    <w:rsid w:val="0095444A"/>
    <w:rsid w:val="0095655A"/>
    <w:rsid w:val="00957D99"/>
    <w:rsid w:val="00961A65"/>
    <w:rsid w:val="00965375"/>
    <w:rsid w:val="00965593"/>
    <w:rsid w:val="0097003C"/>
    <w:rsid w:val="00972A93"/>
    <w:rsid w:val="00974A45"/>
    <w:rsid w:val="009767BC"/>
    <w:rsid w:val="00980E39"/>
    <w:rsid w:val="00986523"/>
    <w:rsid w:val="00986FE8"/>
    <w:rsid w:val="00993176"/>
    <w:rsid w:val="009931E0"/>
    <w:rsid w:val="00993985"/>
    <w:rsid w:val="0099410C"/>
    <w:rsid w:val="009956CF"/>
    <w:rsid w:val="009A20F2"/>
    <w:rsid w:val="009B0298"/>
    <w:rsid w:val="009B34C1"/>
    <w:rsid w:val="009B41BE"/>
    <w:rsid w:val="009B6E89"/>
    <w:rsid w:val="009C080C"/>
    <w:rsid w:val="009C383D"/>
    <w:rsid w:val="009C4DC1"/>
    <w:rsid w:val="009D222B"/>
    <w:rsid w:val="009D31E5"/>
    <w:rsid w:val="009D34BC"/>
    <w:rsid w:val="009D76FB"/>
    <w:rsid w:val="009E4931"/>
    <w:rsid w:val="009E507C"/>
    <w:rsid w:val="009E7463"/>
    <w:rsid w:val="009E7DE8"/>
    <w:rsid w:val="009F0E92"/>
    <w:rsid w:val="00A005A1"/>
    <w:rsid w:val="00A0078B"/>
    <w:rsid w:val="00A02A4C"/>
    <w:rsid w:val="00A0389F"/>
    <w:rsid w:val="00A03DF1"/>
    <w:rsid w:val="00A04F02"/>
    <w:rsid w:val="00A050DB"/>
    <w:rsid w:val="00A07C63"/>
    <w:rsid w:val="00A11660"/>
    <w:rsid w:val="00A1297F"/>
    <w:rsid w:val="00A14671"/>
    <w:rsid w:val="00A157DB"/>
    <w:rsid w:val="00A17746"/>
    <w:rsid w:val="00A2194E"/>
    <w:rsid w:val="00A258C8"/>
    <w:rsid w:val="00A27C05"/>
    <w:rsid w:val="00A31926"/>
    <w:rsid w:val="00A329A4"/>
    <w:rsid w:val="00A3309F"/>
    <w:rsid w:val="00A336AF"/>
    <w:rsid w:val="00A34165"/>
    <w:rsid w:val="00A344D3"/>
    <w:rsid w:val="00A35BE7"/>
    <w:rsid w:val="00A4371E"/>
    <w:rsid w:val="00A44890"/>
    <w:rsid w:val="00A55B0C"/>
    <w:rsid w:val="00A60257"/>
    <w:rsid w:val="00A605DD"/>
    <w:rsid w:val="00A60F16"/>
    <w:rsid w:val="00A620A9"/>
    <w:rsid w:val="00A62794"/>
    <w:rsid w:val="00A63D55"/>
    <w:rsid w:val="00A64636"/>
    <w:rsid w:val="00A64814"/>
    <w:rsid w:val="00A66E72"/>
    <w:rsid w:val="00A675DD"/>
    <w:rsid w:val="00A67C64"/>
    <w:rsid w:val="00A71782"/>
    <w:rsid w:val="00A72D29"/>
    <w:rsid w:val="00A7370C"/>
    <w:rsid w:val="00A73F01"/>
    <w:rsid w:val="00A74548"/>
    <w:rsid w:val="00A74F82"/>
    <w:rsid w:val="00A75532"/>
    <w:rsid w:val="00A7555E"/>
    <w:rsid w:val="00A76793"/>
    <w:rsid w:val="00A806F6"/>
    <w:rsid w:val="00A81F0A"/>
    <w:rsid w:val="00A82B33"/>
    <w:rsid w:val="00A854AE"/>
    <w:rsid w:val="00A85511"/>
    <w:rsid w:val="00A860C5"/>
    <w:rsid w:val="00A8656D"/>
    <w:rsid w:val="00A871B5"/>
    <w:rsid w:val="00A91D72"/>
    <w:rsid w:val="00A92770"/>
    <w:rsid w:val="00A94AB8"/>
    <w:rsid w:val="00A9586C"/>
    <w:rsid w:val="00A95ECB"/>
    <w:rsid w:val="00AA0D7A"/>
    <w:rsid w:val="00AA1127"/>
    <w:rsid w:val="00AA41F6"/>
    <w:rsid w:val="00AA4764"/>
    <w:rsid w:val="00AA4C98"/>
    <w:rsid w:val="00AA703F"/>
    <w:rsid w:val="00AB25E1"/>
    <w:rsid w:val="00AC01FC"/>
    <w:rsid w:val="00AC1DEE"/>
    <w:rsid w:val="00AC390D"/>
    <w:rsid w:val="00AC488D"/>
    <w:rsid w:val="00AC5DC8"/>
    <w:rsid w:val="00AD0C1C"/>
    <w:rsid w:val="00AD35F7"/>
    <w:rsid w:val="00AD3D9B"/>
    <w:rsid w:val="00AD3E58"/>
    <w:rsid w:val="00AD47EB"/>
    <w:rsid w:val="00AD631D"/>
    <w:rsid w:val="00AE2FA6"/>
    <w:rsid w:val="00AE530B"/>
    <w:rsid w:val="00AE6A54"/>
    <w:rsid w:val="00AF340F"/>
    <w:rsid w:val="00AF7D0A"/>
    <w:rsid w:val="00B000F2"/>
    <w:rsid w:val="00B02D41"/>
    <w:rsid w:val="00B03432"/>
    <w:rsid w:val="00B038C3"/>
    <w:rsid w:val="00B03944"/>
    <w:rsid w:val="00B0457C"/>
    <w:rsid w:val="00B07EC5"/>
    <w:rsid w:val="00B10D30"/>
    <w:rsid w:val="00B10DE6"/>
    <w:rsid w:val="00B12560"/>
    <w:rsid w:val="00B13F14"/>
    <w:rsid w:val="00B20892"/>
    <w:rsid w:val="00B211E6"/>
    <w:rsid w:val="00B21D13"/>
    <w:rsid w:val="00B254ED"/>
    <w:rsid w:val="00B26767"/>
    <w:rsid w:val="00B306A7"/>
    <w:rsid w:val="00B3485E"/>
    <w:rsid w:val="00B35DAA"/>
    <w:rsid w:val="00B3609E"/>
    <w:rsid w:val="00B40C1C"/>
    <w:rsid w:val="00B41C90"/>
    <w:rsid w:val="00B44C81"/>
    <w:rsid w:val="00B45901"/>
    <w:rsid w:val="00B465C4"/>
    <w:rsid w:val="00B51E55"/>
    <w:rsid w:val="00B51E8E"/>
    <w:rsid w:val="00B52C72"/>
    <w:rsid w:val="00B53333"/>
    <w:rsid w:val="00B546A5"/>
    <w:rsid w:val="00B56AFB"/>
    <w:rsid w:val="00B56B5C"/>
    <w:rsid w:val="00B65101"/>
    <w:rsid w:val="00B66D4C"/>
    <w:rsid w:val="00B67743"/>
    <w:rsid w:val="00B70822"/>
    <w:rsid w:val="00B7243F"/>
    <w:rsid w:val="00B73182"/>
    <w:rsid w:val="00B7339F"/>
    <w:rsid w:val="00B73600"/>
    <w:rsid w:val="00B73F7F"/>
    <w:rsid w:val="00B74A7C"/>
    <w:rsid w:val="00B76387"/>
    <w:rsid w:val="00B774FF"/>
    <w:rsid w:val="00B7779B"/>
    <w:rsid w:val="00B90238"/>
    <w:rsid w:val="00B90CA8"/>
    <w:rsid w:val="00B9163A"/>
    <w:rsid w:val="00B962CC"/>
    <w:rsid w:val="00B978FD"/>
    <w:rsid w:val="00BA0DA2"/>
    <w:rsid w:val="00BA116A"/>
    <w:rsid w:val="00BA1AB8"/>
    <w:rsid w:val="00BA29D6"/>
    <w:rsid w:val="00BA429D"/>
    <w:rsid w:val="00BA51E6"/>
    <w:rsid w:val="00BA7D62"/>
    <w:rsid w:val="00BB00C1"/>
    <w:rsid w:val="00BB045A"/>
    <w:rsid w:val="00BB12E5"/>
    <w:rsid w:val="00BB4818"/>
    <w:rsid w:val="00BB7CDD"/>
    <w:rsid w:val="00BC2969"/>
    <w:rsid w:val="00BC543A"/>
    <w:rsid w:val="00BC6955"/>
    <w:rsid w:val="00BC779D"/>
    <w:rsid w:val="00BD094E"/>
    <w:rsid w:val="00BD0B28"/>
    <w:rsid w:val="00BD1649"/>
    <w:rsid w:val="00BD49F5"/>
    <w:rsid w:val="00BD7F0E"/>
    <w:rsid w:val="00BE0967"/>
    <w:rsid w:val="00BE0A22"/>
    <w:rsid w:val="00BE28AB"/>
    <w:rsid w:val="00BE673F"/>
    <w:rsid w:val="00BF0045"/>
    <w:rsid w:val="00BF01E5"/>
    <w:rsid w:val="00BF0A01"/>
    <w:rsid w:val="00BF16A0"/>
    <w:rsid w:val="00BF3354"/>
    <w:rsid w:val="00BF602C"/>
    <w:rsid w:val="00BF692B"/>
    <w:rsid w:val="00BF75E8"/>
    <w:rsid w:val="00C01FF1"/>
    <w:rsid w:val="00C0295C"/>
    <w:rsid w:val="00C041B4"/>
    <w:rsid w:val="00C0659B"/>
    <w:rsid w:val="00C07117"/>
    <w:rsid w:val="00C07ABB"/>
    <w:rsid w:val="00C1091D"/>
    <w:rsid w:val="00C1140B"/>
    <w:rsid w:val="00C12176"/>
    <w:rsid w:val="00C1339E"/>
    <w:rsid w:val="00C14BE1"/>
    <w:rsid w:val="00C158D1"/>
    <w:rsid w:val="00C1591C"/>
    <w:rsid w:val="00C15BAA"/>
    <w:rsid w:val="00C16963"/>
    <w:rsid w:val="00C16E28"/>
    <w:rsid w:val="00C2029C"/>
    <w:rsid w:val="00C20AE4"/>
    <w:rsid w:val="00C211A6"/>
    <w:rsid w:val="00C219B2"/>
    <w:rsid w:val="00C22942"/>
    <w:rsid w:val="00C2466B"/>
    <w:rsid w:val="00C24766"/>
    <w:rsid w:val="00C24801"/>
    <w:rsid w:val="00C24904"/>
    <w:rsid w:val="00C30D11"/>
    <w:rsid w:val="00C31CB1"/>
    <w:rsid w:val="00C329C2"/>
    <w:rsid w:val="00C34D9D"/>
    <w:rsid w:val="00C34E88"/>
    <w:rsid w:val="00C36908"/>
    <w:rsid w:val="00C404CD"/>
    <w:rsid w:val="00C40BD7"/>
    <w:rsid w:val="00C40D2F"/>
    <w:rsid w:val="00C4287A"/>
    <w:rsid w:val="00C463EC"/>
    <w:rsid w:val="00C46CAD"/>
    <w:rsid w:val="00C46D09"/>
    <w:rsid w:val="00C47349"/>
    <w:rsid w:val="00C5013C"/>
    <w:rsid w:val="00C505FD"/>
    <w:rsid w:val="00C52986"/>
    <w:rsid w:val="00C5513A"/>
    <w:rsid w:val="00C56888"/>
    <w:rsid w:val="00C56E55"/>
    <w:rsid w:val="00C57CB5"/>
    <w:rsid w:val="00C6088C"/>
    <w:rsid w:val="00C60DE3"/>
    <w:rsid w:val="00C60E4C"/>
    <w:rsid w:val="00C65D8A"/>
    <w:rsid w:val="00C66786"/>
    <w:rsid w:val="00C758B1"/>
    <w:rsid w:val="00C80365"/>
    <w:rsid w:val="00C80DEA"/>
    <w:rsid w:val="00C8186E"/>
    <w:rsid w:val="00C829D4"/>
    <w:rsid w:val="00C84E4B"/>
    <w:rsid w:val="00C85E21"/>
    <w:rsid w:val="00C90C6F"/>
    <w:rsid w:val="00C94C54"/>
    <w:rsid w:val="00C95844"/>
    <w:rsid w:val="00C96B9C"/>
    <w:rsid w:val="00C96F60"/>
    <w:rsid w:val="00C97F40"/>
    <w:rsid w:val="00CA1365"/>
    <w:rsid w:val="00CA403D"/>
    <w:rsid w:val="00CA46BD"/>
    <w:rsid w:val="00CA556F"/>
    <w:rsid w:val="00CA6DC0"/>
    <w:rsid w:val="00CA7889"/>
    <w:rsid w:val="00CB2FCD"/>
    <w:rsid w:val="00CB79F2"/>
    <w:rsid w:val="00CC0A46"/>
    <w:rsid w:val="00CC3564"/>
    <w:rsid w:val="00CC4A8B"/>
    <w:rsid w:val="00CC4F31"/>
    <w:rsid w:val="00CC7544"/>
    <w:rsid w:val="00CC764E"/>
    <w:rsid w:val="00CD0141"/>
    <w:rsid w:val="00CD0900"/>
    <w:rsid w:val="00CD5548"/>
    <w:rsid w:val="00CD5AB3"/>
    <w:rsid w:val="00CD6827"/>
    <w:rsid w:val="00CD772F"/>
    <w:rsid w:val="00CE3234"/>
    <w:rsid w:val="00CE3943"/>
    <w:rsid w:val="00CE4439"/>
    <w:rsid w:val="00CF03BE"/>
    <w:rsid w:val="00CF05D8"/>
    <w:rsid w:val="00CF05FD"/>
    <w:rsid w:val="00CF0FE4"/>
    <w:rsid w:val="00CF1A8A"/>
    <w:rsid w:val="00CF25F5"/>
    <w:rsid w:val="00CF2834"/>
    <w:rsid w:val="00CF4B5B"/>
    <w:rsid w:val="00CF5E17"/>
    <w:rsid w:val="00CF68A9"/>
    <w:rsid w:val="00CF71F5"/>
    <w:rsid w:val="00D0056B"/>
    <w:rsid w:val="00D012B3"/>
    <w:rsid w:val="00D013E1"/>
    <w:rsid w:val="00D01526"/>
    <w:rsid w:val="00D0311C"/>
    <w:rsid w:val="00D0365E"/>
    <w:rsid w:val="00D056B8"/>
    <w:rsid w:val="00D05C4D"/>
    <w:rsid w:val="00D06CF9"/>
    <w:rsid w:val="00D11558"/>
    <w:rsid w:val="00D11A08"/>
    <w:rsid w:val="00D14E2D"/>
    <w:rsid w:val="00D207A4"/>
    <w:rsid w:val="00D23EE0"/>
    <w:rsid w:val="00D2534C"/>
    <w:rsid w:val="00D26028"/>
    <w:rsid w:val="00D26125"/>
    <w:rsid w:val="00D30767"/>
    <w:rsid w:val="00D332E7"/>
    <w:rsid w:val="00D3368B"/>
    <w:rsid w:val="00D35C4E"/>
    <w:rsid w:val="00D408CF"/>
    <w:rsid w:val="00D40ECB"/>
    <w:rsid w:val="00D416F7"/>
    <w:rsid w:val="00D41C2E"/>
    <w:rsid w:val="00D42449"/>
    <w:rsid w:val="00D42EB8"/>
    <w:rsid w:val="00D479E7"/>
    <w:rsid w:val="00D51F68"/>
    <w:rsid w:val="00D534A2"/>
    <w:rsid w:val="00D56BD8"/>
    <w:rsid w:val="00D572F9"/>
    <w:rsid w:val="00D6209A"/>
    <w:rsid w:val="00D6507B"/>
    <w:rsid w:val="00D67FCA"/>
    <w:rsid w:val="00D724AF"/>
    <w:rsid w:val="00D72B86"/>
    <w:rsid w:val="00D749DA"/>
    <w:rsid w:val="00D76B3A"/>
    <w:rsid w:val="00D809E5"/>
    <w:rsid w:val="00D80E37"/>
    <w:rsid w:val="00D80F14"/>
    <w:rsid w:val="00D8321E"/>
    <w:rsid w:val="00D83827"/>
    <w:rsid w:val="00D859F4"/>
    <w:rsid w:val="00D85EC8"/>
    <w:rsid w:val="00D90B65"/>
    <w:rsid w:val="00D926C1"/>
    <w:rsid w:val="00D961B9"/>
    <w:rsid w:val="00D97631"/>
    <w:rsid w:val="00DA098B"/>
    <w:rsid w:val="00DA3218"/>
    <w:rsid w:val="00DA41AC"/>
    <w:rsid w:val="00DA73CF"/>
    <w:rsid w:val="00DA7513"/>
    <w:rsid w:val="00DA7BA1"/>
    <w:rsid w:val="00DA7FA9"/>
    <w:rsid w:val="00DB081D"/>
    <w:rsid w:val="00DB1C6E"/>
    <w:rsid w:val="00DB2240"/>
    <w:rsid w:val="00DB28AB"/>
    <w:rsid w:val="00DB32D6"/>
    <w:rsid w:val="00DC3097"/>
    <w:rsid w:val="00DC668A"/>
    <w:rsid w:val="00DC67FE"/>
    <w:rsid w:val="00DC739F"/>
    <w:rsid w:val="00DD02BA"/>
    <w:rsid w:val="00DD223A"/>
    <w:rsid w:val="00DD407A"/>
    <w:rsid w:val="00DD414D"/>
    <w:rsid w:val="00DD4973"/>
    <w:rsid w:val="00DD4A2C"/>
    <w:rsid w:val="00DD4E65"/>
    <w:rsid w:val="00DD54CE"/>
    <w:rsid w:val="00DD59A3"/>
    <w:rsid w:val="00DD5DD5"/>
    <w:rsid w:val="00DD74DD"/>
    <w:rsid w:val="00DE0DFF"/>
    <w:rsid w:val="00DE1CBB"/>
    <w:rsid w:val="00DE3153"/>
    <w:rsid w:val="00DE626C"/>
    <w:rsid w:val="00DF226D"/>
    <w:rsid w:val="00DF3BC6"/>
    <w:rsid w:val="00DF4331"/>
    <w:rsid w:val="00DF4A08"/>
    <w:rsid w:val="00DF5B61"/>
    <w:rsid w:val="00DF7BB5"/>
    <w:rsid w:val="00E01206"/>
    <w:rsid w:val="00E04F39"/>
    <w:rsid w:val="00E10679"/>
    <w:rsid w:val="00E107E5"/>
    <w:rsid w:val="00E11855"/>
    <w:rsid w:val="00E164A3"/>
    <w:rsid w:val="00E16A76"/>
    <w:rsid w:val="00E17610"/>
    <w:rsid w:val="00E17B88"/>
    <w:rsid w:val="00E20203"/>
    <w:rsid w:val="00E20B28"/>
    <w:rsid w:val="00E20EEE"/>
    <w:rsid w:val="00E21385"/>
    <w:rsid w:val="00E2156C"/>
    <w:rsid w:val="00E22DFD"/>
    <w:rsid w:val="00E336E9"/>
    <w:rsid w:val="00E37A19"/>
    <w:rsid w:val="00E40C2C"/>
    <w:rsid w:val="00E41FE9"/>
    <w:rsid w:val="00E42F04"/>
    <w:rsid w:val="00E43587"/>
    <w:rsid w:val="00E43ABD"/>
    <w:rsid w:val="00E45A4B"/>
    <w:rsid w:val="00E509ED"/>
    <w:rsid w:val="00E5147B"/>
    <w:rsid w:val="00E515FA"/>
    <w:rsid w:val="00E55558"/>
    <w:rsid w:val="00E622C8"/>
    <w:rsid w:val="00E67B2E"/>
    <w:rsid w:val="00E70E79"/>
    <w:rsid w:val="00E71405"/>
    <w:rsid w:val="00E73E40"/>
    <w:rsid w:val="00E74040"/>
    <w:rsid w:val="00E779FB"/>
    <w:rsid w:val="00E80477"/>
    <w:rsid w:val="00E819B6"/>
    <w:rsid w:val="00E81ACF"/>
    <w:rsid w:val="00E875BE"/>
    <w:rsid w:val="00E95869"/>
    <w:rsid w:val="00EA155D"/>
    <w:rsid w:val="00EA24D5"/>
    <w:rsid w:val="00EA2F12"/>
    <w:rsid w:val="00EA3959"/>
    <w:rsid w:val="00EA3A73"/>
    <w:rsid w:val="00EA4652"/>
    <w:rsid w:val="00EA7CB5"/>
    <w:rsid w:val="00EB18FD"/>
    <w:rsid w:val="00EB2553"/>
    <w:rsid w:val="00EB2D42"/>
    <w:rsid w:val="00EB388D"/>
    <w:rsid w:val="00EB4712"/>
    <w:rsid w:val="00EB5878"/>
    <w:rsid w:val="00EB78F9"/>
    <w:rsid w:val="00EC1B1E"/>
    <w:rsid w:val="00EC42C3"/>
    <w:rsid w:val="00EC4BE5"/>
    <w:rsid w:val="00EC539A"/>
    <w:rsid w:val="00EC704A"/>
    <w:rsid w:val="00ED08C8"/>
    <w:rsid w:val="00ED0FF2"/>
    <w:rsid w:val="00ED2908"/>
    <w:rsid w:val="00ED3488"/>
    <w:rsid w:val="00ED4273"/>
    <w:rsid w:val="00ED4ED5"/>
    <w:rsid w:val="00ED5D04"/>
    <w:rsid w:val="00ED65C7"/>
    <w:rsid w:val="00ED7437"/>
    <w:rsid w:val="00EE0755"/>
    <w:rsid w:val="00EE0F51"/>
    <w:rsid w:val="00EE36CF"/>
    <w:rsid w:val="00EE4553"/>
    <w:rsid w:val="00EE65D3"/>
    <w:rsid w:val="00EE661C"/>
    <w:rsid w:val="00EE6A99"/>
    <w:rsid w:val="00EF0E52"/>
    <w:rsid w:val="00EF554A"/>
    <w:rsid w:val="00EF6820"/>
    <w:rsid w:val="00EF6BC8"/>
    <w:rsid w:val="00F00AB6"/>
    <w:rsid w:val="00F03C13"/>
    <w:rsid w:val="00F063B1"/>
    <w:rsid w:val="00F073CD"/>
    <w:rsid w:val="00F07951"/>
    <w:rsid w:val="00F07A4A"/>
    <w:rsid w:val="00F10CE6"/>
    <w:rsid w:val="00F11A99"/>
    <w:rsid w:val="00F144CC"/>
    <w:rsid w:val="00F14B20"/>
    <w:rsid w:val="00F17176"/>
    <w:rsid w:val="00F22383"/>
    <w:rsid w:val="00F228E8"/>
    <w:rsid w:val="00F26F19"/>
    <w:rsid w:val="00F2721A"/>
    <w:rsid w:val="00F31700"/>
    <w:rsid w:val="00F33784"/>
    <w:rsid w:val="00F33D72"/>
    <w:rsid w:val="00F353CE"/>
    <w:rsid w:val="00F36CA2"/>
    <w:rsid w:val="00F414CA"/>
    <w:rsid w:val="00F45DE1"/>
    <w:rsid w:val="00F466D5"/>
    <w:rsid w:val="00F46898"/>
    <w:rsid w:val="00F46B1B"/>
    <w:rsid w:val="00F46FC2"/>
    <w:rsid w:val="00F51A53"/>
    <w:rsid w:val="00F52589"/>
    <w:rsid w:val="00F52CFF"/>
    <w:rsid w:val="00F52F85"/>
    <w:rsid w:val="00F5443C"/>
    <w:rsid w:val="00F54FBB"/>
    <w:rsid w:val="00F5597F"/>
    <w:rsid w:val="00F56AE1"/>
    <w:rsid w:val="00F57A19"/>
    <w:rsid w:val="00F60FFE"/>
    <w:rsid w:val="00F61B02"/>
    <w:rsid w:val="00F64208"/>
    <w:rsid w:val="00F66345"/>
    <w:rsid w:val="00F66903"/>
    <w:rsid w:val="00F71862"/>
    <w:rsid w:val="00F72A94"/>
    <w:rsid w:val="00F7390C"/>
    <w:rsid w:val="00F73C9C"/>
    <w:rsid w:val="00F75815"/>
    <w:rsid w:val="00F77E79"/>
    <w:rsid w:val="00F8261C"/>
    <w:rsid w:val="00F836E7"/>
    <w:rsid w:val="00F83C5D"/>
    <w:rsid w:val="00F83E79"/>
    <w:rsid w:val="00F85969"/>
    <w:rsid w:val="00F86A65"/>
    <w:rsid w:val="00F87C87"/>
    <w:rsid w:val="00F92112"/>
    <w:rsid w:val="00F924DF"/>
    <w:rsid w:val="00F937CC"/>
    <w:rsid w:val="00F95C3A"/>
    <w:rsid w:val="00F96182"/>
    <w:rsid w:val="00FA1F16"/>
    <w:rsid w:val="00FA21AF"/>
    <w:rsid w:val="00FA22F5"/>
    <w:rsid w:val="00FA2808"/>
    <w:rsid w:val="00FA2AFC"/>
    <w:rsid w:val="00FA3304"/>
    <w:rsid w:val="00FA4A58"/>
    <w:rsid w:val="00FA4B46"/>
    <w:rsid w:val="00FA66A4"/>
    <w:rsid w:val="00FB1FD2"/>
    <w:rsid w:val="00FB3875"/>
    <w:rsid w:val="00FB4518"/>
    <w:rsid w:val="00FB484E"/>
    <w:rsid w:val="00FB6233"/>
    <w:rsid w:val="00FB7142"/>
    <w:rsid w:val="00FC1818"/>
    <w:rsid w:val="00FC1BCC"/>
    <w:rsid w:val="00FC37F2"/>
    <w:rsid w:val="00FC639C"/>
    <w:rsid w:val="00FC67BC"/>
    <w:rsid w:val="00FC6AFE"/>
    <w:rsid w:val="00FD07D4"/>
    <w:rsid w:val="00FD26A3"/>
    <w:rsid w:val="00FD3135"/>
    <w:rsid w:val="00FD398A"/>
    <w:rsid w:val="00FD39A4"/>
    <w:rsid w:val="00FD3D27"/>
    <w:rsid w:val="00FD4BD9"/>
    <w:rsid w:val="00FE0223"/>
    <w:rsid w:val="00FE0D7C"/>
    <w:rsid w:val="00FE14A9"/>
    <w:rsid w:val="00FE30BD"/>
    <w:rsid w:val="00FF2FD7"/>
    <w:rsid w:val="00FF54E4"/>
    <w:rsid w:val="00FF7163"/>
    <w:rsid w:val="00FF727E"/>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D7"/>
    <w:pPr>
      <w:spacing w:after="120" w:line="259" w:lineRule="auto"/>
    </w:pPr>
    <w:rPr>
      <w:rFonts w:ascii="Arial" w:hAnsi="Arial"/>
      <w:sz w:val="22"/>
      <w:lang w:val="en-AU"/>
    </w:rPr>
  </w:style>
  <w:style w:type="paragraph" w:styleId="Heading1">
    <w:name w:val="heading 1"/>
    <w:basedOn w:val="Normal"/>
    <w:next w:val="Normal"/>
    <w:link w:val="Heading1Char"/>
    <w:uiPriority w:val="9"/>
    <w:qFormat/>
    <w:rsid w:val="00DF5B61"/>
    <w:pPr>
      <w:keepNext/>
      <w:keepLines/>
      <w:spacing w:before="120" w:after="240"/>
      <w:outlineLvl w:val="0"/>
    </w:pPr>
    <w:rPr>
      <w:rFonts w:eastAsiaTheme="majorEastAsia" w:cstheme="majorBidi"/>
      <w:b/>
      <w:color w:val="001A70"/>
      <w:sz w:val="32"/>
      <w:szCs w:val="32"/>
    </w:rPr>
  </w:style>
  <w:style w:type="paragraph" w:styleId="Heading2">
    <w:name w:val="heading 2"/>
    <w:basedOn w:val="Normal"/>
    <w:next w:val="Normal"/>
    <w:link w:val="Heading2Char"/>
    <w:uiPriority w:val="9"/>
    <w:unhideWhenUsed/>
    <w:qFormat/>
    <w:rsid w:val="00DF5B61"/>
    <w:pPr>
      <w:keepNext/>
      <w:keepLines/>
      <w:spacing w:before="120" w:after="240"/>
      <w:outlineLvl w:val="1"/>
    </w:pPr>
    <w:rPr>
      <w:rFonts w:eastAsiaTheme="majorEastAsia" w:cstheme="majorBidi"/>
      <w:b/>
      <w:color w:val="010B13"/>
      <w:sz w:val="24"/>
      <w:szCs w:val="26"/>
    </w:rPr>
  </w:style>
  <w:style w:type="paragraph" w:styleId="Heading3">
    <w:name w:val="heading 3"/>
    <w:basedOn w:val="Normal"/>
    <w:next w:val="Normal"/>
    <w:link w:val="Heading3Char"/>
    <w:uiPriority w:val="9"/>
    <w:unhideWhenUsed/>
    <w:qFormat/>
    <w:rsid w:val="00D0311C"/>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D11558"/>
    <w:pPr>
      <w:keepNext/>
      <w:keepLines/>
      <w:spacing w:before="40" w:after="0" w:line="360" w:lineRule="auto"/>
      <w:outlineLvl w:val="3"/>
    </w:pPr>
    <w:rPr>
      <w:rFonts w:eastAsiaTheme="majorEastAsia" w:cstheme="majorBidi"/>
      <w:i/>
      <w:iCs/>
      <w:color w:val="001A70"/>
    </w:rPr>
  </w:style>
  <w:style w:type="paragraph" w:styleId="Heading5">
    <w:name w:val="heading 5"/>
    <w:basedOn w:val="Normal"/>
    <w:next w:val="Normal"/>
    <w:link w:val="Heading5Char"/>
    <w:uiPriority w:val="9"/>
    <w:unhideWhenUsed/>
    <w:qFormat/>
    <w:rsid w:val="000F3067"/>
    <w:pPr>
      <w:keepNext/>
      <w:keepLines/>
      <w:spacing w:before="40" w:after="0"/>
      <w:outlineLvl w:val="4"/>
    </w:pPr>
    <w:rPr>
      <w:rFonts w:asciiTheme="majorHAnsi" w:eastAsiaTheme="majorEastAsia" w:hAnsiTheme="majorHAnsi" w:cstheme="majorBidi"/>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F5B61"/>
    <w:rPr>
      <w:rFonts w:ascii="Calibri" w:eastAsiaTheme="majorEastAsia" w:hAnsi="Calibri" w:cstheme="majorBidi"/>
      <w:b/>
      <w:color w:val="001A70"/>
      <w:sz w:val="32"/>
      <w:szCs w:val="32"/>
      <w:lang w:val="en-AU"/>
    </w:rPr>
  </w:style>
  <w:style w:type="paragraph" w:customStyle="1" w:styleId="Intro">
    <w:name w:val="Intro"/>
    <w:basedOn w:val="Normal"/>
    <w:qFormat/>
    <w:rsid w:val="00624A55"/>
    <w:pPr>
      <w:pBdr>
        <w:top w:val="single" w:sz="4" w:space="1" w:color="004EA8" w:themeColor="accent1"/>
      </w:pBdr>
    </w:pPr>
    <w:rPr>
      <w:color w:val="004EA8" w:themeColor="accent1"/>
    </w:rPr>
  </w:style>
  <w:style w:type="character" w:customStyle="1" w:styleId="Heading2Char">
    <w:name w:val="Heading 2 Char"/>
    <w:basedOn w:val="DefaultParagraphFont"/>
    <w:link w:val="Heading2"/>
    <w:uiPriority w:val="9"/>
    <w:rsid w:val="00DF5B61"/>
    <w:rPr>
      <w:rFonts w:ascii="Calibri" w:eastAsiaTheme="majorEastAsia" w:hAnsi="Calibri" w:cstheme="majorBidi"/>
      <w:b/>
      <w:color w:val="010B13"/>
      <w:szCs w:val="26"/>
      <w:lang w:val="en-AU"/>
    </w:rPr>
  </w:style>
  <w:style w:type="character" w:customStyle="1" w:styleId="Heading3Char">
    <w:name w:val="Heading 3 Char"/>
    <w:basedOn w:val="DefaultParagraphFont"/>
    <w:link w:val="Heading3"/>
    <w:uiPriority w:val="9"/>
    <w:rsid w:val="00D0311C"/>
    <w:rPr>
      <w:rFonts w:ascii="Calibri" w:eastAsiaTheme="majorEastAsia" w:hAnsi="Calibri" w:cstheme="majorBidi"/>
      <w:b/>
      <w:color w:val="000000" w:themeColor="text1"/>
      <w:sz w:val="22"/>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link w:val="Bullet1Char"/>
    <w:qFormat/>
    <w:rsid w:val="002D124A"/>
    <w:pPr>
      <w:numPr>
        <w:numId w:val="1"/>
      </w:numPr>
      <w:spacing w:before="60" w:after="60"/>
      <w:ind w:left="284" w:hanging="284"/>
    </w:p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2"/>
      </w:numPr>
      <w:ind w:left="284" w:hanging="284"/>
    </w:p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0757C1"/>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560874"/>
    <w:pPr>
      <w:spacing w:after="0"/>
      <w:ind w:left="440"/>
    </w:pPr>
    <w:rPr>
      <w:rFonts w:cstheme="minorHAnsi"/>
      <w:i/>
      <w:iCs/>
      <w:sz w:val="20"/>
      <w:szCs w:val="20"/>
    </w:rPr>
  </w:style>
  <w:style w:type="paragraph" w:styleId="TOC1">
    <w:name w:val="toc 1"/>
    <w:basedOn w:val="Normal"/>
    <w:next w:val="Normal"/>
    <w:autoRedefine/>
    <w:uiPriority w:val="39"/>
    <w:unhideWhenUsed/>
    <w:rsid w:val="00612904"/>
    <w:pPr>
      <w:tabs>
        <w:tab w:val="right" w:leader="dot" w:pos="9487"/>
      </w:tabs>
      <w:spacing w:before="120"/>
    </w:pPr>
    <w:rPr>
      <w:rFonts w:cs="Calibri Light"/>
      <w:bCs/>
      <w:noProof/>
      <w:szCs w:val="20"/>
    </w:rPr>
  </w:style>
  <w:style w:type="paragraph" w:styleId="TOC2">
    <w:name w:val="toc 2"/>
    <w:basedOn w:val="Normal"/>
    <w:next w:val="Normal"/>
    <w:autoRedefine/>
    <w:uiPriority w:val="39"/>
    <w:unhideWhenUsed/>
    <w:rsid w:val="00612904"/>
    <w:pPr>
      <w:tabs>
        <w:tab w:val="right" w:leader="dot" w:pos="9487"/>
      </w:tabs>
      <w:spacing w:after="0"/>
      <w:ind w:left="220"/>
    </w:pPr>
    <w:rPr>
      <w:rFonts w:cstheme="minorHAnsi"/>
      <w:szCs w:val="20"/>
    </w:rPr>
  </w:style>
  <w:style w:type="paragraph" w:customStyle="1" w:styleId="Figuretitle">
    <w:name w:val="Figure title"/>
    <w:basedOn w:val="Normal"/>
    <w:qFormat/>
    <w:rsid w:val="00141F23"/>
    <w:rPr>
      <w:b/>
      <w:color w:val="004EA8" w:themeColor="accent1"/>
      <w:sz w:val="18"/>
      <w:szCs w:val="18"/>
    </w:rPr>
  </w:style>
  <w:style w:type="paragraph" w:styleId="FootnoteText">
    <w:name w:val="footnote text"/>
    <w:basedOn w:val="Normal"/>
    <w:link w:val="FootnoteTextChar"/>
    <w:uiPriority w:val="99"/>
    <w:unhideWhenUsed/>
    <w:rsid w:val="00B211E6"/>
    <w:pPr>
      <w:spacing w:after="40"/>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D11558"/>
    <w:pPr>
      <w:spacing w:before="360"/>
    </w:pPr>
    <w:rPr>
      <w:b/>
      <w:color w:val="001A70"/>
      <w:sz w:val="54"/>
    </w:rPr>
  </w:style>
  <w:style w:type="paragraph" w:customStyle="1" w:styleId="Coversubtitle">
    <w:name w:val="Cover subtitle"/>
    <w:basedOn w:val="Covertitle"/>
    <w:qFormat/>
    <w:rsid w:val="0097003C"/>
    <w:rPr>
      <w:b w:val="0"/>
      <w:color w:val="53565A" w:themeColor="text2"/>
    </w:rPr>
  </w:style>
  <w:style w:type="paragraph" w:customStyle="1" w:styleId="Alphabetlist">
    <w:name w:val="Alphabet list"/>
    <w:basedOn w:val="Normal"/>
    <w:qFormat/>
    <w:rsid w:val="00D013E1"/>
    <w:pPr>
      <w:numPr>
        <w:numId w:val="3"/>
      </w:numPr>
      <w:ind w:left="568" w:hanging="284"/>
    </w:pPr>
  </w:style>
  <w:style w:type="character" w:styleId="Hyperlink">
    <w:name w:val="Hyperlink"/>
    <w:basedOn w:val="DefaultParagraphFont"/>
    <w:uiPriority w:val="99"/>
    <w:unhideWhenUsed/>
    <w:rsid w:val="00BE0A22"/>
    <w:rPr>
      <w:color w:val="004EA8" w:themeColor="hyperlink"/>
      <w:u w:val="single"/>
    </w:rPr>
  </w:style>
  <w:style w:type="character" w:customStyle="1" w:styleId="apple-converted-space">
    <w:name w:val="apple-converted-space"/>
    <w:basedOn w:val="DefaultParagraphFont"/>
    <w:rsid w:val="00BE0A22"/>
  </w:style>
  <w:style w:type="character" w:styleId="Strong">
    <w:name w:val="Strong"/>
    <w:basedOn w:val="DefaultParagraphFont"/>
    <w:uiPriority w:val="22"/>
    <w:qFormat/>
    <w:rsid w:val="00714502"/>
    <w:rPr>
      <w:b/>
      <w:bCs/>
    </w:rPr>
  </w:style>
  <w:style w:type="character" w:customStyle="1" w:styleId="Heading4Char">
    <w:name w:val="Heading 4 Char"/>
    <w:basedOn w:val="DefaultParagraphFont"/>
    <w:link w:val="Heading4"/>
    <w:uiPriority w:val="9"/>
    <w:rsid w:val="00D11558"/>
    <w:rPr>
      <w:rFonts w:ascii="Calibri" w:eastAsiaTheme="majorEastAsia" w:hAnsi="Calibri" w:cstheme="majorBidi"/>
      <w:i/>
      <w:iCs/>
      <w:color w:val="001A70"/>
      <w:sz w:val="22"/>
      <w:lang w:val="en-AU"/>
    </w:rPr>
  </w:style>
  <w:style w:type="paragraph" w:customStyle="1" w:styleId="ESBodyText">
    <w:name w:val="ES_Body Text"/>
    <w:basedOn w:val="Normal"/>
    <w:link w:val="ESBodyTextChar"/>
    <w:qFormat/>
    <w:rsid w:val="00AD0C1C"/>
    <w:pPr>
      <w:spacing w:before="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AD0C1C"/>
    <w:rPr>
      <w:rFonts w:ascii="Calibri Light" w:eastAsiaTheme="minorEastAsia" w:hAnsi="Calibri Light" w:cs="Arial"/>
      <w:sz w:val="22"/>
      <w:szCs w:val="18"/>
      <w:lang w:val="en-US"/>
    </w:rPr>
  </w:style>
  <w:style w:type="paragraph" w:customStyle="1" w:styleId="ESHeading1">
    <w:name w:val="ES_Heading 1"/>
    <w:basedOn w:val="Title"/>
    <w:qFormat/>
    <w:rsid w:val="0097003C"/>
    <w:pPr>
      <w:spacing w:before="240" w:after="240" w:line="340" w:lineRule="atLeast"/>
      <w:contextualSpacing w:val="0"/>
      <w:outlineLvl w:val="0"/>
    </w:pPr>
    <w:rPr>
      <w:rFonts w:ascii="Calibri Light" w:hAnsi="Calibri Light"/>
      <w:b/>
      <w:color w:val="004EA8" w:themeColor="accent1"/>
      <w:spacing w:val="5"/>
      <w:sz w:val="36"/>
      <w:szCs w:val="52"/>
      <w:lang w:val="en-US"/>
    </w:rPr>
  </w:style>
  <w:style w:type="character" w:customStyle="1" w:styleId="WHITE">
    <w:name w:val="WHITE"/>
    <w:basedOn w:val="DefaultParagraphFont"/>
    <w:uiPriority w:val="1"/>
    <w:qFormat/>
    <w:rsid w:val="005C097E"/>
    <w:rPr>
      <w:color w:val="D9D9D6" w:themeColor="background2"/>
    </w:rPr>
  </w:style>
  <w:style w:type="paragraph" w:styleId="Title">
    <w:name w:val="Title"/>
    <w:basedOn w:val="Normal"/>
    <w:next w:val="Normal"/>
    <w:link w:val="TitleChar"/>
    <w:uiPriority w:val="10"/>
    <w:qFormat/>
    <w:rsid w:val="005C097E"/>
    <w:pPr>
      <w:spacing w:before="120"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97E"/>
    <w:rPr>
      <w:rFonts w:asciiTheme="majorHAnsi" w:eastAsiaTheme="majorEastAsia" w:hAnsiTheme="majorHAnsi" w:cstheme="majorBidi"/>
      <w:spacing w:val="-10"/>
      <w:kern w:val="28"/>
      <w:sz w:val="56"/>
      <w:szCs w:val="56"/>
    </w:rPr>
  </w:style>
  <w:style w:type="character" w:customStyle="1" w:styleId="Heading2a">
    <w:name w:val="Heading 2a"/>
    <w:qFormat/>
    <w:rsid w:val="005C097E"/>
    <w:rPr>
      <w:rFonts w:ascii="Verdana" w:hAnsi="Verdana"/>
      <w:b/>
      <w:color w:val="auto"/>
      <w:sz w:val="22"/>
    </w:rPr>
  </w:style>
  <w:style w:type="paragraph" w:customStyle="1" w:styleId="ESHeading2">
    <w:name w:val="ES_Heading 2"/>
    <w:basedOn w:val="Heading1"/>
    <w:qFormat/>
    <w:rsid w:val="005C097E"/>
    <w:pPr>
      <w:spacing w:line="240" w:lineRule="atLeast"/>
    </w:pPr>
    <w:rPr>
      <w:bCs/>
      <w:color w:val="AF272F"/>
      <w:sz w:val="24"/>
      <w:szCs w:val="20"/>
      <w:lang w:val="en-US"/>
    </w:r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5C097E"/>
    <w:pPr>
      <w:spacing w:before="120" w:after="60" w:line="360" w:lineRule="auto"/>
      <w:ind w:left="720"/>
      <w:contextualSpacing/>
    </w:pPr>
    <w:rPr>
      <w:sz w:val="21"/>
    </w:rPr>
  </w:style>
  <w:style w:type="character" w:customStyle="1" w:styleId="Heading20">
    <w:name w:val="Heading2"/>
    <w:basedOn w:val="DefaultParagraphFont"/>
    <w:rsid w:val="005C097E"/>
  </w:style>
  <w:style w:type="paragraph" w:customStyle="1" w:styleId="Heading2noTOC">
    <w:name w:val="Heading 2 no TOC"/>
    <w:autoRedefine/>
    <w:qFormat/>
    <w:rsid w:val="005C097E"/>
    <w:pPr>
      <w:spacing w:before="240" w:after="120"/>
    </w:pPr>
    <w:rPr>
      <w:rFonts w:asciiTheme="majorHAnsi" w:eastAsia="Calibri" w:hAnsiTheme="majorHAnsi" w:cs="Times New Roman"/>
      <w:b/>
      <w:bCs/>
      <w:color w:val="AF272F"/>
      <w:lang w:val="en-AU"/>
    </w:rPr>
  </w:style>
  <w:style w:type="character" w:styleId="IntenseReference">
    <w:name w:val="Intense Reference"/>
    <w:basedOn w:val="DefaultParagraphFont"/>
    <w:uiPriority w:val="32"/>
    <w:qFormat/>
    <w:rsid w:val="005C097E"/>
    <w:rPr>
      <w:b/>
      <w:bCs/>
      <w:smallCaps/>
      <w:color w:val="004EA8" w:themeColor="accent1"/>
      <w:spacing w:val="5"/>
    </w:rPr>
  </w:style>
  <w:style w:type="paragraph" w:customStyle="1" w:styleId="ESImageorGraphTitle">
    <w:name w:val="ES_Image or Graph Title"/>
    <w:basedOn w:val="ESHeading2"/>
    <w:qFormat/>
    <w:rsid w:val="005C097E"/>
    <w:pPr>
      <w:spacing w:after="120"/>
    </w:pPr>
    <w:rPr>
      <w:caps/>
      <w:sz w:val="22"/>
    </w:rPr>
  </w:style>
  <w:style w:type="character" w:customStyle="1" w:styleId="SubHeading">
    <w:name w:val="Sub Heading"/>
    <w:qFormat/>
    <w:rsid w:val="005C097E"/>
    <w:rPr>
      <w:rFonts w:asciiTheme="minorHAnsi" w:hAnsiTheme="minorHAnsi"/>
      <w:b/>
      <w:color w:val="0070C0"/>
      <w:sz w:val="24"/>
      <w:bdr w:val="dotted" w:sz="4" w:space="0" w:color="auto"/>
    </w:rPr>
  </w:style>
  <w:style w:type="character" w:customStyle="1" w:styleId="srch-url2">
    <w:name w:val="srch-url2"/>
    <w:rsid w:val="005C097E"/>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5C097E"/>
    <w:rPr>
      <w:sz w:val="21"/>
    </w:rPr>
  </w:style>
  <w:style w:type="paragraph" w:styleId="TOCHeading">
    <w:name w:val="TOC Heading"/>
    <w:basedOn w:val="Heading1"/>
    <w:next w:val="Normal"/>
    <w:uiPriority w:val="39"/>
    <w:unhideWhenUsed/>
    <w:qFormat/>
    <w:rsid w:val="00C85E21"/>
    <w:pPr>
      <w:spacing w:after="0"/>
      <w:outlineLvl w:val="9"/>
    </w:pPr>
    <w:rPr>
      <w:color w:val="003A7D" w:themeColor="accent1" w:themeShade="BF"/>
      <w:lang w:val="en-US"/>
    </w:rPr>
  </w:style>
  <w:style w:type="character" w:styleId="FollowedHyperlink">
    <w:name w:val="FollowedHyperlink"/>
    <w:basedOn w:val="DefaultParagraphFont"/>
    <w:uiPriority w:val="99"/>
    <w:semiHidden/>
    <w:unhideWhenUsed/>
    <w:rsid w:val="005C097E"/>
    <w:rPr>
      <w:color w:val="87189D" w:themeColor="followedHyperlink"/>
      <w:u w:val="single"/>
    </w:rPr>
  </w:style>
  <w:style w:type="paragraph" w:styleId="BalloonText">
    <w:name w:val="Balloon Text"/>
    <w:basedOn w:val="Normal"/>
    <w:link w:val="BalloonTextChar"/>
    <w:uiPriority w:val="99"/>
    <w:semiHidden/>
    <w:unhideWhenUsed/>
    <w:rsid w:val="005C09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7E"/>
    <w:rPr>
      <w:rFonts w:ascii="Tahoma" w:hAnsi="Tahoma" w:cs="Tahoma"/>
      <w:sz w:val="16"/>
      <w:szCs w:val="16"/>
    </w:rPr>
  </w:style>
  <w:style w:type="character" w:styleId="CommentReference">
    <w:name w:val="annotation reference"/>
    <w:basedOn w:val="DefaultParagraphFont"/>
    <w:uiPriority w:val="99"/>
    <w:semiHidden/>
    <w:unhideWhenUsed/>
    <w:rsid w:val="005C097E"/>
    <w:rPr>
      <w:sz w:val="16"/>
      <w:szCs w:val="16"/>
    </w:rPr>
  </w:style>
  <w:style w:type="paragraph" w:styleId="CommentText">
    <w:name w:val="annotation text"/>
    <w:basedOn w:val="Normal"/>
    <w:link w:val="CommentTextChar"/>
    <w:uiPriority w:val="99"/>
    <w:semiHidden/>
    <w:unhideWhenUsed/>
    <w:rsid w:val="005C097E"/>
    <w:pPr>
      <w:spacing w:before="120" w:after="60"/>
    </w:pPr>
    <w:rPr>
      <w:sz w:val="20"/>
      <w:szCs w:val="20"/>
    </w:rPr>
  </w:style>
  <w:style w:type="character" w:customStyle="1" w:styleId="CommentTextChar">
    <w:name w:val="Comment Text Char"/>
    <w:basedOn w:val="DefaultParagraphFont"/>
    <w:link w:val="CommentText"/>
    <w:uiPriority w:val="99"/>
    <w:semiHidden/>
    <w:rsid w:val="005C097E"/>
    <w:rPr>
      <w:sz w:val="20"/>
      <w:szCs w:val="20"/>
    </w:rPr>
  </w:style>
  <w:style w:type="paragraph" w:styleId="CommentSubject">
    <w:name w:val="annotation subject"/>
    <w:basedOn w:val="CommentText"/>
    <w:next w:val="CommentText"/>
    <w:link w:val="CommentSubjectChar"/>
    <w:uiPriority w:val="99"/>
    <w:semiHidden/>
    <w:unhideWhenUsed/>
    <w:rsid w:val="005C097E"/>
    <w:rPr>
      <w:b/>
      <w:bCs/>
    </w:rPr>
  </w:style>
  <w:style w:type="character" w:customStyle="1" w:styleId="CommentSubjectChar">
    <w:name w:val="Comment Subject Char"/>
    <w:basedOn w:val="CommentTextChar"/>
    <w:link w:val="CommentSubject"/>
    <w:uiPriority w:val="99"/>
    <w:semiHidden/>
    <w:rsid w:val="005C097E"/>
    <w:rPr>
      <w:b/>
      <w:bCs/>
      <w:sz w:val="20"/>
      <w:szCs w:val="20"/>
    </w:rPr>
  </w:style>
  <w:style w:type="paragraph" w:customStyle="1" w:styleId="Tableheading">
    <w:name w:val="Table heading"/>
    <w:basedOn w:val="Normal"/>
    <w:qFormat/>
    <w:rsid w:val="005C097E"/>
    <w:pPr>
      <w:keepNext/>
      <w:spacing w:before="120"/>
    </w:pPr>
    <w:rPr>
      <w:rFonts w:eastAsia="Meiryo" w:cs="DIN-Regular"/>
      <w:b/>
      <w:color w:val="FFFFFF" w:themeColor="background1"/>
      <w:sz w:val="18"/>
      <w:szCs w:val="17"/>
    </w:rPr>
  </w:style>
  <w:style w:type="paragraph" w:customStyle="1" w:styleId="Tabletext">
    <w:name w:val="Table text"/>
    <w:basedOn w:val="Normal"/>
    <w:qFormat/>
    <w:rsid w:val="00DC668A"/>
    <w:pPr>
      <w:spacing w:before="60" w:after="60"/>
    </w:pPr>
    <w:rPr>
      <w:rFonts w:eastAsia="Meiryo" w:cs="DIN-Regular"/>
      <w:color w:val="000000"/>
      <w:sz w:val="20"/>
      <w:szCs w:val="17"/>
    </w:rPr>
  </w:style>
  <w:style w:type="paragraph" w:styleId="NormalWeb">
    <w:name w:val="Normal (Web)"/>
    <w:basedOn w:val="Normal"/>
    <w:uiPriority w:val="99"/>
    <w:semiHidden/>
    <w:unhideWhenUsed/>
    <w:rsid w:val="005C097E"/>
    <w:pPr>
      <w:spacing w:before="100" w:beforeAutospacing="1" w:after="100" w:afterAutospacing="1"/>
    </w:pPr>
    <w:rPr>
      <w:rFonts w:ascii="Times New Roman" w:eastAsia="Times New Roman" w:hAnsi="Times New Roman" w:cs="Times New Roman"/>
      <w:sz w:val="24"/>
      <w:lang w:eastAsia="en-AU"/>
    </w:rPr>
  </w:style>
  <w:style w:type="paragraph" w:styleId="TOC4">
    <w:name w:val="toc 4"/>
    <w:basedOn w:val="Normal"/>
    <w:next w:val="Normal"/>
    <w:autoRedefine/>
    <w:uiPriority w:val="39"/>
    <w:unhideWhenUsed/>
    <w:rsid w:val="005C097E"/>
    <w:pPr>
      <w:spacing w:after="0"/>
      <w:ind w:left="660"/>
    </w:pPr>
    <w:rPr>
      <w:rFonts w:cstheme="minorHAnsi"/>
      <w:sz w:val="18"/>
      <w:szCs w:val="18"/>
    </w:rPr>
  </w:style>
  <w:style w:type="paragraph" w:styleId="TOC5">
    <w:name w:val="toc 5"/>
    <w:basedOn w:val="Normal"/>
    <w:next w:val="Normal"/>
    <w:autoRedefine/>
    <w:uiPriority w:val="39"/>
    <w:unhideWhenUsed/>
    <w:rsid w:val="005C097E"/>
    <w:pPr>
      <w:spacing w:after="0"/>
      <w:ind w:left="880"/>
    </w:pPr>
    <w:rPr>
      <w:rFonts w:cstheme="minorHAnsi"/>
      <w:sz w:val="18"/>
      <w:szCs w:val="18"/>
    </w:rPr>
  </w:style>
  <w:style w:type="paragraph" w:styleId="TOC6">
    <w:name w:val="toc 6"/>
    <w:basedOn w:val="Normal"/>
    <w:next w:val="Normal"/>
    <w:autoRedefine/>
    <w:uiPriority w:val="39"/>
    <w:unhideWhenUsed/>
    <w:rsid w:val="005C097E"/>
    <w:pPr>
      <w:spacing w:after="0"/>
      <w:ind w:left="1100"/>
    </w:pPr>
    <w:rPr>
      <w:rFonts w:cstheme="minorHAnsi"/>
      <w:sz w:val="18"/>
      <w:szCs w:val="18"/>
    </w:rPr>
  </w:style>
  <w:style w:type="paragraph" w:styleId="TOC7">
    <w:name w:val="toc 7"/>
    <w:basedOn w:val="Normal"/>
    <w:next w:val="Normal"/>
    <w:autoRedefine/>
    <w:uiPriority w:val="39"/>
    <w:unhideWhenUsed/>
    <w:rsid w:val="005C097E"/>
    <w:pPr>
      <w:spacing w:after="0"/>
      <w:ind w:left="1320"/>
    </w:pPr>
    <w:rPr>
      <w:rFonts w:cstheme="minorHAnsi"/>
      <w:sz w:val="18"/>
      <w:szCs w:val="18"/>
    </w:rPr>
  </w:style>
  <w:style w:type="paragraph" w:styleId="TOC8">
    <w:name w:val="toc 8"/>
    <w:basedOn w:val="Normal"/>
    <w:next w:val="Normal"/>
    <w:autoRedefine/>
    <w:uiPriority w:val="39"/>
    <w:unhideWhenUsed/>
    <w:rsid w:val="005C097E"/>
    <w:pPr>
      <w:spacing w:after="0"/>
      <w:ind w:left="1540"/>
    </w:pPr>
    <w:rPr>
      <w:rFonts w:cstheme="minorHAnsi"/>
      <w:sz w:val="18"/>
      <w:szCs w:val="18"/>
    </w:rPr>
  </w:style>
  <w:style w:type="paragraph" w:styleId="TOC9">
    <w:name w:val="toc 9"/>
    <w:basedOn w:val="Normal"/>
    <w:next w:val="Normal"/>
    <w:autoRedefine/>
    <w:uiPriority w:val="39"/>
    <w:unhideWhenUsed/>
    <w:rsid w:val="005C097E"/>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F10CE6"/>
    <w:rPr>
      <w:color w:val="605E5C"/>
      <w:shd w:val="clear" w:color="auto" w:fill="E1DFDD"/>
    </w:rPr>
  </w:style>
  <w:style w:type="table" w:styleId="PlainTable5">
    <w:name w:val="Plain Table 5"/>
    <w:basedOn w:val="TableNormal"/>
    <w:uiPriority w:val="45"/>
    <w:rsid w:val="00743B3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43B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43B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afterHeading2">
    <w:name w:val="Heading 3 after Heading 2"/>
    <w:basedOn w:val="Heading3"/>
    <w:next w:val="Normal"/>
    <w:rsid w:val="00550DA4"/>
    <w:pPr>
      <w:spacing w:before="60" w:after="60"/>
    </w:pPr>
  </w:style>
  <w:style w:type="paragraph" w:styleId="BodyText">
    <w:name w:val="Body Text"/>
    <w:basedOn w:val="Normal"/>
    <w:link w:val="BodyTextChar"/>
    <w:uiPriority w:val="1"/>
    <w:qFormat/>
    <w:rsid w:val="00550DA4"/>
    <w:pPr>
      <w:spacing w:after="160"/>
    </w:pPr>
    <w:rPr>
      <w:rFonts w:cs="Arial"/>
      <w:szCs w:val="22"/>
    </w:rPr>
  </w:style>
  <w:style w:type="character" w:customStyle="1" w:styleId="BodyTextChar">
    <w:name w:val="Body Text Char"/>
    <w:basedOn w:val="DefaultParagraphFont"/>
    <w:link w:val="BodyText"/>
    <w:uiPriority w:val="1"/>
    <w:rsid w:val="00550DA4"/>
    <w:rPr>
      <w:rFonts w:ascii="Arial" w:hAnsi="Arial" w:cs="Arial"/>
      <w:sz w:val="22"/>
      <w:szCs w:val="22"/>
      <w:lang w:val="en-AU"/>
    </w:rPr>
  </w:style>
  <w:style w:type="character" w:customStyle="1" w:styleId="Heading5Char">
    <w:name w:val="Heading 5 Char"/>
    <w:basedOn w:val="DefaultParagraphFont"/>
    <w:link w:val="Heading5"/>
    <w:uiPriority w:val="9"/>
    <w:rsid w:val="000F3067"/>
    <w:rPr>
      <w:rFonts w:asciiTheme="majorHAnsi" w:eastAsiaTheme="majorEastAsia" w:hAnsiTheme="majorHAnsi" w:cstheme="majorBidi"/>
      <w:color w:val="003A7D" w:themeColor="accent1" w:themeShade="BF"/>
      <w:sz w:val="22"/>
    </w:rPr>
  </w:style>
  <w:style w:type="paragraph" w:customStyle="1" w:styleId="Point">
    <w:name w:val="Point"/>
    <w:basedOn w:val="Normal"/>
    <w:qFormat/>
    <w:rsid w:val="009C4DC1"/>
    <w:pPr>
      <w:numPr>
        <w:numId w:val="14"/>
      </w:numPr>
    </w:pPr>
    <w:rPr>
      <w:rFonts w:eastAsia="Meiryo" w:cs="DIN-Regular"/>
      <w:color w:val="000000"/>
      <w:szCs w:val="17"/>
    </w:rPr>
  </w:style>
  <w:style w:type="paragraph" w:customStyle="1" w:styleId="Subpoint">
    <w:name w:val="Subpoint"/>
    <w:basedOn w:val="Normal"/>
    <w:qFormat/>
    <w:rsid w:val="009C4DC1"/>
    <w:pPr>
      <w:numPr>
        <w:ilvl w:val="1"/>
        <w:numId w:val="14"/>
      </w:numPr>
      <w:contextualSpacing/>
    </w:pPr>
    <w:rPr>
      <w:rFonts w:eastAsia="Meiryo" w:cs="DIN-Regular"/>
      <w:color w:val="000000"/>
      <w:szCs w:val="17"/>
    </w:rPr>
  </w:style>
  <w:style w:type="paragraph" w:customStyle="1" w:styleId="Highlightedparagraph">
    <w:name w:val="Highlighted paragraph"/>
    <w:basedOn w:val="BodyText"/>
    <w:qFormat/>
    <w:rsid w:val="003A2086"/>
    <w:pPr>
      <w:spacing w:before="240" w:after="240"/>
    </w:pPr>
    <w:rPr>
      <w:b/>
      <w:sz w:val="24"/>
    </w:rPr>
  </w:style>
  <w:style w:type="paragraph" w:customStyle="1" w:styleId="ACFEBodytext">
    <w:name w:val="ACFE Body text"/>
    <w:basedOn w:val="Normal"/>
    <w:link w:val="ACFEBodytextChar"/>
    <w:rsid w:val="00423EE3"/>
    <w:pPr>
      <w:spacing w:before="120"/>
    </w:pPr>
    <w:rPr>
      <w:rFonts w:eastAsia="Times New Roman" w:cs="Times New Roman"/>
      <w:szCs w:val="20"/>
    </w:rPr>
  </w:style>
  <w:style w:type="character" w:customStyle="1" w:styleId="ACFEBodytextChar">
    <w:name w:val="ACFE Body text Char"/>
    <w:link w:val="ACFEBodytext"/>
    <w:rsid w:val="00423EE3"/>
    <w:rPr>
      <w:rFonts w:ascii="Arial" w:eastAsia="Times New Roman" w:hAnsi="Arial" w:cs="Times New Roman"/>
      <w:sz w:val="22"/>
      <w:szCs w:val="20"/>
    </w:rPr>
  </w:style>
  <w:style w:type="paragraph" w:customStyle="1" w:styleId="Default">
    <w:name w:val="Default"/>
    <w:rsid w:val="00391244"/>
    <w:pPr>
      <w:autoSpaceDE w:val="0"/>
      <w:autoSpaceDN w:val="0"/>
      <w:adjustRightInd w:val="0"/>
    </w:pPr>
    <w:rPr>
      <w:rFonts w:ascii="Arial" w:hAnsi="Arial" w:cs="Arial"/>
      <w:color w:val="000000"/>
      <w:lang w:val="en-AU"/>
    </w:rPr>
  </w:style>
  <w:style w:type="paragraph" w:customStyle="1" w:styleId="Indentedbulletedtext">
    <w:name w:val="Indented bulleted text"/>
    <w:basedOn w:val="Normal"/>
    <w:qFormat/>
    <w:rsid w:val="008B0322"/>
    <w:pPr>
      <w:widowControl w:val="0"/>
      <w:numPr>
        <w:numId w:val="20"/>
      </w:numPr>
      <w:autoSpaceDE w:val="0"/>
      <w:autoSpaceDN w:val="0"/>
      <w:adjustRightInd w:val="0"/>
      <w:spacing w:before="60" w:after="0"/>
      <w:ind w:left="1066" w:hanging="357"/>
      <w:textAlignment w:val="center"/>
    </w:pPr>
    <w:rPr>
      <w:rFonts w:eastAsiaTheme="minorEastAsia" w:cs="Tahoma"/>
      <w:color w:val="000000"/>
      <w:spacing w:val="4"/>
      <w:sz w:val="20"/>
      <w:szCs w:val="22"/>
    </w:rPr>
  </w:style>
  <w:style w:type="paragraph" w:styleId="Revision">
    <w:name w:val="Revision"/>
    <w:hidden/>
    <w:uiPriority w:val="99"/>
    <w:semiHidden/>
    <w:rsid w:val="0039500B"/>
    <w:rPr>
      <w:sz w:val="22"/>
    </w:rPr>
  </w:style>
  <w:style w:type="table" w:customStyle="1" w:styleId="TableGrid1">
    <w:name w:val="Table Grid1"/>
    <w:basedOn w:val="TableNormal"/>
    <w:next w:val="TableGrid"/>
    <w:uiPriority w:val="39"/>
    <w:rsid w:val="00A95EC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4B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454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table" w:customStyle="1" w:styleId="PlainTable51">
    <w:name w:val="Plain Table 51"/>
    <w:basedOn w:val="TableNormal"/>
    <w:next w:val="PlainTable5"/>
    <w:uiPriority w:val="45"/>
    <w:rsid w:val="00A74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next w:val="PlainTable3"/>
    <w:uiPriority w:val="43"/>
    <w:rsid w:val="00A74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next w:val="TableGridLight"/>
    <w:uiPriority w:val="40"/>
    <w:rsid w:val="00A74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2D124A"/>
    <w:pPr>
      <w:spacing w:before="120" w:line="240" w:lineRule="atLeast"/>
    </w:pPr>
    <w:rPr>
      <w:rFonts w:ascii="Cambria" w:hAnsi="Cambria" w:cs="Calibri Light"/>
      <w:color w:val="7F7F7F" w:themeColor="text1" w:themeTint="80"/>
      <w:sz w:val="20"/>
      <w:szCs w:val="20"/>
    </w:rPr>
  </w:style>
  <w:style w:type="character" w:customStyle="1" w:styleId="BodytextChar0">
    <w:name w:val="Body text Char"/>
    <w:basedOn w:val="DefaultParagraphFont"/>
    <w:link w:val="BodyText1"/>
    <w:rsid w:val="002D124A"/>
    <w:rPr>
      <w:rFonts w:ascii="Cambria" w:hAnsi="Cambria" w:cs="Calibri Light"/>
      <w:color w:val="7F7F7F" w:themeColor="text1" w:themeTint="80"/>
      <w:sz w:val="20"/>
      <w:szCs w:val="20"/>
      <w:lang w:val="en-AU"/>
    </w:rPr>
  </w:style>
  <w:style w:type="character" w:customStyle="1" w:styleId="Bullet1Char">
    <w:name w:val="Bullet 1 Char"/>
    <w:basedOn w:val="BodytextChar0"/>
    <w:link w:val="Bullet1"/>
    <w:rsid w:val="002D124A"/>
    <w:rPr>
      <w:rFonts w:ascii="Calibri" w:hAnsi="Calibri" w:cs="Calibri Light"/>
      <w:color w:val="7F7F7F" w:themeColor="text1" w:themeTint="80"/>
      <w:sz w:val="22"/>
      <w:szCs w:val="20"/>
      <w:lang w:val="en-AU"/>
    </w:rPr>
  </w:style>
  <w:style w:type="paragraph" w:styleId="BlockText">
    <w:name w:val="Block Text"/>
    <w:basedOn w:val="Normal"/>
    <w:rsid w:val="006E402F"/>
    <w:pPr>
      <w:spacing w:before="120" w:after="60" w:line="260" w:lineRule="atLeast"/>
    </w:pPr>
    <w:rPr>
      <w:rFonts w:ascii="Cambria" w:eastAsia="Times New Roman" w:hAnsi="Cambria" w:cs="Times New Roman"/>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74">
      <w:bodyDiv w:val="1"/>
      <w:marLeft w:val="0"/>
      <w:marRight w:val="0"/>
      <w:marTop w:val="0"/>
      <w:marBottom w:val="0"/>
      <w:divBdr>
        <w:top w:val="none" w:sz="0" w:space="0" w:color="auto"/>
        <w:left w:val="none" w:sz="0" w:space="0" w:color="auto"/>
        <w:bottom w:val="none" w:sz="0" w:space="0" w:color="auto"/>
        <w:right w:val="none" w:sz="0" w:space="0" w:color="auto"/>
      </w:divBdr>
      <w:divsChild>
        <w:div w:id="504441499">
          <w:marLeft w:val="547"/>
          <w:marRight w:val="0"/>
          <w:marTop w:val="0"/>
          <w:marBottom w:val="0"/>
          <w:divBdr>
            <w:top w:val="none" w:sz="0" w:space="0" w:color="auto"/>
            <w:left w:val="none" w:sz="0" w:space="0" w:color="auto"/>
            <w:bottom w:val="none" w:sz="0" w:space="0" w:color="auto"/>
            <w:right w:val="none" w:sz="0" w:space="0" w:color="auto"/>
          </w:divBdr>
        </w:div>
      </w:divsChild>
    </w:div>
    <w:div w:id="70660356">
      <w:bodyDiv w:val="1"/>
      <w:marLeft w:val="0"/>
      <w:marRight w:val="0"/>
      <w:marTop w:val="0"/>
      <w:marBottom w:val="0"/>
      <w:divBdr>
        <w:top w:val="none" w:sz="0" w:space="0" w:color="auto"/>
        <w:left w:val="none" w:sz="0" w:space="0" w:color="auto"/>
        <w:bottom w:val="none" w:sz="0" w:space="0" w:color="auto"/>
        <w:right w:val="none" w:sz="0" w:space="0" w:color="auto"/>
      </w:divBdr>
    </w:div>
    <w:div w:id="152990214">
      <w:bodyDiv w:val="1"/>
      <w:marLeft w:val="0"/>
      <w:marRight w:val="0"/>
      <w:marTop w:val="0"/>
      <w:marBottom w:val="0"/>
      <w:divBdr>
        <w:top w:val="none" w:sz="0" w:space="0" w:color="auto"/>
        <w:left w:val="none" w:sz="0" w:space="0" w:color="auto"/>
        <w:bottom w:val="none" w:sz="0" w:space="0" w:color="auto"/>
        <w:right w:val="none" w:sz="0" w:space="0" w:color="auto"/>
      </w:divBdr>
    </w:div>
    <w:div w:id="202905480">
      <w:bodyDiv w:val="1"/>
      <w:marLeft w:val="0"/>
      <w:marRight w:val="0"/>
      <w:marTop w:val="0"/>
      <w:marBottom w:val="0"/>
      <w:divBdr>
        <w:top w:val="none" w:sz="0" w:space="0" w:color="auto"/>
        <w:left w:val="none" w:sz="0" w:space="0" w:color="auto"/>
        <w:bottom w:val="none" w:sz="0" w:space="0" w:color="auto"/>
        <w:right w:val="none" w:sz="0" w:space="0" w:color="auto"/>
      </w:divBdr>
    </w:div>
    <w:div w:id="204100073">
      <w:bodyDiv w:val="1"/>
      <w:marLeft w:val="0"/>
      <w:marRight w:val="0"/>
      <w:marTop w:val="0"/>
      <w:marBottom w:val="0"/>
      <w:divBdr>
        <w:top w:val="none" w:sz="0" w:space="0" w:color="auto"/>
        <w:left w:val="none" w:sz="0" w:space="0" w:color="auto"/>
        <w:bottom w:val="none" w:sz="0" w:space="0" w:color="auto"/>
        <w:right w:val="none" w:sz="0" w:space="0" w:color="auto"/>
      </w:divBdr>
    </w:div>
    <w:div w:id="546111543">
      <w:bodyDiv w:val="1"/>
      <w:marLeft w:val="0"/>
      <w:marRight w:val="0"/>
      <w:marTop w:val="0"/>
      <w:marBottom w:val="0"/>
      <w:divBdr>
        <w:top w:val="none" w:sz="0" w:space="0" w:color="auto"/>
        <w:left w:val="none" w:sz="0" w:space="0" w:color="auto"/>
        <w:bottom w:val="none" w:sz="0" w:space="0" w:color="auto"/>
        <w:right w:val="none" w:sz="0" w:space="0" w:color="auto"/>
      </w:divBdr>
      <w:divsChild>
        <w:div w:id="1101947705">
          <w:marLeft w:val="547"/>
          <w:marRight w:val="0"/>
          <w:marTop w:val="0"/>
          <w:marBottom w:val="0"/>
          <w:divBdr>
            <w:top w:val="none" w:sz="0" w:space="0" w:color="auto"/>
            <w:left w:val="none" w:sz="0" w:space="0" w:color="auto"/>
            <w:bottom w:val="none" w:sz="0" w:space="0" w:color="auto"/>
            <w:right w:val="none" w:sz="0" w:space="0" w:color="auto"/>
          </w:divBdr>
        </w:div>
      </w:divsChild>
    </w:div>
    <w:div w:id="601105648">
      <w:bodyDiv w:val="1"/>
      <w:marLeft w:val="0"/>
      <w:marRight w:val="0"/>
      <w:marTop w:val="0"/>
      <w:marBottom w:val="0"/>
      <w:divBdr>
        <w:top w:val="none" w:sz="0" w:space="0" w:color="auto"/>
        <w:left w:val="none" w:sz="0" w:space="0" w:color="auto"/>
        <w:bottom w:val="none" w:sz="0" w:space="0" w:color="auto"/>
        <w:right w:val="none" w:sz="0" w:space="0" w:color="auto"/>
      </w:divBdr>
      <w:divsChild>
        <w:div w:id="104813595">
          <w:marLeft w:val="547"/>
          <w:marRight w:val="0"/>
          <w:marTop w:val="0"/>
          <w:marBottom w:val="0"/>
          <w:divBdr>
            <w:top w:val="none" w:sz="0" w:space="0" w:color="auto"/>
            <w:left w:val="none" w:sz="0" w:space="0" w:color="auto"/>
            <w:bottom w:val="none" w:sz="0" w:space="0" w:color="auto"/>
            <w:right w:val="none" w:sz="0" w:space="0" w:color="auto"/>
          </w:divBdr>
        </w:div>
      </w:divsChild>
    </w:div>
    <w:div w:id="670958204">
      <w:bodyDiv w:val="1"/>
      <w:marLeft w:val="0"/>
      <w:marRight w:val="0"/>
      <w:marTop w:val="0"/>
      <w:marBottom w:val="0"/>
      <w:divBdr>
        <w:top w:val="none" w:sz="0" w:space="0" w:color="auto"/>
        <w:left w:val="none" w:sz="0" w:space="0" w:color="auto"/>
        <w:bottom w:val="none" w:sz="0" w:space="0" w:color="auto"/>
        <w:right w:val="none" w:sz="0" w:space="0" w:color="auto"/>
      </w:divBdr>
      <w:divsChild>
        <w:div w:id="1665275967">
          <w:marLeft w:val="547"/>
          <w:marRight w:val="0"/>
          <w:marTop w:val="0"/>
          <w:marBottom w:val="0"/>
          <w:divBdr>
            <w:top w:val="none" w:sz="0" w:space="0" w:color="auto"/>
            <w:left w:val="none" w:sz="0" w:space="0" w:color="auto"/>
            <w:bottom w:val="none" w:sz="0" w:space="0" w:color="auto"/>
            <w:right w:val="none" w:sz="0" w:space="0" w:color="auto"/>
          </w:divBdr>
        </w:div>
      </w:divsChild>
    </w:div>
    <w:div w:id="788664856">
      <w:bodyDiv w:val="1"/>
      <w:marLeft w:val="0"/>
      <w:marRight w:val="0"/>
      <w:marTop w:val="0"/>
      <w:marBottom w:val="0"/>
      <w:divBdr>
        <w:top w:val="none" w:sz="0" w:space="0" w:color="auto"/>
        <w:left w:val="none" w:sz="0" w:space="0" w:color="auto"/>
        <w:bottom w:val="none" w:sz="0" w:space="0" w:color="auto"/>
        <w:right w:val="none" w:sz="0" w:space="0" w:color="auto"/>
      </w:divBdr>
      <w:divsChild>
        <w:div w:id="691030468">
          <w:marLeft w:val="547"/>
          <w:marRight w:val="0"/>
          <w:marTop w:val="0"/>
          <w:marBottom w:val="0"/>
          <w:divBdr>
            <w:top w:val="none" w:sz="0" w:space="0" w:color="auto"/>
            <w:left w:val="none" w:sz="0" w:space="0" w:color="auto"/>
            <w:bottom w:val="none" w:sz="0" w:space="0" w:color="auto"/>
            <w:right w:val="none" w:sz="0" w:space="0" w:color="auto"/>
          </w:divBdr>
        </w:div>
        <w:div w:id="1277101114">
          <w:marLeft w:val="547"/>
          <w:marRight w:val="0"/>
          <w:marTop w:val="0"/>
          <w:marBottom w:val="0"/>
          <w:divBdr>
            <w:top w:val="none" w:sz="0" w:space="0" w:color="auto"/>
            <w:left w:val="none" w:sz="0" w:space="0" w:color="auto"/>
            <w:bottom w:val="none" w:sz="0" w:space="0" w:color="auto"/>
            <w:right w:val="none" w:sz="0" w:space="0" w:color="auto"/>
          </w:divBdr>
        </w:div>
        <w:div w:id="159778421">
          <w:marLeft w:val="547"/>
          <w:marRight w:val="0"/>
          <w:marTop w:val="0"/>
          <w:marBottom w:val="0"/>
          <w:divBdr>
            <w:top w:val="none" w:sz="0" w:space="0" w:color="auto"/>
            <w:left w:val="none" w:sz="0" w:space="0" w:color="auto"/>
            <w:bottom w:val="none" w:sz="0" w:space="0" w:color="auto"/>
            <w:right w:val="none" w:sz="0" w:space="0" w:color="auto"/>
          </w:divBdr>
        </w:div>
        <w:div w:id="1030491540">
          <w:marLeft w:val="547"/>
          <w:marRight w:val="0"/>
          <w:marTop w:val="0"/>
          <w:marBottom w:val="0"/>
          <w:divBdr>
            <w:top w:val="none" w:sz="0" w:space="0" w:color="auto"/>
            <w:left w:val="none" w:sz="0" w:space="0" w:color="auto"/>
            <w:bottom w:val="none" w:sz="0" w:space="0" w:color="auto"/>
            <w:right w:val="none" w:sz="0" w:space="0" w:color="auto"/>
          </w:divBdr>
        </w:div>
        <w:div w:id="128329096">
          <w:marLeft w:val="547"/>
          <w:marRight w:val="0"/>
          <w:marTop w:val="0"/>
          <w:marBottom w:val="0"/>
          <w:divBdr>
            <w:top w:val="none" w:sz="0" w:space="0" w:color="auto"/>
            <w:left w:val="none" w:sz="0" w:space="0" w:color="auto"/>
            <w:bottom w:val="none" w:sz="0" w:space="0" w:color="auto"/>
            <w:right w:val="none" w:sz="0" w:space="0" w:color="auto"/>
          </w:divBdr>
        </w:div>
        <w:div w:id="776753025">
          <w:marLeft w:val="547"/>
          <w:marRight w:val="0"/>
          <w:marTop w:val="0"/>
          <w:marBottom w:val="0"/>
          <w:divBdr>
            <w:top w:val="none" w:sz="0" w:space="0" w:color="auto"/>
            <w:left w:val="none" w:sz="0" w:space="0" w:color="auto"/>
            <w:bottom w:val="none" w:sz="0" w:space="0" w:color="auto"/>
            <w:right w:val="none" w:sz="0" w:space="0" w:color="auto"/>
          </w:divBdr>
        </w:div>
        <w:div w:id="365983086">
          <w:marLeft w:val="547"/>
          <w:marRight w:val="0"/>
          <w:marTop w:val="0"/>
          <w:marBottom w:val="0"/>
          <w:divBdr>
            <w:top w:val="none" w:sz="0" w:space="0" w:color="auto"/>
            <w:left w:val="none" w:sz="0" w:space="0" w:color="auto"/>
            <w:bottom w:val="none" w:sz="0" w:space="0" w:color="auto"/>
            <w:right w:val="none" w:sz="0" w:space="0" w:color="auto"/>
          </w:divBdr>
        </w:div>
      </w:divsChild>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93491648">
      <w:bodyDiv w:val="1"/>
      <w:marLeft w:val="0"/>
      <w:marRight w:val="0"/>
      <w:marTop w:val="0"/>
      <w:marBottom w:val="0"/>
      <w:divBdr>
        <w:top w:val="none" w:sz="0" w:space="0" w:color="auto"/>
        <w:left w:val="none" w:sz="0" w:space="0" w:color="auto"/>
        <w:bottom w:val="none" w:sz="0" w:space="0" w:color="auto"/>
        <w:right w:val="none" w:sz="0" w:space="0" w:color="auto"/>
      </w:divBdr>
    </w:div>
    <w:div w:id="1011179348">
      <w:bodyDiv w:val="1"/>
      <w:marLeft w:val="0"/>
      <w:marRight w:val="0"/>
      <w:marTop w:val="0"/>
      <w:marBottom w:val="0"/>
      <w:divBdr>
        <w:top w:val="none" w:sz="0" w:space="0" w:color="auto"/>
        <w:left w:val="none" w:sz="0" w:space="0" w:color="auto"/>
        <w:bottom w:val="none" w:sz="0" w:space="0" w:color="auto"/>
        <w:right w:val="none" w:sz="0" w:space="0" w:color="auto"/>
      </w:divBdr>
    </w:div>
    <w:div w:id="1041518616">
      <w:bodyDiv w:val="1"/>
      <w:marLeft w:val="0"/>
      <w:marRight w:val="0"/>
      <w:marTop w:val="0"/>
      <w:marBottom w:val="0"/>
      <w:divBdr>
        <w:top w:val="none" w:sz="0" w:space="0" w:color="auto"/>
        <w:left w:val="none" w:sz="0" w:space="0" w:color="auto"/>
        <w:bottom w:val="none" w:sz="0" w:space="0" w:color="auto"/>
        <w:right w:val="none" w:sz="0" w:space="0" w:color="auto"/>
      </w:divBdr>
    </w:div>
    <w:div w:id="1042438620">
      <w:bodyDiv w:val="1"/>
      <w:marLeft w:val="0"/>
      <w:marRight w:val="0"/>
      <w:marTop w:val="0"/>
      <w:marBottom w:val="0"/>
      <w:divBdr>
        <w:top w:val="none" w:sz="0" w:space="0" w:color="auto"/>
        <w:left w:val="none" w:sz="0" w:space="0" w:color="auto"/>
        <w:bottom w:val="none" w:sz="0" w:space="0" w:color="auto"/>
        <w:right w:val="none" w:sz="0" w:space="0" w:color="auto"/>
      </w:divBdr>
    </w:div>
    <w:div w:id="1058210936">
      <w:bodyDiv w:val="1"/>
      <w:marLeft w:val="0"/>
      <w:marRight w:val="0"/>
      <w:marTop w:val="0"/>
      <w:marBottom w:val="0"/>
      <w:divBdr>
        <w:top w:val="none" w:sz="0" w:space="0" w:color="auto"/>
        <w:left w:val="none" w:sz="0" w:space="0" w:color="auto"/>
        <w:bottom w:val="none" w:sz="0" w:space="0" w:color="auto"/>
        <w:right w:val="none" w:sz="0" w:space="0" w:color="auto"/>
      </w:divBdr>
    </w:div>
    <w:div w:id="1134249854">
      <w:bodyDiv w:val="1"/>
      <w:marLeft w:val="0"/>
      <w:marRight w:val="0"/>
      <w:marTop w:val="0"/>
      <w:marBottom w:val="0"/>
      <w:divBdr>
        <w:top w:val="none" w:sz="0" w:space="0" w:color="auto"/>
        <w:left w:val="none" w:sz="0" w:space="0" w:color="auto"/>
        <w:bottom w:val="none" w:sz="0" w:space="0" w:color="auto"/>
        <w:right w:val="none" w:sz="0" w:space="0" w:color="auto"/>
      </w:divBdr>
    </w:div>
    <w:div w:id="1237548151">
      <w:bodyDiv w:val="1"/>
      <w:marLeft w:val="0"/>
      <w:marRight w:val="0"/>
      <w:marTop w:val="0"/>
      <w:marBottom w:val="0"/>
      <w:divBdr>
        <w:top w:val="none" w:sz="0" w:space="0" w:color="auto"/>
        <w:left w:val="none" w:sz="0" w:space="0" w:color="auto"/>
        <w:bottom w:val="none" w:sz="0" w:space="0" w:color="auto"/>
        <w:right w:val="none" w:sz="0" w:space="0" w:color="auto"/>
      </w:divBdr>
    </w:div>
    <w:div w:id="1254361761">
      <w:bodyDiv w:val="1"/>
      <w:marLeft w:val="0"/>
      <w:marRight w:val="0"/>
      <w:marTop w:val="0"/>
      <w:marBottom w:val="0"/>
      <w:divBdr>
        <w:top w:val="none" w:sz="0" w:space="0" w:color="auto"/>
        <w:left w:val="none" w:sz="0" w:space="0" w:color="auto"/>
        <w:bottom w:val="none" w:sz="0" w:space="0" w:color="auto"/>
        <w:right w:val="none" w:sz="0" w:space="0" w:color="auto"/>
      </w:divBdr>
    </w:div>
    <w:div w:id="1334458453">
      <w:bodyDiv w:val="1"/>
      <w:marLeft w:val="0"/>
      <w:marRight w:val="0"/>
      <w:marTop w:val="0"/>
      <w:marBottom w:val="0"/>
      <w:divBdr>
        <w:top w:val="none" w:sz="0" w:space="0" w:color="auto"/>
        <w:left w:val="none" w:sz="0" w:space="0" w:color="auto"/>
        <w:bottom w:val="none" w:sz="0" w:space="0" w:color="auto"/>
        <w:right w:val="none" w:sz="0" w:space="0" w:color="auto"/>
      </w:divBdr>
    </w:div>
    <w:div w:id="1626617837">
      <w:bodyDiv w:val="1"/>
      <w:marLeft w:val="0"/>
      <w:marRight w:val="0"/>
      <w:marTop w:val="0"/>
      <w:marBottom w:val="0"/>
      <w:divBdr>
        <w:top w:val="none" w:sz="0" w:space="0" w:color="auto"/>
        <w:left w:val="none" w:sz="0" w:space="0" w:color="auto"/>
        <w:bottom w:val="none" w:sz="0" w:space="0" w:color="auto"/>
        <w:right w:val="none" w:sz="0" w:space="0" w:color="auto"/>
      </w:divBdr>
    </w:div>
    <w:div w:id="1676373692">
      <w:bodyDiv w:val="1"/>
      <w:marLeft w:val="0"/>
      <w:marRight w:val="0"/>
      <w:marTop w:val="0"/>
      <w:marBottom w:val="0"/>
      <w:divBdr>
        <w:top w:val="none" w:sz="0" w:space="0" w:color="auto"/>
        <w:left w:val="none" w:sz="0" w:space="0" w:color="auto"/>
        <w:bottom w:val="none" w:sz="0" w:space="0" w:color="auto"/>
        <w:right w:val="none" w:sz="0" w:space="0" w:color="auto"/>
      </w:divBdr>
      <w:divsChild>
        <w:div w:id="1362323412">
          <w:marLeft w:val="547"/>
          <w:marRight w:val="0"/>
          <w:marTop w:val="0"/>
          <w:marBottom w:val="0"/>
          <w:divBdr>
            <w:top w:val="none" w:sz="0" w:space="0" w:color="auto"/>
            <w:left w:val="none" w:sz="0" w:space="0" w:color="auto"/>
            <w:bottom w:val="none" w:sz="0" w:space="0" w:color="auto"/>
            <w:right w:val="none" w:sz="0" w:space="0" w:color="auto"/>
          </w:divBdr>
        </w:div>
      </w:divsChild>
    </w:div>
    <w:div w:id="1693338325">
      <w:bodyDiv w:val="1"/>
      <w:marLeft w:val="0"/>
      <w:marRight w:val="0"/>
      <w:marTop w:val="0"/>
      <w:marBottom w:val="0"/>
      <w:divBdr>
        <w:top w:val="none" w:sz="0" w:space="0" w:color="auto"/>
        <w:left w:val="none" w:sz="0" w:space="0" w:color="auto"/>
        <w:bottom w:val="none" w:sz="0" w:space="0" w:color="auto"/>
        <w:right w:val="none" w:sz="0" w:space="0" w:color="auto"/>
      </w:divBdr>
      <w:divsChild>
        <w:div w:id="185606119">
          <w:marLeft w:val="547"/>
          <w:marRight w:val="0"/>
          <w:marTop w:val="0"/>
          <w:marBottom w:val="0"/>
          <w:divBdr>
            <w:top w:val="none" w:sz="0" w:space="0" w:color="auto"/>
            <w:left w:val="none" w:sz="0" w:space="0" w:color="auto"/>
            <w:bottom w:val="none" w:sz="0" w:space="0" w:color="auto"/>
            <w:right w:val="none" w:sz="0" w:space="0" w:color="auto"/>
          </w:divBdr>
        </w:div>
      </w:divsChild>
    </w:div>
    <w:div w:id="1728189974">
      <w:bodyDiv w:val="1"/>
      <w:marLeft w:val="0"/>
      <w:marRight w:val="0"/>
      <w:marTop w:val="0"/>
      <w:marBottom w:val="0"/>
      <w:divBdr>
        <w:top w:val="none" w:sz="0" w:space="0" w:color="auto"/>
        <w:left w:val="none" w:sz="0" w:space="0" w:color="auto"/>
        <w:bottom w:val="none" w:sz="0" w:space="0" w:color="auto"/>
        <w:right w:val="none" w:sz="0" w:space="0" w:color="auto"/>
      </w:divBdr>
      <w:divsChild>
        <w:div w:id="2092383392">
          <w:marLeft w:val="547"/>
          <w:marRight w:val="0"/>
          <w:marTop w:val="0"/>
          <w:marBottom w:val="0"/>
          <w:divBdr>
            <w:top w:val="none" w:sz="0" w:space="0" w:color="auto"/>
            <w:left w:val="none" w:sz="0" w:space="0" w:color="auto"/>
            <w:bottom w:val="none" w:sz="0" w:space="0" w:color="auto"/>
            <w:right w:val="none" w:sz="0" w:space="0" w:color="auto"/>
          </w:divBdr>
        </w:div>
      </w:divsChild>
    </w:div>
    <w:div w:id="1874731384">
      <w:bodyDiv w:val="1"/>
      <w:marLeft w:val="0"/>
      <w:marRight w:val="0"/>
      <w:marTop w:val="0"/>
      <w:marBottom w:val="0"/>
      <w:divBdr>
        <w:top w:val="none" w:sz="0" w:space="0" w:color="auto"/>
        <w:left w:val="none" w:sz="0" w:space="0" w:color="auto"/>
        <w:bottom w:val="none" w:sz="0" w:space="0" w:color="auto"/>
        <w:right w:val="none" w:sz="0" w:space="0" w:color="auto"/>
      </w:divBdr>
    </w:div>
    <w:div w:id="2003200024">
      <w:bodyDiv w:val="1"/>
      <w:marLeft w:val="0"/>
      <w:marRight w:val="0"/>
      <w:marTop w:val="0"/>
      <w:marBottom w:val="0"/>
      <w:divBdr>
        <w:top w:val="none" w:sz="0" w:space="0" w:color="auto"/>
        <w:left w:val="none" w:sz="0" w:space="0" w:color="auto"/>
        <w:bottom w:val="none" w:sz="0" w:space="0" w:color="auto"/>
        <w:right w:val="none" w:sz="0" w:space="0" w:color="auto"/>
      </w:divBdr>
    </w:div>
    <w:div w:id="2084450821">
      <w:bodyDiv w:val="1"/>
      <w:marLeft w:val="0"/>
      <w:marRight w:val="0"/>
      <w:marTop w:val="0"/>
      <w:marBottom w:val="0"/>
      <w:divBdr>
        <w:top w:val="none" w:sz="0" w:space="0" w:color="auto"/>
        <w:left w:val="none" w:sz="0" w:space="0" w:color="auto"/>
        <w:bottom w:val="none" w:sz="0" w:space="0" w:color="auto"/>
        <w:right w:val="none" w:sz="0" w:space="0" w:color="auto"/>
      </w:divBdr>
    </w:div>
    <w:div w:id="212318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ver.edu.au/rto-hub/avetmiss-compliant-software-register" TargetMode="External"/><Relationship Id="rId18" Type="http://schemas.openxmlformats.org/officeDocument/2006/relationships/hyperlink" Target="mailto:servicedesk@education.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tion.vic.gov.au/Documents/training/providers/rto/Victorian_VET_Student_Statistical_Collection_Guidelines_2023_v1.0.docx" TargetMode="External"/><Relationship Id="rId17" Type="http://schemas.openxmlformats.org/officeDocument/2006/relationships/hyperlink" Target="http://www.education.vic.gov.au/svts" TargetMode="External"/><Relationship Id="rId2" Type="http://schemas.openxmlformats.org/officeDocument/2006/relationships/numbering" Target="numbering.xml"/><Relationship Id="rId16" Type="http://schemas.openxmlformats.org/officeDocument/2006/relationships/hyperlink" Target="https://www.vic.gov.au/sites/default/files/2022-08/2023_ACFE_Training_Delivery_Guidelines_FINAL_2608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pre-accredited-training-and-programs" TargetMode="External"/><Relationship Id="rId5" Type="http://schemas.openxmlformats.org/officeDocument/2006/relationships/webSettings" Target="webSettings.xml"/><Relationship Id="rId15" Type="http://schemas.openxmlformats.org/officeDocument/2006/relationships/hyperlink" Target="https://www.education.vic.gov.au/Documents/training/providers/rto/SVTS_Validation_Rule_and_Rejects_Supplement_-_2022.xls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aining.participation@education.vic.gov.au" TargetMode="External"/></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9DAC-50DA-46B4-B778-529B8DB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2023-06-06T03:00:00Z</dcterms:created>
  <dcterms:modified xsi:type="dcterms:W3CDTF">2023-06-06T03:00:00Z</dcterms:modified>
</cp:coreProperties>
</file>