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6E28AF9" w14:textId="77777777" w:rsidR="008401A6" w:rsidRDefault="008401A6" w:rsidP="00DC58AF">
      <w:pPr>
        <w:pStyle w:val="Subtitle"/>
      </w:pPr>
    </w:p>
    <w:p w14:paraId="16C1D12C" w14:textId="77777777" w:rsidR="008401A6" w:rsidRDefault="008401A6" w:rsidP="00DC58AF">
      <w:pPr>
        <w:pStyle w:val="Subtitle"/>
      </w:pPr>
    </w:p>
    <w:p w14:paraId="2B263C48" w14:textId="77777777" w:rsidR="00207A81" w:rsidRDefault="00207A81" w:rsidP="008401A6">
      <w:pPr>
        <w:pStyle w:val="Subtitle"/>
      </w:pPr>
    </w:p>
    <w:p w14:paraId="5EA845EC" w14:textId="469DB499" w:rsidR="008401A6" w:rsidRDefault="008401A6" w:rsidP="008401A6">
      <w:pPr>
        <w:pStyle w:val="Subtitle"/>
      </w:pPr>
      <w:r>
        <w:t xml:space="preserve">Victorian Government </w:t>
      </w:r>
    </w:p>
    <w:p w14:paraId="2E5584C1" w14:textId="7933D05F" w:rsidR="008401A6" w:rsidRDefault="008401A6" w:rsidP="008401A6">
      <w:pPr>
        <w:pStyle w:val="Subtitle"/>
      </w:pPr>
      <w:r>
        <w:t>IT Asset Management</w:t>
      </w:r>
      <w:r w:rsidR="00F34A4C">
        <w:t xml:space="preserve"> </w:t>
      </w:r>
      <w:r>
        <w:t>Guidance</w:t>
      </w:r>
    </w:p>
    <w:p w14:paraId="21D2A56D" w14:textId="77777777" w:rsidR="008401A6" w:rsidRDefault="008401A6" w:rsidP="008401A6">
      <w:pPr>
        <w:pStyle w:val="Subtitle"/>
      </w:pPr>
      <w:r>
        <w:t>Digital Victoria</w:t>
      </w:r>
    </w:p>
    <w:p w14:paraId="234467B9" w14:textId="53CDB3E9" w:rsidR="00976AFB" w:rsidRPr="00B73FE2" w:rsidRDefault="008401A6" w:rsidP="008401A6">
      <w:pPr>
        <w:pStyle w:val="Subtitle"/>
      </w:pPr>
      <w:r>
        <w:t>Cyber Security Branch</w:t>
      </w:r>
      <w:r w:rsidR="00DC58AF">
        <w:t xml:space="preserve"> </w:t>
      </w:r>
    </w:p>
    <w:p w14:paraId="547EDC71" w14:textId="49B52D75" w:rsidR="000948B0" w:rsidRPr="00451A72" w:rsidRDefault="00207A81" w:rsidP="00DC58AF">
      <w:pPr>
        <w:pStyle w:val="Date"/>
        <w:rPr>
          <w:sz w:val="20"/>
          <w:szCs w:val="20"/>
        </w:rPr>
      </w:pPr>
      <w:r w:rsidRPr="00451A72">
        <w:rPr>
          <w:sz w:val="20"/>
          <w:szCs w:val="20"/>
        </w:rPr>
        <w:t>Version 1.5 Issued February 2023</w:t>
      </w: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12677053" w:rsidR="000948B0" w:rsidRPr="00EC0832" w:rsidRDefault="00C85A6C" w:rsidP="002F6A6E">
      <w:pPr>
        <w:rPr>
          <w:color w:val="FFFFFF" w:themeColor="background1"/>
          <w:lang w:eastAsia="en-AU"/>
        </w:rPr>
      </w:pPr>
      <w:r w:rsidRPr="00EC0832">
        <w:rPr>
          <w:noProof/>
          <w:color w:val="FFFFFF" w:themeColor="background1"/>
        </w:rPr>
        <mc:AlternateContent>
          <mc:Choice Requires="wps">
            <w:drawing>
              <wp:anchor distT="0" distB="0" distL="0" distR="0" simplePos="0" relativeHeight="251661312" behindDoc="0" locked="0" layoutInCell="1" allowOverlap="1" wp14:anchorId="40BA002B" wp14:editId="57C4C920">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841800A" w14:textId="74E362CE" w:rsidR="00320409" w:rsidRPr="00320409" w:rsidRDefault="00320409" w:rsidP="002F6A6E">
                            <w:pPr>
                              <w:rPr>
                                <w:noProof/>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0BA002B" id="_x0000_t202" coordsize="21600,21600" o:spt="202" path="m,l,21600r21600,l21600,xe">
                <v:stroke joinstyle="miter"/>
                <v:path gradientshapeok="t" o:connecttype="rect"/>
              </v:shapetype>
              <v:shape id="Text Box 9" o:spid="_x0000_s1026" type="#_x0000_t202" alt="OFFICIAL" style="position:absolute;margin-left:0;margin-top:809.45pt;width:34.95pt;height:32.45pt;z-index:251661312;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" filled="f" stroked="f">
                <v:textbox inset="20pt,0,0,15pt">
                  <w:txbxContent>
                    <w:p w14:paraId="1841800A" w14:textId="74E362CE" w:rsidR="00320409" w:rsidRPr="00320409" w:rsidRDefault="00320409" w:rsidP="002F6A6E">
                      <w:pPr>
                        <w:rPr>
                          <w:noProof/>
                        </w:rPr>
                      </w:pPr>
                    </w:p>
                  </w:txbxContent>
                </v:textbox>
                <w10:wrap anchorx="page" anchory="page"/>
              </v:shape>
            </w:pict>
          </mc:Fallback>
        </mc:AlternateContent>
      </w:r>
    </w:p>
    <w:sdt>
      <w:sdtPr>
        <w:rPr>
          <w:b w:val="0"/>
          <w:bCs w:val="0"/>
          <w:noProof/>
          <w:color w:val="363936" w:themeColor="background2" w:themeShade="40"/>
          <w:sz w:val="22"/>
          <w:szCs w:val="20"/>
        </w:rPr>
        <w:id w:val="275882412"/>
        <w:docPartObj>
          <w:docPartGallery w:val="Table of Contents"/>
          <w:docPartUnique/>
        </w:docPartObj>
      </w:sdtPr>
      <w:sdtEndPr>
        <w:rPr>
          <w:b/>
          <w:color w:val="auto"/>
        </w:rPr>
      </w:sdtEndPr>
      <w:sdtContent>
        <w:p w14:paraId="06F84CAB" w14:textId="3D7F550C" w:rsidR="005B7AA4" w:rsidRPr="009117F1" w:rsidRDefault="00D02CC6" w:rsidP="002F6A6E">
          <w:pPr>
            <w:pStyle w:val="TOCHeading"/>
          </w:pPr>
          <w:r>
            <w:t>Content</w:t>
          </w:r>
        </w:p>
        <w:p w14:paraId="6327C9FD" w14:textId="6769399D" w:rsidR="002E5607" w:rsidRDefault="00262E24">
          <w:pPr>
            <w:pStyle w:val="TOC2"/>
            <w:rPr>
              <w:rFonts w:eastAsiaTheme="minorEastAsia" w:cstheme="minorBidi"/>
              <w:color w:val="auto"/>
              <w:sz w:val="22"/>
              <w:szCs w:val="22"/>
              <w:lang w:eastAsia="en-AU"/>
            </w:rPr>
          </w:pPr>
          <w:r>
            <w:fldChar w:fldCharType="begin"/>
          </w:r>
          <w:r>
            <w:instrText xml:space="preserve"> TOC \o "1-2" \h \z \u </w:instrText>
          </w:r>
          <w:r>
            <w:fldChar w:fldCharType="separate"/>
          </w:r>
          <w:hyperlink w:anchor="_Toc126829048" w:history="1">
            <w:r w:rsidR="002E5607" w:rsidRPr="00A76F75">
              <w:rPr>
                <w:rStyle w:val="Hyperlink"/>
                <w:b/>
                <w:bCs/>
              </w:rPr>
              <w:t>Context</w:t>
            </w:r>
            <w:r w:rsidR="002E5607">
              <w:rPr>
                <w:webHidden/>
              </w:rPr>
              <w:tab/>
            </w:r>
            <w:r w:rsidR="002E5607">
              <w:rPr>
                <w:webHidden/>
              </w:rPr>
              <w:fldChar w:fldCharType="begin"/>
            </w:r>
            <w:r w:rsidR="002E5607">
              <w:rPr>
                <w:webHidden/>
              </w:rPr>
              <w:instrText xml:space="preserve"> PAGEREF _Toc126829048 \h </w:instrText>
            </w:r>
            <w:r w:rsidR="002E5607">
              <w:rPr>
                <w:webHidden/>
              </w:rPr>
            </w:r>
            <w:r w:rsidR="002E5607">
              <w:rPr>
                <w:webHidden/>
              </w:rPr>
              <w:fldChar w:fldCharType="separate"/>
            </w:r>
            <w:r w:rsidR="00D7560D">
              <w:rPr>
                <w:webHidden/>
              </w:rPr>
              <w:t>3</w:t>
            </w:r>
            <w:r w:rsidR="002E5607">
              <w:rPr>
                <w:webHidden/>
              </w:rPr>
              <w:fldChar w:fldCharType="end"/>
            </w:r>
          </w:hyperlink>
        </w:p>
        <w:p w14:paraId="087CD710" w14:textId="7DDF4631" w:rsidR="002E5607" w:rsidRDefault="008959EF">
          <w:pPr>
            <w:pStyle w:val="TOC2"/>
            <w:rPr>
              <w:rFonts w:eastAsiaTheme="minorEastAsia" w:cstheme="minorBidi"/>
              <w:color w:val="auto"/>
              <w:sz w:val="22"/>
              <w:szCs w:val="22"/>
              <w:lang w:eastAsia="en-AU"/>
            </w:rPr>
          </w:pPr>
          <w:hyperlink w:anchor="_Toc126829049" w:history="1">
            <w:r w:rsidR="002E5607" w:rsidRPr="00A76F75">
              <w:rPr>
                <w:rStyle w:val="Hyperlink"/>
              </w:rPr>
              <w:t>Purpose</w:t>
            </w:r>
            <w:r w:rsidR="002E5607">
              <w:rPr>
                <w:webHidden/>
              </w:rPr>
              <w:tab/>
            </w:r>
            <w:r w:rsidR="002E5607">
              <w:rPr>
                <w:webHidden/>
              </w:rPr>
              <w:fldChar w:fldCharType="begin"/>
            </w:r>
            <w:r w:rsidR="002E5607">
              <w:rPr>
                <w:webHidden/>
              </w:rPr>
              <w:instrText xml:space="preserve"> PAGEREF _Toc126829049 \h </w:instrText>
            </w:r>
            <w:r w:rsidR="002E5607">
              <w:rPr>
                <w:webHidden/>
              </w:rPr>
            </w:r>
            <w:r w:rsidR="002E5607">
              <w:rPr>
                <w:webHidden/>
              </w:rPr>
              <w:fldChar w:fldCharType="separate"/>
            </w:r>
            <w:r w:rsidR="00D7560D">
              <w:rPr>
                <w:webHidden/>
              </w:rPr>
              <w:t>3</w:t>
            </w:r>
            <w:r w:rsidR="002E5607">
              <w:rPr>
                <w:webHidden/>
              </w:rPr>
              <w:fldChar w:fldCharType="end"/>
            </w:r>
          </w:hyperlink>
        </w:p>
        <w:p w14:paraId="385346B9" w14:textId="58E4E3E9" w:rsidR="002E5607" w:rsidRDefault="008959EF">
          <w:pPr>
            <w:pStyle w:val="TOC2"/>
            <w:rPr>
              <w:rFonts w:eastAsiaTheme="minorEastAsia" w:cstheme="minorBidi"/>
              <w:color w:val="auto"/>
              <w:sz w:val="22"/>
              <w:szCs w:val="22"/>
              <w:lang w:eastAsia="en-AU"/>
            </w:rPr>
          </w:pPr>
          <w:hyperlink w:anchor="_Toc126829050" w:history="1">
            <w:r w:rsidR="002E5607" w:rsidRPr="00A76F75">
              <w:rPr>
                <w:rStyle w:val="Hyperlink"/>
              </w:rPr>
              <w:t>Audience</w:t>
            </w:r>
            <w:r w:rsidR="002E5607">
              <w:rPr>
                <w:webHidden/>
              </w:rPr>
              <w:tab/>
            </w:r>
            <w:r w:rsidR="002E5607">
              <w:rPr>
                <w:webHidden/>
              </w:rPr>
              <w:fldChar w:fldCharType="begin"/>
            </w:r>
            <w:r w:rsidR="002E5607">
              <w:rPr>
                <w:webHidden/>
              </w:rPr>
              <w:instrText xml:space="preserve"> PAGEREF _Toc126829050 \h </w:instrText>
            </w:r>
            <w:r w:rsidR="002E5607">
              <w:rPr>
                <w:webHidden/>
              </w:rPr>
            </w:r>
            <w:r w:rsidR="002E5607">
              <w:rPr>
                <w:webHidden/>
              </w:rPr>
              <w:fldChar w:fldCharType="separate"/>
            </w:r>
            <w:r w:rsidR="00D7560D">
              <w:rPr>
                <w:webHidden/>
              </w:rPr>
              <w:t>3</w:t>
            </w:r>
            <w:r w:rsidR="002E5607">
              <w:rPr>
                <w:webHidden/>
              </w:rPr>
              <w:fldChar w:fldCharType="end"/>
            </w:r>
          </w:hyperlink>
        </w:p>
        <w:p w14:paraId="6DCCECBD" w14:textId="35BF62A7" w:rsidR="002E5607" w:rsidRDefault="008959EF">
          <w:pPr>
            <w:pStyle w:val="TOC2"/>
            <w:rPr>
              <w:rFonts w:eastAsiaTheme="minorEastAsia" w:cstheme="minorBidi"/>
              <w:color w:val="auto"/>
              <w:sz w:val="22"/>
              <w:szCs w:val="22"/>
              <w:lang w:eastAsia="en-AU"/>
            </w:rPr>
          </w:pPr>
          <w:hyperlink w:anchor="_Toc126829051" w:history="1">
            <w:r w:rsidR="002E5607" w:rsidRPr="00A76F75">
              <w:rPr>
                <w:rStyle w:val="Hyperlink"/>
              </w:rPr>
              <w:t>Resources</w:t>
            </w:r>
            <w:r w:rsidR="002E5607">
              <w:rPr>
                <w:webHidden/>
              </w:rPr>
              <w:tab/>
            </w:r>
            <w:r w:rsidR="002E5607">
              <w:rPr>
                <w:webHidden/>
              </w:rPr>
              <w:fldChar w:fldCharType="begin"/>
            </w:r>
            <w:r w:rsidR="002E5607">
              <w:rPr>
                <w:webHidden/>
              </w:rPr>
              <w:instrText xml:space="preserve"> PAGEREF _Toc126829051 \h </w:instrText>
            </w:r>
            <w:r w:rsidR="002E5607">
              <w:rPr>
                <w:webHidden/>
              </w:rPr>
            </w:r>
            <w:r w:rsidR="002E5607">
              <w:rPr>
                <w:webHidden/>
              </w:rPr>
              <w:fldChar w:fldCharType="separate"/>
            </w:r>
            <w:r w:rsidR="00D7560D">
              <w:rPr>
                <w:webHidden/>
              </w:rPr>
              <w:t>3</w:t>
            </w:r>
            <w:r w:rsidR="002E5607">
              <w:rPr>
                <w:webHidden/>
              </w:rPr>
              <w:fldChar w:fldCharType="end"/>
            </w:r>
          </w:hyperlink>
        </w:p>
        <w:p w14:paraId="69A2FE14" w14:textId="3233F0BF" w:rsidR="002E5607" w:rsidRDefault="008959EF">
          <w:pPr>
            <w:pStyle w:val="TOC2"/>
            <w:rPr>
              <w:rFonts w:eastAsiaTheme="minorEastAsia" w:cstheme="minorBidi"/>
              <w:color w:val="auto"/>
              <w:sz w:val="22"/>
              <w:szCs w:val="22"/>
              <w:lang w:eastAsia="en-AU"/>
            </w:rPr>
          </w:pPr>
          <w:hyperlink w:anchor="_Toc126829052" w:history="1">
            <w:r w:rsidR="002E5607" w:rsidRPr="00A76F75">
              <w:rPr>
                <w:rStyle w:val="Hyperlink"/>
              </w:rPr>
              <w:t>Benefits</w:t>
            </w:r>
            <w:r w:rsidR="002E5607">
              <w:rPr>
                <w:webHidden/>
              </w:rPr>
              <w:tab/>
            </w:r>
            <w:r w:rsidR="002E5607">
              <w:rPr>
                <w:webHidden/>
              </w:rPr>
              <w:fldChar w:fldCharType="begin"/>
            </w:r>
            <w:r w:rsidR="002E5607">
              <w:rPr>
                <w:webHidden/>
              </w:rPr>
              <w:instrText xml:space="preserve"> PAGEREF _Toc126829052 \h </w:instrText>
            </w:r>
            <w:r w:rsidR="002E5607">
              <w:rPr>
                <w:webHidden/>
              </w:rPr>
            </w:r>
            <w:r w:rsidR="002E5607">
              <w:rPr>
                <w:webHidden/>
              </w:rPr>
              <w:fldChar w:fldCharType="separate"/>
            </w:r>
            <w:r w:rsidR="00D7560D">
              <w:rPr>
                <w:webHidden/>
              </w:rPr>
              <w:t>4</w:t>
            </w:r>
            <w:r w:rsidR="002E5607">
              <w:rPr>
                <w:webHidden/>
              </w:rPr>
              <w:fldChar w:fldCharType="end"/>
            </w:r>
          </w:hyperlink>
        </w:p>
        <w:p w14:paraId="2CFA2301" w14:textId="72FFF428" w:rsidR="002E5607" w:rsidRDefault="008959EF">
          <w:pPr>
            <w:pStyle w:val="TOC2"/>
            <w:rPr>
              <w:rFonts w:eastAsiaTheme="minorEastAsia" w:cstheme="minorBidi"/>
              <w:color w:val="auto"/>
              <w:sz w:val="22"/>
              <w:szCs w:val="22"/>
              <w:lang w:eastAsia="en-AU"/>
            </w:rPr>
          </w:pPr>
          <w:hyperlink w:anchor="_Toc126829053" w:history="1">
            <w:r w:rsidR="002E5607" w:rsidRPr="00A76F75">
              <w:rPr>
                <w:rStyle w:val="Hyperlink"/>
              </w:rPr>
              <w:t>Regulatory Requirements</w:t>
            </w:r>
            <w:r w:rsidR="002E5607">
              <w:rPr>
                <w:webHidden/>
              </w:rPr>
              <w:tab/>
            </w:r>
            <w:r w:rsidR="002E5607">
              <w:rPr>
                <w:webHidden/>
              </w:rPr>
              <w:fldChar w:fldCharType="begin"/>
            </w:r>
            <w:r w:rsidR="002E5607">
              <w:rPr>
                <w:webHidden/>
              </w:rPr>
              <w:instrText xml:space="preserve"> PAGEREF _Toc126829053 \h </w:instrText>
            </w:r>
            <w:r w:rsidR="002E5607">
              <w:rPr>
                <w:webHidden/>
              </w:rPr>
            </w:r>
            <w:r w:rsidR="002E5607">
              <w:rPr>
                <w:webHidden/>
              </w:rPr>
              <w:fldChar w:fldCharType="separate"/>
            </w:r>
            <w:r w:rsidR="00D7560D">
              <w:rPr>
                <w:webHidden/>
              </w:rPr>
              <w:t>5</w:t>
            </w:r>
            <w:r w:rsidR="002E5607">
              <w:rPr>
                <w:webHidden/>
              </w:rPr>
              <w:fldChar w:fldCharType="end"/>
            </w:r>
          </w:hyperlink>
        </w:p>
        <w:p w14:paraId="131D99C2" w14:textId="0CD8C659" w:rsidR="002E5607" w:rsidRDefault="008959EF">
          <w:pPr>
            <w:pStyle w:val="TOC2"/>
            <w:rPr>
              <w:rFonts w:eastAsiaTheme="minorEastAsia" w:cstheme="minorBidi"/>
              <w:color w:val="auto"/>
              <w:sz w:val="22"/>
              <w:szCs w:val="22"/>
              <w:lang w:eastAsia="en-AU"/>
            </w:rPr>
          </w:pPr>
          <w:hyperlink w:anchor="_Toc126829054" w:history="1">
            <w:r w:rsidR="002E5607" w:rsidRPr="00A76F75">
              <w:rPr>
                <w:rStyle w:val="Hyperlink"/>
                <w:lang w:val="en-GB"/>
              </w:rPr>
              <w:t>Scope</w:t>
            </w:r>
            <w:r w:rsidR="002E5607">
              <w:rPr>
                <w:webHidden/>
              </w:rPr>
              <w:tab/>
            </w:r>
            <w:r w:rsidR="002E5607">
              <w:rPr>
                <w:webHidden/>
              </w:rPr>
              <w:fldChar w:fldCharType="begin"/>
            </w:r>
            <w:r w:rsidR="002E5607">
              <w:rPr>
                <w:webHidden/>
              </w:rPr>
              <w:instrText xml:space="preserve"> PAGEREF _Toc126829054 \h </w:instrText>
            </w:r>
            <w:r w:rsidR="002E5607">
              <w:rPr>
                <w:webHidden/>
              </w:rPr>
            </w:r>
            <w:r w:rsidR="002E5607">
              <w:rPr>
                <w:webHidden/>
              </w:rPr>
              <w:fldChar w:fldCharType="separate"/>
            </w:r>
            <w:r w:rsidR="00D7560D">
              <w:rPr>
                <w:webHidden/>
              </w:rPr>
              <w:t>6</w:t>
            </w:r>
            <w:r w:rsidR="002E5607">
              <w:rPr>
                <w:webHidden/>
              </w:rPr>
              <w:fldChar w:fldCharType="end"/>
            </w:r>
          </w:hyperlink>
        </w:p>
        <w:p w14:paraId="71A06A63" w14:textId="29338A93" w:rsidR="002E5607" w:rsidRPr="002E5607" w:rsidRDefault="008959EF" w:rsidP="002E5607">
          <w:pPr>
            <w:pStyle w:val="TOC1"/>
            <w:rPr>
              <w:rFonts w:asciiTheme="minorHAnsi" w:eastAsiaTheme="minorEastAsia" w:hAnsiTheme="minorHAnsi" w:cstheme="minorBidi"/>
              <w:szCs w:val="22"/>
              <w:lang w:eastAsia="en-AU"/>
            </w:rPr>
          </w:pPr>
          <w:hyperlink w:anchor="_Toc126829055" w:history="1">
            <w:r w:rsidR="002E5607" w:rsidRPr="002E5607">
              <w:rPr>
                <w:rStyle w:val="Hyperlink"/>
                <w:color w:val="auto"/>
              </w:rPr>
              <w:t>Framework</w:t>
            </w:r>
            <w:r w:rsidR="002E5607" w:rsidRPr="002E5607">
              <w:rPr>
                <w:webHidden/>
              </w:rPr>
              <w:tab/>
            </w:r>
            <w:r w:rsidR="002E5607" w:rsidRPr="002E5607">
              <w:rPr>
                <w:webHidden/>
              </w:rPr>
              <w:fldChar w:fldCharType="begin"/>
            </w:r>
            <w:r w:rsidR="002E5607" w:rsidRPr="002E5607">
              <w:rPr>
                <w:webHidden/>
              </w:rPr>
              <w:instrText xml:space="preserve"> PAGEREF _Toc126829055 \h </w:instrText>
            </w:r>
            <w:r w:rsidR="002E5607" w:rsidRPr="002E5607">
              <w:rPr>
                <w:webHidden/>
              </w:rPr>
            </w:r>
            <w:r w:rsidR="002E5607" w:rsidRPr="002E5607">
              <w:rPr>
                <w:webHidden/>
              </w:rPr>
              <w:fldChar w:fldCharType="separate"/>
            </w:r>
            <w:r w:rsidR="00D7560D">
              <w:rPr>
                <w:webHidden/>
              </w:rPr>
              <w:t>8</w:t>
            </w:r>
            <w:r w:rsidR="002E5607" w:rsidRPr="002E5607">
              <w:rPr>
                <w:webHidden/>
              </w:rPr>
              <w:fldChar w:fldCharType="end"/>
            </w:r>
          </w:hyperlink>
        </w:p>
        <w:p w14:paraId="321E39AC" w14:textId="7DACD3C8" w:rsidR="002E5607" w:rsidRDefault="008959EF">
          <w:pPr>
            <w:pStyle w:val="TOC2"/>
            <w:rPr>
              <w:rFonts w:eastAsiaTheme="minorEastAsia" w:cstheme="minorBidi"/>
              <w:color w:val="auto"/>
              <w:sz w:val="22"/>
              <w:szCs w:val="22"/>
              <w:lang w:eastAsia="en-AU"/>
            </w:rPr>
          </w:pPr>
          <w:hyperlink w:anchor="_Toc126829056" w:history="1">
            <w:r w:rsidR="002E5607" w:rsidRPr="00A76F75">
              <w:rPr>
                <w:rStyle w:val="Hyperlink"/>
              </w:rPr>
              <w:t>People</w:t>
            </w:r>
            <w:r w:rsidR="002E5607">
              <w:rPr>
                <w:webHidden/>
              </w:rPr>
              <w:tab/>
            </w:r>
            <w:r w:rsidR="002E5607">
              <w:rPr>
                <w:webHidden/>
              </w:rPr>
              <w:fldChar w:fldCharType="begin"/>
            </w:r>
            <w:r w:rsidR="002E5607">
              <w:rPr>
                <w:webHidden/>
              </w:rPr>
              <w:instrText xml:space="preserve"> PAGEREF _Toc126829056 \h </w:instrText>
            </w:r>
            <w:r w:rsidR="002E5607">
              <w:rPr>
                <w:webHidden/>
              </w:rPr>
            </w:r>
            <w:r w:rsidR="002E5607">
              <w:rPr>
                <w:webHidden/>
              </w:rPr>
              <w:fldChar w:fldCharType="separate"/>
            </w:r>
            <w:r w:rsidR="00D7560D">
              <w:rPr>
                <w:webHidden/>
              </w:rPr>
              <w:t>9</w:t>
            </w:r>
            <w:r w:rsidR="002E5607">
              <w:rPr>
                <w:webHidden/>
              </w:rPr>
              <w:fldChar w:fldCharType="end"/>
            </w:r>
          </w:hyperlink>
        </w:p>
        <w:p w14:paraId="4C974FEE" w14:textId="0C68C8CB" w:rsidR="002E5607" w:rsidRDefault="008959EF">
          <w:pPr>
            <w:pStyle w:val="TOC2"/>
            <w:rPr>
              <w:rFonts w:eastAsiaTheme="minorEastAsia" w:cstheme="minorBidi"/>
              <w:color w:val="auto"/>
              <w:sz w:val="22"/>
              <w:szCs w:val="22"/>
              <w:lang w:eastAsia="en-AU"/>
            </w:rPr>
          </w:pPr>
          <w:hyperlink w:anchor="_Toc126829057" w:history="1">
            <w:r w:rsidR="002E5607" w:rsidRPr="00A76F75">
              <w:rPr>
                <w:rStyle w:val="Hyperlink"/>
              </w:rPr>
              <w:t>Process</w:t>
            </w:r>
            <w:r w:rsidR="002E5607">
              <w:rPr>
                <w:webHidden/>
              </w:rPr>
              <w:tab/>
            </w:r>
            <w:r w:rsidR="002E5607">
              <w:rPr>
                <w:webHidden/>
              </w:rPr>
              <w:fldChar w:fldCharType="begin"/>
            </w:r>
            <w:r w:rsidR="002E5607">
              <w:rPr>
                <w:webHidden/>
              </w:rPr>
              <w:instrText xml:space="preserve"> PAGEREF _Toc126829057 \h </w:instrText>
            </w:r>
            <w:r w:rsidR="002E5607">
              <w:rPr>
                <w:webHidden/>
              </w:rPr>
            </w:r>
            <w:r w:rsidR="002E5607">
              <w:rPr>
                <w:webHidden/>
              </w:rPr>
              <w:fldChar w:fldCharType="separate"/>
            </w:r>
            <w:r w:rsidR="00D7560D">
              <w:rPr>
                <w:webHidden/>
              </w:rPr>
              <w:t>11</w:t>
            </w:r>
            <w:r w:rsidR="002E5607">
              <w:rPr>
                <w:webHidden/>
              </w:rPr>
              <w:fldChar w:fldCharType="end"/>
            </w:r>
          </w:hyperlink>
        </w:p>
        <w:p w14:paraId="63E22C22" w14:textId="31F90ADF" w:rsidR="002E5607" w:rsidRDefault="008959EF">
          <w:pPr>
            <w:pStyle w:val="TOC2"/>
            <w:rPr>
              <w:rFonts w:eastAsiaTheme="minorEastAsia" w:cstheme="minorBidi"/>
              <w:color w:val="auto"/>
              <w:sz w:val="22"/>
              <w:szCs w:val="22"/>
              <w:lang w:eastAsia="en-AU"/>
            </w:rPr>
          </w:pPr>
          <w:hyperlink w:anchor="_Toc126829058" w:history="1">
            <w:r w:rsidR="002E5607" w:rsidRPr="00A76F75">
              <w:rPr>
                <w:rStyle w:val="Hyperlink"/>
              </w:rPr>
              <w:t>Data</w:t>
            </w:r>
            <w:r w:rsidR="002E5607">
              <w:rPr>
                <w:webHidden/>
              </w:rPr>
              <w:tab/>
            </w:r>
            <w:r w:rsidR="002E5607">
              <w:rPr>
                <w:webHidden/>
              </w:rPr>
              <w:fldChar w:fldCharType="begin"/>
            </w:r>
            <w:r w:rsidR="002E5607">
              <w:rPr>
                <w:webHidden/>
              </w:rPr>
              <w:instrText xml:space="preserve"> PAGEREF _Toc126829058 \h </w:instrText>
            </w:r>
            <w:r w:rsidR="002E5607">
              <w:rPr>
                <w:webHidden/>
              </w:rPr>
            </w:r>
            <w:r w:rsidR="002E5607">
              <w:rPr>
                <w:webHidden/>
              </w:rPr>
              <w:fldChar w:fldCharType="separate"/>
            </w:r>
            <w:r w:rsidR="00D7560D">
              <w:rPr>
                <w:webHidden/>
              </w:rPr>
              <w:t>13</w:t>
            </w:r>
            <w:r w:rsidR="002E5607">
              <w:rPr>
                <w:webHidden/>
              </w:rPr>
              <w:fldChar w:fldCharType="end"/>
            </w:r>
          </w:hyperlink>
        </w:p>
        <w:p w14:paraId="76C409E9" w14:textId="675B323D" w:rsidR="002E5607" w:rsidRDefault="008959EF">
          <w:pPr>
            <w:pStyle w:val="TOC2"/>
            <w:rPr>
              <w:rFonts w:eastAsiaTheme="minorEastAsia" w:cstheme="minorBidi"/>
              <w:color w:val="auto"/>
              <w:sz w:val="22"/>
              <w:szCs w:val="22"/>
              <w:lang w:eastAsia="en-AU"/>
            </w:rPr>
          </w:pPr>
          <w:hyperlink w:anchor="_Toc126829059" w:history="1">
            <w:r w:rsidR="002E5607" w:rsidRPr="00A76F75">
              <w:rPr>
                <w:rStyle w:val="Hyperlink"/>
              </w:rPr>
              <w:t>Technology</w:t>
            </w:r>
            <w:r w:rsidR="002E5607">
              <w:rPr>
                <w:webHidden/>
              </w:rPr>
              <w:tab/>
            </w:r>
            <w:r w:rsidR="002E5607">
              <w:rPr>
                <w:webHidden/>
              </w:rPr>
              <w:fldChar w:fldCharType="begin"/>
            </w:r>
            <w:r w:rsidR="002E5607">
              <w:rPr>
                <w:webHidden/>
              </w:rPr>
              <w:instrText xml:space="preserve"> PAGEREF _Toc126829059 \h </w:instrText>
            </w:r>
            <w:r w:rsidR="002E5607">
              <w:rPr>
                <w:webHidden/>
              </w:rPr>
            </w:r>
            <w:r w:rsidR="002E5607">
              <w:rPr>
                <w:webHidden/>
              </w:rPr>
              <w:fldChar w:fldCharType="separate"/>
            </w:r>
            <w:r w:rsidR="00D7560D">
              <w:rPr>
                <w:webHidden/>
              </w:rPr>
              <w:t>14</w:t>
            </w:r>
            <w:r w:rsidR="002E5607">
              <w:rPr>
                <w:webHidden/>
              </w:rPr>
              <w:fldChar w:fldCharType="end"/>
            </w:r>
          </w:hyperlink>
        </w:p>
        <w:p w14:paraId="59BD2F9F" w14:textId="7EE6324C" w:rsidR="002E5607" w:rsidRDefault="008959EF">
          <w:pPr>
            <w:pStyle w:val="TOC2"/>
            <w:rPr>
              <w:rFonts w:eastAsiaTheme="minorEastAsia" w:cstheme="minorBidi"/>
              <w:color w:val="auto"/>
              <w:sz w:val="22"/>
              <w:szCs w:val="22"/>
              <w:lang w:eastAsia="en-AU"/>
            </w:rPr>
          </w:pPr>
          <w:hyperlink w:anchor="_Toc126829060" w:history="1">
            <w:r w:rsidR="002E5607" w:rsidRPr="00A76F75">
              <w:rPr>
                <w:rStyle w:val="Hyperlink"/>
              </w:rPr>
              <w:t>Key Performance Indicators</w:t>
            </w:r>
            <w:r w:rsidR="002E5607">
              <w:rPr>
                <w:webHidden/>
              </w:rPr>
              <w:tab/>
            </w:r>
            <w:r w:rsidR="002E5607">
              <w:rPr>
                <w:webHidden/>
              </w:rPr>
              <w:fldChar w:fldCharType="begin"/>
            </w:r>
            <w:r w:rsidR="002E5607">
              <w:rPr>
                <w:webHidden/>
              </w:rPr>
              <w:instrText xml:space="preserve"> PAGEREF _Toc126829060 \h </w:instrText>
            </w:r>
            <w:r w:rsidR="002E5607">
              <w:rPr>
                <w:webHidden/>
              </w:rPr>
            </w:r>
            <w:r w:rsidR="002E5607">
              <w:rPr>
                <w:webHidden/>
              </w:rPr>
              <w:fldChar w:fldCharType="separate"/>
            </w:r>
            <w:r w:rsidR="00D7560D">
              <w:rPr>
                <w:webHidden/>
              </w:rPr>
              <w:t>15</w:t>
            </w:r>
            <w:r w:rsidR="002E5607">
              <w:rPr>
                <w:webHidden/>
              </w:rPr>
              <w:fldChar w:fldCharType="end"/>
            </w:r>
          </w:hyperlink>
        </w:p>
        <w:p w14:paraId="49D8C9E4" w14:textId="749ADF4E" w:rsidR="002E5607" w:rsidRDefault="008959EF">
          <w:pPr>
            <w:pStyle w:val="TOC2"/>
            <w:rPr>
              <w:rFonts w:eastAsiaTheme="minorEastAsia" w:cstheme="minorBidi"/>
              <w:color w:val="auto"/>
              <w:sz w:val="22"/>
              <w:szCs w:val="22"/>
              <w:lang w:eastAsia="en-AU"/>
            </w:rPr>
          </w:pPr>
          <w:hyperlink w:anchor="_Toc126829061" w:history="1">
            <w:r w:rsidR="002E5607" w:rsidRPr="00A76F75">
              <w:rPr>
                <w:rStyle w:val="Hyperlink"/>
              </w:rPr>
              <w:t>Reporting</w:t>
            </w:r>
            <w:r w:rsidR="002E5607">
              <w:rPr>
                <w:webHidden/>
              </w:rPr>
              <w:tab/>
            </w:r>
            <w:r w:rsidR="002E5607">
              <w:rPr>
                <w:webHidden/>
              </w:rPr>
              <w:fldChar w:fldCharType="begin"/>
            </w:r>
            <w:r w:rsidR="002E5607">
              <w:rPr>
                <w:webHidden/>
              </w:rPr>
              <w:instrText xml:space="preserve"> PAGEREF _Toc126829061 \h </w:instrText>
            </w:r>
            <w:r w:rsidR="002E5607">
              <w:rPr>
                <w:webHidden/>
              </w:rPr>
            </w:r>
            <w:r w:rsidR="002E5607">
              <w:rPr>
                <w:webHidden/>
              </w:rPr>
              <w:fldChar w:fldCharType="separate"/>
            </w:r>
            <w:r w:rsidR="00D7560D">
              <w:rPr>
                <w:webHidden/>
              </w:rPr>
              <w:t>16</w:t>
            </w:r>
            <w:r w:rsidR="002E5607">
              <w:rPr>
                <w:webHidden/>
              </w:rPr>
              <w:fldChar w:fldCharType="end"/>
            </w:r>
          </w:hyperlink>
        </w:p>
        <w:p w14:paraId="1CC61595" w14:textId="6119B69A" w:rsidR="002E5607" w:rsidRDefault="008959EF">
          <w:pPr>
            <w:pStyle w:val="TOC2"/>
            <w:rPr>
              <w:rFonts w:eastAsiaTheme="minorEastAsia" w:cstheme="minorBidi"/>
              <w:color w:val="auto"/>
              <w:sz w:val="22"/>
              <w:szCs w:val="22"/>
              <w:lang w:eastAsia="en-AU"/>
            </w:rPr>
          </w:pPr>
          <w:hyperlink w:anchor="_Toc126829062" w:history="1">
            <w:r w:rsidR="002E5607" w:rsidRPr="00A76F75">
              <w:rPr>
                <w:rStyle w:val="Hyperlink"/>
              </w:rPr>
              <w:t>Implementation</w:t>
            </w:r>
            <w:r w:rsidR="002E5607">
              <w:rPr>
                <w:webHidden/>
              </w:rPr>
              <w:tab/>
            </w:r>
            <w:r w:rsidR="002E5607">
              <w:rPr>
                <w:webHidden/>
              </w:rPr>
              <w:fldChar w:fldCharType="begin"/>
            </w:r>
            <w:r w:rsidR="002E5607">
              <w:rPr>
                <w:webHidden/>
              </w:rPr>
              <w:instrText xml:space="preserve"> PAGEREF _Toc126829062 \h </w:instrText>
            </w:r>
            <w:r w:rsidR="002E5607">
              <w:rPr>
                <w:webHidden/>
              </w:rPr>
            </w:r>
            <w:r w:rsidR="002E5607">
              <w:rPr>
                <w:webHidden/>
              </w:rPr>
              <w:fldChar w:fldCharType="separate"/>
            </w:r>
            <w:r w:rsidR="00D7560D">
              <w:rPr>
                <w:webHidden/>
              </w:rPr>
              <w:t>18</w:t>
            </w:r>
            <w:r w:rsidR="002E5607">
              <w:rPr>
                <w:webHidden/>
              </w:rPr>
              <w:fldChar w:fldCharType="end"/>
            </w:r>
          </w:hyperlink>
        </w:p>
        <w:p w14:paraId="7636C23A" w14:textId="50F95869" w:rsidR="002E5607" w:rsidRDefault="008959EF">
          <w:pPr>
            <w:pStyle w:val="TOC2"/>
            <w:rPr>
              <w:rFonts w:eastAsiaTheme="minorEastAsia" w:cstheme="minorBidi"/>
              <w:color w:val="auto"/>
              <w:sz w:val="22"/>
              <w:szCs w:val="22"/>
              <w:lang w:eastAsia="en-AU"/>
            </w:rPr>
          </w:pPr>
          <w:hyperlink w:anchor="_Toc126829063" w:history="1">
            <w:r w:rsidR="002E5607" w:rsidRPr="00A76F75">
              <w:rPr>
                <w:rStyle w:val="Hyperlink"/>
              </w:rPr>
              <w:t>References</w:t>
            </w:r>
            <w:r w:rsidR="002E5607">
              <w:rPr>
                <w:webHidden/>
              </w:rPr>
              <w:tab/>
            </w:r>
            <w:r w:rsidR="002E5607">
              <w:rPr>
                <w:webHidden/>
              </w:rPr>
              <w:fldChar w:fldCharType="begin"/>
            </w:r>
            <w:r w:rsidR="002E5607">
              <w:rPr>
                <w:webHidden/>
              </w:rPr>
              <w:instrText xml:space="preserve"> PAGEREF _Toc126829063 \h </w:instrText>
            </w:r>
            <w:r w:rsidR="002E5607">
              <w:rPr>
                <w:webHidden/>
              </w:rPr>
            </w:r>
            <w:r w:rsidR="002E5607">
              <w:rPr>
                <w:webHidden/>
              </w:rPr>
              <w:fldChar w:fldCharType="separate"/>
            </w:r>
            <w:r w:rsidR="00D7560D">
              <w:rPr>
                <w:webHidden/>
              </w:rPr>
              <w:t>22</w:t>
            </w:r>
            <w:r w:rsidR="002E5607">
              <w:rPr>
                <w:webHidden/>
              </w:rPr>
              <w:fldChar w:fldCharType="end"/>
            </w:r>
          </w:hyperlink>
        </w:p>
        <w:p w14:paraId="3ED05F90" w14:textId="2DC627C1" w:rsidR="007A5FF8" w:rsidRDefault="00262E24" w:rsidP="002E5607">
          <w:pPr>
            <w:pStyle w:val="TOC1"/>
          </w:pPr>
          <w:r>
            <w:fldChar w:fldCharType="end"/>
          </w:r>
        </w:p>
      </w:sdtContent>
    </w:sdt>
    <w:tbl>
      <w:tblPr>
        <w:tblStyle w:val="TableGrid"/>
        <w:tblW w:w="9214" w:type="dxa"/>
        <w:tblLook w:val="04A0" w:firstRow="1" w:lastRow="0" w:firstColumn="1" w:lastColumn="0" w:noHBand="0" w:noVBand="1"/>
      </w:tblPr>
      <w:tblGrid>
        <w:gridCol w:w="2222"/>
        <w:gridCol w:w="6992"/>
      </w:tblGrid>
      <w:tr w:rsidR="0001598F" w:rsidRPr="00732A41" w14:paraId="09773AD7" w14:textId="77777777" w:rsidTr="004E786C">
        <w:tc>
          <w:tcPr>
            <w:tcW w:w="2222" w:type="dxa"/>
          </w:tcPr>
          <w:p w14:paraId="41C48242" w14:textId="77777777" w:rsidR="0001598F" w:rsidRPr="00F44D61" w:rsidRDefault="0001598F" w:rsidP="004E786C">
            <w:pPr>
              <w:pStyle w:val="DPCtablecolhead"/>
              <w:rPr>
                <w:sz w:val="16"/>
                <w:szCs w:val="16"/>
              </w:rPr>
            </w:pPr>
            <w:r w:rsidRPr="00F44D61">
              <w:rPr>
                <w:sz w:val="16"/>
                <w:szCs w:val="16"/>
              </w:rPr>
              <w:t>Document</w:t>
            </w:r>
          </w:p>
        </w:tc>
        <w:tc>
          <w:tcPr>
            <w:tcW w:w="6992" w:type="dxa"/>
          </w:tcPr>
          <w:p w14:paraId="2AC6033E" w14:textId="77777777" w:rsidR="0001598F" w:rsidRPr="00F44D61" w:rsidRDefault="0001598F" w:rsidP="004E786C">
            <w:pPr>
              <w:pStyle w:val="DPCtablecolhead"/>
              <w:rPr>
                <w:sz w:val="16"/>
                <w:szCs w:val="16"/>
              </w:rPr>
            </w:pPr>
          </w:p>
        </w:tc>
      </w:tr>
      <w:tr w:rsidR="0001598F" w:rsidRPr="00732A41" w14:paraId="5E72DAFF" w14:textId="77777777" w:rsidTr="004E786C">
        <w:tc>
          <w:tcPr>
            <w:tcW w:w="2222" w:type="dxa"/>
          </w:tcPr>
          <w:p w14:paraId="3E19115D" w14:textId="77777777" w:rsidR="0001598F" w:rsidRPr="00F44D61" w:rsidRDefault="0001598F" w:rsidP="004E786C">
            <w:pPr>
              <w:pStyle w:val="DPCtabletext"/>
              <w:rPr>
                <w:sz w:val="16"/>
                <w:szCs w:val="16"/>
              </w:rPr>
            </w:pPr>
            <w:r>
              <w:rPr>
                <w:sz w:val="16"/>
                <w:szCs w:val="16"/>
              </w:rPr>
              <w:t>Name</w:t>
            </w:r>
          </w:p>
        </w:tc>
        <w:tc>
          <w:tcPr>
            <w:tcW w:w="6992" w:type="dxa"/>
          </w:tcPr>
          <w:p w14:paraId="62BBECA8" w14:textId="77777777" w:rsidR="0001598F" w:rsidRPr="00F44D61" w:rsidRDefault="0001598F" w:rsidP="004E786C">
            <w:pPr>
              <w:pStyle w:val="DPCtabletext"/>
              <w:rPr>
                <w:sz w:val="16"/>
                <w:szCs w:val="16"/>
              </w:rPr>
            </w:pPr>
            <w:r>
              <w:rPr>
                <w:sz w:val="16"/>
                <w:szCs w:val="16"/>
              </w:rPr>
              <w:t>WoVG IT Asset Management</w:t>
            </w:r>
            <w:r w:rsidRPr="0088303C">
              <w:rPr>
                <w:sz w:val="16"/>
                <w:szCs w:val="16"/>
              </w:rPr>
              <w:t xml:space="preserve"> Guidance</w:t>
            </w:r>
          </w:p>
        </w:tc>
      </w:tr>
      <w:tr w:rsidR="0001598F" w:rsidRPr="00732A41" w14:paraId="0E732353" w14:textId="77777777" w:rsidTr="004E786C">
        <w:tc>
          <w:tcPr>
            <w:tcW w:w="2222" w:type="dxa"/>
          </w:tcPr>
          <w:p w14:paraId="77484D0A" w14:textId="77777777" w:rsidR="0001598F" w:rsidRDefault="0001598F" w:rsidP="004E786C">
            <w:pPr>
              <w:pStyle w:val="DPCtabletext"/>
              <w:rPr>
                <w:sz w:val="16"/>
                <w:szCs w:val="16"/>
              </w:rPr>
            </w:pPr>
            <w:r>
              <w:rPr>
                <w:sz w:val="16"/>
                <w:szCs w:val="16"/>
              </w:rPr>
              <w:t>Reference</w:t>
            </w:r>
          </w:p>
        </w:tc>
        <w:tc>
          <w:tcPr>
            <w:tcW w:w="6992" w:type="dxa"/>
          </w:tcPr>
          <w:p w14:paraId="2BC061C2" w14:textId="77777777" w:rsidR="0001598F" w:rsidRPr="00F44D61" w:rsidRDefault="0001598F" w:rsidP="004E786C">
            <w:pPr>
              <w:pStyle w:val="DPCtabletext"/>
              <w:rPr>
                <w:sz w:val="16"/>
                <w:szCs w:val="16"/>
              </w:rPr>
            </w:pPr>
            <w:r>
              <w:rPr>
                <w:sz w:val="16"/>
                <w:szCs w:val="16"/>
              </w:rPr>
              <w:t>VG-CISO Guidance V1.5 – IT Asset Management</w:t>
            </w:r>
          </w:p>
        </w:tc>
      </w:tr>
      <w:tr w:rsidR="0001598F" w:rsidRPr="00732A41" w14:paraId="44B0325E" w14:textId="77777777" w:rsidTr="004E786C">
        <w:tc>
          <w:tcPr>
            <w:tcW w:w="2222" w:type="dxa"/>
          </w:tcPr>
          <w:p w14:paraId="721EE471" w14:textId="77777777" w:rsidR="0001598F" w:rsidRPr="00F44D61" w:rsidRDefault="0001598F" w:rsidP="004E786C">
            <w:pPr>
              <w:pStyle w:val="DPCtabletext"/>
              <w:rPr>
                <w:sz w:val="16"/>
                <w:szCs w:val="16"/>
              </w:rPr>
            </w:pPr>
            <w:r w:rsidRPr="00F44D61">
              <w:rPr>
                <w:sz w:val="16"/>
                <w:szCs w:val="16"/>
              </w:rPr>
              <w:t>Approved</w:t>
            </w:r>
          </w:p>
        </w:tc>
        <w:tc>
          <w:tcPr>
            <w:tcW w:w="6992" w:type="dxa"/>
          </w:tcPr>
          <w:p w14:paraId="262EB338" w14:textId="77777777" w:rsidR="0001598F" w:rsidRPr="00F44D61" w:rsidRDefault="0001598F" w:rsidP="004E786C">
            <w:pPr>
              <w:pStyle w:val="DPCtabletext"/>
              <w:rPr>
                <w:sz w:val="16"/>
                <w:szCs w:val="16"/>
              </w:rPr>
            </w:pPr>
            <w:r>
              <w:rPr>
                <w:sz w:val="16"/>
                <w:szCs w:val="16"/>
              </w:rPr>
              <w:t>David Cullen</w:t>
            </w:r>
          </w:p>
          <w:p w14:paraId="689E4209" w14:textId="77777777" w:rsidR="0001598F" w:rsidRDefault="0001598F" w:rsidP="004E786C">
            <w:pPr>
              <w:pStyle w:val="DPCtabletext"/>
              <w:rPr>
                <w:sz w:val="16"/>
                <w:szCs w:val="16"/>
              </w:rPr>
            </w:pPr>
            <w:r w:rsidRPr="00F44D61">
              <w:rPr>
                <w:sz w:val="16"/>
                <w:szCs w:val="16"/>
              </w:rPr>
              <w:t>Victorian Government Chief Information Security Officer</w:t>
            </w:r>
          </w:p>
          <w:p w14:paraId="1A58332E" w14:textId="77777777" w:rsidR="0001598F" w:rsidRPr="00F44D61" w:rsidRDefault="0001598F" w:rsidP="004E786C">
            <w:pPr>
              <w:pStyle w:val="DPCtabletext"/>
              <w:rPr>
                <w:sz w:val="16"/>
                <w:szCs w:val="16"/>
              </w:rPr>
            </w:pPr>
            <w:r>
              <w:rPr>
                <w:sz w:val="16"/>
                <w:szCs w:val="16"/>
              </w:rPr>
              <w:t>Cyber Security Branch, Digital Victoria</w:t>
            </w:r>
          </w:p>
        </w:tc>
      </w:tr>
      <w:tr w:rsidR="0001598F" w:rsidRPr="00732A41" w14:paraId="1432FC7E" w14:textId="77777777" w:rsidTr="004E786C">
        <w:tc>
          <w:tcPr>
            <w:tcW w:w="2222" w:type="dxa"/>
          </w:tcPr>
          <w:p w14:paraId="36892501" w14:textId="77777777" w:rsidR="0001598F" w:rsidRPr="00F44D61" w:rsidRDefault="0001598F" w:rsidP="004E786C">
            <w:pPr>
              <w:pStyle w:val="DPCtabletext"/>
              <w:rPr>
                <w:sz w:val="16"/>
                <w:szCs w:val="16"/>
              </w:rPr>
            </w:pPr>
            <w:r>
              <w:rPr>
                <w:sz w:val="16"/>
                <w:szCs w:val="16"/>
              </w:rPr>
              <w:t>Issued</w:t>
            </w:r>
          </w:p>
        </w:tc>
        <w:tc>
          <w:tcPr>
            <w:tcW w:w="6992" w:type="dxa"/>
          </w:tcPr>
          <w:p w14:paraId="465D5D92" w14:textId="77777777" w:rsidR="0001598F" w:rsidRPr="00F44D61" w:rsidRDefault="0001598F" w:rsidP="004E786C">
            <w:pPr>
              <w:pStyle w:val="DPCtabletext"/>
              <w:rPr>
                <w:sz w:val="16"/>
                <w:szCs w:val="16"/>
              </w:rPr>
            </w:pPr>
            <w:r>
              <w:rPr>
                <w:sz w:val="16"/>
                <w:szCs w:val="16"/>
              </w:rPr>
              <w:t>Xavier Brouwer</w:t>
            </w:r>
          </w:p>
          <w:p w14:paraId="06DB8B73" w14:textId="77777777" w:rsidR="0001598F" w:rsidRDefault="0001598F" w:rsidP="004E786C">
            <w:pPr>
              <w:pStyle w:val="DPCtabletext"/>
              <w:rPr>
                <w:sz w:val="16"/>
                <w:szCs w:val="16"/>
              </w:rPr>
            </w:pPr>
            <w:r w:rsidRPr="00F44D61">
              <w:rPr>
                <w:sz w:val="16"/>
                <w:szCs w:val="16"/>
              </w:rPr>
              <w:t xml:space="preserve">Victorian Government </w:t>
            </w:r>
            <w:r>
              <w:rPr>
                <w:sz w:val="16"/>
                <w:szCs w:val="16"/>
              </w:rPr>
              <w:t>Lead Security Architect</w:t>
            </w:r>
          </w:p>
          <w:p w14:paraId="2F817359" w14:textId="77777777" w:rsidR="0001598F" w:rsidRPr="00F44D61" w:rsidRDefault="0001598F" w:rsidP="004E786C">
            <w:pPr>
              <w:pStyle w:val="DPCtabletext"/>
              <w:rPr>
                <w:sz w:val="16"/>
                <w:szCs w:val="16"/>
              </w:rPr>
            </w:pPr>
            <w:r>
              <w:rPr>
                <w:sz w:val="16"/>
                <w:szCs w:val="16"/>
              </w:rPr>
              <w:t>Cyber Security Branch, Digital Victoria</w:t>
            </w:r>
          </w:p>
        </w:tc>
      </w:tr>
      <w:tr w:rsidR="0001598F" w:rsidRPr="00732A41" w14:paraId="117E9FD3" w14:textId="77777777" w:rsidTr="004E786C">
        <w:tc>
          <w:tcPr>
            <w:tcW w:w="2222" w:type="dxa"/>
          </w:tcPr>
          <w:p w14:paraId="030D3B7A" w14:textId="77777777" w:rsidR="0001598F" w:rsidRPr="00F44D61" w:rsidRDefault="0001598F" w:rsidP="004E786C">
            <w:pPr>
              <w:pStyle w:val="DPCtabletext"/>
              <w:rPr>
                <w:sz w:val="16"/>
                <w:szCs w:val="16"/>
              </w:rPr>
            </w:pPr>
            <w:r w:rsidRPr="00F44D61">
              <w:rPr>
                <w:sz w:val="16"/>
                <w:szCs w:val="16"/>
              </w:rPr>
              <w:t xml:space="preserve">Authority </w:t>
            </w:r>
          </w:p>
        </w:tc>
        <w:tc>
          <w:tcPr>
            <w:tcW w:w="6992" w:type="dxa"/>
          </w:tcPr>
          <w:p w14:paraId="2DAF78A9" w14:textId="77777777" w:rsidR="0001598F" w:rsidRDefault="0001598F" w:rsidP="004E786C">
            <w:pPr>
              <w:pStyle w:val="DPCtabletext"/>
              <w:rPr>
                <w:sz w:val="16"/>
                <w:szCs w:val="16"/>
              </w:rPr>
            </w:pPr>
            <w:r>
              <w:rPr>
                <w:sz w:val="16"/>
                <w:szCs w:val="16"/>
              </w:rPr>
              <w:t>Victorian Government Cyber Security Strategy 2021/2022</w:t>
            </w:r>
          </w:p>
          <w:p w14:paraId="3FB4ADDC" w14:textId="77777777" w:rsidR="0001598F" w:rsidRPr="00621C99" w:rsidRDefault="0001598F" w:rsidP="004E786C">
            <w:pPr>
              <w:autoSpaceDE w:val="0"/>
              <w:autoSpaceDN w:val="0"/>
              <w:adjustRightInd w:val="0"/>
              <w:rPr>
                <w:i/>
                <w:iCs/>
                <w:sz w:val="16"/>
                <w:szCs w:val="16"/>
              </w:rPr>
            </w:pPr>
            <w:r w:rsidRPr="00621C99">
              <w:rPr>
                <w:i/>
                <w:iCs/>
                <w:sz w:val="16"/>
                <w:szCs w:val="16"/>
              </w:rPr>
              <w:t>1.1 Develop an IT asset management guideline in line with</w:t>
            </w:r>
            <w:r>
              <w:rPr>
                <w:i/>
                <w:iCs/>
                <w:sz w:val="16"/>
                <w:szCs w:val="16"/>
              </w:rPr>
              <w:t xml:space="preserve"> </w:t>
            </w:r>
            <w:r w:rsidRPr="00621C99">
              <w:rPr>
                <w:i/>
                <w:iCs/>
                <w:sz w:val="16"/>
                <w:szCs w:val="16"/>
              </w:rPr>
              <w:t>Asset Management Accountability Framework (AMAF) and</w:t>
            </w:r>
            <w:r>
              <w:rPr>
                <w:i/>
                <w:iCs/>
                <w:sz w:val="16"/>
                <w:szCs w:val="16"/>
              </w:rPr>
              <w:t xml:space="preserve"> </w:t>
            </w:r>
            <w:r w:rsidRPr="00621C99">
              <w:rPr>
                <w:i/>
                <w:iCs/>
                <w:sz w:val="16"/>
                <w:szCs w:val="16"/>
              </w:rPr>
              <w:t>Victorian Protective Data Security Framework (VPDSF)</w:t>
            </w:r>
            <w:r>
              <w:rPr>
                <w:i/>
                <w:iCs/>
                <w:sz w:val="16"/>
                <w:szCs w:val="16"/>
              </w:rPr>
              <w:t xml:space="preserve"> </w:t>
            </w:r>
            <w:r w:rsidRPr="00621C99">
              <w:rPr>
                <w:i/>
                <w:iCs/>
                <w:sz w:val="16"/>
                <w:szCs w:val="16"/>
              </w:rPr>
              <w:t>requirements.</w:t>
            </w:r>
          </w:p>
        </w:tc>
      </w:tr>
      <w:tr w:rsidR="0001598F" w:rsidRPr="00732A41" w14:paraId="24422BCF" w14:textId="77777777" w:rsidTr="004E786C">
        <w:tc>
          <w:tcPr>
            <w:tcW w:w="2222" w:type="dxa"/>
          </w:tcPr>
          <w:p w14:paraId="41C61F65" w14:textId="77777777" w:rsidR="0001598F" w:rsidRPr="00F44D61" w:rsidRDefault="0001598F" w:rsidP="004E786C">
            <w:pPr>
              <w:pStyle w:val="DPCtabletext"/>
              <w:rPr>
                <w:sz w:val="16"/>
                <w:szCs w:val="16"/>
              </w:rPr>
            </w:pPr>
            <w:r w:rsidRPr="00F44D61">
              <w:rPr>
                <w:sz w:val="16"/>
                <w:szCs w:val="16"/>
              </w:rPr>
              <w:t>Contact for updates</w:t>
            </w:r>
          </w:p>
        </w:tc>
        <w:tc>
          <w:tcPr>
            <w:tcW w:w="6992" w:type="dxa"/>
          </w:tcPr>
          <w:p w14:paraId="68AF32F1" w14:textId="77777777" w:rsidR="0001598F" w:rsidRPr="00F44D61" w:rsidRDefault="008959EF" w:rsidP="004E786C">
            <w:pPr>
              <w:pStyle w:val="DPCtabletext"/>
              <w:rPr>
                <w:sz w:val="16"/>
                <w:szCs w:val="16"/>
              </w:rPr>
            </w:pPr>
            <w:hyperlink r:id="rId17" w:history="1">
              <w:r w:rsidR="0001598F" w:rsidRPr="00F44D61">
                <w:rPr>
                  <w:rStyle w:val="Hyperlink"/>
                  <w:sz w:val="16"/>
                  <w:szCs w:val="16"/>
                </w:rPr>
                <w:t>vicgov.ciso@dpc.vic.gov.au</w:t>
              </w:r>
            </w:hyperlink>
          </w:p>
        </w:tc>
      </w:tr>
      <w:tr w:rsidR="0001598F" w:rsidRPr="00732A41" w14:paraId="35698EBD" w14:textId="77777777" w:rsidTr="004E786C">
        <w:tc>
          <w:tcPr>
            <w:tcW w:w="2222" w:type="dxa"/>
          </w:tcPr>
          <w:p w14:paraId="19975907" w14:textId="77777777" w:rsidR="0001598F" w:rsidRPr="00F44D61" w:rsidRDefault="0001598F" w:rsidP="004E786C">
            <w:pPr>
              <w:pStyle w:val="DPCtabletext"/>
              <w:rPr>
                <w:sz w:val="16"/>
                <w:szCs w:val="16"/>
              </w:rPr>
            </w:pPr>
            <w:r w:rsidRPr="00F44D61">
              <w:rPr>
                <w:sz w:val="16"/>
                <w:szCs w:val="16"/>
              </w:rPr>
              <w:t>Registration</w:t>
            </w:r>
          </w:p>
        </w:tc>
        <w:tc>
          <w:tcPr>
            <w:tcW w:w="6992" w:type="dxa"/>
          </w:tcPr>
          <w:p w14:paraId="5E3F1731" w14:textId="77777777" w:rsidR="0001598F" w:rsidRPr="00F44D61" w:rsidRDefault="0001598F" w:rsidP="004E786C">
            <w:pPr>
              <w:pStyle w:val="DPCtabletext"/>
              <w:rPr>
                <w:sz w:val="16"/>
                <w:szCs w:val="16"/>
              </w:rPr>
            </w:pPr>
            <w:r>
              <w:rPr>
                <w:sz w:val="16"/>
                <w:szCs w:val="16"/>
              </w:rPr>
              <w:t xml:space="preserve">Version 1.5, </w:t>
            </w:r>
            <w:r w:rsidRPr="00AE3F4B">
              <w:rPr>
                <w:sz w:val="16"/>
                <w:szCs w:val="16"/>
              </w:rPr>
              <w:t>D21/1</w:t>
            </w:r>
            <w:r>
              <w:rPr>
                <w:sz w:val="16"/>
                <w:szCs w:val="16"/>
              </w:rPr>
              <w:t>50630</w:t>
            </w:r>
          </w:p>
        </w:tc>
      </w:tr>
    </w:tbl>
    <w:p w14:paraId="4EDD0BB8" w14:textId="14F2B8CA" w:rsidR="00262E24" w:rsidRPr="007A5FF8" w:rsidRDefault="00262E24" w:rsidP="00C11BA5">
      <w:r>
        <w:br w:type="page"/>
      </w:r>
    </w:p>
    <w:p w14:paraId="51F243A6" w14:textId="1F424D07" w:rsidR="00280C27" w:rsidRDefault="00BC3C10" w:rsidP="007F5842">
      <w:pPr>
        <w:pStyle w:val="Heading2"/>
        <w:rPr>
          <w:b/>
          <w:bCs/>
          <w:color w:val="545759" w:themeColor="text2"/>
          <w:spacing w:val="0"/>
          <w:sz w:val="44"/>
          <w:szCs w:val="44"/>
        </w:rPr>
      </w:pPr>
      <w:bookmarkStart w:id="1" w:name="_Toc126829048"/>
      <w:r>
        <w:rPr>
          <w:b/>
          <w:bCs/>
          <w:color w:val="545759" w:themeColor="text2"/>
          <w:spacing w:val="0"/>
          <w:sz w:val="44"/>
          <w:szCs w:val="44"/>
        </w:rPr>
        <w:lastRenderedPageBreak/>
        <w:t>Context</w:t>
      </w:r>
      <w:bookmarkEnd w:id="1"/>
    </w:p>
    <w:p w14:paraId="000CA677" w14:textId="6A9F3384" w:rsidR="009B1C2E" w:rsidRPr="007F5842" w:rsidRDefault="00280C27" w:rsidP="007F5842">
      <w:pPr>
        <w:pStyle w:val="Heading2"/>
      </w:pPr>
      <w:bookmarkStart w:id="2" w:name="_Toc126829049"/>
      <w:r>
        <w:t>Purpose</w:t>
      </w:r>
      <w:bookmarkEnd w:id="2"/>
    </w:p>
    <w:p w14:paraId="1A20DE5C" w14:textId="4A56BFB7" w:rsidR="007F4D5B" w:rsidRDefault="007F4D5B" w:rsidP="00F25A07">
      <w:pPr>
        <w:pStyle w:val="Heading3"/>
        <w:rPr>
          <w:rFonts w:asciiTheme="minorHAnsi" w:hAnsiTheme="minorHAnsi"/>
          <w:b w:val="0"/>
          <w:color w:val="000000" w:themeColor="text1"/>
          <w:sz w:val="22"/>
          <w:szCs w:val="21"/>
        </w:rPr>
      </w:pPr>
      <w:r w:rsidRPr="007F4D5B">
        <w:rPr>
          <w:rFonts w:asciiTheme="minorHAnsi" w:hAnsiTheme="minorHAnsi"/>
          <w:b w:val="0"/>
          <w:color w:val="000000" w:themeColor="text1"/>
          <w:sz w:val="22"/>
          <w:szCs w:val="21"/>
        </w:rPr>
        <w:t>To effectively manage IT and Cyber</w:t>
      </w:r>
      <w:r w:rsidR="007A30E5">
        <w:rPr>
          <w:rFonts w:asciiTheme="minorHAnsi" w:hAnsiTheme="minorHAnsi"/>
          <w:b w:val="0"/>
          <w:color w:val="000000" w:themeColor="text1"/>
          <w:sz w:val="22"/>
          <w:szCs w:val="21"/>
        </w:rPr>
        <w:t>s</w:t>
      </w:r>
      <w:r w:rsidRPr="007F4D5B">
        <w:rPr>
          <w:rFonts w:asciiTheme="minorHAnsi" w:hAnsiTheme="minorHAnsi"/>
          <w:b w:val="0"/>
          <w:color w:val="000000" w:themeColor="text1"/>
          <w:sz w:val="22"/>
          <w:szCs w:val="21"/>
        </w:rPr>
        <w:t>ecurity risk, it is essential for organisations to continuously maintain visibility of their IT infrastructure and applications and manage the full asset lifecycle from planning, through acquisition and operation, to disposal. This document provides recommended best practices for Victorian government entities to adopt in this regard.</w:t>
      </w:r>
    </w:p>
    <w:p w14:paraId="7C72B202" w14:textId="77777777" w:rsidR="00FF38E6" w:rsidRPr="004A02A1" w:rsidRDefault="00FF38E6" w:rsidP="00FF38E6">
      <w:pPr>
        <w:pStyle w:val="Heading2"/>
        <w:rPr>
          <w:b/>
          <w:color w:val="53565A"/>
          <w:sz w:val="32"/>
          <w:szCs w:val="32"/>
        </w:rPr>
      </w:pPr>
      <w:bookmarkStart w:id="3" w:name="_Toc124856919"/>
      <w:bookmarkStart w:id="4" w:name="_Toc126829050"/>
      <w:r>
        <w:t>Audience</w:t>
      </w:r>
      <w:bookmarkEnd w:id="3"/>
      <w:bookmarkEnd w:id="4"/>
    </w:p>
    <w:p w14:paraId="162A23CD" w14:textId="77777777" w:rsidR="00FF38E6" w:rsidRDefault="00FF38E6" w:rsidP="00FF38E6">
      <w:pPr>
        <w:pStyle w:val="DPCbody"/>
        <w:rPr>
          <w:lang w:val="en-GB"/>
        </w:rPr>
      </w:pPr>
      <w:r w:rsidRPr="00135E24">
        <w:rPr>
          <w:lang w:val="en-GB"/>
        </w:rPr>
        <w:t xml:space="preserve">This </w:t>
      </w:r>
      <w:r>
        <w:rPr>
          <w:lang w:val="en-GB"/>
        </w:rPr>
        <w:t>guidance</w:t>
      </w:r>
      <w:r w:rsidRPr="00135E24">
        <w:rPr>
          <w:lang w:val="en-GB"/>
        </w:rPr>
        <w:t xml:space="preserve"> is targeted at</w:t>
      </w:r>
      <w:r>
        <w:rPr>
          <w:lang w:val="en-GB"/>
        </w:rPr>
        <w:t xml:space="preserve"> department and agency:</w:t>
      </w:r>
    </w:p>
    <w:p w14:paraId="69AC1C94" w14:textId="77777777" w:rsidR="00FF38E6" w:rsidRDefault="00FF38E6" w:rsidP="00B22A1A">
      <w:pPr>
        <w:pStyle w:val="DPCbody"/>
        <w:numPr>
          <w:ilvl w:val="0"/>
          <w:numId w:val="13"/>
        </w:numPr>
        <w:rPr>
          <w:lang w:val="en-GB"/>
        </w:rPr>
      </w:pPr>
      <w:r>
        <w:rPr>
          <w:lang w:val="en-GB"/>
        </w:rPr>
        <w:t>CIO’s (Chief Information Officers)</w:t>
      </w:r>
    </w:p>
    <w:p w14:paraId="0AD140F2" w14:textId="77777777" w:rsidR="00FF38E6" w:rsidRDefault="00FF38E6" w:rsidP="00B22A1A">
      <w:pPr>
        <w:pStyle w:val="DPCbody"/>
        <w:numPr>
          <w:ilvl w:val="0"/>
          <w:numId w:val="13"/>
        </w:numPr>
        <w:rPr>
          <w:lang w:val="en-GB"/>
        </w:rPr>
      </w:pPr>
      <w:r>
        <w:rPr>
          <w:lang w:val="en-GB"/>
        </w:rPr>
        <w:t>CISO’s (Chief Information Security Officers)</w:t>
      </w:r>
    </w:p>
    <w:p w14:paraId="18B53BF7" w14:textId="77777777" w:rsidR="00FF38E6" w:rsidRDefault="00FF38E6" w:rsidP="00B22A1A">
      <w:pPr>
        <w:pStyle w:val="DPCbody"/>
        <w:numPr>
          <w:ilvl w:val="0"/>
          <w:numId w:val="13"/>
        </w:numPr>
        <w:rPr>
          <w:lang w:val="en-GB"/>
        </w:rPr>
      </w:pPr>
      <w:r>
        <w:rPr>
          <w:lang w:val="en-GB"/>
        </w:rPr>
        <w:t>Cyber Security P</w:t>
      </w:r>
      <w:r w:rsidRPr="00135E24">
        <w:rPr>
          <w:lang w:val="en-GB"/>
        </w:rPr>
        <w:t>ractitioners</w:t>
      </w:r>
    </w:p>
    <w:p w14:paraId="7BCA211C" w14:textId="77777777" w:rsidR="00FF38E6" w:rsidRDefault="00FF38E6" w:rsidP="00B22A1A">
      <w:pPr>
        <w:pStyle w:val="DPCbody"/>
        <w:numPr>
          <w:ilvl w:val="0"/>
          <w:numId w:val="13"/>
        </w:numPr>
        <w:rPr>
          <w:lang w:val="en-GB"/>
        </w:rPr>
      </w:pPr>
      <w:r>
        <w:rPr>
          <w:lang w:val="en-GB"/>
        </w:rPr>
        <w:t>IT Asset Owners/Custodians</w:t>
      </w:r>
    </w:p>
    <w:p w14:paraId="146519B9" w14:textId="77777777" w:rsidR="00FF38E6" w:rsidRDefault="00FF38E6" w:rsidP="00B22A1A">
      <w:pPr>
        <w:pStyle w:val="DPCbody"/>
        <w:numPr>
          <w:ilvl w:val="0"/>
          <w:numId w:val="13"/>
        </w:numPr>
        <w:rPr>
          <w:lang w:val="en-GB"/>
        </w:rPr>
      </w:pPr>
      <w:r>
        <w:rPr>
          <w:lang w:val="en-GB"/>
        </w:rPr>
        <w:t>Application Managers/Product Managers</w:t>
      </w:r>
    </w:p>
    <w:p w14:paraId="05988D13" w14:textId="77777777" w:rsidR="00FF38E6" w:rsidRDefault="00FF38E6" w:rsidP="00B22A1A">
      <w:pPr>
        <w:pStyle w:val="DPCbody"/>
        <w:numPr>
          <w:ilvl w:val="0"/>
          <w:numId w:val="13"/>
        </w:numPr>
        <w:rPr>
          <w:lang w:val="en-GB"/>
        </w:rPr>
      </w:pPr>
      <w:r>
        <w:rPr>
          <w:lang w:val="en-GB"/>
        </w:rPr>
        <w:t>IT Asset Management Steering Committees/Governance Board Members</w:t>
      </w:r>
    </w:p>
    <w:p w14:paraId="4868D497" w14:textId="77777777" w:rsidR="00FF38E6" w:rsidRDefault="00FF38E6" w:rsidP="00B22A1A">
      <w:pPr>
        <w:pStyle w:val="DPCbody"/>
        <w:numPr>
          <w:ilvl w:val="0"/>
          <w:numId w:val="13"/>
        </w:numPr>
        <w:rPr>
          <w:lang w:val="en-GB"/>
        </w:rPr>
      </w:pPr>
      <w:r>
        <w:rPr>
          <w:lang w:val="en-GB"/>
        </w:rPr>
        <w:t>IT Asset Managers</w:t>
      </w:r>
    </w:p>
    <w:p w14:paraId="78B071A7" w14:textId="77777777" w:rsidR="00FF38E6" w:rsidRDefault="00FF38E6" w:rsidP="00B22A1A">
      <w:pPr>
        <w:pStyle w:val="DPCbody"/>
        <w:numPr>
          <w:ilvl w:val="0"/>
          <w:numId w:val="13"/>
        </w:numPr>
        <w:rPr>
          <w:lang w:val="en-GB"/>
        </w:rPr>
      </w:pPr>
      <w:r>
        <w:rPr>
          <w:lang w:val="en-GB"/>
        </w:rPr>
        <w:t>IT Infrastructure/Operations Managers and Team Leads</w:t>
      </w:r>
    </w:p>
    <w:p w14:paraId="24051AD7" w14:textId="77777777" w:rsidR="00FF38E6" w:rsidRDefault="00FF38E6" w:rsidP="00B22A1A">
      <w:pPr>
        <w:pStyle w:val="DPCbody"/>
        <w:numPr>
          <w:ilvl w:val="0"/>
          <w:numId w:val="13"/>
        </w:numPr>
        <w:rPr>
          <w:lang w:val="en-GB"/>
        </w:rPr>
      </w:pPr>
      <w:r>
        <w:rPr>
          <w:lang w:val="en-GB"/>
        </w:rPr>
        <w:t>Enterprise Architects</w:t>
      </w:r>
    </w:p>
    <w:p w14:paraId="72E377A7" w14:textId="77777777" w:rsidR="00FF38E6" w:rsidRDefault="00FF38E6" w:rsidP="00FF38E6">
      <w:pPr>
        <w:pStyle w:val="DPCbody"/>
        <w:rPr>
          <w:lang w:val="en-GB"/>
        </w:rPr>
      </w:pPr>
      <w:r>
        <w:rPr>
          <w:lang w:val="en-GB"/>
        </w:rPr>
        <w:t>and assumes a</w:t>
      </w:r>
      <w:r w:rsidRPr="00135E24">
        <w:rPr>
          <w:lang w:val="en-GB"/>
        </w:rPr>
        <w:t xml:space="preserve"> basic knowledge of </w:t>
      </w:r>
      <w:r>
        <w:rPr>
          <w:lang w:val="en-GB"/>
        </w:rPr>
        <w:t>IT operational processes.</w:t>
      </w:r>
    </w:p>
    <w:p w14:paraId="4E7B3C42" w14:textId="77777777" w:rsidR="006C02D1" w:rsidRPr="006237B1" w:rsidRDefault="006C02D1" w:rsidP="006237B1">
      <w:pPr>
        <w:pStyle w:val="Heading2"/>
        <w:rPr>
          <w:rStyle w:val="Heading3Char"/>
          <w:b w:val="0"/>
          <w:color w:val="005F9E" w:themeColor="accent1"/>
          <w:sz w:val="34"/>
          <w:szCs w:val="28"/>
        </w:rPr>
      </w:pPr>
      <w:bookmarkStart w:id="5" w:name="_Toc124856920"/>
      <w:bookmarkStart w:id="6" w:name="_Toc126829051"/>
      <w:r w:rsidRPr="006237B1">
        <w:rPr>
          <w:rStyle w:val="Heading3Char"/>
          <w:b w:val="0"/>
          <w:color w:val="005F9E" w:themeColor="accent1"/>
          <w:sz w:val="34"/>
          <w:szCs w:val="28"/>
        </w:rPr>
        <w:t>Resources</w:t>
      </w:r>
      <w:bookmarkEnd w:id="5"/>
      <w:bookmarkEnd w:id="6"/>
    </w:p>
    <w:p w14:paraId="68C37C67" w14:textId="4F899446" w:rsidR="006C02D1" w:rsidRPr="00B02A43" w:rsidRDefault="0007383F" w:rsidP="006C02D1">
      <w:pPr>
        <w:pStyle w:val="DPCbody"/>
        <w:rPr>
          <w:rStyle w:val="Heading3Char"/>
          <w:rFonts w:asciiTheme="minorHAnsi" w:hAnsiTheme="minorHAnsi"/>
          <w:b w:val="0"/>
          <w:bCs/>
          <w:color w:val="000000" w:themeColor="text1"/>
          <w:sz w:val="22"/>
          <w:szCs w:val="22"/>
          <w:lang w:val="en-GB"/>
        </w:rPr>
      </w:pPr>
      <w:r>
        <w:rPr>
          <w:lang w:val="en-GB"/>
        </w:rPr>
        <w:t xml:space="preserve">The following resources are associated with this guidance. </w:t>
      </w:r>
      <w:bookmarkStart w:id="7" w:name="_Hlk139273947"/>
      <w:r>
        <w:t xml:space="preserve">Please contact the Cyber Security Branch at </w:t>
      </w:r>
      <w:hyperlink r:id="rId18" w:history="1">
        <w:r>
          <w:rPr>
            <w:rStyle w:val="Hyperlink"/>
          </w:rPr>
          <w:t>vicgov.ciso@dpc.vic.gov.au</w:t>
        </w:r>
      </w:hyperlink>
      <w:r>
        <w:rPr>
          <w:sz w:val="28"/>
          <w:szCs w:val="28"/>
        </w:rPr>
        <w:t xml:space="preserve"> </w:t>
      </w:r>
      <w:r>
        <w:t>to access the following resources:</w:t>
      </w:r>
      <w:bookmarkEnd w:id="7"/>
    </w:p>
    <w:tbl>
      <w:tblPr>
        <w:tblStyle w:val="DGSTable"/>
        <w:tblW w:w="8745" w:type="dxa"/>
        <w:tblLook w:val="06A0" w:firstRow="1" w:lastRow="0" w:firstColumn="1" w:lastColumn="0" w:noHBand="1" w:noVBand="1"/>
      </w:tblPr>
      <w:tblGrid>
        <w:gridCol w:w="3686"/>
        <w:gridCol w:w="5059"/>
      </w:tblGrid>
      <w:tr w:rsidR="006C02D1" w:rsidRPr="00045959" w14:paraId="70F5204C" w14:textId="77777777" w:rsidTr="00012CB4">
        <w:trPr>
          <w:cnfStyle w:val="100000000000" w:firstRow="1" w:lastRow="0" w:firstColumn="0" w:lastColumn="0" w:oddVBand="0" w:evenVBand="0" w:oddHBand="0" w:evenHBand="0" w:firstRowFirstColumn="0" w:firstRowLastColumn="0" w:lastRowFirstColumn="0" w:lastRowLastColumn="0"/>
        </w:trPr>
        <w:tc>
          <w:tcPr>
            <w:tcW w:w="3686" w:type="dxa"/>
          </w:tcPr>
          <w:p w14:paraId="4435E1F0" w14:textId="30507B56" w:rsidR="006C02D1" w:rsidRPr="00045959" w:rsidRDefault="0039628A" w:rsidP="004E786C">
            <w:pPr>
              <w:pStyle w:val="TableofFigures"/>
            </w:pPr>
            <w:r>
              <w:t>Tit</w:t>
            </w:r>
            <w:r w:rsidR="00B96776">
              <w:t>l</w:t>
            </w:r>
            <w:r>
              <w:t>e</w:t>
            </w:r>
          </w:p>
        </w:tc>
        <w:tc>
          <w:tcPr>
            <w:tcW w:w="5059" w:type="dxa"/>
          </w:tcPr>
          <w:p w14:paraId="62299990" w14:textId="741ABA40" w:rsidR="006C02D1" w:rsidRPr="00045959" w:rsidRDefault="0039628A" w:rsidP="004E786C">
            <w:pPr>
              <w:pStyle w:val="TableofFigures"/>
            </w:pPr>
            <w:r>
              <w:t>Description</w:t>
            </w:r>
          </w:p>
        </w:tc>
      </w:tr>
      <w:tr w:rsidR="006C02D1" w:rsidRPr="00045959" w14:paraId="658A821B" w14:textId="77777777" w:rsidTr="00012CB4">
        <w:tc>
          <w:tcPr>
            <w:tcW w:w="3686" w:type="dxa"/>
          </w:tcPr>
          <w:p w14:paraId="4B57F330" w14:textId="77777777" w:rsidR="00012CB4" w:rsidRDefault="00012CB4" w:rsidP="00012CB4">
            <w:pPr>
              <w:pStyle w:val="TableofFigures"/>
            </w:pPr>
            <w:r>
              <w:t xml:space="preserve">AMAF 41 Processes – </w:t>
            </w:r>
          </w:p>
          <w:p w14:paraId="06E4EE89" w14:textId="08195E7E" w:rsidR="006C02D1" w:rsidRPr="00045959" w:rsidRDefault="00012CB4" w:rsidP="00012CB4">
            <w:pPr>
              <w:pStyle w:val="TableofFigures"/>
            </w:pPr>
            <w:r>
              <w:t>IT Asset Class Considerations</w:t>
            </w:r>
          </w:p>
        </w:tc>
        <w:tc>
          <w:tcPr>
            <w:tcW w:w="5059" w:type="dxa"/>
          </w:tcPr>
          <w:p w14:paraId="179FB90A" w14:textId="75AF8870" w:rsidR="006C02D1" w:rsidRPr="0039628A" w:rsidRDefault="00012CB4" w:rsidP="0039628A">
            <w:pPr>
              <w:rPr>
                <w:sz w:val="20"/>
                <w:szCs w:val="20"/>
              </w:rPr>
            </w:pPr>
            <w:r w:rsidRPr="00012CB4">
              <w:rPr>
                <w:sz w:val="20"/>
                <w:szCs w:val="20"/>
              </w:rPr>
              <w:t>Excel Spreadsheet</w:t>
            </w:r>
            <w:r>
              <w:rPr>
                <w:sz w:val="20"/>
                <w:szCs w:val="20"/>
              </w:rPr>
              <w:t xml:space="preserve"> -</w:t>
            </w:r>
            <w:r w:rsidR="00B96776">
              <w:rPr>
                <w:sz w:val="20"/>
                <w:szCs w:val="20"/>
              </w:rPr>
              <w:t xml:space="preserve"> </w:t>
            </w:r>
            <w:r w:rsidRPr="00012CB4">
              <w:rPr>
                <w:sz w:val="20"/>
                <w:szCs w:val="20"/>
              </w:rPr>
              <w:t>Commentary on how the asset generic AMAF processes can be interpreted in an IT asset context</w:t>
            </w:r>
            <w:r w:rsidR="0039628A">
              <w:rPr>
                <w:sz w:val="20"/>
                <w:szCs w:val="20"/>
              </w:rPr>
              <w:t>.</w:t>
            </w:r>
          </w:p>
        </w:tc>
      </w:tr>
      <w:tr w:rsidR="006C02D1" w:rsidRPr="00045959" w14:paraId="0ABBDA83" w14:textId="77777777" w:rsidTr="00012CB4">
        <w:tc>
          <w:tcPr>
            <w:tcW w:w="3686" w:type="dxa"/>
          </w:tcPr>
          <w:p w14:paraId="7C3787AC" w14:textId="77777777" w:rsidR="0039628A" w:rsidRDefault="0039628A" w:rsidP="0039628A">
            <w:pPr>
              <w:pStyle w:val="TableofFigures"/>
            </w:pPr>
            <w:r>
              <w:t>WoVG IT Asset Management</w:t>
            </w:r>
          </w:p>
          <w:p w14:paraId="0DAE3EF9" w14:textId="04AEC06F" w:rsidR="006C02D1" w:rsidRPr="00045959" w:rsidRDefault="0039628A" w:rsidP="0039628A">
            <w:pPr>
              <w:pStyle w:val="TableofFigures"/>
            </w:pPr>
            <w:r>
              <w:t>Data Dictionaries</w:t>
            </w:r>
            <w:r w:rsidRPr="00045959">
              <w:t xml:space="preserve"> </w:t>
            </w:r>
          </w:p>
        </w:tc>
        <w:tc>
          <w:tcPr>
            <w:tcW w:w="5059" w:type="dxa"/>
          </w:tcPr>
          <w:p w14:paraId="70B27EEA" w14:textId="1A742B58" w:rsidR="006C02D1" w:rsidRPr="00045959" w:rsidRDefault="0039628A" w:rsidP="004E786C">
            <w:pPr>
              <w:pStyle w:val="TableofFigures"/>
            </w:pPr>
            <w:r w:rsidRPr="0039628A">
              <w:t>Excel Spreadsheet</w:t>
            </w:r>
            <w:r w:rsidR="00B96776">
              <w:t xml:space="preserve"> - </w:t>
            </w:r>
            <w:r w:rsidRPr="0039628A">
              <w:t>Recommended standardised fields that can be used to capture Application and Infrastructure data in a CMDB</w:t>
            </w:r>
          </w:p>
        </w:tc>
      </w:tr>
      <w:tr w:rsidR="006C02D1" w:rsidRPr="00045959" w14:paraId="34E0D278" w14:textId="77777777" w:rsidTr="00012CB4">
        <w:trPr>
          <w:trHeight w:val="34"/>
        </w:trPr>
        <w:tc>
          <w:tcPr>
            <w:tcW w:w="3686" w:type="dxa"/>
          </w:tcPr>
          <w:p w14:paraId="63BA7EAC" w14:textId="163A36C9" w:rsidR="006C02D1" w:rsidRPr="00045959" w:rsidRDefault="0039628A" w:rsidP="004E786C">
            <w:pPr>
              <w:pStyle w:val="TableofFigures"/>
            </w:pPr>
            <w:r w:rsidRPr="0039628A">
              <w:lastRenderedPageBreak/>
              <w:t>W</w:t>
            </w:r>
            <w:r>
              <w:t>O</w:t>
            </w:r>
            <w:r w:rsidRPr="0039628A">
              <w:t>VG IT Asset Management Cybersecurity KPIs</w:t>
            </w:r>
          </w:p>
        </w:tc>
        <w:tc>
          <w:tcPr>
            <w:tcW w:w="5059" w:type="dxa"/>
          </w:tcPr>
          <w:p w14:paraId="049A7756" w14:textId="0FA411A4" w:rsidR="006C02D1" w:rsidRPr="00045959" w:rsidRDefault="00B96776" w:rsidP="004E786C">
            <w:pPr>
              <w:pStyle w:val="TableofFigures"/>
            </w:pPr>
            <w:r w:rsidRPr="00B96776">
              <w:t>Excel Spreadsheet</w:t>
            </w:r>
            <w:r>
              <w:t xml:space="preserve"> - </w:t>
            </w:r>
            <w:r w:rsidRPr="00B96776">
              <w:t>A list of example KPIs that can be applied to IT asset management to ensure the maintenance of good cybersecurity</w:t>
            </w:r>
            <w:r>
              <w:t>.</w:t>
            </w:r>
          </w:p>
        </w:tc>
      </w:tr>
    </w:tbl>
    <w:p w14:paraId="3482D256" w14:textId="29047E1E" w:rsidR="00F25A07" w:rsidRDefault="007F4D5B" w:rsidP="007F4D5B">
      <w:pPr>
        <w:pStyle w:val="Heading2"/>
      </w:pPr>
      <w:bookmarkStart w:id="8" w:name="_Toc126829052"/>
      <w:r>
        <w:t>Benefits</w:t>
      </w:r>
      <w:bookmarkEnd w:id="8"/>
    </w:p>
    <w:p w14:paraId="771D93B6" w14:textId="54D0DFB6" w:rsidR="007F4D5B" w:rsidRPr="007F4D5B" w:rsidRDefault="007F4D5B" w:rsidP="007F4D5B">
      <w:pPr>
        <w:pStyle w:val="Heading3"/>
      </w:pPr>
      <w:r>
        <w:t>Cyber</w:t>
      </w:r>
      <w:r w:rsidR="007A30E5">
        <w:t>security</w:t>
      </w:r>
    </w:p>
    <w:p w14:paraId="491A7903" w14:textId="77777777" w:rsidR="00670F33" w:rsidRDefault="00670F33" w:rsidP="00670F33">
      <w:pPr>
        <w:pStyle w:val="DPCbody"/>
        <w:rPr>
          <w:lang w:val="en-GB"/>
        </w:rPr>
      </w:pPr>
      <w:r>
        <w:rPr>
          <w:lang w:val="en-GB"/>
        </w:rPr>
        <w:t>Good IT asset management contributes directly to better cybersecurity in an organisation. Regularly performing IT asset management processes such as updating asset registers, replacing assets before end of life, patching systems, monitoring systems, and securely disposing of storage results in a significantly improved organisational security posture.</w:t>
      </w:r>
    </w:p>
    <w:p w14:paraId="17A148E6" w14:textId="77777777" w:rsidR="00670F33" w:rsidRDefault="00670F33" w:rsidP="00670F33">
      <w:pPr>
        <w:pStyle w:val="DPCbody"/>
        <w:rPr>
          <w:lang w:val="en-GB"/>
        </w:rPr>
      </w:pPr>
      <w:r>
        <w:rPr>
          <w:lang w:val="en-GB"/>
        </w:rPr>
        <w:t>Cyber security issues that can occur when IT assets are not well managed include:</w:t>
      </w:r>
    </w:p>
    <w:p w14:paraId="21766D1C" w14:textId="77777777" w:rsidR="00670F33" w:rsidRPr="00F74ECB" w:rsidRDefault="00670F33" w:rsidP="00B22A1A">
      <w:pPr>
        <w:pStyle w:val="DPCbody"/>
        <w:numPr>
          <w:ilvl w:val="0"/>
          <w:numId w:val="9"/>
        </w:numPr>
      </w:pPr>
      <w:r w:rsidRPr="00F74ECB">
        <w:t>Data</w:t>
      </w:r>
      <w:r>
        <w:t xml:space="preserve"> being </w:t>
      </w:r>
      <w:r w:rsidRPr="00957BF8">
        <w:rPr>
          <w:b/>
          <w:bCs/>
        </w:rPr>
        <w:t>stolen</w:t>
      </w:r>
      <w:r w:rsidRPr="00F74ECB">
        <w:t xml:space="preserve"> from unpatched </w:t>
      </w:r>
      <w:r>
        <w:t xml:space="preserve">IT </w:t>
      </w:r>
      <w:r w:rsidRPr="00F74ECB">
        <w:t>assets</w:t>
      </w:r>
      <w:r>
        <w:t xml:space="preserve"> or lost IT assets</w:t>
      </w:r>
    </w:p>
    <w:p w14:paraId="57447E92" w14:textId="77777777" w:rsidR="00670F33" w:rsidRDefault="00670F33" w:rsidP="00B22A1A">
      <w:pPr>
        <w:pStyle w:val="DPCbody"/>
        <w:numPr>
          <w:ilvl w:val="0"/>
          <w:numId w:val="9"/>
        </w:numPr>
      </w:pPr>
      <w:r>
        <w:t>U</w:t>
      </w:r>
      <w:r w:rsidRPr="00F74ECB">
        <w:t xml:space="preserve">nmaintained </w:t>
      </w:r>
      <w:r>
        <w:t xml:space="preserve">IT </w:t>
      </w:r>
      <w:r w:rsidRPr="00F74ECB">
        <w:t>assets</w:t>
      </w:r>
      <w:r>
        <w:t xml:space="preserve"> being encrypted by </w:t>
      </w:r>
      <w:r w:rsidRPr="00957BF8">
        <w:rPr>
          <w:b/>
          <w:bCs/>
        </w:rPr>
        <w:t>ransomware</w:t>
      </w:r>
    </w:p>
    <w:p w14:paraId="79B8981A" w14:textId="77777777" w:rsidR="00670F33" w:rsidRPr="00F74ECB" w:rsidRDefault="00670F33" w:rsidP="00B22A1A">
      <w:pPr>
        <w:pStyle w:val="DPCbody"/>
        <w:numPr>
          <w:ilvl w:val="0"/>
          <w:numId w:val="9"/>
        </w:numPr>
      </w:pPr>
      <w:r w:rsidRPr="00F74ECB">
        <w:t xml:space="preserve">Unused assets </w:t>
      </w:r>
      <w:r>
        <w:t xml:space="preserve">being </w:t>
      </w:r>
      <w:r w:rsidRPr="00F74ECB">
        <w:t>repurposed as</w:t>
      </w:r>
      <w:r>
        <w:t xml:space="preserve"> </w:t>
      </w:r>
      <w:r w:rsidRPr="007A36C1">
        <w:rPr>
          <w:b/>
          <w:bCs/>
        </w:rPr>
        <w:t>internal attack platforms</w:t>
      </w:r>
    </w:p>
    <w:p w14:paraId="39B02152" w14:textId="77777777" w:rsidR="00670F33" w:rsidRPr="00A315EA" w:rsidRDefault="00670F33" w:rsidP="00B22A1A">
      <w:pPr>
        <w:pStyle w:val="DPCbody"/>
        <w:numPr>
          <w:ilvl w:val="0"/>
          <w:numId w:val="9"/>
        </w:numPr>
      </w:pPr>
      <w:r w:rsidRPr="00A315EA">
        <w:t xml:space="preserve">Malicious actors </w:t>
      </w:r>
      <w:r>
        <w:t>making</w:t>
      </w:r>
      <w:r w:rsidRPr="00A315EA">
        <w:t xml:space="preserve"> unmaintained assets</w:t>
      </w:r>
      <w:r>
        <w:t xml:space="preserve"> </w:t>
      </w:r>
      <w:r w:rsidRPr="00BD7136">
        <w:rPr>
          <w:b/>
          <w:bCs/>
        </w:rPr>
        <w:t>unavailable</w:t>
      </w:r>
      <w:r>
        <w:t xml:space="preserve"> for normal business use</w:t>
      </w:r>
    </w:p>
    <w:p w14:paraId="34FB14A4" w14:textId="77777777" w:rsidR="00670F33" w:rsidRPr="00A315EA" w:rsidRDefault="00670F33" w:rsidP="00B22A1A">
      <w:pPr>
        <w:pStyle w:val="DPCbody"/>
        <w:numPr>
          <w:ilvl w:val="0"/>
          <w:numId w:val="9"/>
        </w:numPr>
      </w:pPr>
      <w:r w:rsidRPr="00A315EA">
        <w:t xml:space="preserve">Unmaintained assets </w:t>
      </w:r>
      <w:r>
        <w:t xml:space="preserve">become unavailable due to </w:t>
      </w:r>
      <w:r w:rsidRPr="00E352CF">
        <w:rPr>
          <w:b/>
          <w:bCs/>
        </w:rPr>
        <w:t>lack of maintenance</w:t>
      </w:r>
    </w:p>
    <w:p w14:paraId="1F53A6DB" w14:textId="77777777" w:rsidR="00670F33" w:rsidRDefault="00670F33" w:rsidP="00B22A1A">
      <w:pPr>
        <w:pStyle w:val="DPCbody"/>
        <w:numPr>
          <w:ilvl w:val="0"/>
          <w:numId w:val="9"/>
        </w:numPr>
      </w:pPr>
      <w:r>
        <w:t xml:space="preserve">Lack of </w:t>
      </w:r>
      <w:r w:rsidRPr="009D0E20">
        <w:rPr>
          <w:b/>
          <w:bCs/>
        </w:rPr>
        <w:t>basic</w:t>
      </w:r>
      <w:r>
        <w:t xml:space="preserve"> (e.g. Essential 8) operating system cybersecurity controls leading to avoidable breaches</w:t>
      </w:r>
    </w:p>
    <w:p w14:paraId="6734D9C7" w14:textId="77777777" w:rsidR="00670F33" w:rsidRPr="00A315EA" w:rsidRDefault="00670F33" w:rsidP="00B22A1A">
      <w:pPr>
        <w:pStyle w:val="DPCbody"/>
        <w:numPr>
          <w:ilvl w:val="0"/>
          <w:numId w:val="9"/>
        </w:numPr>
      </w:pPr>
      <w:r>
        <w:t>An i</w:t>
      </w:r>
      <w:r w:rsidRPr="00A315EA">
        <w:t xml:space="preserve">nability to </w:t>
      </w:r>
      <w:r>
        <w:t>map</w:t>
      </w:r>
      <w:r w:rsidRPr="00A315EA">
        <w:t xml:space="preserve"> often </w:t>
      </w:r>
      <w:r w:rsidRPr="009D0E20">
        <w:rPr>
          <w:b/>
          <w:bCs/>
        </w:rPr>
        <w:t>urgent threat intelligence</w:t>
      </w:r>
      <w:r w:rsidRPr="00A315EA">
        <w:t xml:space="preserve"> to specific IT assets</w:t>
      </w:r>
    </w:p>
    <w:p w14:paraId="7193864D" w14:textId="77777777" w:rsidR="00670F33" w:rsidRPr="007C7B18" w:rsidRDefault="00670F33" w:rsidP="00B22A1A">
      <w:pPr>
        <w:pStyle w:val="DPCbody"/>
        <w:numPr>
          <w:ilvl w:val="0"/>
          <w:numId w:val="9"/>
        </w:numPr>
      </w:pPr>
      <w:r>
        <w:t>An i</w:t>
      </w:r>
      <w:r w:rsidRPr="007C7B18">
        <w:t xml:space="preserve">nability to </w:t>
      </w:r>
      <w:r w:rsidRPr="009D0E20">
        <w:rPr>
          <w:b/>
          <w:bCs/>
        </w:rPr>
        <w:t>prioritise</w:t>
      </w:r>
      <w:r w:rsidRPr="007C7B18">
        <w:t xml:space="preserve"> IT asset maintenance activities and </w:t>
      </w:r>
      <w:r>
        <w:t>budget</w:t>
      </w:r>
      <w:r w:rsidRPr="007C7B18">
        <w:t xml:space="preserve"> based on risk </w:t>
      </w:r>
    </w:p>
    <w:p w14:paraId="43941E1A" w14:textId="77777777" w:rsidR="00670F33" w:rsidRDefault="00670F33" w:rsidP="00B22A1A">
      <w:pPr>
        <w:pStyle w:val="DPCbody"/>
        <w:numPr>
          <w:ilvl w:val="0"/>
          <w:numId w:val="9"/>
        </w:numPr>
      </w:pPr>
      <w:r>
        <w:t>Unknown r</w:t>
      </w:r>
      <w:r w:rsidRPr="00F74ECB">
        <w:t>isk visibility</w:t>
      </w:r>
      <w:r>
        <w:t xml:space="preserve"> and </w:t>
      </w:r>
      <w:r w:rsidRPr="009D0E20">
        <w:rPr>
          <w:b/>
          <w:bCs/>
        </w:rPr>
        <w:t>risk exposure</w:t>
      </w:r>
      <w:r w:rsidRPr="00F74ECB">
        <w:t xml:space="preserve"> </w:t>
      </w:r>
      <w:r>
        <w:t xml:space="preserve">of the IT asset fleet, including asset </w:t>
      </w:r>
      <w:r w:rsidRPr="009D0E20">
        <w:rPr>
          <w:b/>
          <w:bCs/>
        </w:rPr>
        <w:t>end-of-life</w:t>
      </w:r>
    </w:p>
    <w:p w14:paraId="2453951A" w14:textId="77777777" w:rsidR="00670F33" w:rsidRPr="00A315EA" w:rsidRDefault="00670F33" w:rsidP="00B22A1A">
      <w:pPr>
        <w:pStyle w:val="DPCbody"/>
        <w:numPr>
          <w:ilvl w:val="0"/>
          <w:numId w:val="9"/>
        </w:numPr>
      </w:pPr>
      <w:r>
        <w:t>An i</w:t>
      </w:r>
      <w:r w:rsidRPr="00A315EA">
        <w:t xml:space="preserve">nability to detect </w:t>
      </w:r>
      <w:r w:rsidRPr="009D0E20">
        <w:rPr>
          <w:b/>
          <w:bCs/>
        </w:rPr>
        <w:t>rogue</w:t>
      </w:r>
      <w:r>
        <w:t>, malicious and unsanctioned</w:t>
      </w:r>
      <w:r w:rsidRPr="00A315EA">
        <w:t xml:space="preserve"> IT assets</w:t>
      </w:r>
    </w:p>
    <w:p w14:paraId="358BCF20" w14:textId="77777777" w:rsidR="00670F33" w:rsidRPr="00A315EA" w:rsidRDefault="00670F33" w:rsidP="00B22A1A">
      <w:pPr>
        <w:pStyle w:val="DPCbody"/>
        <w:numPr>
          <w:ilvl w:val="0"/>
          <w:numId w:val="9"/>
        </w:numPr>
      </w:pPr>
      <w:r w:rsidRPr="009D0E20">
        <w:rPr>
          <w:b/>
          <w:bCs/>
        </w:rPr>
        <w:t>Insecure disposal</w:t>
      </w:r>
      <w:r w:rsidRPr="00A315EA">
        <w:t xml:space="preserve"> of IT assets</w:t>
      </w:r>
      <w:r>
        <w:t xml:space="preserve"> resulting in data leakage</w:t>
      </w:r>
    </w:p>
    <w:p w14:paraId="4F95DFCE" w14:textId="77777777" w:rsidR="00670F33" w:rsidRDefault="00670F33" w:rsidP="00B22A1A">
      <w:pPr>
        <w:pStyle w:val="DPCbody"/>
        <w:numPr>
          <w:ilvl w:val="0"/>
          <w:numId w:val="9"/>
        </w:numPr>
      </w:pPr>
      <w:r>
        <w:t xml:space="preserve">Difficulties </w:t>
      </w:r>
      <w:r w:rsidRPr="009D0E20">
        <w:rPr>
          <w:b/>
          <w:bCs/>
        </w:rPr>
        <w:t>attracting and retaining staff</w:t>
      </w:r>
      <w:r>
        <w:t xml:space="preserve"> to perform important but sometimes mundane/repetitive IT asset maintenance activities</w:t>
      </w:r>
    </w:p>
    <w:p w14:paraId="43B7D23A" w14:textId="77777777" w:rsidR="00670F33" w:rsidRDefault="00670F33" w:rsidP="00B22A1A">
      <w:pPr>
        <w:pStyle w:val="DPCbody"/>
        <w:numPr>
          <w:ilvl w:val="0"/>
          <w:numId w:val="9"/>
        </w:numPr>
      </w:pPr>
      <w:r w:rsidRPr="001C25BF">
        <w:t xml:space="preserve">Higher </w:t>
      </w:r>
      <w:r w:rsidRPr="009D0E20">
        <w:rPr>
          <w:b/>
          <w:bCs/>
        </w:rPr>
        <w:t>cyber insurance (re)insurance premiums</w:t>
      </w:r>
      <w:r w:rsidRPr="001C25BF">
        <w:t xml:space="preserve"> due to an inability to demonstrate good asset management and </w:t>
      </w:r>
      <w:r>
        <w:t>basic</w:t>
      </w:r>
      <w:r w:rsidRPr="001C25BF">
        <w:t xml:space="preserve"> cybersecurity hygiene</w:t>
      </w:r>
    </w:p>
    <w:p w14:paraId="7E08E697" w14:textId="77777777" w:rsidR="00670F33" w:rsidRDefault="00670F33" w:rsidP="00B22A1A">
      <w:pPr>
        <w:pStyle w:val="DPCbody"/>
        <w:numPr>
          <w:ilvl w:val="0"/>
          <w:numId w:val="9"/>
        </w:numPr>
      </w:pPr>
      <w:r>
        <w:t xml:space="preserve">An inability to assess the adverse impact of aging IT assets on cyber risk and business productivity, resulting in </w:t>
      </w:r>
      <w:r w:rsidRPr="00990D3F">
        <w:rPr>
          <w:b/>
          <w:bCs/>
        </w:rPr>
        <w:t>suboptimal planning</w:t>
      </w:r>
      <w:r>
        <w:t xml:space="preserve"> for timely disposal and replacement</w:t>
      </w:r>
    </w:p>
    <w:p w14:paraId="19677324" w14:textId="77777777" w:rsidR="00D02CC6" w:rsidRDefault="00D02CC6" w:rsidP="00D02CC6">
      <w:pPr>
        <w:pStyle w:val="Heading3"/>
        <w:rPr>
          <w:lang w:val="en-GB"/>
        </w:rPr>
      </w:pPr>
      <w:bookmarkStart w:id="9" w:name="_Toc124856914"/>
      <w:r>
        <w:rPr>
          <w:lang w:val="en-GB"/>
        </w:rPr>
        <w:t>Financial Benefits</w:t>
      </w:r>
      <w:bookmarkEnd w:id="9"/>
    </w:p>
    <w:p w14:paraId="30B8F848" w14:textId="77777777" w:rsidR="00D02CC6" w:rsidRDefault="00D02CC6" w:rsidP="00D02CC6">
      <w:pPr>
        <w:pStyle w:val="DPCbody"/>
        <w:rPr>
          <w:lang w:val="en-GB"/>
        </w:rPr>
      </w:pPr>
      <w:r>
        <w:rPr>
          <w:lang w:val="en-GB"/>
        </w:rPr>
        <w:lastRenderedPageBreak/>
        <w:t xml:space="preserve">In addition to these cybersecurity-related problems, poor IT asset management can also result in </w:t>
      </w:r>
      <w:r w:rsidRPr="00B44922">
        <w:rPr>
          <w:b/>
          <w:bCs/>
          <w:lang w:val="en-GB"/>
        </w:rPr>
        <w:t>financial inefficiency</w:t>
      </w:r>
      <w:r>
        <w:rPr>
          <w:lang w:val="en-GB"/>
        </w:rPr>
        <w:t>, for example:</w:t>
      </w:r>
    </w:p>
    <w:p w14:paraId="4319B195" w14:textId="77777777" w:rsidR="00D02CC6" w:rsidRDefault="00D02CC6" w:rsidP="00B22A1A">
      <w:pPr>
        <w:pStyle w:val="DPCbody"/>
        <w:numPr>
          <w:ilvl w:val="0"/>
          <w:numId w:val="10"/>
        </w:numPr>
      </w:pPr>
      <w:r>
        <w:t>Duplicate</w:t>
      </w:r>
      <w:r w:rsidRPr="004970CD">
        <w:t xml:space="preserve"> contracts</w:t>
      </w:r>
      <w:r>
        <w:t xml:space="preserve">, </w:t>
      </w:r>
      <w:r w:rsidRPr="004970CD">
        <w:t>over licensing</w:t>
      </w:r>
      <w:r>
        <w:t xml:space="preserve"> and overprovisioning of IT assets within an organisation</w:t>
      </w:r>
    </w:p>
    <w:p w14:paraId="4BBE6949" w14:textId="77777777" w:rsidR="00D02CC6" w:rsidRPr="004970CD" w:rsidRDefault="00D02CC6" w:rsidP="00B22A1A">
      <w:pPr>
        <w:pStyle w:val="DPCbody"/>
        <w:numPr>
          <w:ilvl w:val="0"/>
          <w:numId w:val="10"/>
        </w:numPr>
      </w:pPr>
      <w:r>
        <w:t>Lack of all-of-government contracts/efficiency of scale, due to lack of IT asset visibility</w:t>
      </w:r>
    </w:p>
    <w:p w14:paraId="62D9EC49" w14:textId="77777777" w:rsidR="00D02CC6" w:rsidRDefault="00D02CC6" w:rsidP="00B22A1A">
      <w:pPr>
        <w:pStyle w:val="DPCbody"/>
        <w:numPr>
          <w:ilvl w:val="0"/>
          <w:numId w:val="10"/>
        </w:numPr>
      </w:pPr>
      <w:r w:rsidRPr="004970CD">
        <w:t xml:space="preserve">Unused assets creating unnecessary </w:t>
      </w:r>
      <w:r>
        <w:t xml:space="preserve">ongoing </w:t>
      </w:r>
      <w:r w:rsidRPr="004970CD">
        <w:t>cost</w:t>
      </w:r>
      <w:r>
        <w:t>s and non-strategic</w:t>
      </w:r>
      <w:r w:rsidRPr="004970CD">
        <w:t xml:space="preserve"> budget </w:t>
      </w:r>
      <w:r>
        <w:t>spend</w:t>
      </w:r>
    </w:p>
    <w:p w14:paraId="5D4A9365" w14:textId="77777777" w:rsidR="00D02CC6" w:rsidRPr="007C7B18" w:rsidRDefault="00D02CC6" w:rsidP="00B22A1A">
      <w:pPr>
        <w:pStyle w:val="DPCbody"/>
        <w:numPr>
          <w:ilvl w:val="0"/>
          <w:numId w:val="10"/>
        </w:numPr>
      </w:pPr>
      <w:r w:rsidRPr="007C7B18">
        <w:t>Inefficient cost optimisation</w:t>
      </w:r>
      <w:r w:rsidRPr="00BD1E41">
        <w:t>/asset utilisation</w:t>
      </w:r>
    </w:p>
    <w:p w14:paraId="11057298" w14:textId="77777777" w:rsidR="00D02CC6" w:rsidRDefault="00D02CC6" w:rsidP="00B22A1A">
      <w:pPr>
        <w:pStyle w:val="DPCbody"/>
        <w:numPr>
          <w:ilvl w:val="0"/>
          <w:numId w:val="10"/>
        </w:numPr>
      </w:pPr>
      <w:r w:rsidRPr="007C7B18">
        <w:t>Service continuity/supportability issues</w:t>
      </w:r>
    </w:p>
    <w:p w14:paraId="2D4C3EAE" w14:textId="77777777" w:rsidR="00D02CC6" w:rsidRPr="009B4A34" w:rsidRDefault="00D02CC6" w:rsidP="00D02CC6">
      <w:pPr>
        <w:pStyle w:val="DPCbody"/>
        <w:rPr>
          <w:rStyle w:val="SubtleEmphasis"/>
        </w:rPr>
      </w:pPr>
      <w:r w:rsidRPr="009B4A34">
        <w:rPr>
          <w:rStyle w:val="SubtleEmphasis"/>
        </w:rPr>
        <w:t>Note that financial benefits are not directly addressed by this guidance. Improving IT asset management for cybersecurity reasons lays the groundwork for an organisation to realise financial benefits more easily through additional improvement activities.</w:t>
      </w:r>
    </w:p>
    <w:p w14:paraId="376821A5" w14:textId="77777777" w:rsidR="008C1A44" w:rsidRPr="0001598F" w:rsidRDefault="008C1A44" w:rsidP="008C1A44">
      <w:pPr>
        <w:pStyle w:val="Heading2"/>
      </w:pPr>
      <w:bookmarkStart w:id="10" w:name="_Toc124856921"/>
      <w:bookmarkStart w:id="11" w:name="_Toc126829053"/>
      <w:bookmarkStart w:id="12" w:name="_Toc124856915"/>
      <w:r w:rsidRPr="0001598F">
        <w:t>Regulatory Requirements</w:t>
      </w:r>
      <w:bookmarkEnd w:id="10"/>
      <w:bookmarkEnd w:id="11"/>
    </w:p>
    <w:p w14:paraId="30DF84A5" w14:textId="77777777" w:rsidR="008C1A44" w:rsidRPr="002C47B9" w:rsidRDefault="008C1A44" w:rsidP="008C1A44">
      <w:pPr>
        <w:pStyle w:val="DPCbody"/>
        <w:rPr>
          <w:rStyle w:val="Heading3Char"/>
          <w:rFonts w:asciiTheme="minorHAnsi" w:hAnsiTheme="minorHAnsi"/>
          <w:b w:val="0"/>
          <w:color w:val="000000" w:themeColor="text1"/>
          <w:sz w:val="22"/>
          <w:szCs w:val="22"/>
        </w:rPr>
      </w:pPr>
      <w:r w:rsidRPr="002C47B9">
        <w:t>The</w:t>
      </w:r>
      <w:r w:rsidRPr="002C47B9">
        <w:rPr>
          <w:rStyle w:val="Heading3Char"/>
          <w:rFonts w:asciiTheme="minorHAnsi" w:hAnsiTheme="minorHAnsi"/>
          <w:b w:val="0"/>
          <w:color w:val="000000" w:themeColor="text1"/>
          <w:sz w:val="22"/>
          <w:szCs w:val="22"/>
        </w:rPr>
        <w:t xml:space="preserve"> following regulatory requirements apply to IT asset management for many Victorian Government departments and agencies:</w:t>
      </w:r>
    </w:p>
    <w:p w14:paraId="09F06F48" w14:textId="77777777" w:rsidR="008C1A44" w:rsidRPr="00CF71C8" w:rsidRDefault="008C1A44" w:rsidP="008C1A44">
      <w:pPr>
        <w:pStyle w:val="Heading3"/>
      </w:pPr>
      <w:bookmarkStart w:id="13" w:name="_Toc124856922"/>
      <w:r w:rsidRPr="00D6709F">
        <w:t>Asset Management Accountability Framework 2016</w:t>
      </w:r>
      <w:r>
        <w:t xml:space="preserve"> (</w:t>
      </w:r>
      <w:r w:rsidRPr="00B60988">
        <w:t>DTF)</w:t>
      </w:r>
      <w:bookmarkEnd w:id="13"/>
    </w:p>
    <w:p w14:paraId="67E9DF9E" w14:textId="77777777" w:rsidR="008C1A44" w:rsidRDefault="008C1A44" w:rsidP="008C1A44">
      <w:pPr>
        <w:pStyle w:val="DPCbody"/>
        <w:numPr>
          <w:ilvl w:val="0"/>
          <w:numId w:val="28"/>
        </w:numPr>
      </w:pPr>
      <w:r>
        <w:t xml:space="preserve">41 </w:t>
      </w:r>
      <w:r w:rsidRPr="00CF71C8">
        <w:t>Mandatory Requirements</w:t>
      </w:r>
    </w:p>
    <w:p w14:paraId="12348EA9" w14:textId="77777777" w:rsidR="008C1A44" w:rsidRDefault="008C1A44" w:rsidP="008C1A44">
      <w:pPr>
        <w:pStyle w:val="DPCbody"/>
        <w:numPr>
          <w:ilvl w:val="0"/>
          <w:numId w:val="28"/>
        </w:numPr>
      </w:pPr>
      <w:r>
        <w:t xml:space="preserve">Optional </w:t>
      </w:r>
      <w:r w:rsidRPr="00CF71C8">
        <w:t>Guidance</w:t>
      </w:r>
    </w:p>
    <w:p w14:paraId="0551B035" w14:textId="77777777" w:rsidR="008C1A44" w:rsidRDefault="008C1A44" w:rsidP="008C1A44">
      <w:pPr>
        <w:pStyle w:val="DPCbody"/>
        <w:numPr>
          <w:ilvl w:val="0"/>
          <w:numId w:val="28"/>
        </w:numPr>
      </w:pPr>
      <w:r>
        <w:t>Self-assessment every three years</w:t>
      </w:r>
    </w:p>
    <w:p w14:paraId="29E18752" w14:textId="77777777" w:rsidR="008C1A44" w:rsidRDefault="008C1A44" w:rsidP="008C1A44">
      <w:pPr>
        <w:pStyle w:val="Heading3"/>
      </w:pPr>
      <w:bookmarkStart w:id="14" w:name="_Toc124856923"/>
      <w:r w:rsidRPr="00D6709F">
        <w:t>Victorian Protective Data Security Standard v2.0</w:t>
      </w:r>
      <w:r w:rsidRPr="00CF71C8">
        <w:t> </w:t>
      </w:r>
      <w:r>
        <w:t>(OVIC)</w:t>
      </w:r>
      <w:bookmarkEnd w:id="14"/>
    </w:p>
    <w:p w14:paraId="4C1112C1" w14:textId="77777777" w:rsidR="008C1A44" w:rsidRDefault="008C1A44" w:rsidP="008C1A44">
      <w:pPr>
        <w:pStyle w:val="DPCbody"/>
        <w:numPr>
          <w:ilvl w:val="0"/>
          <w:numId w:val="28"/>
        </w:numPr>
      </w:pPr>
      <w:r w:rsidRPr="00CF71C8">
        <w:t>"The organisation manages all ICT assets (e.g. on-site, and off-site) throughout their lifecycle"</w:t>
      </w:r>
      <w:r>
        <w:t xml:space="preserve"> [E11.020]</w:t>
      </w:r>
    </w:p>
    <w:p w14:paraId="15785317" w14:textId="66902337" w:rsidR="008C1A44" w:rsidRDefault="008C1A44" w:rsidP="008C1A44"/>
    <w:p w14:paraId="638BF9EF" w14:textId="77777777" w:rsidR="007C3135" w:rsidRDefault="007C3135">
      <w:pPr>
        <w:snapToGrid/>
        <w:spacing w:after="0" w:line="240" w:lineRule="auto"/>
        <w:rPr>
          <w:rFonts w:asciiTheme="majorHAnsi" w:hAnsiTheme="majorHAnsi"/>
          <w:color w:val="005F9E" w:themeColor="accent1"/>
          <w:spacing w:val="-1"/>
          <w:sz w:val="34"/>
          <w:szCs w:val="28"/>
          <w:lang w:val="en-GB"/>
        </w:rPr>
      </w:pPr>
      <w:r>
        <w:rPr>
          <w:lang w:val="en-GB"/>
        </w:rPr>
        <w:br w:type="page"/>
      </w:r>
    </w:p>
    <w:p w14:paraId="7030BC82" w14:textId="0285D6BE" w:rsidR="007C3135" w:rsidRDefault="007C3135" w:rsidP="007C3135">
      <w:pPr>
        <w:pStyle w:val="Heading2"/>
        <w:rPr>
          <w:lang w:val="en-GB"/>
        </w:rPr>
      </w:pPr>
      <w:bookmarkStart w:id="15" w:name="_Toc126829054"/>
      <w:r>
        <w:rPr>
          <w:lang w:val="en-GB"/>
        </w:rPr>
        <w:lastRenderedPageBreak/>
        <w:t>Scope</w:t>
      </w:r>
      <w:bookmarkEnd w:id="12"/>
      <w:bookmarkEnd w:id="15"/>
    </w:p>
    <w:p w14:paraId="18BCB620" w14:textId="77777777" w:rsidR="007C3135" w:rsidRDefault="007C3135" w:rsidP="007C3135">
      <w:pPr>
        <w:pStyle w:val="Heading3"/>
        <w:rPr>
          <w:lang w:val="en-GB"/>
        </w:rPr>
      </w:pPr>
      <w:bookmarkStart w:id="16" w:name="_Toc124856916"/>
      <w:r>
        <w:rPr>
          <w:lang w:val="en-GB"/>
        </w:rPr>
        <w:t>Agency Scope</w:t>
      </w:r>
      <w:bookmarkEnd w:id="16"/>
    </w:p>
    <w:p w14:paraId="1AA39682" w14:textId="77777777" w:rsidR="007C3135" w:rsidRDefault="007C3135" w:rsidP="007C3135">
      <w:pPr>
        <w:pStyle w:val="DPCbody"/>
        <w:rPr>
          <w:lang w:val="en-GB"/>
        </w:rPr>
      </w:pPr>
      <w:r>
        <w:rPr>
          <w:lang w:val="en-GB"/>
        </w:rPr>
        <w:t>This guidance applies to all Victorian Public Service departments and agencies, including the Health, Water, Education, Justice and Local Government sectors. Note that even though some agencies are not covered by the Financial Management Act mandating AMAF, or be required to comply with VPDSS or Essential 8, they may still wish to follow this guidance as a collection of best practices.</w:t>
      </w:r>
    </w:p>
    <w:p w14:paraId="5B78B1E8" w14:textId="77777777" w:rsidR="007C3135" w:rsidRDefault="007C3135" w:rsidP="007C3135">
      <w:pPr>
        <w:pStyle w:val="Heading3"/>
        <w:rPr>
          <w:lang w:val="en-GB"/>
        </w:rPr>
      </w:pPr>
      <w:bookmarkStart w:id="17" w:name="_Toc124856917"/>
      <w:r>
        <w:rPr>
          <w:lang w:val="en-GB"/>
        </w:rPr>
        <w:t>In Scope IT Assets</w:t>
      </w:r>
      <w:bookmarkEnd w:id="17"/>
    </w:p>
    <w:p w14:paraId="404E0B44" w14:textId="77777777" w:rsidR="007C3135" w:rsidRDefault="007C3135" w:rsidP="007C3135">
      <w:pPr>
        <w:pStyle w:val="DPCbody"/>
        <w:rPr>
          <w:lang w:val="en-GB"/>
        </w:rPr>
      </w:pPr>
      <w:r>
        <w:rPr>
          <w:lang w:val="en-GB"/>
        </w:rPr>
        <w:t>The following IT assets are in scope of this guidance:</w:t>
      </w:r>
    </w:p>
    <w:p w14:paraId="0D12FE75" w14:textId="77777777" w:rsidR="007C3135" w:rsidRPr="00972524" w:rsidRDefault="007C3135" w:rsidP="00B22A1A">
      <w:pPr>
        <w:pStyle w:val="DPCbody"/>
        <w:numPr>
          <w:ilvl w:val="0"/>
          <w:numId w:val="11"/>
        </w:numPr>
      </w:pPr>
      <w:r w:rsidRPr="00972524">
        <w:t>Servers (virtual and physical)</w:t>
      </w:r>
    </w:p>
    <w:p w14:paraId="2CB87E4F" w14:textId="77777777" w:rsidR="007C3135" w:rsidRPr="00972524" w:rsidRDefault="007C3135" w:rsidP="00B22A1A">
      <w:pPr>
        <w:pStyle w:val="DPCbody"/>
        <w:numPr>
          <w:ilvl w:val="0"/>
          <w:numId w:val="11"/>
        </w:numPr>
      </w:pPr>
      <w:r w:rsidRPr="00972524">
        <w:t>Applications</w:t>
      </w:r>
      <w:r>
        <w:t xml:space="preserve"> (client-side, on prem/data centre and cloud-hosted)</w:t>
      </w:r>
    </w:p>
    <w:p w14:paraId="3CD27231" w14:textId="77777777" w:rsidR="007C3135" w:rsidRPr="00972524" w:rsidRDefault="007C3135" w:rsidP="00B22A1A">
      <w:pPr>
        <w:pStyle w:val="DPCbody"/>
        <w:numPr>
          <w:ilvl w:val="0"/>
          <w:numId w:val="11"/>
        </w:numPr>
      </w:pPr>
      <w:r w:rsidRPr="00972524">
        <w:t>Database</w:t>
      </w:r>
      <w:r>
        <w:t xml:space="preserve"> systems and Middleware</w:t>
      </w:r>
    </w:p>
    <w:p w14:paraId="7073A54E" w14:textId="77777777" w:rsidR="007C3135" w:rsidRPr="00972524" w:rsidRDefault="007C3135" w:rsidP="00B22A1A">
      <w:pPr>
        <w:pStyle w:val="DPCbody"/>
        <w:numPr>
          <w:ilvl w:val="0"/>
          <w:numId w:val="11"/>
        </w:numPr>
      </w:pPr>
      <w:r w:rsidRPr="00972524">
        <w:t>Network appliances (Wi-Fi access points, firewalls, switches, routers, bridges, gateways, modems, repeaters, hubs</w:t>
      </w:r>
      <w:r>
        <w:t xml:space="preserve"> etc</w:t>
      </w:r>
      <w:r w:rsidRPr="00972524">
        <w:t>)</w:t>
      </w:r>
    </w:p>
    <w:p w14:paraId="1F998392" w14:textId="77777777" w:rsidR="007C3135" w:rsidRPr="00972524" w:rsidRDefault="007C3135" w:rsidP="00B22A1A">
      <w:pPr>
        <w:pStyle w:val="DPCbody"/>
        <w:numPr>
          <w:ilvl w:val="0"/>
          <w:numId w:val="11"/>
        </w:numPr>
      </w:pPr>
      <w:r w:rsidRPr="00972524">
        <w:t>PCs (laptops and desktop</w:t>
      </w:r>
      <w:r>
        <w:t>s</w:t>
      </w:r>
      <w:r w:rsidRPr="00972524">
        <w:t>)</w:t>
      </w:r>
    </w:p>
    <w:p w14:paraId="5F59309C" w14:textId="77777777" w:rsidR="007C3135" w:rsidRDefault="007C3135" w:rsidP="00B22A1A">
      <w:pPr>
        <w:pStyle w:val="DPCbody"/>
        <w:numPr>
          <w:ilvl w:val="0"/>
          <w:numId w:val="11"/>
        </w:numPr>
      </w:pPr>
      <w:r w:rsidRPr="00972524">
        <w:t>Mobile devices/Smartphones/</w:t>
      </w:r>
      <w:r>
        <w:t>Tablets/</w:t>
      </w:r>
      <w:r w:rsidRPr="00972524">
        <w:t xml:space="preserve">SIM </w:t>
      </w:r>
      <w:r>
        <w:t>cards</w:t>
      </w:r>
      <w:r w:rsidRPr="00972524">
        <w:t xml:space="preserve"> issued by department/agency</w:t>
      </w:r>
    </w:p>
    <w:p w14:paraId="7BAAAFD4" w14:textId="77777777" w:rsidR="007C3135" w:rsidRDefault="007C3135" w:rsidP="00B22A1A">
      <w:pPr>
        <w:pStyle w:val="DPCbody"/>
        <w:numPr>
          <w:ilvl w:val="0"/>
          <w:numId w:val="11"/>
        </w:numPr>
      </w:pPr>
      <w:r>
        <w:t>Business critical IP phones and phone lines, cloud phone systems</w:t>
      </w:r>
    </w:p>
    <w:p w14:paraId="5E284C14" w14:textId="77777777" w:rsidR="007C3135" w:rsidRPr="00972524" w:rsidRDefault="007C3135" w:rsidP="00B22A1A">
      <w:pPr>
        <w:pStyle w:val="DPCbody"/>
        <w:numPr>
          <w:ilvl w:val="0"/>
          <w:numId w:val="11"/>
        </w:numPr>
      </w:pPr>
      <w:r w:rsidRPr="001E4732">
        <w:rPr>
          <w:highlight w:val="white"/>
        </w:rPr>
        <w:t xml:space="preserve">Networked </w:t>
      </w:r>
      <w:r>
        <w:rPr>
          <w:highlight w:val="white"/>
        </w:rPr>
        <w:t>Multifunction Devices/</w:t>
      </w:r>
      <w:r w:rsidRPr="001E4732">
        <w:rPr>
          <w:highlight w:val="white"/>
        </w:rPr>
        <w:t>Printers/Scanners/Faxes</w:t>
      </w:r>
    </w:p>
    <w:p w14:paraId="4AFB830A" w14:textId="77777777" w:rsidR="007C3135" w:rsidRPr="00972524" w:rsidRDefault="007C3135" w:rsidP="00B22A1A">
      <w:pPr>
        <w:pStyle w:val="DPCbody"/>
        <w:numPr>
          <w:ilvl w:val="0"/>
          <w:numId w:val="11"/>
        </w:numPr>
      </w:pPr>
      <w:r>
        <w:t xml:space="preserve">Security </w:t>
      </w:r>
      <w:r w:rsidRPr="00972524">
        <w:t>Certificates</w:t>
      </w:r>
    </w:p>
    <w:p w14:paraId="2DDF066D" w14:textId="77777777" w:rsidR="007C3135" w:rsidRPr="00972524" w:rsidRDefault="007C3135" w:rsidP="00B22A1A">
      <w:pPr>
        <w:pStyle w:val="DPCbody"/>
        <w:numPr>
          <w:ilvl w:val="0"/>
          <w:numId w:val="11"/>
        </w:numPr>
      </w:pPr>
      <w:r w:rsidRPr="00972524">
        <w:t>Cloud applications (SaaS)</w:t>
      </w:r>
    </w:p>
    <w:p w14:paraId="60065DBC" w14:textId="77777777" w:rsidR="007C3135" w:rsidRPr="00972524" w:rsidRDefault="007C3135" w:rsidP="00B22A1A">
      <w:pPr>
        <w:pStyle w:val="DPCbody"/>
        <w:numPr>
          <w:ilvl w:val="0"/>
          <w:numId w:val="11"/>
        </w:numPr>
      </w:pPr>
      <w:r w:rsidRPr="00972524">
        <w:t>Cloud platforms (PaaS)</w:t>
      </w:r>
    </w:p>
    <w:p w14:paraId="6F46E2D7" w14:textId="77777777" w:rsidR="007C3135" w:rsidRPr="00972524" w:rsidRDefault="007C3135" w:rsidP="00B22A1A">
      <w:pPr>
        <w:pStyle w:val="DPCbody"/>
        <w:numPr>
          <w:ilvl w:val="0"/>
          <w:numId w:val="11"/>
        </w:numPr>
      </w:pPr>
      <w:r w:rsidRPr="00972524">
        <w:t>Cloud infrastructure (IaaS)</w:t>
      </w:r>
    </w:p>
    <w:p w14:paraId="0D794161" w14:textId="77777777" w:rsidR="007C3135" w:rsidRDefault="007C3135" w:rsidP="00B22A1A">
      <w:pPr>
        <w:pStyle w:val="DPCbody"/>
        <w:numPr>
          <w:ilvl w:val="0"/>
          <w:numId w:val="11"/>
        </w:numPr>
      </w:pPr>
      <w:r w:rsidRPr="00972524">
        <w:t>Outsourced/Third Party Hosted/Managed Services</w:t>
      </w:r>
      <w:r>
        <w:t xml:space="preserve"> IT assets (delegated IT asset management responsibility)</w:t>
      </w:r>
    </w:p>
    <w:p w14:paraId="7FCDCFAC" w14:textId="77777777" w:rsidR="007C3135" w:rsidRPr="00972524" w:rsidRDefault="007C3135" w:rsidP="00B22A1A">
      <w:pPr>
        <w:pStyle w:val="DPCbody"/>
        <w:numPr>
          <w:ilvl w:val="0"/>
          <w:numId w:val="11"/>
        </w:numPr>
      </w:pPr>
      <w:r w:rsidRPr="00972524">
        <w:t>IoT/embedded systems</w:t>
      </w:r>
      <w:r>
        <w:t>/electronic medical devices</w:t>
      </w:r>
      <w:r w:rsidRPr="00972524">
        <w:t xml:space="preserve"> (if relevant to the organisation)</w:t>
      </w:r>
    </w:p>
    <w:p w14:paraId="15A4E47C" w14:textId="77777777" w:rsidR="007C3135" w:rsidRPr="008849D0" w:rsidRDefault="007C3135" w:rsidP="007C3135">
      <w:pPr>
        <w:pStyle w:val="DPCbody"/>
      </w:pPr>
    </w:p>
    <w:p w14:paraId="71DE2B35" w14:textId="77777777" w:rsidR="007C3135" w:rsidRDefault="007C3135" w:rsidP="007C3135">
      <w:pPr>
        <w:rPr>
          <w:rFonts w:asciiTheme="majorHAnsi" w:eastAsia="MS Gothic" w:hAnsiTheme="majorHAnsi"/>
          <w:b/>
          <w:bCs/>
          <w:color w:val="53565A"/>
          <w:sz w:val="32"/>
          <w:szCs w:val="32"/>
          <w:lang w:val="en-GB"/>
        </w:rPr>
      </w:pPr>
      <w:r>
        <w:rPr>
          <w:lang w:val="en-GB"/>
        </w:rPr>
        <w:br w:type="page"/>
      </w:r>
    </w:p>
    <w:p w14:paraId="732C7900" w14:textId="77777777" w:rsidR="007C3135" w:rsidRDefault="007C3135" w:rsidP="007C3135">
      <w:pPr>
        <w:pStyle w:val="Heading3"/>
        <w:rPr>
          <w:lang w:val="en-GB"/>
        </w:rPr>
      </w:pPr>
      <w:bookmarkStart w:id="18" w:name="_Toc124856918"/>
      <w:r>
        <w:rPr>
          <w:lang w:val="en-GB"/>
        </w:rPr>
        <w:lastRenderedPageBreak/>
        <w:t>Out of Scope IT Assets</w:t>
      </w:r>
      <w:bookmarkEnd w:id="18"/>
    </w:p>
    <w:p w14:paraId="0C2AF2CF" w14:textId="77777777" w:rsidR="007C3135" w:rsidRDefault="007C3135" w:rsidP="007C3135">
      <w:pPr>
        <w:pStyle w:val="DPCbody"/>
        <w:rPr>
          <w:highlight w:val="white"/>
        </w:rPr>
      </w:pPr>
      <w:r>
        <w:rPr>
          <w:highlight w:val="white"/>
        </w:rPr>
        <w:t>The following are out of scope of this guidance:</w:t>
      </w:r>
    </w:p>
    <w:p w14:paraId="66B1A1C6" w14:textId="77777777" w:rsidR="007C3135" w:rsidRDefault="007C3135" w:rsidP="00B22A1A">
      <w:pPr>
        <w:pStyle w:val="DPCbody"/>
        <w:numPr>
          <w:ilvl w:val="0"/>
          <w:numId w:val="12"/>
        </w:numPr>
        <w:rPr>
          <w:highlight w:val="white"/>
        </w:rPr>
      </w:pPr>
      <w:r w:rsidRPr="001E4732">
        <w:rPr>
          <w:highlight w:val="white"/>
        </w:rPr>
        <w:t>Keyboards and pointing devices (e.g. mice)</w:t>
      </w:r>
    </w:p>
    <w:p w14:paraId="47981A12" w14:textId="77777777" w:rsidR="007C3135" w:rsidRDefault="007C3135" w:rsidP="00B22A1A">
      <w:pPr>
        <w:pStyle w:val="DPCbody"/>
        <w:numPr>
          <w:ilvl w:val="0"/>
          <w:numId w:val="12"/>
        </w:numPr>
        <w:rPr>
          <w:highlight w:val="white"/>
        </w:rPr>
      </w:pPr>
      <w:r>
        <w:rPr>
          <w:highlight w:val="white"/>
        </w:rPr>
        <w:t>M</w:t>
      </w:r>
      <w:r w:rsidRPr="001E4732">
        <w:rPr>
          <w:highlight w:val="white"/>
        </w:rPr>
        <w:t>onitors</w:t>
      </w:r>
    </w:p>
    <w:p w14:paraId="312D0905" w14:textId="77777777" w:rsidR="007C3135" w:rsidRPr="001E4732" w:rsidRDefault="007C3135" w:rsidP="00B22A1A">
      <w:pPr>
        <w:pStyle w:val="DPCbody"/>
        <w:numPr>
          <w:ilvl w:val="0"/>
          <w:numId w:val="12"/>
        </w:numPr>
        <w:rPr>
          <w:highlight w:val="white"/>
        </w:rPr>
      </w:pPr>
      <w:r>
        <w:rPr>
          <w:highlight w:val="white"/>
        </w:rPr>
        <w:t>Data Centres</w:t>
      </w:r>
    </w:p>
    <w:p w14:paraId="27BFCE8C" w14:textId="77777777" w:rsidR="007C3135" w:rsidRDefault="007C3135" w:rsidP="00B22A1A">
      <w:pPr>
        <w:pStyle w:val="DPCbody"/>
        <w:numPr>
          <w:ilvl w:val="0"/>
          <w:numId w:val="12"/>
        </w:numPr>
        <w:rPr>
          <w:highlight w:val="white"/>
        </w:rPr>
      </w:pPr>
      <w:r>
        <w:rPr>
          <w:highlight w:val="white"/>
        </w:rPr>
        <w:t>Information/Data Assets (this is covered by OVIC’s VPDSS Framework)</w:t>
      </w:r>
    </w:p>
    <w:p w14:paraId="0463A083" w14:textId="77777777" w:rsidR="007C3135" w:rsidRPr="00F206DC" w:rsidRDefault="007C3135" w:rsidP="00B22A1A">
      <w:pPr>
        <w:pStyle w:val="DPCbody"/>
        <w:numPr>
          <w:ilvl w:val="0"/>
          <w:numId w:val="12"/>
        </w:numPr>
        <w:rPr>
          <w:highlight w:val="white"/>
        </w:rPr>
      </w:pPr>
      <w:r>
        <w:rPr>
          <w:highlight w:val="white"/>
        </w:rPr>
        <w:t>Data retention and archiving</w:t>
      </w:r>
    </w:p>
    <w:p w14:paraId="7D117849" w14:textId="77777777" w:rsidR="007C3135" w:rsidRDefault="007C3135" w:rsidP="00B22A1A">
      <w:pPr>
        <w:pStyle w:val="DPCbody"/>
        <w:numPr>
          <w:ilvl w:val="0"/>
          <w:numId w:val="12"/>
        </w:numPr>
        <w:rPr>
          <w:highlight w:val="white"/>
        </w:rPr>
      </w:pPr>
      <w:r>
        <w:rPr>
          <w:highlight w:val="white"/>
        </w:rPr>
        <w:t>IT Contracts</w:t>
      </w:r>
    </w:p>
    <w:p w14:paraId="2240794A" w14:textId="77777777" w:rsidR="007C3135" w:rsidRDefault="007C3135" w:rsidP="00B22A1A">
      <w:pPr>
        <w:pStyle w:val="DPCbody"/>
        <w:numPr>
          <w:ilvl w:val="0"/>
          <w:numId w:val="12"/>
        </w:numPr>
        <w:rPr>
          <w:highlight w:val="white"/>
        </w:rPr>
      </w:pPr>
      <w:r>
        <w:rPr>
          <w:highlight w:val="white"/>
        </w:rPr>
        <w:t>IT Financial Management (including depreciation)</w:t>
      </w:r>
    </w:p>
    <w:p w14:paraId="1E79CD99" w14:textId="77777777" w:rsidR="007C3135" w:rsidRDefault="007C3135" w:rsidP="00B22A1A">
      <w:pPr>
        <w:pStyle w:val="DPCbody"/>
        <w:numPr>
          <w:ilvl w:val="0"/>
          <w:numId w:val="12"/>
        </w:numPr>
        <w:rPr>
          <w:highlight w:val="white"/>
        </w:rPr>
      </w:pPr>
      <w:r>
        <w:rPr>
          <w:highlight w:val="white"/>
        </w:rPr>
        <w:t>Linking IT assets to Business Processes</w:t>
      </w:r>
    </w:p>
    <w:p w14:paraId="41D12586" w14:textId="77777777" w:rsidR="007C3135" w:rsidRDefault="007C3135" w:rsidP="00B22A1A">
      <w:pPr>
        <w:pStyle w:val="DPCbody"/>
        <w:numPr>
          <w:ilvl w:val="0"/>
          <w:numId w:val="12"/>
        </w:numPr>
        <w:rPr>
          <w:highlight w:val="white"/>
        </w:rPr>
      </w:pPr>
      <w:r w:rsidRPr="351B4E9A">
        <w:rPr>
          <w:highlight w:val="white"/>
        </w:rPr>
        <w:t>Linking IT assets to Business or public services</w:t>
      </w:r>
    </w:p>
    <w:p w14:paraId="0F994F56" w14:textId="77777777" w:rsidR="007C3135" w:rsidRDefault="007C3135" w:rsidP="007C3135">
      <w:r>
        <w:br w:type="page"/>
      </w:r>
    </w:p>
    <w:p w14:paraId="23C5A40A" w14:textId="64BBFDB0" w:rsidR="003728B5" w:rsidRDefault="00BC3C10" w:rsidP="00BC3C10">
      <w:pPr>
        <w:pStyle w:val="Heading1"/>
      </w:pPr>
      <w:bookmarkStart w:id="19" w:name="_Toc126829055"/>
      <w:r>
        <w:lastRenderedPageBreak/>
        <w:t>Framework</w:t>
      </w:r>
      <w:bookmarkEnd w:id="19"/>
    </w:p>
    <w:p w14:paraId="7032EB25" w14:textId="36146B57" w:rsidR="003728B5" w:rsidRDefault="003728B5" w:rsidP="003728B5">
      <w:pPr>
        <w:pStyle w:val="DPCbody"/>
      </w:pPr>
      <w:r>
        <w:t>The aim of this guidance is to help departments and agencies across all sectors (including health, water, education and local government) improve their IT asset management. In addition to ensuring that the cybersecurity issues are addressed, a standard way of approaching IT asset management across the Victorian Government makes the following easier:</w:t>
      </w:r>
    </w:p>
    <w:p w14:paraId="6C73F0A3" w14:textId="77777777" w:rsidR="003728B5" w:rsidRPr="00EC0AB7" w:rsidRDefault="003728B5" w:rsidP="00B22A1A">
      <w:pPr>
        <w:pStyle w:val="DPCbody"/>
        <w:numPr>
          <w:ilvl w:val="0"/>
          <w:numId w:val="26"/>
        </w:numPr>
      </w:pPr>
      <w:r>
        <w:t>C</w:t>
      </w:r>
      <w:r w:rsidRPr="00EC0AB7">
        <w:t>hoos</w:t>
      </w:r>
      <w:r>
        <w:t>ing</w:t>
      </w:r>
      <w:r w:rsidRPr="00EC0AB7">
        <w:t xml:space="preserve"> and implement</w:t>
      </w:r>
      <w:r>
        <w:t>ing</w:t>
      </w:r>
      <w:r w:rsidRPr="00EC0AB7">
        <w:t xml:space="preserve"> an</w:t>
      </w:r>
      <w:r>
        <w:t xml:space="preserve"> IT asset management</w:t>
      </w:r>
      <w:r w:rsidRPr="00EC0AB7">
        <w:t xml:space="preserve"> approach</w:t>
      </w:r>
      <w:r>
        <w:t xml:space="preserve"> in a department/agency </w:t>
      </w:r>
    </w:p>
    <w:p w14:paraId="36E38358" w14:textId="77777777" w:rsidR="003728B5" w:rsidRPr="00EC0AB7" w:rsidRDefault="003728B5" w:rsidP="00B22A1A">
      <w:pPr>
        <w:pStyle w:val="DPCbody"/>
        <w:numPr>
          <w:ilvl w:val="0"/>
          <w:numId w:val="26"/>
        </w:numPr>
      </w:pPr>
      <w:r>
        <w:t>Performing</w:t>
      </w:r>
      <w:r w:rsidRPr="00EC0AB7">
        <w:t xml:space="preserve"> Machinery of Government changes</w:t>
      </w:r>
    </w:p>
    <w:p w14:paraId="5132909F" w14:textId="77777777" w:rsidR="003728B5" w:rsidRDefault="003728B5" w:rsidP="00B22A1A">
      <w:pPr>
        <w:pStyle w:val="DPCbody"/>
        <w:numPr>
          <w:ilvl w:val="0"/>
          <w:numId w:val="26"/>
        </w:numPr>
      </w:pPr>
      <w:r>
        <w:t>P</w:t>
      </w:r>
      <w:r w:rsidRPr="00EC0AB7">
        <w:t>rovid</w:t>
      </w:r>
      <w:r>
        <w:t xml:space="preserve">ing </w:t>
      </w:r>
      <w:r w:rsidRPr="00EC0AB7">
        <w:t>pre-configure</w:t>
      </w:r>
      <w:r>
        <w:t>d</w:t>
      </w:r>
      <w:r w:rsidRPr="00EC0AB7">
        <w:t xml:space="preserve"> </w:t>
      </w:r>
      <w:r>
        <w:t xml:space="preserve">(including multi-tenant) ITAM technology </w:t>
      </w:r>
      <w:r w:rsidRPr="00EC0AB7">
        <w:t>solutions</w:t>
      </w:r>
    </w:p>
    <w:p w14:paraId="1BE312CF" w14:textId="77777777" w:rsidR="003728B5" w:rsidRPr="00EC0AB7" w:rsidRDefault="003728B5" w:rsidP="00B22A1A">
      <w:pPr>
        <w:pStyle w:val="DPCbody"/>
        <w:numPr>
          <w:ilvl w:val="0"/>
          <w:numId w:val="26"/>
        </w:numPr>
      </w:pPr>
      <w:r>
        <w:t>Establishing value-for-money WoVG Deeds of Standing Offer</w:t>
      </w:r>
    </w:p>
    <w:p w14:paraId="71554A04" w14:textId="57B9088D" w:rsidR="003728B5" w:rsidRPr="00EC0AB7" w:rsidRDefault="003728B5" w:rsidP="00B22A1A">
      <w:pPr>
        <w:pStyle w:val="DPCbody"/>
        <w:numPr>
          <w:ilvl w:val="0"/>
          <w:numId w:val="26"/>
        </w:numPr>
      </w:pPr>
      <w:r>
        <w:t>Facilitating the movement of</w:t>
      </w:r>
      <w:r w:rsidRPr="00EC0AB7">
        <w:t xml:space="preserve"> </w:t>
      </w:r>
      <w:r>
        <w:t xml:space="preserve">IT asset management and IT operations </w:t>
      </w:r>
      <w:r w:rsidRPr="00EC0AB7">
        <w:t xml:space="preserve">staff </w:t>
      </w:r>
      <w:r>
        <w:t>within and across</w:t>
      </w:r>
      <w:r w:rsidRPr="00EC0AB7">
        <w:t xml:space="preserve"> departments</w:t>
      </w:r>
      <w:r>
        <w:t xml:space="preserve"> and </w:t>
      </w:r>
      <w:r w:rsidRPr="00EC0AB7">
        <w:t>agencies</w:t>
      </w:r>
    </w:p>
    <w:p w14:paraId="70056BD8" w14:textId="77777777" w:rsidR="003728B5" w:rsidRPr="00EC0AB7" w:rsidRDefault="003728B5" w:rsidP="00B22A1A">
      <w:pPr>
        <w:pStyle w:val="DPCbody"/>
        <w:numPr>
          <w:ilvl w:val="0"/>
          <w:numId w:val="26"/>
        </w:numPr>
      </w:pPr>
      <w:r>
        <w:t>Sharing</w:t>
      </w:r>
      <w:r w:rsidRPr="00EC0AB7">
        <w:t xml:space="preserve"> asset management </w:t>
      </w:r>
      <w:r>
        <w:t xml:space="preserve">people, process and training </w:t>
      </w:r>
      <w:r w:rsidRPr="00EC0AB7">
        <w:t>resources</w:t>
      </w:r>
    </w:p>
    <w:p w14:paraId="1B0728FE" w14:textId="77777777" w:rsidR="003728B5" w:rsidRPr="00EC0AB7" w:rsidRDefault="003728B5" w:rsidP="00B22A1A">
      <w:pPr>
        <w:pStyle w:val="DPCbody"/>
        <w:numPr>
          <w:ilvl w:val="0"/>
          <w:numId w:val="26"/>
        </w:numPr>
      </w:pPr>
      <w:r>
        <w:t>Achieving</w:t>
      </w:r>
      <w:r w:rsidRPr="00EC0AB7">
        <w:t xml:space="preserve"> consolidated and streamlined reporting across government</w:t>
      </w:r>
    </w:p>
    <w:p w14:paraId="7CBC64EC" w14:textId="77777777" w:rsidR="003728B5" w:rsidRDefault="003728B5" w:rsidP="00B22A1A">
      <w:pPr>
        <w:pStyle w:val="DPCbody"/>
        <w:numPr>
          <w:ilvl w:val="0"/>
          <w:numId w:val="26"/>
        </w:numPr>
      </w:pPr>
      <w:r>
        <w:t>Performing</w:t>
      </w:r>
      <w:r w:rsidRPr="00EC0AB7">
        <w:t xml:space="preserve"> maturity assessments and benchmarking across government</w:t>
      </w:r>
    </w:p>
    <w:p w14:paraId="6278AAF7" w14:textId="77777777" w:rsidR="003728B5" w:rsidRPr="00EC0AB7" w:rsidRDefault="003728B5" w:rsidP="00B22A1A">
      <w:pPr>
        <w:pStyle w:val="DPCbody"/>
        <w:numPr>
          <w:ilvl w:val="0"/>
          <w:numId w:val="26"/>
        </w:numPr>
      </w:pPr>
      <w:r>
        <w:t>Identifying comparative risks across government</w:t>
      </w:r>
    </w:p>
    <w:p w14:paraId="4A43C209" w14:textId="5448883C" w:rsidR="003728B5" w:rsidRPr="00EC0AB7" w:rsidRDefault="003728B5" w:rsidP="003728B5">
      <w:pPr>
        <w:pStyle w:val="DPCbody"/>
        <w:ind w:left="720"/>
      </w:pPr>
    </w:p>
    <w:p w14:paraId="2477BA39" w14:textId="1CA86E98" w:rsidR="003728B5" w:rsidRDefault="003728B5" w:rsidP="003728B5">
      <w:pPr>
        <w:pStyle w:val="DPCbody"/>
        <w:rPr>
          <w:b/>
          <w:bCs/>
        </w:rPr>
      </w:pPr>
      <w:r>
        <w:t xml:space="preserve">To improve IT asset management in an organisation, four areas need to be addressed: </w:t>
      </w:r>
      <w:r w:rsidRPr="006E3EC1">
        <w:rPr>
          <w:b/>
          <w:bCs/>
        </w:rPr>
        <w:t>People</w:t>
      </w:r>
      <w:r>
        <w:t xml:space="preserve">, </w:t>
      </w:r>
      <w:r w:rsidRPr="006E3EC1">
        <w:rPr>
          <w:b/>
          <w:bCs/>
        </w:rPr>
        <w:t>Process</w:t>
      </w:r>
      <w:r>
        <w:t xml:space="preserve">, </w:t>
      </w:r>
      <w:r w:rsidRPr="006E3EC1">
        <w:rPr>
          <w:b/>
          <w:bCs/>
        </w:rPr>
        <w:t>Data</w:t>
      </w:r>
      <w:r>
        <w:t xml:space="preserve"> and </w:t>
      </w:r>
      <w:r w:rsidRPr="006E3EC1">
        <w:rPr>
          <w:b/>
          <w:bCs/>
        </w:rPr>
        <w:t>Technology</w:t>
      </w:r>
      <w:r>
        <w:rPr>
          <w:b/>
          <w:bCs/>
        </w:rPr>
        <w:t>.</w:t>
      </w:r>
    </w:p>
    <w:p w14:paraId="202FE637" w14:textId="7D9F3870" w:rsidR="003728B5" w:rsidRDefault="00D9218C" w:rsidP="003728B5">
      <w:pPr>
        <w:pStyle w:val="DPCbody"/>
        <w:jc w:val="center"/>
        <w:rPr>
          <w:noProof/>
          <w:color w:val="2B579A"/>
          <w:shd w:val="clear" w:color="auto" w:fill="E6E6E6"/>
        </w:rPr>
      </w:pPr>
      <w:r>
        <w:rPr>
          <w:noProof/>
        </w:rPr>
        <w:drawing>
          <wp:anchor distT="0" distB="0" distL="114300" distR="114300" simplePos="0" relativeHeight="251662336" behindDoc="0" locked="0" layoutInCell="1" allowOverlap="1" wp14:anchorId="658B6BE1" wp14:editId="194B6BE4">
            <wp:simplePos x="0" y="0"/>
            <wp:positionH relativeFrom="column">
              <wp:posOffset>704850</wp:posOffset>
            </wp:positionH>
            <wp:positionV relativeFrom="paragraph">
              <wp:posOffset>119380</wp:posOffset>
            </wp:positionV>
            <wp:extent cx="4259580" cy="3660124"/>
            <wp:effectExtent l="0" t="0" r="7620" b="0"/>
            <wp:wrapSquare wrapText="bothSides"/>
            <wp:docPr id="11" name="Picture 11" descr="A circle cut into four quadrants. Top left quadrant is labelled People, bottom left quadrant is labelled Data, top right quadrant is labelled Process, and the bottom right quadrant is labelled Technology. The left half of the quadrant has a label called KPIs and the right half of the quadrant has a label called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ircle cut into four quadrants. Top left quadrant is labelled People, bottom left quadrant is labelled Data, top right quadrant is labelled Process, and the bottom right quadrant is labelled Technology. The left half of the quadrant has a label called KPIs and the right half of the quadrant has a label called Reporting. "/>
                    <pic:cNvPicPr/>
                  </pic:nvPicPr>
                  <pic:blipFill>
                    <a:blip r:embed="rId19">
                      <a:extLst>
                        <a:ext uri="{28A0092B-C50C-407E-A947-70E740481C1C}">
                          <a14:useLocalDpi xmlns:a14="http://schemas.microsoft.com/office/drawing/2010/main" val="0"/>
                        </a:ext>
                      </a:extLst>
                    </a:blip>
                    <a:stretch>
                      <a:fillRect/>
                    </a:stretch>
                  </pic:blipFill>
                  <pic:spPr>
                    <a:xfrm>
                      <a:off x="0" y="0"/>
                      <a:ext cx="4259580" cy="3660124"/>
                    </a:xfrm>
                    <a:prstGeom prst="rect">
                      <a:avLst/>
                    </a:prstGeom>
                  </pic:spPr>
                </pic:pic>
              </a:graphicData>
            </a:graphic>
            <wp14:sizeRelH relativeFrom="page">
              <wp14:pctWidth>0</wp14:pctWidth>
            </wp14:sizeRelH>
            <wp14:sizeRelV relativeFrom="page">
              <wp14:pctHeight>0</wp14:pctHeight>
            </wp14:sizeRelV>
          </wp:anchor>
        </w:drawing>
      </w:r>
      <w:r w:rsidR="003728B5">
        <w:br/>
      </w:r>
    </w:p>
    <w:p w14:paraId="1954F818" w14:textId="0AB7277F" w:rsidR="00D9218C" w:rsidRDefault="00D9218C" w:rsidP="003728B5">
      <w:pPr>
        <w:pStyle w:val="DPCbody"/>
        <w:jc w:val="center"/>
        <w:rPr>
          <w:noProof/>
          <w:color w:val="2B579A"/>
          <w:shd w:val="clear" w:color="auto" w:fill="E6E6E6"/>
        </w:rPr>
      </w:pPr>
    </w:p>
    <w:p w14:paraId="0C5F6E8D" w14:textId="0F8BEB11" w:rsidR="00D9218C" w:rsidRDefault="00D9218C" w:rsidP="003728B5">
      <w:pPr>
        <w:pStyle w:val="DPCbody"/>
        <w:jc w:val="center"/>
        <w:rPr>
          <w:noProof/>
          <w:color w:val="2B579A"/>
          <w:shd w:val="clear" w:color="auto" w:fill="E6E6E6"/>
        </w:rPr>
      </w:pPr>
    </w:p>
    <w:p w14:paraId="7DD4FC31" w14:textId="13274A99" w:rsidR="00D9218C" w:rsidRDefault="00D9218C" w:rsidP="003728B5">
      <w:pPr>
        <w:pStyle w:val="DPCbody"/>
        <w:jc w:val="center"/>
        <w:rPr>
          <w:noProof/>
          <w:color w:val="2B579A"/>
          <w:shd w:val="clear" w:color="auto" w:fill="E6E6E6"/>
        </w:rPr>
      </w:pPr>
    </w:p>
    <w:p w14:paraId="65658D79" w14:textId="61CA0B82" w:rsidR="00D9218C" w:rsidRDefault="00D9218C" w:rsidP="003728B5">
      <w:pPr>
        <w:pStyle w:val="DPCbody"/>
        <w:jc w:val="center"/>
        <w:rPr>
          <w:noProof/>
          <w:color w:val="2B579A"/>
          <w:shd w:val="clear" w:color="auto" w:fill="E6E6E6"/>
        </w:rPr>
      </w:pPr>
    </w:p>
    <w:p w14:paraId="1F28757C" w14:textId="489AE271" w:rsidR="00D9218C" w:rsidRDefault="00D9218C" w:rsidP="003728B5">
      <w:pPr>
        <w:pStyle w:val="DPCbody"/>
        <w:jc w:val="center"/>
        <w:rPr>
          <w:noProof/>
          <w:color w:val="2B579A"/>
          <w:shd w:val="clear" w:color="auto" w:fill="E6E6E6"/>
        </w:rPr>
      </w:pPr>
    </w:p>
    <w:p w14:paraId="78EDDE04" w14:textId="67A34CBE" w:rsidR="00D9218C" w:rsidRDefault="00D9218C" w:rsidP="003728B5">
      <w:pPr>
        <w:pStyle w:val="DPCbody"/>
        <w:jc w:val="center"/>
        <w:rPr>
          <w:noProof/>
          <w:color w:val="2B579A"/>
          <w:shd w:val="clear" w:color="auto" w:fill="E6E6E6"/>
        </w:rPr>
      </w:pPr>
    </w:p>
    <w:p w14:paraId="7EC401BE" w14:textId="5DE940C1" w:rsidR="00D9218C" w:rsidRDefault="00D9218C" w:rsidP="003728B5">
      <w:pPr>
        <w:pStyle w:val="DPCbody"/>
        <w:jc w:val="center"/>
        <w:rPr>
          <w:noProof/>
          <w:color w:val="2B579A"/>
          <w:shd w:val="clear" w:color="auto" w:fill="E6E6E6"/>
        </w:rPr>
      </w:pPr>
    </w:p>
    <w:p w14:paraId="586610E4" w14:textId="7E73B6F7" w:rsidR="00D9218C" w:rsidRDefault="00D9218C" w:rsidP="003728B5">
      <w:pPr>
        <w:pStyle w:val="DPCbody"/>
        <w:jc w:val="center"/>
        <w:rPr>
          <w:noProof/>
          <w:color w:val="2B579A"/>
          <w:shd w:val="clear" w:color="auto" w:fill="E6E6E6"/>
        </w:rPr>
      </w:pPr>
    </w:p>
    <w:p w14:paraId="383F2AC6" w14:textId="1938BA40" w:rsidR="00D9218C" w:rsidRDefault="00D9218C" w:rsidP="003728B5">
      <w:pPr>
        <w:pStyle w:val="DPCbody"/>
        <w:jc w:val="center"/>
        <w:rPr>
          <w:noProof/>
          <w:color w:val="2B579A"/>
          <w:shd w:val="clear" w:color="auto" w:fill="E6E6E6"/>
        </w:rPr>
      </w:pPr>
    </w:p>
    <w:p w14:paraId="304DDE73" w14:textId="77777777" w:rsidR="00D9218C" w:rsidRPr="00A022DF" w:rsidRDefault="00D9218C" w:rsidP="003728B5">
      <w:pPr>
        <w:pStyle w:val="DPCbody"/>
        <w:jc w:val="center"/>
        <w:rPr>
          <w:b/>
          <w:bCs/>
        </w:rPr>
      </w:pPr>
    </w:p>
    <w:p w14:paraId="689F86B9" w14:textId="77777777" w:rsidR="003728B5" w:rsidRDefault="003728B5" w:rsidP="003728B5">
      <w:pPr>
        <w:pStyle w:val="Heading2"/>
      </w:pPr>
      <w:bookmarkStart w:id="20" w:name="_Toc124856925"/>
      <w:bookmarkStart w:id="21" w:name="_Toc126829056"/>
      <w:r>
        <w:lastRenderedPageBreak/>
        <w:t>People</w:t>
      </w:r>
      <w:bookmarkEnd w:id="20"/>
      <w:bookmarkEnd w:id="21"/>
    </w:p>
    <w:p w14:paraId="4B0050A1" w14:textId="77777777" w:rsidR="003728B5" w:rsidRDefault="003728B5" w:rsidP="003728B5">
      <w:pPr>
        <w:pStyle w:val="DPCbody"/>
      </w:pPr>
      <w:r>
        <w:t>One of the main issues impeding good IT asset management is the difficulty attracting and retaining staff to perform important but often repetitive IT asset management processes. Another major hurdle is that IT asset management responsibilities are usually distributed across multiple IT and even business teams, even if an organisation has a dedicated and centralised IT Asset Manager role.</w:t>
      </w:r>
    </w:p>
    <w:p w14:paraId="4637848E" w14:textId="77777777" w:rsidR="003728B5" w:rsidRDefault="003728B5" w:rsidP="003728B5">
      <w:pPr>
        <w:pStyle w:val="DPCbody"/>
      </w:pPr>
      <w:r>
        <w:t>Some of the actions an organisation can take to address these people-related issues include:</w:t>
      </w:r>
    </w:p>
    <w:p w14:paraId="5AE50B02" w14:textId="77777777" w:rsidR="003728B5" w:rsidRDefault="003728B5" w:rsidP="00B22A1A">
      <w:pPr>
        <w:pStyle w:val="DPCbody"/>
        <w:numPr>
          <w:ilvl w:val="0"/>
          <w:numId w:val="20"/>
        </w:numPr>
      </w:pPr>
      <w:r>
        <w:t xml:space="preserve">Establishing or leveraging an existing </w:t>
      </w:r>
      <w:r w:rsidRPr="00E04398">
        <w:rPr>
          <w:b/>
          <w:bCs/>
        </w:rPr>
        <w:t>Steering Committee</w:t>
      </w:r>
      <w:r>
        <w:rPr>
          <w:b/>
          <w:bCs/>
        </w:rPr>
        <w:t xml:space="preserve"> / Governance Board</w:t>
      </w:r>
      <w:r>
        <w:t xml:space="preserve"> chaired by the CIO (or equivalent) and including the managers of staff who have IT asset management responsibilities across the organisation. This can be dedicated to IT asset management or leverage an existing committee/board e.g. for IT, IT Operations, Asset Management (all classes) or Enterprise Architecture.</w:t>
      </w:r>
    </w:p>
    <w:p w14:paraId="1FE43A40" w14:textId="77777777" w:rsidR="003728B5" w:rsidRDefault="003728B5" w:rsidP="00B22A1A">
      <w:pPr>
        <w:pStyle w:val="DPCbody"/>
        <w:numPr>
          <w:ilvl w:val="0"/>
          <w:numId w:val="20"/>
        </w:numPr>
      </w:pPr>
      <w:r w:rsidRPr="00DC5E43">
        <w:rPr>
          <w:b/>
          <w:bCs/>
        </w:rPr>
        <w:t>Allocate the responsibility</w:t>
      </w:r>
      <w:r>
        <w:t xml:space="preserve"> for each IT asset management process against staff (and any external providers). Typical roles involved in IT asset management include: Enterprise Architect, Asset Owners/Custodians, End User Administration Team Lead, Windows Administration Team Lead, Unix/Linux Administration Team Lead, Network Administration Team Lead, Database Administration Team Lead, Cloud Platform Administration Leads, and Application Support Leads.</w:t>
      </w:r>
    </w:p>
    <w:p w14:paraId="119B59A8" w14:textId="77777777" w:rsidR="003728B5" w:rsidRPr="001841E4" w:rsidRDefault="003728B5" w:rsidP="00B22A1A">
      <w:pPr>
        <w:pStyle w:val="DPCbody"/>
        <w:numPr>
          <w:ilvl w:val="0"/>
          <w:numId w:val="20"/>
        </w:numPr>
      </w:pPr>
      <w:r w:rsidRPr="001841E4">
        <w:t xml:space="preserve">Embed IT asset management KPIs into the </w:t>
      </w:r>
      <w:r w:rsidRPr="001841E4">
        <w:rPr>
          <w:b/>
          <w:bCs/>
        </w:rPr>
        <w:t>Performance Plans</w:t>
      </w:r>
      <w:r w:rsidRPr="001841E4">
        <w:t xml:space="preserve"> of the relevant staff in your organisation</w:t>
      </w:r>
    </w:p>
    <w:p w14:paraId="0FCB428C" w14:textId="77777777" w:rsidR="003728B5" w:rsidRDefault="003728B5" w:rsidP="00B22A1A">
      <w:pPr>
        <w:pStyle w:val="DPCbody"/>
        <w:numPr>
          <w:ilvl w:val="0"/>
          <w:numId w:val="20"/>
        </w:numPr>
      </w:pPr>
      <w:r w:rsidRPr="001841E4">
        <w:t xml:space="preserve">Embed IT asset management KPIs into the </w:t>
      </w:r>
      <w:r w:rsidRPr="001841E4">
        <w:rPr>
          <w:b/>
          <w:bCs/>
        </w:rPr>
        <w:t>contracts</w:t>
      </w:r>
      <w:r w:rsidRPr="001841E4">
        <w:t xml:space="preserve"> of relevant external suppliers </w:t>
      </w:r>
      <w:r w:rsidRPr="00C50032">
        <w:t>(</w:t>
      </w:r>
      <w:r>
        <w:t>with levers to ensure these KPIs are achieved and maintained)</w:t>
      </w:r>
    </w:p>
    <w:p w14:paraId="03C4B766" w14:textId="2298FECA" w:rsidR="003728B5" w:rsidRDefault="003728B5" w:rsidP="00B22A1A">
      <w:pPr>
        <w:pStyle w:val="DPCbody"/>
        <w:numPr>
          <w:ilvl w:val="0"/>
          <w:numId w:val="20"/>
        </w:numPr>
      </w:pPr>
      <w:r>
        <w:t xml:space="preserve">If finding and retaining staff to fulfill IT asset management roles is an issue, consider </w:t>
      </w:r>
      <w:r w:rsidRPr="351B4E9A">
        <w:rPr>
          <w:b/>
          <w:bCs/>
        </w:rPr>
        <w:t>hiring Victorians from diverse backgrounds</w:t>
      </w:r>
      <w:r>
        <w:t>. There are several programs encouraging more people from diverse backgrounds into entry-level cybersecurity and IT roles</w:t>
      </w:r>
      <w:r w:rsidR="00857D8F">
        <w:t>.</w:t>
      </w:r>
    </w:p>
    <w:p w14:paraId="2CBC82EC" w14:textId="77777777" w:rsidR="003728B5" w:rsidRDefault="003728B5" w:rsidP="00B22A1A">
      <w:pPr>
        <w:pStyle w:val="DPCbody"/>
        <w:numPr>
          <w:ilvl w:val="0"/>
          <w:numId w:val="20"/>
        </w:numPr>
      </w:pPr>
      <w:r>
        <w:t xml:space="preserve">Educate </w:t>
      </w:r>
      <w:r w:rsidRPr="002E06F5">
        <w:rPr>
          <w:b/>
          <w:bCs/>
        </w:rPr>
        <w:t>Risk and Audit committees</w:t>
      </w:r>
      <w:r>
        <w:t xml:space="preserve"> on the need to consider auditing IT asset management</w:t>
      </w:r>
    </w:p>
    <w:p w14:paraId="6A54AE09" w14:textId="2A6D28E3" w:rsidR="003728B5" w:rsidRDefault="003728B5" w:rsidP="003728B5">
      <w:pPr>
        <w:pStyle w:val="DPCbody"/>
        <w:ind w:left="720"/>
      </w:pPr>
      <w:r>
        <w:br/>
      </w:r>
    </w:p>
    <w:p w14:paraId="1AB7BABE" w14:textId="77777777" w:rsidR="00B22A1A" w:rsidRDefault="00B22A1A">
      <w:pPr>
        <w:snapToGrid/>
        <w:spacing w:after="0" w:line="240" w:lineRule="auto"/>
        <w:rPr>
          <w:szCs w:val="22"/>
        </w:rPr>
      </w:pPr>
      <w:r>
        <w:rPr>
          <w:szCs w:val="22"/>
        </w:rPr>
        <w:br w:type="page"/>
      </w:r>
    </w:p>
    <w:p w14:paraId="4DA57014" w14:textId="64B54F7F" w:rsidR="003728B5" w:rsidRDefault="003728B5" w:rsidP="003728B5">
      <w:pPr>
        <w:rPr>
          <w:szCs w:val="22"/>
        </w:rPr>
      </w:pPr>
      <w:r w:rsidRPr="004171DE">
        <w:rPr>
          <w:szCs w:val="22"/>
        </w:rPr>
        <w:lastRenderedPageBreak/>
        <w:t>Some examples of</w:t>
      </w:r>
      <w:r>
        <w:rPr>
          <w:szCs w:val="22"/>
        </w:rPr>
        <w:t xml:space="preserve"> </w:t>
      </w:r>
      <w:r w:rsidRPr="006D33E4">
        <w:rPr>
          <w:b/>
          <w:bCs/>
          <w:szCs w:val="22"/>
        </w:rPr>
        <w:t>entry level</w:t>
      </w:r>
      <w:r>
        <w:rPr>
          <w:szCs w:val="22"/>
        </w:rPr>
        <w:t xml:space="preserve"> </w:t>
      </w:r>
      <w:r w:rsidRPr="004171DE">
        <w:rPr>
          <w:szCs w:val="22"/>
        </w:rPr>
        <w:t xml:space="preserve">IT asset management </w:t>
      </w:r>
      <w:r>
        <w:rPr>
          <w:szCs w:val="22"/>
        </w:rPr>
        <w:t>jobs</w:t>
      </w:r>
      <w:r w:rsidRPr="004171DE">
        <w:rPr>
          <w:szCs w:val="22"/>
        </w:rPr>
        <w:t xml:space="preserve"> include:</w:t>
      </w:r>
    </w:p>
    <w:p w14:paraId="72C637B0" w14:textId="77777777" w:rsidR="003728B5" w:rsidRPr="004171DE" w:rsidRDefault="003728B5" w:rsidP="00B22A1A">
      <w:pPr>
        <w:pStyle w:val="ListParagraph"/>
        <w:numPr>
          <w:ilvl w:val="0"/>
          <w:numId w:val="24"/>
        </w:numPr>
        <w:rPr>
          <w:rFonts w:asciiTheme="minorHAnsi" w:eastAsia="Times" w:hAnsiTheme="minorHAnsi"/>
          <w:color w:val="000000" w:themeColor="text1"/>
        </w:rPr>
      </w:pPr>
      <w:r w:rsidRPr="004171DE">
        <w:rPr>
          <w:rFonts w:asciiTheme="minorHAnsi" w:eastAsia="Times" w:hAnsiTheme="minorHAnsi"/>
          <w:color w:val="000000" w:themeColor="text1"/>
        </w:rPr>
        <w:t>Infrastructure asset identification (e.g. maintaining CMDB data, chasing up missing data)</w:t>
      </w:r>
    </w:p>
    <w:p w14:paraId="39534C01" w14:textId="77777777" w:rsidR="003728B5" w:rsidRPr="004171DE" w:rsidRDefault="003728B5" w:rsidP="00B22A1A">
      <w:pPr>
        <w:pStyle w:val="ListParagraph"/>
        <w:numPr>
          <w:ilvl w:val="0"/>
          <w:numId w:val="24"/>
        </w:numPr>
        <w:rPr>
          <w:rFonts w:asciiTheme="minorHAnsi" w:eastAsia="Times" w:hAnsiTheme="minorHAnsi"/>
          <w:color w:val="000000" w:themeColor="text1"/>
        </w:rPr>
      </w:pPr>
      <w:r w:rsidRPr="004171DE">
        <w:rPr>
          <w:rFonts w:asciiTheme="minorHAnsi" w:eastAsia="Times" w:hAnsiTheme="minorHAnsi"/>
          <w:color w:val="000000" w:themeColor="text1"/>
        </w:rPr>
        <w:t>Infrastructure scanning (identifying missing assets and patch levels)</w:t>
      </w:r>
    </w:p>
    <w:p w14:paraId="4B979FF3" w14:textId="77777777" w:rsidR="003728B5" w:rsidRPr="004171DE" w:rsidRDefault="003728B5" w:rsidP="00B22A1A">
      <w:pPr>
        <w:pStyle w:val="ListParagraph"/>
        <w:numPr>
          <w:ilvl w:val="0"/>
          <w:numId w:val="24"/>
        </w:numPr>
        <w:rPr>
          <w:rFonts w:asciiTheme="minorHAnsi" w:eastAsia="Times" w:hAnsiTheme="minorHAnsi"/>
          <w:color w:val="000000" w:themeColor="text1"/>
        </w:rPr>
      </w:pPr>
      <w:r w:rsidRPr="004171DE">
        <w:rPr>
          <w:rFonts w:asciiTheme="minorHAnsi" w:eastAsia="Times" w:hAnsiTheme="minorHAnsi"/>
          <w:color w:val="000000" w:themeColor="text1"/>
        </w:rPr>
        <w:t>Malware monitoring &amp; remediation (on PCs)</w:t>
      </w:r>
    </w:p>
    <w:p w14:paraId="12E00219" w14:textId="77777777" w:rsidR="003728B5" w:rsidRPr="004171DE" w:rsidRDefault="003728B5" w:rsidP="00B22A1A">
      <w:pPr>
        <w:pStyle w:val="ListParagraph"/>
        <w:numPr>
          <w:ilvl w:val="0"/>
          <w:numId w:val="24"/>
        </w:numPr>
        <w:rPr>
          <w:rFonts w:asciiTheme="minorHAnsi" w:eastAsia="Times" w:hAnsiTheme="minorHAnsi"/>
          <w:color w:val="000000" w:themeColor="text1"/>
        </w:rPr>
      </w:pPr>
      <w:r w:rsidRPr="004171DE">
        <w:rPr>
          <w:rFonts w:asciiTheme="minorHAnsi" w:eastAsia="Times" w:hAnsiTheme="minorHAnsi"/>
          <w:color w:val="000000" w:themeColor="text1"/>
        </w:rPr>
        <w:t>Maintaining client-side application packages</w:t>
      </w:r>
    </w:p>
    <w:p w14:paraId="36BD443C" w14:textId="77777777" w:rsidR="003728B5" w:rsidRPr="004171DE" w:rsidRDefault="003728B5" w:rsidP="00B22A1A">
      <w:pPr>
        <w:pStyle w:val="ListParagraph"/>
        <w:numPr>
          <w:ilvl w:val="0"/>
          <w:numId w:val="24"/>
        </w:numPr>
        <w:rPr>
          <w:rFonts w:asciiTheme="minorHAnsi" w:eastAsia="Times" w:hAnsiTheme="minorHAnsi"/>
          <w:color w:val="000000" w:themeColor="text1"/>
        </w:rPr>
      </w:pPr>
      <w:r w:rsidRPr="004171DE">
        <w:rPr>
          <w:rFonts w:asciiTheme="minorHAnsi" w:eastAsia="Times" w:hAnsiTheme="minorHAnsi"/>
          <w:color w:val="000000" w:themeColor="text1"/>
        </w:rPr>
        <w:t>Phone and PC provisioning</w:t>
      </w:r>
    </w:p>
    <w:p w14:paraId="15EF92C2" w14:textId="77777777" w:rsidR="003728B5" w:rsidRPr="004171DE" w:rsidRDefault="003728B5" w:rsidP="00B22A1A">
      <w:pPr>
        <w:pStyle w:val="ListParagraph"/>
        <w:numPr>
          <w:ilvl w:val="0"/>
          <w:numId w:val="24"/>
        </w:numPr>
        <w:rPr>
          <w:rFonts w:asciiTheme="minorHAnsi" w:eastAsia="Times" w:hAnsiTheme="minorHAnsi"/>
          <w:color w:val="000000" w:themeColor="text1"/>
        </w:rPr>
      </w:pPr>
      <w:r w:rsidRPr="004171DE">
        <w:rPr>
          <w:rFonts w:asciiTheme="minorHAnsi" w:eastAsia="Times" w:hAnsiTheme="minorHAnsi"/>
          <w:color w:val="000000" w:themeColor="text1"/>
        </w:rPr>
        <w:t>Infrastructure performance monitoring against SLAs</w:t>
      </w:r>
    </w:p>
    <w:p w14:paraId="22DDD19A" w14:textId="77777777" w:rsidR="003728B5" w:rsidRDefault="003728B5" w:rsidP="00B22A1A">
      <w:pPr>
        <w:pStyle w:val="ListParagraph"/>
        <w:numPr>
          <w:ilvl w:val="0"/>
          <w:numId w:val="24"/>
        </w:numPr>
        <w:rPr>
          <w:rFonts w:asciiTheme="minorHAnsi" w:eastAsia="Times" w:hAnsiTheme="minorHAnsi"/>
          <w:color w:val="000000" w:themeColor="text1"/>
        </w:rPr>
      </w:pPr>
      <w:r w:rsidRPr="004171DE">
        <w:rPr>
          <w:rFonts w:asciiTheme="minorHAnsi" w:eastAsia="Times" w:hAnsiTheme="minorHAnsi"/>
          <w:color w:val="000000" w:themeColor="text1"/>
        </w:rPr>
        <w:t xml:space="preserve">Monthly </w:t>
      </w:r>
      <w:r>
        <w:rPr>
          <w:rFonts w:asciiTheme="minorHAnsi" w:eastAsia="Times" w:hAnsiTheme="minorHAnsi"/>
          <w:color w:val="000000" w:themeColor="text1"/>
        </w:rPr>
        <w:t xml:space="preserve">KPI </w:t>
      </w:r>
      <w:r w:rsidRPr="004171DE">
        <w:rPr>
          <w:rFonts w:asciiTheme="minorHAnsi" w:eastAsia="Times" w:hAnsiTheme="minorHAnsi"/>
          <w:color w:val="000000" w:themeColor="text1"/>
        </w:rPr>
        <w:t>reporting</w:t>
      </w:r>
    </w:p>
    <w:p w14:paraId="32BED278" w14:textId="77777777" w:rsidR="003728B5" w:rsidRPr="004171DE" w:rsidRDefault="003728B5" w:rsidP="00B22A1A">
      <w:pPr>
        <w:pStyle w:val="ListParagraph"/>
        <w:numPr>
          <w:ilvl w:val="0"/>
          <w:numId w:val="24"/>
        </w:numPr>
        <w:rPr>
          <w:rFonts w:asciiTheme="minorHAnsi" w:eastAsia="Times" w:hAnsiTheme="minorHAnsi"/>
          <w:color w:val="000000" w:themeColor="text1"/>
        </w:rPr>
      </w:pPr>
      <w:r>
        <w:rPr>
          <w:rFonts w:asciiTheme="minorHAnsi" w:eastAsia="Times" w:hAnsiTheme="minorHAnsi"/>
          <w:color w:val="000000" w:themeColor="text1"/>
        </w:rPr>
        <w:t>Y</w:t>
      </w:r>
      <w:r w:rsidRPr="004171DE">
        <w:rPr>
          <w:rFonts w:asciiTheme="minorHAnsi" w:eastAsia="Times" w:hAnsiTheme="minorHAnsi"/>
          <w:color w:val="000000" w:themeColor="text1"/>
        </w:rPr>
        <w:t xml:space="preserve">early </w:t>
      </w:r>
      <w:r>
        <w:rPr>
          <w:rFonts w:asciiTheme="minorHAnsi" w:eastAsia="Times" w:hAnsiTheme="minorHAnsi"/>
          <w:color w:val="000000" w:themeColor="text1"/>
        </w:rPr>
        <w:t>reconciliation</w:t>
      </w:r>
      <w:r w:rsidRPr="004171DE">
        <w:rPr>
          <w:rFonts w:asciiTheme="minorHAnsi" w:eastAsia="Times" w:hAnsiTheme="minorHAnsi"/>
          <w:color w:val="000000" w:themeColor="text1"/>
        </w:rPr>
        <w:t xml:space="preserve"> (e.g. CMDB vs HR</w:t>
      </w:r>
      <w:r>
        <w:rPr>
          <w:rFonts w:asciiTheme="minorHAnsi" w:eastAsia="Times" w:hAnsiTheme="minorHAnsi"/>
          <w:color w:val="000000" w:themeColor="text1"/>
        </w:rPr>
        <w:t xml:space="preserve"> system</w:t>
      </w:r>
      <w:r w:rsidRPr="004171DE">
        <w:rPr>
          <w:rFonts w:asciiTheme="minorHAnsi" w:eastAsia="Times" w:hAnsiTheme="minorHAnsi"/>
          <w:color w:val="000000" w:themeColor="text1"/>
        </w:rPr>
        <w:t xml:space="preserve"> </w:t>
      </w:r>
      <w:r>
        <w:rPr>
          <w:rFonts w:asciiTheme="minorHAnsi" w:eastAsia="Times" w:hAnsiTheme="minorHAnsi"/>
          <w:color w:val="000000" w:themeColor="text1"/>
        </w:rPr>
        <w:t>reconciliation for end user devices</w:t>
      </w:r>
      <w:r w:rsidRPr="004171DE">
        <w:rPr>
          <w:rFonts w:asciiTheme="minorHAnsi" w:eastAsia="Times" w:hAnsiTheme="minorHAnsi"/>
          <w:color w:val="000000" w:themeColor="text1"/>
        </w:rPr>
        <w:t>)</w:t>
      </w:r>
    </w:p>
    <w:p w14:paraId="5D9D110C" w14:textId="77777777" w:rsidR="003728B5" w:rsidRPr="004171DE" w:rsidRDefault="003728B5" w:rsidP="00B22A1A">
      <w:pPr>
        <w:pStyle w:val="ListParagraph"/>
        <w:numPr>
          <w:ilvl w:val="0"/>
          <w:numId w:val="24"/>
        </w:numPr>
        <w:rPr>
          <w:rFonts w:asciiTheme="minorHAnsi" w:eastAsia="Times" w:hAnsiTheme="minorHAnsi"/>
          <w:color w:val="000000" w:themeColor="text1"/>
        </w:rPr>
      </w:pPr>
      <w:r w:rsidRPr="004171DE">
        <w:rPr>
          <w:rFonts w:asciiTheme="minorHAnsi" w:eastAsia="Times" w:hAnsiTheme="minorHAnsi"/>
          <w:color w:val="000000" w:themeColor="text1"/>
        </w:rPr>
        <w:t>Certificate management</w:t>
      </w:r>
    </w:p>
    <w:p w14:paraId="6DA3CFD3" w14:textId="77777777" w:rsidR="003728B5" w:rsidRDefault="003728B5" w:rsidP="00B22A1A">
      <w:pPr>
        <w:pStyle w:val="ListParagraph"/>
        <w:numPr>
          <w:ilvl w:val="0"/>
          <w:numId w:val="24"/>
        </w:numPr>
        <w:rPr>
          <w:rFonts w:asciiTheme="minorHAnsi" w:eastAsia="Times" w:hAnsiTheme="minorHAnsi"/>
          <w:color w:val="000000" w:themeColor="text1"/>
        </w:rPr>
      </w:pPr>
      <w:r w:rsidRPr="004171DE">
        <w:rPr>
          <w:rFonts w:asciiTheme="minorHAnsi" w:eastAsia="Times" w:hAnsiTheme="minorHAnsi"/>
          <w:color w:val="000000" w:themeColor="text1"/>
        </w:rPr>
        <w:t>Secure asset disposal</w:t>
      </w:r>
    </w:p>
    <w:p w14:paraId="4068C305" w14:textId="77777777" w:rsidR="003728B5" w:rsidRPr="00EE1205" w:rsidRDefault="003728B5" w:rsidP="00B22A1A">
      <w:pPr>
        <w:pStyle w:val="ListParagraph"/>
        <w:numPr>
          <w:ilvl w:val="0"/>
          <w:numId w:val="24"/>
        </w:numPr>
        <w:rPr>
          <w:rFonts w:asciiTheme="minorHAnsi" w:eastAsia="Times" w:hAnsiTheme="minorHAnsi"/>
          <w:color w:val="000000" w:themeColor="text1"/>
        </w:rPr>
      </w:pPr>
      <w:r w:rsidRPr="00EE1205">
        <w:rPr>
          <w:rFonts w:asciiTheme="minorHAnsi" w:eastAsia="Times" w:hAnsiTheme="minorHAnsi"/>
          <w:color w:val="000000" w:themeColor="text1"/>
        </w:rPr>
        <w:t>Identity lifecycle management</w:t>
      </w:r>
      <w:r>
        <w:rPr>
          <w:rFonts w:asciiTheme="minorHAnsi" w:eastAsia="Times" w:hAnsiTheme="minorHAnsi"/>
          <w:color w:val="000000" w:themeColor="text1"/>
        </w:rPr>
        <w:t xml:space="preserve"> user access reviews</w:t>
      </w:r>
    </w:p>
    <w:p w14:paraId="0E0E69EA" w14:textId="77777777" w:rsidR="003728B5" w:rsidRPr="00E26B79" w:rsidRDefault="003728B5" w:rsidP="003728B5">
      <w:pPr>
        <w:ind w:left="360"/>
      </w:pPr>
    </w:p>
    <w:p w14:paraId="761C7CA1" w14:textId="77777777" w:rsidR="003728B5" w:rsidRDefault="003728B5" w:rsidP="003728B5">
      <w:pPr>
        <w:rPr>
          <w:szCs w:val="22"/>
        </w:rPr>
      </w:pPr>
      <w:r w:rsidRPr="00EE1205">
        <w:rPr>
          <w:szCs w:val="22"/>
        </w:rPr>
        <w:t xml:space="preserve">Some examples of </w:t>
      </w:r>
      <w:r>
        <w:rPr>
          <w:b/>
          <w:bCs/>
          <w:szCs w:val="22"/>
        </w:rPr>
        <w:t xml:space="preserve">more </w:t>
      </w:r>
      <w:r w:rsidRPr="006D33E4">
        <w:rPr>
          <w:b/>
          <w:bCs/>
          <w:szCs w:val="22"/>
        </w:rPr>
        <w:t>advanced</w:t>
      </w:r>
      <w:r>
        <w:rPr>
          <w:szCs w:val="22"/>
        </w:rPr>
        <w:t xml:space="preserve"> </w:t>
      </w:r>
      <w:r w:rsidRPr="00EE1205">
        <w:rPr>
          <w:szCs w:val="22"/>
        </w:rPr>
        <w:t>IT asset management</w:t>
      </w:r>
      <w:r>
        <w:rPr>
          <w:szCs w:val="22"/>
        </w:rPr>
        <w:t>/</w:t>
      </w:r>
      <w:r w:rsidRPr="00EE1205">
        <w:rPr>
          <w:szCs w:val="22"/>
        </w:rPr>
        <w:t xml:space="preserve">career progression </w:t>
      </w:r>
      <w:r>
        <w:rPr>
          <w:szCs w:val="22"/>
        </w:rPr>
        <w:t>jobs could</w:t>
      </w:r>
      <w:r w:rsidRPr="00EE1205">
        <w:rPr>
          <w:szCs w:val="22"/>
        </w:rPr>
        <w:t xml:space="preserve"> include:</w:t>
      </w:r>
    </w:p>
    <w:p w14:paraId="41B21B08" w14:textId="77777777" w:rsidR="003728B5" w:rsidRPr="00EE1205" w:rsidRDefault="003728B5" w:rsidP="00B22A1A">
      <w:pPr>
        <w:pStyle w:val="ListParagraph"/>
        <w:numPr>
          <w:ilvl w:val="0"/>
          <w:numId w:val="24"/>
        </w:numPr>
        <w:rPr>
          <w:rFonts w:asciiTheme="minorHAnsi" w:eastAsia="Times" w:hAnsiTheme="minorHAnsi"/>
          <w:color w:val="000000" w:themeColor="text1"/>
        </w:rPr>
      </w:pPr>
      <w:r w:rsidRPr="00EE1205">
        <w:rPr>
          <w:rFonts w:asciiTheme="minorHAnsi" w:eastAsia="Times" w:hAnsiTheme="minorHAnsi"/>
          <w:color w:val="000000" w:themeColor="text1"/>
        </w:rPr>
        <w:t>Infrastructure patching (server</w:t>
      </w:r>
      <w:r>
        <w:rPr>
          <w:rFonts w:asciiTheme="minorHAnsi" w:eastAsia="Times" w:hAnsiTheme="minorHAnsi"/>
          <w:color w:val="000000" w:themeColor="text1"/>
        </w:rPr>
        <w:t>s</w:t>
      </w:r>
      <w:r w:rsidRPr="00EE1205">
        <w:rPr>
          <w:rFonts w:asciiTheme="minorHAnsi" w:eastAsia="Times" w:hAnsiTheme="minorHAnsi"/>
          <w:color w:val="000000" w:themeColor="text1"/>
        </w:rPr>
        <w:t>)</w:t>
      </w:r>
    </w:p>
    <w:p w14:paraId="68C3DA9F" w14:textId="77777777" w:rsidR="003728B5" w:rsidRPr="00EE1205" w:rsidRDefault="003728B5" w:rsidP="00B22A1A">
      <w:pPr>
        <w:pStyle w:val="ListParagraph"/>
        <w:numPr>
          <w:ilvl w:val="0"/>
          <w:numId w:val="24"/>
        </w:numPr>
        <w:rPr>
          <w:rFonts w:asciiTheme="minorHAnsi" w:eastAsia="Times" w:hAnsiTheme="minorHAnsi"/>
          <w:color w:val="000000" w:themeColor="text1"/>
        </w:rPr>
      </w:pPr>
      <w:r w:rsidRPr="00EE1205">
        <w:rPr>
          <w:rFonts w:asciiTheme="minorHAnsi" w:eastAsia="Times" w:hAnsiTheme="minorHAnsi"/>
          <w:color w:val="000000" w:themeColor="text1"/>
        </w:rPr>
        <w:t>Backup management and restore testing</w:t>
      </w:r>
    </w:p>
    <w:p w14:paraId="3CA6E200" w14:textId="77777777" w:rsidR="003728B5" w:rsidRPr="00EE1205" w:rsidRDefault="003728B5" w:rsidP="00B22A1A">
      <w:pPr>
        <w:pStyle w:val="ListParagraph"/>
        <w:numPr>
          <w:ilvl w:val="0"/>
          <w:numId w:val="24"/>
        </w:numPr>
        <w:rPr>
          <w:rFonts w:asciiTheme="minorHAnsi" w:eastAsia="Times" w:hAnsiTheme="minorHAnsi"/>
          <w:color w:val="000000" w:themeColor="text1"/>
        </w:rPr>
      </w:pPr>
      <w:r w:rsidRPr="00EE1205">
        <w:rPr>
          <w:rFonts w:asciiTheme="minorHAnsi" w:eastAsia="Times" w:hAnsiTheme="minorHAnsi"/>
          <w:color w:val="000000" w:themeColor="text1"/>
        </w:rPr>
        <w:t xml:space="preserve">Windows </w:t>
      </w:r>
      <w:r>
        <w:rPr>
          <w:rFonts w:asciiTheme="minorHAnsi" w:eastAsia="Times" w:hAnsiTheme="minorHAnsi"/>
          <w:color w:val="000000" w:themeColor="text1"/>
        </w:rPr>
        <w:t xml:space="preserve">server </w:t>
      </w:r>
      <w:r w:rsidRPr="00EE1205">
        <w:rPr>
          <w:rFonts w:asciiTheme="minorHAnsi" w:eastAsia="Times" w:hAnsiTheme="minorHAnsi"/>
          <w:color w:val="000000" w:themeColor="text1"/>
        </w:rPr>
        <w:t>administration</w:t>
      </w:r>
    </w:p>
    <w:p w14:paraId="6938E47A" w14:textId="77777777" w:rsidR="003728B5" w:rsidRDefault="003728B5" w:rsidP="00B22A1A">
      <w:pPr>
        <w:pStyle w:val="ListParagraph"/>
        <w:numPr>
          <w:ilvl w:val="0"/>
          <w:numId w:val="24"/>
        </w:numPr>
        <w:rPr>
          <w:rFonts w:asciiTheme="minorHAnsi" w:eastAsia="Times" w:hAnsiTheme="minorHAnsi"/>
          <w:color w:val="000000" w:themeColor="text1"/>
        </w:rPr>
      </w:pPr>
      <w:r w:rsidRPr="00EE1205">
        <w:rPr>
          <w:rFonts w:asciiTheme="minorHAnsi" w:eastAsia="Times" w:hAnsiTheme="minorHAnsi"/>
          <w:color w:val="000000" w:themeColor="text1"/>
        </w:rPr>
        <w:t xml:space="preserve">Unix </w:t>
      </w:r>
      <w:r>
        <w:rPr>
          <w:rFonts w:asciiTheme="minorHAnsi" w:eastAsia="Times" w:hAnsiTheme="minorHAnsi"/>
          <w:color w:val="000000" w:themeColor="text1"/>
        </w:rPr>
        <w:t xml:space="preserve">server </w:t>
      </w:r>
      <w:r w:rsidRPr="00EE1205">
        <w:rPr>
          <w:rFonts w:asciiTheme="minorHAnsi" w:eastAsia="Times" w:hAnsiTheme="minorHAnsi"/>
          <w:color w:val="000000" w:themeColor="text1"/>
        </w:rPr>
        <w:t>administration</w:t>
      </w:r>
    </w:p>
    <w:p w14:paraId="46A20B4A" w14:textId="77777777" w:rsidR="003728B5" w:rsidRPr="00EE1205" w:rsidRDefault="003728B5" w:rsidP="00B22A1A">
      <w:pPr>
        <w:pStyle w:val="ListParagraph"/>
        <w:numPr>
          <w:ilvl w:val="0"/>
          <w:numId w:val="24"/>
        </w:numPr>
        <w:rPr>
          <w:rFonts w:asciiTheme="minorHAnsi" w:eastAsia="Times" w:hAnsiTheme="minorHAnsi"/>
          <w:color w:val="000000" w:themeColor="text1"/>
        </w:rPr>
      </w:pPr>
      <w:r>
        <w:rPr>
          <w:rFonts w:asciiTheme="minorHAnsi" w:eastAsia="Times" w:hAnsiTheme="minorHAnsi"/>
          <w:color w:val="000000" w:themeColor="text1"/>
        </w:rPr>
        <w:t>Network administration</w:t>
      </w:r>
    </w:p>
    <w:p w14:paraId="5197F019" w14:textId="77777777" w:rsidR="003728B5" w:rsidRPr="00EE1205" w:rsidRDefault="003728B5" w:rsidP="00B22A1A">
      <w:pPr>
        <w:pStyle w:val="ListParagraph"/>
        <w:numPr>
          <w:ilvl w:val="0"/>
          <w:numId w:val="24"/>
        </w:numPr>
        <w:rPr>
          <w:rFonts w:asciiTheme="minorHAnsi" w:eastAsia="Times" w:hAnsiTheme="minorHAnsi"/>
          <w:color w:val="000000" w:themeColor="text1"/>
        </w:rPr>
      </w:pPr>
      <w:r w:rsidRPr="00EE1205">
        <w:rPr>
          <w:rFonts w:asciiTheme="minorHAnsi" w:eastAsia="Times" w:hAnsiTheme="minorHAnsi"/>
          <w:color w:val="000000" w:themeColor="text1"/>
        </w:rPr>
        <w:t>Office365</w:t>
      </w:r>
      <w:r>
        <w:rPr>
          <w:rFonts w:asciiTheme="minorHAnsi" w:eastAsia="Times" w:hAnsiTheme="minorHAnsi"/>
          <w:color w:val="000000" w:themeColor="text1"/>
        </w:rPr>
        <w:t>, Azure, AWS and Google Cloud Platform</w:t>
      </w:r>
      <w:r w:rsidRPr="00EE1205">
        <w:rPr>
          <w:rFonts w:asciiTheme="minorHAnsi" w:eastAsia="Times" w:hAnsiTheme="minorHAnsi"/>
          <w:color w:val="000000" w:themeColor="text1"/>
        </w:rPr>
        <w:t xml:space="preserve"> administration</w:t>
      </w:r>
    </w:p>
    <w:p w14:paraId="4CE2BD3B" w14:textId="77777777" w:rsidR="003728B5" w:rsidRPr="00EE1205" w:rsidRDefault="003728B5" w:rsidP="00B22A1A">
      <w:pPr>
        <w:pStyle w:val="ListParagraph"/>
        <w:numPr>
          <w:ilvl w:val="0"/>
          <w:numId w:val="24"/>
        </w:numPr>
        <w:rPr>
          <w:rFonts w:asciiTheme="minorHAnsi" w:eastAsia="Times" w:hAnsiTheme="minorHAnsi"/>
          <w:color w:val="000000" w:themeColor="text1"/>
        </w:rPr>
      </w:pPr>
      <w:r w:rsidRPr="00EE1205">
        <w:rPr>
          <w:rFonts w:asciiTheme="minorHAnsi" w:eastAsia="Times" w:hAnsiTheme="minorHAnsi"/>
          <w:color w:val="000000" w:themeColor="text1"/>
        </w:rPr>
        <w:t xml:space="preserve">Application </w:t>
      </w:r>
      <w:r>
        <w:rPr>
          <w:rFonts w:asciiTheme="minorHAnsi" w:eastAsia="Times" w:hAnsiTheme="minorHAnsi"/>
          <w:color w:val="000000" w:themeColor="text1"/>
        </w:rPr>
        <w:t>support/</w:t>
      </w:r>
      <w:r w:rsidRPr="00EE1205">
        <w:rPr>
          <w:rFonts w:asciiTheme="minorHAnsi" w:eastAsia="Times" w:hAnsiTheme="minorHAnsi"/>
          <w:color w:val="000000" w:themeColor="text1"/>
        </w:rPr>
        <w:t>administration</w:t>
      </w:r>
    </w:p>
    <w:p w14:paraId="31826B95" w14:textId="77777777" w:rsidR="003728B5" w:rsidRPr="006D33E4" w:rsidRDefault="003728B5" w:rsidP="00B22A1A">
      <w:pPr>
        <w:pStyle w:val="ListParagraph"/>
        <w:numPr>
          <w:ilvl w:val="0"/>
          <w:numId w:val="24"/>
        </w:numPr>
        <w:rPr>
          <w:rFonts w:asciiTheme="minorHAnsi" w:eastAsia="Times" w:hAnsiTheme="minorHAnsi"/>
          <w:color w:val="000000" w:themeColor="text1"/>
        </w:rPr>
      </w:pPr>
      <w:r w:rsidRPr="00EE1205">
        <w:rPr>
          <w:rFonts w:asciiTheme="minorHAnsi" w:eastAsia="Times" w:hAnsiTheme="minorHAnsi"/>
          <w:color w:val="000000" w:themeColor="text1"/>
        </w:rPr>
        <w:t>Cybersecurity analy</w:t>
      </w:r>
      <w:r>
        <w:rPr>
          <w:rFonts w:asciiTheme="minorHAnsi" w:eastAsia="Times" w:hAnsiTheme="minorHAnsi"/>
          <w:color w:val="000000" w:themeColor="text1"/>
        </w:rPr>
        <w:t>sis (including Security Operations Centre eyes-on-glass)</w:t>
      </w:r>
    </w:p>
    <w:p w14:paraId="73660339" w14:textId="77777777" w:rsidR="003728B5" w:rsidRDefault="003728B5" w:rsidP="003728B5">
      <w:pPr>
        <w:rPr>
          <w:rFonts w:asciiTheme="majorHAnsi" w:eastAsia="MS Gothic" w:hAnsiTheme="majorHAnsi"/>
          <w:b/>
          <w:bCs/>
          <w:color w:val="53565A"/>
          <w:sz w:val="32"/>
          <w:szCs w:val="32"/>
        </w:rPr>
      </w:pPr>
      <w:bookmarkStart w:id="22" w:name="_Process"/>
      <w:bookmarkEnd w:id="22"/>
      <w:r>
        <w:br w:type="page"/>
      </w:r>
    </w:p>
    <w:p w14:paraId="2B96A894" w14:textId="77777777" w:rsidR="003728B5" w:rsidRDefault="003728B5" w:rsidP="003728B5">
      <w:pPr>
        <w:pStyle w:val="Heading2"/>
      </w:pPr>
      <w:bookmarkStart w:id="23" w:name="_Toc124856926"/>
      <w:bookmarkStart w:id="24" w:name="_Toc126829057"/>
      <w:r>
        <w:lastRenderedPageBreak/>
        <w:t>Process</w:t>
      </w:r>
      <w:bookmarkEnd w:id="23"/>
      <w:bookmarkEnd w:id="24"/>
    </w:p>
    <w:p w14:paraId="4DCE0DCE" w14:textId="77777777" w:rsidR="003728B5" w:rsidRDefault="003728B5" w:rsidP="003728B5">
      <w:pPr>
        <w:pStyle w:val="DPCbody"/>
      </w:pPr>
      <w:r>
        <w:t>This process is written to comply with requirements in the Asset Management Framework (AMAF) overseen by the Victorian Department of Treasury and Finance.</w:t>
      </w:r>
    </w:p>
    <w:p w14:paraId="287EE32A" w14:textId="77777777" w:rsidR="008959EF" w:rsidRDefault="003728B5" w:rsidP="003728B5">
      <w:pPr>
        <w:pStyle w:val="DPCbody"/>
      </w:pPr>
      <w:r w:rsidRPr="00EF5EC5">
        <w:t>AMAF</w:t>
      </w:r>
      <w:r>
        <w:t xml:space="preserve"> is a framework used to measure the maturity of government asset management across all asset classes (IT, buildings, vehicles etc). Although this is a generic asset framework, it can be applied in the context of the IT asset class (when interpreted through an ITIL lens). </w:t>
      </w:r>
    </w:p>
    <w:p w14:paraId="1A565D42" w14:textId="0AD1AA4C" w:rsidR="006237B1" w:rsidRPr="006237B1" w:rsidRDefault="006237B1" w:rsidP="003728B5">
      <w:pPr>
        <w:pStyle w:val="DPCbody"/>
        <w:rPr>
          <w:b/>
          <w:bCs/>
        </w:rPr>
      </w:pPr>
      <w:r>
        <w:t xml:space="preserve">Please contact </w:t>
      </w:r>
      <w:r w:rsidRPr="008A7D64">
        <w:rPr>
          <w:rFonts w:ascii="VIC" w:hAnsi="VIC"/>
        </w:rPr>
        <w:t xml:space="preserve">the Cyber Security Branch at </w:t>
      </w:r>
      <w:hyperlink r:id="rId20" w:history="1">
        <w:r w:rsidRPr="008A7D64">
          <w:rPr>
            <w:rStyle w:val="Hyperlink"/>
            <w:rFonts w:ascii="VIC" w:hAnsi="VIC"/>
          </w:rPr>
          <w:t>vicgov.ciso@dpc.vic.gov.au</w:t>
        </w:r>
      </w:hyperlink>
      <w:r>
        <w:rPr>
          <w:rStyle w:val="Hyperlink"/>
          <w:rFonts w:ascii="VIC" w:hAnsi="VIC"/>
        </w:rPr>
        <w:t xml:space="preserve"> </w:t>
      </w:r>
      <w:r>
        <w:rPr>
          <w:rStyle w:val="Hyperlink"/>
          <w:rFonts w:ascii="VIC" w:hAnsi="VIC"/>
          <w:u w:val="none"/>
        </w:rPr>
        <w:t xml:space="preserve">to </w:t>
      </w:r>
      <w:r>
        <w:t xml:space="preserve">access the </w:t>
      </w:r>
      <w:r w:rsidRPr="00E0552E">
        <w:rPr>
          <w:b/>
          <w:bCs/>
        </w:rPr>
        <w:t>AMAF 41 Processes – IT Asset Class Considerations</w:t>
      </w:r>
      <w:r>
        <w:rPr>
          <w:b/>
          <w:bCs/>
        </w:rPr>
        <w:t xml:space="preserve"> </w:t>
      </w:r>
      <w:r>
        <w:t>resource for a suggested interpretation.</w:t>
      </w:r>
    </w:p>
    <w:p w14:paraId="28FE1CD6" w14:textId="77777777" w:rsidR="003728B5" w:rsidRDefault="003728B5" w:rsidP="003728B5">
      <w:pPr>
        <w:pStyle w:val="DPCbody"/>
      </w:pPr>
      <w:r>
        <w:t>Other frameworks were considered such as COBIT, IT-CMF and ISO 19770, however AMAF is recommended for the following reasons:</w:t>
      </w:r>
    </w:p>
    <w:p w14:paraId="37A51842" w14:textId="77777777" w:rsidR="003728B5" w:rsidRDefault="003728B5" w:rsidP="00B22A1A">
      <w:pPr>
        <w:pStyle w:val="DPCbody"/>
        <w:numPr>
          <w:ilvl w:val="0"/>
          <w:numId w:val="21"/>
        </w:numPr>
      </w:pPr>
      <w:r>
        <w:t xml:space="preserve">The </w:t>
      </w:r>
      <w:r w:rsidRPr="00D274C3">
        <w:rPr>
          <w:b/>
          <w:bCs/>
        </w:rPr>
        <w:t>41 process areas</w:t>
      </w:r>
      <w:r>
        <w:t xml:space="preserve"> of AMAF allow IT asset management to be measured at a manageable and useful level of detail (not too high level nor too low level)</w:t>
      </w:r>
    </w:p>
    <w:p w14:paraId="53A05FA3" w14:textId="77777777" w:rsidR="003728B5" w:rsidRDefault="003728B5" w:rsidP="00B22A1A">
      <w:pPr>
        <w:pStyle w:val="DPCbody"/>
        <w:numPr>
          <w:ilvl w:val="0"/>
          <w:numId w:val="21"/>
        </w:numPr>
      </w:pPr>
      <w:r>
        <w:t xml:space="preserve">Many Victorian Government organisations are </w:t>
      </w:r>
      <w:r w:rsidRPr="00D274C3">
        <w:rPr>
          <w:b/>
          <w:bCs/>
        </w:rPr>
        <w:t>already measuring</w:t>
      </w:r>
      <w:r>
        <w:t xml:space="preserve"> the maturity of their overall asset management, and in some instances their IT asset management, using AMAF</w:t>
      </w:r>
    </w:p>
    <w:p w14:paraId="4A81CAE1" w14:textId="77777777" w:rsidR="003728B5" w:rsidRDefault="003728B5" w:rsidP="00B22A1A">
      <w:pPr>
        <w:pStyle w:val="DPCbody"/>
        <w:numPr>
          <w:ilvl w:val="0"/>
          <w:numId w:val="21"/>
        </w:numPr>
      </w:pPr>
      <w:r>
        <w:t xml:space="preserve">AMAF is a </w:t>
      </w:r>
      <w:r w:rsidRPr="00D274C3">
        <w:rPr>
          <w:b/>
          <w:bCs/>
        </w:rPr>
        <w:t>mandatory framework</w:t>
      </w:r>
      <w:r>
        <w:rPr>
          <w:b/>
          <w:bCs/>
        </w:rPr>
        <w:t xml:space="preserve"> </w:t>
      </w:r>
      <w:r w:rsidRPr="00C9207D">
        <w:t xml:space="preserve">(underpinned by the Financial Management Act) </w:t>
      </w:r>
      <w:r>
        <w:t xml:space="preserve">for many Victorian Government departments and agencies </w:t>
      </w:r>
    </w:p>
    <w:p w14:paraId="7050EB55" w14:textId="77777777" w:rsidR="003728B5" w:rsidRDefault="003728B5" w:rsidP="003728B5">
      <w:pPr>
        <w:pStyle w:val="DPCbody"/>
      </w:pPr>
    </w:p>
    <w:p w14:paraId="6B6114A9" w14:textId="77777777" w:rsidR="003728B5" w:rsidRDefault="003728B5" w:rsidP="003728B5">
      <w:pPr>
        <w:pStyle w:val="DPCbody"/>
      </w:pPr>
      <w:r>
        <w:t xml:space="preserve">AMAF describes the following end-to-end </w:t>
      </w:r>
      <w:r w:rsidRPr="008A0A41">
        <w:rPr>
          <w:b/>
          <w:bCs/>
        </w:rPr>
        <w:t>asset lifecycle</w:t>
      </w:r>
      <w:r>
        <w:t>:</w:t>
      </w:r>
    </w:p>
    <w:p w14:paraId="0662901C" w14:textId="77777777" w:rsidR="003728B5" w:rsidRDefault="003728B5" w:rsidP="003728B5">
      <w:pPr>
        <w:pStyle w:val="DPCbody"/>
        <w:jc w:val="center"/>
      </w:pPr>
      <w:r>
        <w:rPr>
          <w:noProof/>
          <w:color w:val="2B579A"/>
          <w:shd w:val="clear" w:color="auto" w:fill="E6E6E6"/>
        </w:rPr>
        <w:drawing>
          <wp:inline distT="0" distB="0" distL="0" distR="0" wp14:anchorId="1300DDEE" wp14:editId="4F7FC88D">
            <wp:extent cx="5272152" cy="3479800"/>
            <wp:effectExtent l="0" t="0" r="5080" b="6350"/>
            <wp:docPr id="8" name="Picture 8" descr="A diagram of the AMAF framework lifecycle.  In the centre of the diagram is a box labelled 'leadership and accountability', including governance, attestation, performance management, achievement of government outcomes and continuous improvement and flexibility. There are four other boxes in each corner. The top left box is the planning, including asset management strategy, planning for uncertainty, business cases, risk management, cost analysis, accounting treatment and non-asset alternatives. The top right box is about the acquisition, including the process, risk evaluation and procurement method. The bottom right box is about the operation, including monitoring, maintenance, information management, asset valuation, utilisation and functionality.  The bottom left box is about disposal, including retirement, replacement, renewal and redeploy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the AMAF framework lifecycle.  In the centre of the diagram is a box labelled 'leadership and accountability', including governance, attestation, performance management, achievement of government outcomes and continuous improvement and flexibility. There are four other boxes in each corner. The top left box is the planning, including asset management strategy, planning for uncertainty, business cases, risk management, cost analysis, accounting treatment and non-asset alternatives. The top right box is about the acquisition, including the process, risk evaluation and procurement method. The bottom right box is about the operation, including monitoring, maintenance, information management, asset valuation, utilisation and functionality.  The bottom left box is about disposal, including retirement, replacement, renewal and redeployment.&#10;"/>
                    <pic:cNvPicPr/>
                  </pic:nvPicPr>
                  <pic:blipFill>
                    <a:blip r:embed="rId21"/>
                    <a:stretch>
                      <a:fillRect/>
                    </a:stretch>
                  </pic:blipFill>
                  <pic:spPr>
                    <a:xfrm>
                      <a:off x="0" y="0"/>
                      <a:ext cx="5345846" cy="3528441"/>
                    </a:xfrm>
                    <a:prstGeom prst="rect">
                      <a:avLst/>
                    </a:prstGeom>
                  </pic:spPr>
                </pic:pic>
              </a:graphicData>
            </a:graphic>
          </wp:inline>
        </w:drawing>
      </w:r>
    </w:p>
    <w:p w14:paraId="0E3F2744" w14:textId="77777777" w:rsidR="003728B5" w:rsidRDefault="003728B5" w:rsidP="003728B5">
      <w:pPr>
        <w:pStyle w:val="DPCbody"/>
      </w:pPr>
    </w:p>
    <w:p w14:paraId="27D20BCF" w14:textId="77777777" w:rsidR="003728B5" w:rsidRDefault="003728B5" w:rsidP="003728B5">
      <w:pPr>
        <w:pStyle w:val="DPCbody"/>
      </w:pPr>
      <w:r>
        <w:lastRenderedPageBreak/>
        <w:t xml:space="preserve">AMAF also provides a self-assessment </w:t>
      </w:r>
      <w:r w:rsidRPr="008B1B5A">
        <w:rPr>
          <w:b/>
          <w:bCs/>
        </w:rPr>
        <w:t>Compliance Tool</w:t>
      </w:r>
      <w:r>
        <w:t xml:space="preserve"> with which the 41 process areas can be allocated one of the following maturity levels:</w:t>
      </w:r>
    </w:p>
    <w:p w14:paraId="401BCF34" w14:textId="77777777" w:rsidR="003728B5" w:rsidRDefault="003728B5" w:rsidP="00B22A1A">
      <w:pPr>
        <w:pStyle w:val="DPCbody"/>
        <w:numPr>
          <w:ilvl w:val="0"/>
          <w:numId w:val="22"/>
        </w:numPr>
      </w:pPr>
      <w:r>
        <w:t>Innocence (level 0)</w:t>
      </w:r>
    </w:p>
    <w:p w14:paraId="05E8D0EA" w14:textId="77777777" w:rsidR="003728B5" w:rsidRDefault="003728B5" w:rsidP="00B22A1A">
      <w:pPr>
        <w:pStyle w:val="DPCbody"/>
        <w:numPr>
          <w:ilvl w:val="0"/>
          <w:numId w:val="22"/>
        </w:numPr>
      </w:pPr>
      <w:r>
        <w:t>Awareness (level 1)</w:t>
      </w:r>
    </w:p>
    <w:p w14:paraId="4FA35E60" w14:textId="77777777" w:rsidR="003728B5" w:rsidRDefault="003728B5" w:rsidP="00B22A1A">
      <w:pPr>
        <w:pStyle w:val="DPCbody"/>
        <w:numPr>
          <w:ilvl w:val="0"/>
          <w:numId w:val="22"/>
        </w:numPr>
      </w:pPr>
      <w:r>
        <w:t>Developing (level 2)</w:t>
      </w:r>
    </w:p>
    <w:p w14:paraId="496859A6" w14:textId="77777777" w:rsidR="003728B5" w:rsidRDefault="003728B5" w:rsidP="00B22A1A">
      <w:pPr>
        <w:pStyle w:val="DPCbody"/>
        <w:numPr>
          <w:ilvl w:val="0"/>
          <w:numId w:val="22"/>
        </w:numPr>
      </w:pPr>
      <w:r>
        <w:t>Competence (level 3)</w:t>
      </w:r>
    </w:p>
    <w:p w14:paraId="434407CD" w14:textId="77777777" w:rsidR="003728B5" w:rsidRDefault="003728B5" w:rsidP="00B22A1A">
      <w:pPr>
        <w:pStyle w:val="DPCbody"/>
        <w:numPr>
          <w:ilvl w:val="0"/>
          <w:numId w:val="22"/>
        </w:numPr>
      </w:pPr>
      <w:r>
        <w:t>Optimising (level 4)</w:t>
      </w:r>
    </w:p>
    <w:p w14:paraId="341938A4" w14:textId="77777777" w:rsidR="003728B5" w:rsidRDefault="003728B5" w:rsidP="003728B5">
      <w:pPr>
        <w:rPr>
          <w:szCs w:val="22"/>
        </w:rPr>
      </w:pPr>
      <w:r>
        <w:rPr>
          <w:szCs w:val="22"/>
        </w:rPr>
        <w:t>This tool can be used to measure the maturity of the IT asset class (as well as other asset classes).</w:t>
      </w:r>
    </w:p>
    <w:p w14:paraId="528A1CBE" w14:textId="77777777" w:rsidR="003728B5" w:rsidRDefault="003728B5" w:rsidP="003728B5">
      <w:pPr>
        <w:rPr>
          <w:szCs w:val="22"/>
        </w:rPr>
      </w:pPr>
      <w:r w:rsidRPr="009B55A0">
        <w:rPr>
          <w:szCs w:val="22"/>
        </w:rPr>
        <w:t xml:space="preserve">Some organisations will also be assessing some of their IT asset management processes against VPDSS requirements which uses a similar 5 tier system (the </w:t>
      </w:r>
      <w:r>
        <w:rPr>
          <w:szCs w:val="22"/>
        </w:rPr>
        <w:t>tiers</w:t>
      </w:r>
      <w:r w:rsidRPr="009B55A0">
        <w:rPr>
          <w:szCs w:val="22"/>
        </w:rPr>
        <w:t xml:space="preserve"> being: Informal, Basic, Core, Managed, Optimising)</w:t>
      </w:r>
      <w:r>
        <w:rPr>
          <w:szCs w:val="22"/>
        </w:rPr>
        <w:t xml:space="preserve">. </w:t>
      </w:r>
    </w:p>
    <w:tbl>
      <w:tblPr>
        <w:tblStyle w:val="TableGrid"/>
        <w:tblW w:w="9923" w:type="dxa"/>
        <w:tblLook w:val="04A0" w:firstRow="1" w:lastRow="0" w:firstColumn="1" w:lastColumn="0" w:noHBand="0" w:noVBand="1"/>
      </w:tblPr>
      <w:tblGrid>
        <w:gridCol w:w="9923"/>
      </w:tblGrid>
      <w:tr w:rsidR="003728B5" w14:paraId="4E4AE0AB" w14:textId="77777777" w:rsidTr="004E786C">
        <w:tc>
          <w:tcPr>
            <w:tcW w:w="9923" w:type="dxa"/>
          </w:tcPr>
          <w:p w14:paraId="13EC8A82" w14:textId="77777777" w:rsidR="003728B5" w:rsidRDefault="003728B5" w:rsidP="004E786C">
            <w:pPr>
              <w:pStyle w:val="DPCbody"/>
            </w:pPr>
            <w:r>
              <w:t xml:space="preserve">It is recommended that all Victorian Government departments and agencies achieve and maintain a minimum level of </w:t>
            </w:r>
            <w:r w:rsidRPr="00717BEF">
              <w:rPr>
                <w:b/>
                <w:bCs/>
              </w:rPr>
              <w:t>Competence</w:t>
            </w:r>
            <w:r>
              <w:rPr>
                <w:b/>
                <w:bCs/>
              </w:rPr>
              <w:t xml:space="preserve"> </w:t>
            </w:r>
            <w:r w:rsidRPr="00BD1852">
              <w:t xml:space="preserve">(level </w:t>
            </w:r>
            <w:r>
              <w:t>3) for all 41 AMAF processes in the domain of IT asset management.</w:t>
            </w:r>
            <w:r>
              <w:br/>
            </w:r>
          </w:p>
          <w:p w14:paraId="748A6B26" w14:textId="77777777" w:rsidR="003728B5" w:rsidRDefault="003728B5" w:rsidP="004E786C">
            <w:pPr>
              <w:pStyle w:val="DPCbody"/>
            </w:pPr>
            <w:r>
              <w:t xml:space="preserve">It is recommended that the level of </w:t>
            </w:r>
            <w:r w:rsidRPr="007D19DD">
              <w:rPr>
                <w:b/>
                <w:bCs/>
              </w:rPr>
              <w:t>Optimising</w:t>
            </w:r>
            <w:r>
              <w:rPr>
                <w:b/>
                <w:bCs/>
              </w:rPr>
              <w:t xml:space="preserve"> </w:t>
            </w:r>
            <w:r w:rsidRPr="00BD1852">
              <w:t xml:space="preserve">(level </w:t>
            </w:r>
            <w:r>
              <w:t>4</w:t>
            </w:r>
            <w:r w:rsidRPr="00BD1852">
              <w:t>)</w:t>
            </w:r>
            <w:r>
              <w:t xml:space="preserve"> should be achieved and maintained for the following specific IT assets:</w:t>
            </w:r>
          </w:p>
          <w:p w14:paraId="7D3D8D68" w14:textId="77777777" w:rsidR="003728B5" w:rsidRDefault="003728B5" w:rsidP="00B22A1A">
            <w:pPr>
              <w:pStyle w:val="DPCbody"/>
              <w:numPr>
                <w:ilvl w:val="0"/>
                <w:numId w:val="25"/>
              </w:numPr>
            </w:pPr>
            <w:r w:rsidRPr="00FF265B">
              <w:t>IT assets</w:t>
            </w:r>
            <w:r>
              <w:t xml:space="preserve"> that process or hold </w:t>
            </w:r>
            <w:r w:rsidRPr="00AA1537">
              <w:rPr>
                <w:b/>
                <w:bCs/>
              </w:rPr>
              <w:t xml:space="preserve">Protected </w:t>
            </w:r>
            <w:r w:rsidRPr="002D2728">
              <w:t>or above</w:t>
            </w:r>
            <w:r>
              <w:rPr>
                <w:b/>
                <w:bCs/>
              </w:rPr>
              <w:t xml:space="preserve"> </w:t>
            </w:r>
            <w:r>
              <w:t xml:space="preserve">data, or have one or more OVIC Integrity or Availability </w:t>
            </w:r>
            <w:r w:rsidRPr="00FF265B">
              <w:t xml:space="preserve">Business Impact rating of </w:t>
            </w:r>
            <w:r w:rsidRPr="00AA1537">
              <w:rPr>
                <w:b/>
                <w:bCs/>
              </w:rPr>
              <w:t>3 (Major)</w:t>
            </w:r>
            <w:r w:rsidRPr="00FF265B">
              <w:t xml:space="preserve"> or above</w:t>
            </w:r>
          </w:p>
          <w:p w14:paraId="3D66D1AE" w14:textId="77777777" w:rsidR="003728B5" w:rsidRPr="00AA1537" w:rsidRDefault="003728B5" w:rsidP="00B22A1A">
            <w:pPr>
              <w:pStyle w:val="DPCbody"/>
              <w:numPr>
                <w:ilvl w:val="0"/>
                <w:numId w:val="25"/>
              </w:numPr>
            </w:pPr>
            <w:r w:rsidRPr="00AA1537">
              <w:t xml:space="preserve">IT assets containing </w:t>
            </w:r>
            <w:r w:rsidRPr="00AA1537">
              <w:rPr>
                <w:b/>
                <w:bCs/>
              </w:rPr>
              <w:t>Persona</w:t>
            </w:r>
            <w:r>
              <w:rPr>
                <w:b/>
                <w:bCs/>
              </w:rPr>
              <w:t xml:space="preserve">l </w:t>
            </w:r>
            <w:r w:rsidRPr="00AA1537">
              <w:rPr>
                <w:b/>
                <w:bCs/>
              </w:rPr>
              <w:t>Information</w:t>
            </w:r>
            <w:r>
              <w:t xml:space="preserve"> (as per Privacy and/or Health Acts)</w:t>
            </w:r>
          </w:p>
          <w:p w14:paraId="2C86E6A4" w14:textId="77777777" w:rsidR="003728B5" w:rsidRDefault="003728B5" w:rsidP="00B22A1A">
            <w:pPr>
              <w:pStyle w:val="DPCbody"/>
              <w:numPr>
                <w:ilvl w:val="0"/>
                <w:numId w:val="25"/>
              </w:numPr>
            </w:pPr>
            <w:r w:rsidRPr="00FF265B">
              <w:rPr>
                <w:b/>
                <w:bCs/>
              </w:rPr>
              <w:t xml:space="preserve">Internet-facing </w:t>
            </w:r>
            <w:r w:rsidRPr="00FF265B">
              <w:t>IT assets</w:t>
            </w:r>
            <w:r>
              <w:t xml:space="preserve"> (including webservers, network perimeter devices, SaaS, PaaS and IaaS)</w:t>
            </w:r>
          </w:p>
        </w:tc>
      </w:tr>
    </w:tbl>
    <w:p w14:paraId="6A537B57" w14:textId="77777777" w:rsidR="003E15A1" w:rsidRDefault="003E15A1" w:rsidP="003728B5">
      <w:pPr>
        <w:pStyle w:val="DPCbody"/>
      </w:pPr>
    </w:p>
    <w:p w14:paraId="15D4E44E" w14:textId="7B96FC21" w:rsidR="003728B5" w:rsidRDefault="003728B5" w:rsidP="003728B5">
      <w:pPr>
        <w:pStyle w:val="DPCbody"/>
      </w:pPr>
      <w:r>
        <w:t xml:space="preserve">AMAF requires a generic asset self-assessment against these 41 process areas every </w:t>
      </w:r>
      <w:r w:rsidRPr="00695F9F">
        <w:rPr>
          <w:b/>
          <w:bCs/>
        </w:rPr>
        <w:t>three years</w:t>
      </w:r>
      <w:r w:rsidRPr="00711928">
        <w:t xml:space="preserve">, however it you have an active IT asset management </w:t>
      </w:r>
      <w:r>
        <w:t xml:space="preserve">uplift </w:t>
      </w:r>
      <w:r w:rsidRPr="00711928">
        <w:t xml:space="preserve">project or </w:t>
      </w:r>
      <w:r>
        <w:t xml:space="preserve">BAU (business as usual) </w:t>
      </w:r>
      <w:r w:rsidRPr="00711928">
        <w:t>activity in progress, it is recommended redoing the self-assessment every 6-12 months</w:t>
      </w:r>
      <w:r>
        <w:t xml:space="preserve"> </w:t>
      </w:r>
      <w:r w:rsidRPr="00711928">
        <w:t xml:space="preserve">to </w:t>
      </w:r>
      <w:r>
        <w:t xml:space="preserve">measure and </w:t>
      </w:r>
      <w:r w:rsidRPr="00711928">
        <w:t>demonstrat</w:t>
      </w:r>
      <w:r>
        <w:t>e</w:t>
      </w:r>
      <w:r w:rsidRPr="00711928">
        <w:t xml:space="preserve"> progress.</w:t>
      </w:r>
      <w:r>
        <w:rPr>
          <w:b/>
          <w:bCs/>
        </w:rPr>
        <w:t xml:space="preserve"> </w:t>
      </w:r>
      <w:r>
        <w:t>Note that the first time an AMAF maturity assessment for the IT asset class is undertaken may take more time and effort than subsequent assessments.</w:t>
      </w:r>
    </w:p>
    <w:p w14:paraId="23474753" w14:textId="77777777" w:rsidR="003728B5" w:rsidRDefault="003728B5" w:rsidP="003728B5">
      <w:pPr>
        <w:rPr>
          <w:rFonts w:asciiTheme="majorHAnsi" w:eastAsia="MS Gothic" w:hAnsiTheme="majorHAnsi"/>
          <w:b/>
          <w:bCs/>
          <w:color w:val="53565A"/>
          <w:sz w:val="32"/>
          <w:szCs w:val="32"/>
        </w:rPr>
      </w:pPr>
      <w:r>
        <w:br w:type="page"/>
      </w:r>
    </w:p>
    <w:p w14:paraId="0087FD78" w14:textId="77777777" w:rsidR="003728B5" w:rsidRDefault="003728B5" w:rsidP="003728B5">
      <w:pPr>
        <w:pStyle w:val="Heading2"/>
      </w:pPr>
      <w:bookmarkStart w:id="25" w:name="_Toc124856927"/>
      <w:bookmarkStart w:id="26" w:name="_Toc126829058"/>
      <w:r>
        <w:lastRenderedPageBreak/>
        <w:t>Data</w:t>
      </w:r>
      <w:bookmarkEnd w:id="25"/>
      <w:bookmarkEnd w:id="26"/>
    </w:p>
    <w:p w14:paraId="7C138E8D" w14:textId="77777777" w:rsidR="003728B5" w:rsidRDefault="003728B5" w:rsidP="003728B5">
      <w:pPr>
        <w:pStyle w:val="DPCbody"/>
      </w:pPr>
      <w:r>
        <w:t xml:space="preserve">It is important that department and agency IT Asset Registers hold </w:t>
      </w:r>
      <w:r w:rsidRPr="00AC42B2">
        <w:rPr>
          <w:b/>
          <w:bCs/>
        </w:rPr>
        <w:t>complete and correct</w:t>
      </w:r>
      <w:r>
        <w:t xml:space="preserve"> data. Missing asset entries can lead to IT assets being overlooked and subsequently unpatched and unmonitored, which can lead to cybersecurity incidents. Missing asset fields can lead to difficulties prioritising assets based on risk and allocating ownership and responsibility.</w:t>
      </w:r>
    </w:p>
    <w:p w14:paraId="1550ACA4" w14:textId="2CC9646E" w:rsidR="003728B5" w:rsidRDefault="003728B5" w:rsidP="003728B5">
      <w:pPr>
        <w:pStyle w:val="DPCbody"/>
      </w:pPr>
      <w:r>
        <w:t xml:space="preserve">This guidance defines a minimum standard of asset fields that can be captured for both </w:t>
      </w:r>
      <w:r w:rsidRPr="00320124">
        <w:rPr>
          <w:b/>
          <w:bCs/>
        </w:rPr>
        <w:t>Application</w:t>
      </w:r>
      <w:r>
        <w:t xml:space="preserve"> as well as </w:t>
      </w:r>
      <w:r w:rsidRPr="00320124">
        <w:rPr>
          <w:b/>
          <w:bCs/>
        </w:rPr>
        <w:t>Infrastructure</w:t>
      </w:r>
      <w:r>
        <w:t xml:space="preserve"> assets. Note that OVIC’s VPDSS provides a minimum standard around </w:t>
      </w:r>
      <w:r w:rsidRPr="00320124">
        <w:rPr>
          <w:b/>
          <w:bCs/>
        </w:rPr>
        <w:t xml:space="preserve">Information (Data) </w:t>
      </w:r>
      <w:r>
        <w:t>assets. This VPDSS Information (Data) Asset Register spreadsheet can be imported into and maintained in your CMDB or Enterprise Architecture system in order to link Information (Data) assets to Application assets more easily.</w:t>
      </w:r>
    </w:p>
    <w:p w14:paraId="52FBC081" w14:textId="65B8CBC8" w:rsidR="003728B5" w:rsidRPr="006237B1" w:rsidRDefault="006237B1" w:rsidP="003728B5">
      <w:pPr>
        <w:pStyle w:val="DPCbody"/>
      </w:pPr>
      <w:r>
        <w:rPr>
          <w:rFonts w:ascii="VIC" w:hAnsi="VIC"/>
        </w:rPr>
        <w:t>P</w:t>
      </w:r>
      <w:r w:rsidRPr="008A7D64">
        <w:rPr>
          <w:rFonts w:ascii="VIC" w:hAnsi="VIC"/>
        </w:rPr>
        <w:t xml:space="preserve">lease contact the Cyber Security Branch at </w:t>
      </w:r>
      <w:hyperlink r:id="rId22" w:history="1">
        <w:r w:rsidRPr="008A7D64">
          <w:rPr>
            <w:rStyle w:val="Hyperlink"/>
            <w:rFonts w:ascii="VIC" w:hAnsi="VIC"/>
          </w:rPr>
          <w:t>vicgov.ciso@dpc.vic.gov.au</w:t>
        </w:r>
      </w:hyperlink>
      <w:r>
        <w:rPr>
          <w:rStyle w:val="Hyperlink"/>
          <w:rFonts w:ascii="VIC" w:hAnsi="VIC"/>
        </w:rPr>
        <w:t xml:space="preserve"> </w:t>
      </w:r>
      <w:r w:rsidRPr="006237B1">
        <w:rPr>
          <w:rStyle w:val="Hyperlink"/>
          <w:rFonts w:ascii="VIC" w:hAnsi="VIC"/>
          <w:u w:val="none"/>
        </w:rPr>
        <w:t>to</w:t>
      </w:r>
      <w:r w:rsidRPr="006237B1">
        <w:t xml:space="preserve"> </w:t>
      </w:r>
      <w:r>
        <w:t xml:space="preserve">access the resource </w:t>
      </w:r>
      <w:r w:rsidR="003728B5" w:rsidRPr="00F81355">
        <w:rPr>
          <w:b/>
          <w:bCs/>
          <w:color w:val="000000"/>
          <w:lang w:eastAsia="en-AU"/>
        </w:rPr>
        <w:t xml:space="preserve">WoVG IT Asset Management Data Dictionaries </w:t>
      </w:r>
      <w:r w:rsidR="003728B5" w:rsidRPr="00F81355">
        <w:rPr>
          <w:color w:val="000000"/>
          <w:lang w:eastAsia="en-AU"/>
        </w:rPr>
        <w:t>for a detailed breakdown of the recommended Application and Infrastructure fields.</w:t>
      </w:r>
    </w:p>
    <w:p w14:paraId="0499F896" w14:textId="77777777" w:rsidR="003728B5" w:rsidRPr="00771898" w:rsidRDefault="003728B5" w:rsidP="003E15A1">
      <w:pPr>
        <w:pStyle w:val="Heading3"/>
      </w:pPr>
      <w:r w:rsidRPr="00771898">
        <w:t>Business Impact Levels</w:t>
      </w:r>
    </w:p>
    <w:p w14:paraId="21E253FB" w14:textId="77777777" w:rsidR="003728B5" w:rsidRDefault="003728B5" w:rsidP="003728B5">
      <w:pPr>
        <w:pStyle w:val="DPCbody"/>
      </w:pPr>
      <w:r>
        <w:t xml:space="preserve">Two main </w:t>
      </w:r>
      <w:r w:rsidRPr="00320124">
        <w:rPr>
          <w:b/>
          <w:bCs/>
        </w:rPr>
        <w:t>business impact</w:t>
      </w:r>
      <w:r>
        <w:t xml:space="preserve"> rating systems are used across Victorian Government departments and agencies to indicate Confidentiality, Integrity and Availability consequence (one from OVIC and one used in the Health Sector).</w:t>
      </w:r>
    </w:p>
    <w:p w14:paraId="02BC9496" w14:textId="77777777" w:rsidR="003728B5" w:rsidRDefault="003728B5" w:rsidP="003728B5">
      <w:pPr>
        <w:pStyle w:val="DPCbody"/>
      </w:pPr>
      <w:r>
        <w:t>If an agency does not yet use a Business Impact system, or wishes to standardise on one, OVIC’s system is recommended.</w:t>
      </w:r>
    </w:p>
    <w:p w14:paraId="179CEE26" w14:textId="77777777" w:rsidR="003728B5" w:rsidRDefault="003728B5" w:rsidP="003728B5">
      <w:pPr>
        <w:pStyle w:val="DPCbody"/>
      </w:pPr>
      <w:r>
        <w:t>The following table describes the OVIC Business Impact Levels:</w:t>
      </w:r>
    </w:p>
    <w:tbl>
      <w:tblPr>
        <w:tblW w:w="9067" w:type="dxa"/>
        <w:tblInd w:w="113" w:type="dxa"/>
        <w:tblLook w:val="04A0" w:firstRow="1" w:lastRow="0" w:firstColumn="1" w:lastColumn="0" w:noHBand="0" w:noVBand="1"/>
      </w:tblPr>
      <w:tblGrid>
        <w:gridCol w:w="4673"/>
        <w:gridCol w:w="2268"/>
        <w:gridCol w:w="2126"/>
      </w:tblGrid>
      <w:tr w:rsidR="003728B5" w:rsidRPr="0051347B" w14:paraId="743996A6" w14:textId="77777777" w:rsidTr="004E786C">
        <w:trPr>
          <w:trHeight w:val="382"/>
        </w:trPr>
        <w:tc>
          <w:tcPr>
            <w:tcW w:w="4673" w:type="dxa"/>
            <w:tcBorders>
              <w:top w:val="single" w:sz="4" w:space="0" w:color="8EA9DB"/>
              <w:left w:val="single" w:sz="4" w:space="0" w:color="8EA9DB"/>
              <w:bottom w:val="single" w:sz="4" w:space="0" w:color="8EA9DB"/>
              <w:right w:val="nil"/>
            </w:tcBorders>
            <w:shd w:val="clear" w:color="4472C4" w:fill="4472C4"/>
            <w:hideMark/>
          </w:tcPr>
          <w:p w14:paraId="7A68EF5C" w14:textId="77777777" w:rsidR="003728B5" w:rsidRPr="0051347B" w:rsidRDefault="003728B5" w:rsidP="004E786C">
            <w:pPr>
              <w:rPr>
                <w:rFonts w:ascii="Arial" w:hAnsi="Arial"/>
                <w:b/>
                <w:bCs/>
                <w:color w:val="FFFFFF"/>
                <w:szCs w:val="22"/>
                <w:lang w:eastAsia="en-AU"/>
              </w:rPr>
            </w:pPr>
            <w:r w:rsidRPr="0051347B">
              <w:rPr>
                <w:rFonts w:ascii="Arial" w:hAnsi="Arial"/>
                <w:b/>
                <w:bCs/>
                <w:color w:val="FFFFFF"/>
                <w:szCs w:val="22"/>
                <w:lang w:eastAsia="en-AU"/>
              </w:rPr>
              <w:t>Confidentiality</w:t>
            </w:r>
            <w:r>
              <w:rPr>
                <w:rFonts w:ascii="Arial" w:hAnsi="Arial"/>
                <w:b/>
                <w:bCs/>
                <w:color w:val="FFFFFF"/>
                <w:szCs w:val="22"/>
                <w:lang w:eastAsia="en-AU"/>
              </w:rPr>
              <w:t xml:space="preserve"> (PROTECTED MARKING)</w:t>
            </w:r>
          </w:p>
        </w:tc>
        <w:tc>
          <w:tcPr>
            <w:tcW w:w="2268" w:type="dxa"/>
            <w:tcBorders>
              <w:top w:val="single" w:sz="4" w:space="0" w:color="8EA9DB"/>
              <w:left w:val="nil"/>
              <w:bottom w:val="single" w:sz="4" w:space="0" w:color="8EA9DB"/>
              <w:right w:val="nil"/>
            </w:tcBorders>
            <w:shd w:val="clear" w:color="4472C4" w:fill="4472C4"/>
            <w:hideMark/>
          </w:tcPr>
          <w:p w14:paraId="26B39F2C" w14:textId="77777777" w:rsidR="003728B5" w:rsidRPr="0051347B" w:rsidRDefault="003728B5" w:rsidP="004E786C">
            <w:pPr>
              <w:rPr>
                <w:rFonts w:ascii="Arial" w:hAnsi="Arial"/>
                <w:b/>
                <w:bCs/>
                <w:color w:val="FFFFFF"/>
                <w:szCs w:val="22"/>
                <w:lang w:eastAsia="en-AU"/>
              </w:rPr>
            </w:pPr>
            <w:r>
              <w:rPr>
                <w:rFonts w:ascii="Arial" w:hAnsi="Arial"/>
                <w:b/>
                <w:bCs/>
                <w:color w:val="FFFFFF"/>
                <w:szCs w:val="22"/>
                <w:lang w:eastAsia="en-AU"/>
              </w:rPr>
              <w:t>Integrity</w:t>
            </w:r>
          </w:p>
        </w:tc>
        <w:tc>
          <w:tcPr>
            <w:tcW w:w="2126" w:type="dxa"/>
            <w:tcBorders>
              <w:top w:val="single" w:sz="4" w:space="0" w:color="8EA9DB"/>
              <w:left w:val="nil"/>
              <w:bottom w:val="single" w:sz="4" w:space="0" w:color="8EA9DB"/>
              <w:right w:val="single" w:sz="4" w:space="0" w:color="8EA9DB"/>
            </w:tcBorders>
            <w:shd w:val="clear" w:color="4472C4" w:fill="4472C4"/>
            <w:hideMark/>
          </w:tcPr>
          <w:p w14:paraId="53EE3379" w14:textId="77777777" w:rsidR="003728B5" w:rsidRPr="0051347B" w:rsidRDefault="003728B5" w:rsidP="004E786C">
            <w:pPr>
              <w:rPr>
                <w:rFonts w:ascii="Arial" w:hAnsi="Arial"/>
                <w:b/>
                <w:bCs/>
                <w:color w:val="FFFFFF"/>
                <w:szCs w:val="22"/>
                <w:lang w:eastAsia="en-AU"/>
              </w:rPr>
            </w:pPr>
            <w:r>
              <w:rPr>
                <w:rFonts w:ascii="Arial" w:hAnsi="Arial"/>
                <w:b/>
                <w:bCs/>
                <w:color w:val="FFFFFF"/>
                <w:szCs w:val="22"/>
                <w:lang w:eastAsia="en-AU"/>
              </w:rPr>
              <w:t>Availability</w:t>
            </w:r>
          </w:p>
        </w:tc>
      </w:tr>
      <w:tr w:rsidR="003728B5" w:rsidRPr="0051347B" w14:paraId="512D85EB" w14:textId="77777777" w:rsidTr="004E786C">
        <w:trPr>
          <w:trHeight w:val="290"/>
        </w:trPr>
        <w:tc>
          <w:tcPr>
            <w:tcW w:w="4673" w:type="dxa"/>
            <w:tcBorders>
              <w:top w:val="single" w:sz="4" w:space="0" w:color="auto"/>
              <w:left w:val="single" w:sz="4" w:space="0" w:color="auto"/>
              <w:bottom w:val="single" w:sz="4" w:space="0" w:color="auto"/>
              <w:right w:val="single" w:sz="4" w:space="0" w:color="auto"/>
            </w:tcBorders>
            <w:shd w:val="clear" w:color="D9E1F2" w:fill="D9E1F2"/>
            <w:hideMark/>
          </w:tcPr>
          <w:p w14:paraId="60555B82" w14:textId="77777777" w:rsidR="003728B5" w:rsidRPr="0051347B" w:rsidRDefault="003728B5" w:rsidP="004E786C">
            <w:pPr>
              <w:rPr>
                <w:rFonts w:ascii="Arial" w:hAnsi="Arial"/>
                <w:color w:val="000000"/>
                <w:szCs w:val="22"/>
                <w:lang w:eastAsia="en-AU"/>
              </w:rPr>
            </w:pPr>
            <w:r>
              <w:rPr>
                <w:rFonts w:ascii="Arial" w:hAnsi="Arial"/>
                <w:color w:val="000000"/>
                <w:szCs w:val="22"/>
                <w:lang w:eastAsia="en-AU"/>
              </w:rPr>
              <w:t xml:space="preserve">5 – </w:t>
            </w:r>
            <w:r w:rsidRPr="0051347B">
              <w:rPr>
                <w:rFonts w:ascii="Arial" w:hAnsi="Arial"/>
                <w:color w:val="000000"/>
                <w:szCs w:val="22"/>
                <w:lang w:eastAsia="en-AU"/>
              </w:rPr>
              <w:t>Exceptional</w:t>
            </w:r>
            <w:r>
              <w:rPr>
                <w:rFonts w:ascii="Arial" w:hAnsi="Arial"/>
                <w:color w:val="000000"/>
                <w:szCs w:val="22"/>
                <w:lang w:eastAsia="en-AU"/>
              </w:rPr>
              <w:t xml:space="preserve"> (TOP SECRET)</w:t>
            </w:r>
          </w:p>
        </w:tc>
        <w:tc>
          <w:tcPr>
            <w:tcW w:w="2268" w:type="dxa"/>
            <w:tcBorders>
              <w:top w:val="single" w:sz="4" w:space="0" w:color="auto"/>
              <w:left w:val="single" w:sz="4" w:space="0" w:color="auto"/>
              <w:bottom w:val="single" w:sz="4" w:space="0" w:color="auto"/>
              <w:right w:val="single" w:sz="4" w:space="0" w:color="auto"/>
            </w:tcBorders>
            <w:shd w:val="clear" w:color="D9E1F2" w:fill="D9E1F2"/>
            <w:hideMark/>
          </w:tcPr>
          <w:p w14:paraId="45A47825" w14:textId="77777777" w:rsidR="003728B5" w:rsidRPr="0051347B" w:rsidRDefault="003728B5" w:rsidP="004E786C">
            <w:pPr>
              <w:rPr>
                <w:rFonts w:ascii="Arial" w:hAnsi="Arial"/>
                <w:color w:val="000000"/>
                <w:szCs w:val="22"/>
                <w:lang w:eastAsia="en-AU"/>
              </w:rPr>
            </w:pPr>
            <w:r>
              <w:rPr>
                <w:rFonts w:ascii="Arial" w:hAnsi="Arial"/>
                <w:color w:val="000000"/>
                <w:szCs w:val="22"/>
                <w:lang w:eastAsia="en-AU"/>
              </w:rPr>
              <w:t xml:space="preserve">5 - </w:t>
            </w:r>
            <w:r w:rsidRPr="0051347B">
              <w:rPr>
                <w:rFonts w:ascii="Arial" w:hAnsi="Arial"/>
                <w:color w:val="000000"/>
                <w:szCs w:val="22"/>
                <w:lang w:eastAsia="en-AU"/>
              </w:rPr>
              <w:t>Exceptional</w:t>
            </w:r>
          </w:p>
        </w:tc>
        <w:tc>
          <w:tcPr>
            <w:tcW w:w="2126" w:type="dxa"/>
            <w:tcBorders>
              <w:top w:val="single" w:sz="4" w:space="0" w:color="auto"/>
              <w:left w:val="single" w:sz="4" w:space="0" w:color="auto"/>
              <w:bottom w:val="single" w:sz="4" w:space="0" w:color="auto"/>
              <w:right w:val="single" w:sz="4" w:space="0" w:color="auto"/>
            </w:tcBorders>
            <w:shd w:val="clear" w:color="D9E1F2" w:fill="D9E1F2"/>
            <w:hideMark/>
          </w:tcPr>
          <w:p w14:paraId="51A20F30" w14:textId="77777777" w:rsidR="003728B5" w:rsidRPr="0051347B" w:rsidRDefault="003728B5" w:rsidP="004E786C">
            <w:pPr>
              <w:rPr>
                <w:rFonts w:ascii="Arial" w:hAnsi="Arial"/>
                <w:color w:val="000000"/>
                <w:szCs w:val="22"/>
                <w:lang w:eastAsia="en-AU"/>
              </w:rPr>
            </w:pPr>
            <w:r>
              <w:rPr>
                <w:rFonts w:ascii="Arial" w:hAnsi="Arial"/>
                <w:color w:val="000000"/>
                <w:szCs w:val="22"/>
                <w:lang w:eastAsia="en-AU"/>
              </w:rPr>
              <w:t xml:space="preserve">5 - </w:t>
            </w:r>
            <w:r w:rsidRPr="0051347B">
              <w:rPr>
                <w:rFonts w:ascii="Arial" w:hAnsi="Arial"/>
                <w:color w:val="000000"/>
                <w:szCs w:val="22"/>
                <w:lang w:eastAsia="en-AU"/>
              </w:rPr>
              <w:t>Exceptional</w:t>
            </w:r>
          </w:p>
        </w:tc>
      </w:tr>
      <w:tr w:rsidR="003728B5" w:rsidRPr="0051347B" w14:paraId="6CBCC74C" w14:textId="77777777" w:rsidTr="004E786C">
        <w:trPr>
          <w:trHeight w:val="29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5A776E46" w14:textId="77777777" w:rsidR="003728B5" w:rsidRPr="0051347B" w:rsidRDefault="003728B5" w:rsidP="004E786C">
            <w:pPr>
              <w:rPr>
                <w:rFonts w:ascii="Arial" w:hAnsi="Arial"/>
                <w:color w:val="000000"/>
                <w:szCs w:val="22"/>
                <w:lang w:eastAsia="en-AU"/>
              </w:rPr>
            </w:pPr>
            <w:r>
              <w:rPr>
                <w:rFonts w:ascii="Arial" w:hAnsi="Arial"/>
                <w:color w:val="000000"/>
                <w:szCs w:val="22"/>
                <w:lang w:eastAsia="en-AU"/>
              </w:rPr>
              <w:t xml:space="preserve">4 – </w:t>
            </w:r>
            <w:r w:rsidRPr="0051347B">
              <w:rPr>
                <w:rFonts w:ascii="Arial" w:hAnsi="Arial"/>
                <w:color w:val="000000"/>
                <w:szCs w:val="22"/>
                <w:lang w:eastAsia="en-AU"/>
              </w:rPr>
              <w:t>Serious</w:t>
            </w:r>
            <w:r>
              <w:rPr>
                <w:rFonts w:ascii="Arial" w:hAnsi="Arial"/>
                <w:color w:val="000000"/>
                <w:szCs w:val="22"/>
                <w:lang w:eastAsia="en-AU"/>
              </w:rPr>
              <w:t xml:space="preserve"> (SECRET)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2CE4E78" w14:textId="77777777" w:rsidR="003728B5" w:rsidRPr="0051347B" w:rsidRDefault="003728B5" w:rsidP="004E786C">
            <w:pPr>
              <w:rPr>
                <w:rFonts w:ascii="Arial" w:hAnsi="Arial"/>
                <w:color w:val="000000"/>
                <w:szCs w:val="22"/>
                <w:lang w:eastAsia="en-AU"/>
              </w:rPr>
            </w:pPr>
            <w:r>
              <w:rPr>
                <w:rFonts w:ascii="Arial" w:hAnsi="Arial"/>
                <w:color w:val="000000"/>
                <w:szCs w:val="22"/>
                <w:lang w:eastAsia="en-AU"/>
              </w:rPr>
              <w:t xml:space="preserve">4 - </w:t>
            </w:r>
            <w:r w:rsidRPr="0051347B">
              <w:rPr>
                <w:rFonts w:ascii="Arial" w:hAnsi="Arial"/>
                <w:color w:val="000000"/>
                <w:szCs w:val="22"/>
                <w:lang w:eastAsia="en-AU"/>
              </w:rPr>
              <w:t>Serious</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FA51FAC" w14:textId="77777777" w:rsidR="003728B5" w:rsidRPr="0051347B" w:rsidRDefault="003728B5" w:rsidP="004E786C">
            <w:pPr>
              <w:rPr>
                <w:rFonts w:ascii="Arial" w:hAnsi="Arial"/>
                <w:color w:val="000000"/>
                <w:szCs w:val="22"/>
                <w:lang w:eastAsia="en-AU"/>
              </w:rPr>
            </w:pPr>
            <w:r>
              <w:rPr>
                <w:rFonts w:ascii="Arial" w:hAnsi="Arial"/>
                <w:color w:val="000000"/>
                <w:szCs w:val="22"/>
                <w:lang w:eastAsia="en-AU"/>
              </w:rPr>
              <w:t xml:space="preserve">4 - </w:t>
            </w:r>
            <w:r w:rsidRPr="0051347B">
              <w:rPr>
                <w:rFonts w:ascii="Arial" w:hAnsi="Arial"/>
                <w:color w:val="000000"/>
                <w:szCs w:val="22"/>
                <w:lang w:eastAsia="en-AU"/>
              </w:rPr>
              <w:t>Serious</w:t>
            </w:r>
          </w:p>
        </w:tc>
      </w:tr>
      <w:tr w:rsidR="003728B5" w:rsidRPr="0051347B" w14:paraId="12E5A675" w14:textId="77777777" w:rsidTr="004E786C">
        <w:trPr>
          <w:trHeight w:val="290"/>
        </w:trPr>
        <w:tc>
          <w:tcPr>
            <w:tcW w:w="4673" w:type="dxa"/>
            <w:tcBorders>
              <w:top w:val="single" w:sz="4" w:space="0" w:color="auto"/>
              <w:left w:val="single" w:sz="4" w:space="0" w:color="auto"/>
              <w:bottom w:val="single" w:sz="4" w:space="0" w:color="auto"/>
              <w:right w:val="single" w:sz="4" w:space="0" w:color="auto"/>
            </w:tcBorders>
            <w:shd w:val="clear" w:color="D9E1F2" w:fill="D9E1F2"/>
            <w:hideMark/>
          </w:tcPr>
          <w:p w14:paraId="2136A932" w14:textId="77777777" w:rsidR="003728B5" w:rsidRPr="0051347B" w:rsidRDefault="003728B5" w:rsidP="004E786C">
            <w:pPr>
              <w:rPr>
                <w:rFonts w:ascii="Arial" w:hAnsi="Arial"/>
                <w:color w:val="000000"/>
                <w:szCs w:val="22"/>
                <w:lang w:eastAsia="en-AU"/>
              </w:rPr>
            </w:pPr>
            <w:r>
              <w:rPr>
                <w:rFonts w:ascii="Arial" w:hAnsi="Arial"/>
                <w:color w:val="000000"/>
                <w:szCs w:val="22"/>
                <w:lang w:eastAsia="en-AU"/>
              </w:rPr>
              <w:t xml:space="preserve">3 – </w:t>
            </w:r>
            <w:r w:rsidRPr="0051347B">
              <w:rPr>
                <w:rFonts w:ascii="Arial" w:hAnsi="Arial"/>
                <w:color w:val="000000"/>
                <w:szCs w:val="22"/>
                <w:lang w:eastAsia="en-AU"/>
              </w:rPr>
              <w:t>Major</w:t>
            </w:r>
            <w:r>
              <w:rPr>
                <w:rFonts w:ascii="Arial" w:hAnsi="Arial"/>
                <w:color w:val="000000"/>
                <w:szCs w:val="22"/>
                <w:lang w:eastAsia="en-AU"/>
              </w:rPr>
              <w:t xml:space="preserve"> (PROTECTED)</w:t>
            </w:r>
          </w:p>
        </w:tc>
        <w:tc>
          <w:tcPr>
            <w:tcW w:w="2268" w:type="dxa"/>
            <w:tcBorders>
              <w:top w:val="single" w:sz="4" w:space="0" w:color="auto"/>
              <w:left w:val="single" w:sz="4" w:space="0" w:color="auto"/>
              <w:bottom w:val="single" w:sz="4" w:space="0" w:color="auto"/>
              <w:right w:val="single" w:sz="4" w:space="0" w:color="auto"/>
            </w:tcBorders>
            <w:shd w:val="clear" w:color="D9E1F2" w:fill="D9E1F2"/>
            <w:hideMark/>
          </w:tcPr>
          <w:p w14:paraId="49059CEF" w14:textId="77777777" w:rsidR="003728B5" w:rsidRPr="0051347B" w:rsidRDefault="003728B5" w:rsidP="004E786C">
            <w:pPr>
              <w:rPr>
                <w:rFonts w:ascii="Arial" w:hAnsi="Arial"/>
                <w:color w:val="000000"/>
                <w:szCs w:val="22"/>
                <w:lang w:eastAsia="en-AU"/>
              </w:rPr>
            </w:pPr>
            <w:r>
              <w:rPr>
                <w:rFonts w:ascii="Arial" w:hAnsi="Arial"/>
                <w:color w:val="000000"/>
                <w:szCs w:val="22"/>
                <w:lang w:eastAsia="en-AU"/>
              </w:rPr>
              <w:t xml:space="preserve">3 - </w:t>
            </w:r>
            <w:r w:rsidRPr="0051347B">
              <w:rPr>
                <w:rFonts w:ascii="Arial" w:hAnsi="Arial"/>
                <w:color w:val="000000"/>
                <w:szCs w:val="22"/>
                <w:lang w:eastAsia="en-AU"/>
              </w:rPr>
              <w:t>Major</w:t>
            </w:r>
          </w:p>
        </w:tc>
        <w:tc>
          <w:tcPr>
            <w:tcW w:w="2126" w:type="dxa"/>
            <w:tcBorders>
              <w:top w:val="single" w:sz="4" w:space="0" w:color="auto"/>
              <w:left w:val="single" w:sz="4" w:space="0" w:color="auto"/>
              <w:bottom w:val="single" w:sz="4" w:space="0" w:color="auto"/>
              <w:right w:val="single" w:sz="4" w:space="0" w:color="auto"/>
            </w:tcBorders>
            <w:shd w:val="clear" w:color="D9E1F2" w:fill="D9E1F2"/>
            <w:hideMark/>
          </w:tcPr>
          <w:p w14:paraId="77625862" w14:textId="77777777" w:rsidR="003728B5" w:rsidRPr="0051347B" w:rsidRDefault="003728B5" w:rsidP="004E786C">
            <w:pPr>
              <w:rPr>
                <w:rFonts w:ascii="Arial" w:hAnsi="Arial"/>
                <w:color w:val="000000"/>
                <w:szCs w:val="22"/>
                <w:lang w:eastAsia="en-AU"/>
              </w:rPr>
            </w:pPr>
            <w:r>
              <w:rPr>
                <w:rFonts w:ascii="Arial" w:hAnsi="Arial"/>
                <w:color w:val="000000"/>
                <w:szCs w:val="22"/>
                <w:lang w:eastAsia="en-AU"/>
              </w:rPr>
              <w:t xml:space="preserve">3 - </w:t>
            </w:r>
            <w:r w:rsidRPr="0051347B">
              <w:rPr>
                <w:rFonts w:ascii="Arial" w:hAnsi="Arial"/>
                <w:color w:val="000000"/>
                <w:szCs w:val="22"/>
                <w:lang w:eastAsia="en-AU"/>
              </w:rPr>
              <w:t>Major</w:t>
            </w:r>
          </w:p>
        </w:tc>
      </w:tr>
      <w:tr w:rsidR="003728B5" w:rsidRPr="0051347B" w14:paraId="31135B71" w14:textId="77777777" w:rsidTr="004E786C">
        <w:trPr>
          <w:trHeight w:val="29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0F2F9DEA" w14:textId="77777777" w:rsidR="003728B5" w:rsidRPr="0051347B" w:rsidRDefault="003728B5" w:rsidP="004E786C">
            <w:pPr>
              <w:rPr>
                <w:rFonts w:ascii="Arial" w:hAnsi="Arial"/>
                <w:color w:val="000000"/>
                <w:szCs w:val="22"/>
                <w:lang w:eastAsia="en-AU"/>
              </w:rPr>
            </w:pPr>
            <w:r>
              <w:rPr>
                <w:rFonts w:ascii="Arial" w:hAnsi="Arial"/>
                <w:color w:val="000000"/>
                <w:szCs w:val="22"/>
                <w:lang w:eastAsia="en-AU"/>
              </w:rPr>
              <w:t xml:space="preserve">2 – </w:t>
            </w:r>
            <w:r w:rsidRPr="0051347B">
              <w:rPr>
                <w:rFonts w:ascii="Arial" w:hAnsi="Arial"/>
                <w:color w:val="000000"/>
                <w:szCs w:val="22"/>
                <w:lang w:eastAsia="en-AU"/>
              </w:rPr>
              <w:t>Limited</w:t>
            </w:r>
            <w:r>
              <w:rPr>
                <w:rFonts w:ascii="Arial" w:hAnsi="Arial"/>
                <w:color w:val="000000"/>
                <w:szCs w:val="22"/>
                <w:lang w:eastAsia="en-AU"/>
              </w:rPr>
              <w:t xml:space="preserve"> (OFFICIAL:SENSITIVE)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0C9D175" w14:textId="77777777" w:rsidR="003728B5" w:rsidRPr="0051347B" w:rsidRDefault="003728B5" w:rsidP="004E786C">
            <w:pPr>
              <w:rPr>
                <w:rFonts w:ascii="Arial" w:hAnsi="Arial"/>
                <w:color w:val="000000"/>
                <w:szCs w:val="22"/>
                <w:lang w:eastAsia="en-AU"/>
              </w:rPr>
            </w:pPr>
            <w:r>
              <w:rPr>
                <w:rFonts w:ascii="Arial" w:hAnsi="Arial"/>
                <w:color w:val="000000"/>
                <w:szCs w:val="22"/>
                <w:lang w:eastAsia="en-AU"/>
              </w:rPr>
              <w:t xml:space="preserve">2 - </w:t>
            </w:r>
            <w:r w:rsidRPr="0051347B">
              <w:rPr>
                <w:rFonts w:ascii="Arial" w:hAnsi="Arial"/>
                <w:color w:val="000000"/>
                <w:szCs w:val="22"/>
                <w:lang w:eastAsia="en-AU"/>
              </w:rPr>
              <w:t>Limited</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97538DD" w14:textId="77777777" w:rsidR="003728B5" w:rsidRPr="0051347B" w:rsidRDefault="003728B5" w:rsidP="004E786C">
            <w:pPr>
              <w:rPr>
                <w:rFonts w:ascii="Arial" w:hAnsi="Arial"/>
                <w:color w:val="000000"/>
                <w:szCs w:val="22"/>
                <w:lang w:eastAsia="en-AU"/>
              </w:rPr>
            </w:pPr>
            <w:r>
              <w:rPr>
                <w:rFonts w:ascii="Arial" w:hAnsi="Arial"/>
                <w:color w:val="000000"/>
                <w:szCs w:val="22"/>
                <w:lang w:eastAsia="en-AU"/>
              </w:rPr>
              <w:t xml:space="preserve">2 - </w:t>
            </w:r>
            <w:r w:rsidRPr="0051347B">
              <w:rPr>
                <w:rFonts w:ascii="Arial" w:hAnsi="Arial"/>
                <w:color w:val="000000"/>
                <w:szCs w:val="22"/>
                <w:lang w:eastAsia="en-AU"/>
              </w:rPr>
              <w:t>Limited</w:t>
            </w:r>
          </w:p>
        </w:tc>
      </w:tr>
      <w:tr w:rsidR="003728B5" w:rsidRPr="0051347B" w14:paraId="7334A18A" w14:textId="77777777" w:rsidTr="004E786C">
        <w:trPr>
          <w:trHeight w:val="290"/>
        </w:trPr>
        <w:tc>
          <w:tcPr>
            <w:tcW w:w="4673" w:type="dxa"/>
            <w:tcBorders>
              <w:top w:val="single" w:sz="4" w:space="0" w:color="auto"/>
              <w:left w:val="single" w:sz="4" w:space="0" w:color="auto"/>
              <w:bottom w:val="single" w:sz="4" w:space="0" w:color="auto"/>
              <w:right w:val="single" w:sz="4" w:space="0" w:color="auto"/>
            </w:tcBorders>
            <w:shd w:val="clear" w:color="D9E1F2" w:fill="D9E1F2"/>
            <w:hideMark/>
          </w:tcPr>
          <w:p w14:paraId="4EA7B9C5" w14:textId="77777777" w:rsidR="003728B5" w:rsidRPr="0051347B" w:rsidRDefault="003728B5" w:rsidP="004E786C">
            <w:pPr>
              <w:rPr>
                <w:rFonts w:ascii="Arial" w:hAnsi="Arial"/>
                <w:color w:val="000000"/>
                <w:szCs w:val="22"/>
                <w:lang w:eastAsia="en-AU"/>
              </w:rPr>
            </w:pPr>
            <w:r w:rsidRPr="0034562F">
              <w:rPr>
                <w:rFonts w:ascii="Arial" w:hAnsi="Arial"/>
                <w:color w:val="000000"/>
                <w:szCs w:val="22"/>
                <w:lang w:eastAsia="en-AU"/>
              </w:rPr>
              <w:t xml:space="preserve">1 </w:t>
            </w:r>
            <w:r>
              <w:rPr>
                <w:rFonts w:ascii="Arial" w:hAnsi="Arial"/>
                <w:color w:val="000000"/>
                <w:szCs w:val="22"/>
                <w:lang w:eastAsia="en-AU"/>
              </w:rPr>
              <w:t>–</w:t>
            </w:r>
            <w:r w:rsidRPr="0034562F">
              <w:rPr>
                <w:rFonts w:ascii="Arial" w:hAnsi="Arial"/>
                <w:color w:val="000000"/>
                <w:szCs w:val="22"/>
                <w:lang w:eastAsia="en-AU"/>
              </w:rPr>
              <w:t xml:space="preserve"> Minor</w:t>
            </w:r>
            <w:r>
              <w:rPr>
                <w:rFonts w:ascii="Arial" w:hAnsi="Arial"/>
                <w:color w:val="000000"/>
                <w:szCs w:val="22"/>
                <w:lang w:eastAsia="en-AU"/>
              </w:rPr>
              <w:t xml:space="preserve"> (OFFICIAL)</w:t>
            </w:r>
          </w:p>
        </w:tc>
        <w:tc>
          <w:tcPr>
            <w:tcW w:w="2268" w:type="dxa"/>
            <w:tcBorders>
              <w:top w:val="single" w:sz="4" w:space="0" w:color="auto"/>
              <w:left w:val="single" w:sz="4" w:space="0" w:color="auto"/>
              <w:bottom w:val="single" w:sz="4" w:space="0" w:color="auto"/>
              <w:right w:val="single" w:sz="4" w:space="0" w:color="auto"/>
            </w:tcBorders>
            <w:shd w:val="clear" w:color="D9E1F2" w:fill="D9E1F2"/>
            <w:hideMark/>
          </w:tcPr>
          <w:p w14:paraId="138E8B7E" w14:textId="77777777" w:rsidR="003728B5" w:rsidRPr="0034562F" w:rsidRDefault="003728B5" w:rsidP="004E786C">
            <w:pPr>
              <w:rPr>
                <w:lang w:eastAsia="en-AU"/>
              </w:rPr>
            </w:pPr>
            <w:r w:rsidRPr="0034562F">
              <w:rPr>
                <w:rFonts w:ascii="Arial" w:hAnsi="Arial"/>
                <w:color w:val="000000"/>
                <w:szCs w:val="22"/>
                <w:lang w:eastAsia="en-AU"/>
              </w:rPr>
              <w:t>1 - Minor</w:t>
            </w:r>
          </w:p>
        </w:tc>
        <w:tc>
          <w:tcPr>
            <w:tcW w:w="2126" w:type="dxa"/>
            <w:tcBorders>
              <w:top w:val="single" w:sz="4" w:space="0" w:color="auto"/>
              <w:left w:val="single" w:sz="4" w:space="0" w:color="auto"/>
              <w:bottom w:val="single" w:sz="4" w:space="0" w:color="auto"/>
              <w:right w:val="single" w:sz="4" w:space="0" w:color="auto"/>
            </w:tcBorders>
            <w:shd w:val="clear" w:color="D9E1F2" w:fill="D9E1F2"/>
            <w:hideMark/>
          </w:tcPr>
          <w:p w14:paraId="5E8A1AD7" w14:textId="77777777" w:rsidR="003728B5" w:rsidRPr="0051347B" w:rsidRDefault="003728B5" w:rsidP="004E786C">
            <w:pPr>
              <w:rPr>
                <w:rFonts w:ascii="Arial" w:hAnsi="Arial"/>
                <w:color w:val="000000"/>
                <w:szCs w:val="22"/>
                <w:lang w:eastAsia="en-AU"/>
              </w:rPr>
            </w:pPr>
            <w:r w:rsidRPr="0034562F">
              <w:rPr>
                <w:rFonts w:ascii="Arial" w:hAnsi="Arial"/>
                <w:color w:val="000000"/>
                <w:szCs w:val="22"/>
                <w:lang w:eastAsia="en-AU"/>
              </w:rPr>
              <w:t>1 - Minor</w:t>
            </w:r>
          </w:p>
        </w:tc>
      </w:tr>
      <w:tr w:rsidR="003728B5" w:rsidRPr="0051347B" w14:paraId="1EFD1DEA" w14:textId="77777777" w:rsidTr="004E786C">
        <w:trPr>
          <w:trHeight w:val="290"/>
        </w:trPr>
        <w:tc>
          <w:tcPr>
            <w:tcW w:w="4673" w:type="dxa"/>
            <w:tcBorders>
              <w:top w:val="single" w:sz="4" w:space="0" w:color="auto"/>
              <w:left w:val="single" w:sz="4" w:space="0" w:color="auto"/>
              <w:bottom w:val="single" w:sz="4" w:space="0" w:color="auto"/>
              <w:right w:val="single" w:sz="4" w:space="0" w:color="auto"/>
            </w:tcBorders>
            <w:shd w:val="clear" w:color="D9E1F2" w:fill="D9E1F2"/>
          </w:tcPr>
          <w:p w14:paraId="45261981" w14:textId="77777777" w:rsidR="003728B5" w:rsidRPr="0034562F" w:rsidRDefault="003728B5" w:rsidP="004E786C">
            <w:pPr>
              <w:rPr>
                <w:rFonts w:ascii="Arial" w:hAnsi="Arial"/>
                <w:color w:val="000000"/>
                <w:szCs w:val="22"/>
                <w:lang w:eastAsia="en-AU"/>
              </w:rPr>
            </w:pPr>
            <w:r>
              <w:rPr>
                <w:rFonts w:ascii="Arial" w:hAnsi="Arial"/>
                <w:color w:val="000000"/>
                <w:szCs w:val="22"/>
                <w:lang w:eastAsia="en-AU"/>
              </w:rPr>
              <w:t>0 – n.a. (UNOFFICIAL) = no business impact</w:t>
            </w:r>
          </w:p>
        </w:tc>
        <w:tc>
          <w:tcPr>
            <w:tcW w:w="2268" w:type="dxa"/>
            <w:tcBorders>
              <w:top w:val="single" w:sz="4" w:space="0" w:color="auto"/>
              <w:left w:val="single" w:sz="4" w:space="0" w:color="auto"/>
              <w:bottom w:val="single" w:sz="4" w:space="0" w:color="auto"/>
              <w:right w:val="single" w:sz="4" w:space="0" w:color="auto"/>
            </w:tcBorders>
            <w:shd w:val="clear" w:color="D9E1F2" w:fill="D9E1F2"/>
          </w:tcPr>
          <w:p w14:paraId="61AD32C4" w14:textId="77777777" w:rsidR="003728B5" w:rsidRPr="0034562F" w:rsidRDefault="003728B5" w:rsidP="004E786C">
            <w:pPr>
              <w:rPr>
                <w:rFonts w:ascii="Arial" w:hAnsi="Arial"/>
                <w:color w:val="000000"/>
                <w:szCs w:val="22"/>
                <w:lang w:eastAsia="en-AU"/>
              </w:rPr>
            </w:pPr>
            <w:r>
              <w:rPr>
                <w:rFonts w:ascii="Arial" w:hAnsi="Arial"/>
                <w:color w:val="000000"/>
                <w:szCs w:val="22"/>
                <w:lang w:eastAsia="en-AU"/>
              </w:rPr>
              <w:t xml:space="preserve">0 </w:t>
            </w:r>
            <w:r w:rsidRPr="0034562F">
              <w:rPr>
                <w:rFonts w:ascii="Arial" w:hAnsi="Arial"/>
                <w:color w:val="000000"/>
                <w:szCs w:val="22"/>
                <w:lang w:eastAsia="en-AU"/>
              </w:rPr>
              <w:t>-</w:t>
            </w:r>
            <w:r>
              <w:rPr>
                <w:rFonts w:ascii="Arial" w:hAnsi="Arial"/>
                <w:color w:val="000000"/>
                <w:szCs w:val="22"/>
                <w:lang w:eastAsia="en-AU"/>
              </w:rPr>
              <w:t xml:space="preserve"> n.a. = no impact</w:t>
            </w:r>
          </w:p>
        </w:tc>
        <w:tc>
          <w:tcPr>
            <w:tcW w:w="2126" w:type="dxa"/>
            <w:tcBorders>
              <w:top w:val="single" w:sz="4" w:space="0" w:color="auto"/>
              <w:left w:val="single" w:sz="4" w:space="0" w:color="auto"/>
              <w:bottom w:val="single" w:sz="4" w:space="0" w:color="auto"/>
              <w:right w:val="single" w:sz="4" w:space="0" w:color="auto"/>
            </w:tcBorders>
            <w:shd w:val="clear" w:color="D9E1F2" w:fill="D9E1F2"/>
          </w:tcPr>
          <w:p w14:paraId="4C817F4A" w14:textId="77777777" w:rsidR="003728B5" w:rsidRPr="0034562F" w:rsidRDefault="003728B5" w:rsidP="004E786C">
            <w:pPr>
              <w:rPr>
                <w:rFonts w:ascii="Arial" w:hAnsi="Arial"/>
                <w:color w:val="000000"/>
                <w:szCs w:val="22"/>
                <w:lang w:eastAsia="en-AU"/>
              </w:rPr>
            </w:pPr>
            <w:r>
              <w:rPr>
                <w:rFonts w:ascii="Arial" w:hAnsi="Arial"/>
                <w:color w:val="000000"/>
                <w:szCs w:val="22"/>
                <w:lang w:eastAsia="en-AU"/>
              </w:rPr>
              <w:t xml:space="preserve">0 </w:t>
            </w:r>
            <w:r w:rsidRPr="0034562F">
              <w:rPr>
                <w:rFonts w:ascii="Arial" w:hAnsi="Arial"/>
                <w:color w:val="000000"/>
                <w:szCs w:val="22"/>
                <w:lang w:eastAsia="en-AU"/>
              </w:rPr>
              <w:t>-</w:t>
            </w:r>
            <w:r>
              <w:rPr>
                <w:rFonts w:ascii="Arial" w:hAnsi="Arial"/>
                <w:color w:val="000000"/>
                <w:szCs w:val="22"/>
                <w:lang w:eastAsia="en-AU"/>
              </w:rPr>
              <w:t xml:space="preserve"> n.a. = no impact</w:t>
            </w:r>
          </w:p>
        </w:tc>
      </w:tr>
    </w:tbl>
    <w:p w14:paraId="6F71604A" w14:textId="77777777" w:rsidR="003728B5" w:rsidRDefault="003728B5" w:rsidP="003728B5">
      <w:pPr>
        <w:pStyle w:val="DPCbody"/>
      </w:pPr>
    </w:p>
    <w:p w14:paraId="6B87DF41" w14:textId="77777777" w:rsidR="003728B5" w:rsidRPr="00F81355" w:rsidRDefault="003728B5" w:rsidP="003728B5">
      <w:pPr>
        <w:pStyle w:val="DPCbody"/>
        <w:rPr>
          <w:rFonts w:eastAsia="Times New Roman"/>
          <w:color w:val="000000"/>
          <w:lang w:eastAsia="en-AU"/>
        </w:rPr>
      </w:pPr>
      <w:r w:rsidRPr="00F81355">
        <w:rPr>
          <w:rFonts w:eastAsia="Times New Roman"/>
          <w:color w:val="000000"/>
          <w:lang w:eastAsia="en-AU"/>
        </w:rPr>
        <w:t xml:space="preserve">In some circumstances the </w:t>
      </w:r>
      <w:r w:rsidRPr="00F81355">
        <w:rPr>
          <w:rFonts w:eastAsia="Times New Roman"/>
          <w:b/>
          <w:bCs/>
          <w:color w:val="000000"/>
          <w:lang w:eastAsia="en-AU"/>
        </w:rPr>
        <w:t>aggregation</w:t>
      </w:r>
      <w:r w:rsidRPr="00F81355">
        <w:rPr>
          <w:rFonts w:eastAsia="Times New Roman"/>
          <w:color w:val="000000"/>
          <w:lang w:eastAsia="en-AU"/>
        </w:rPr>
        <w:t xml:space="preserve"> of a data set or multiple data sets may raise the consequence from a Business Impact Level to the next higher one. The combined data itself doesn’t get reclassified at the higher level but the business impact pertaining to the combined datasets, and the cybersecurity controls required to protect against these risks, may be heightened (e.g. a shift from a BIL of 2 to a BIL of 3 for a large aggregation of OFFICIAL:SENSITIVE data). </w:t>
      </w:r>
    </w:p>
    <w:p w14:paraId="568CC1DD" w14:textId="77777777" w:rsidR="003728B5" w:rsidRPr="00F81355" w:rsidRDefault="003728B5" w:rsidP="003728B5">
      <w:pPr>
        <w:pStyle w:val="DPCbody"/>
      </w:pPr>
    </w:p>
    <w:p w14:paraId="70F621DC" w14:textId="77777777" w:rsidR="003728B5" w:rsidRPr="00F81355" w:rsidRDefault="003728B5" w:rsidP="003728B5">
      <w:pPr>
        <w:pStyle w:val="DPCbody"/>
        <w:rPr>
          <w:color w:val="000000"/>
          <w:lang w:eastAsia="en-AU"/>
        </w:rPr>
      </w:pPr>
      <w:r w:rsidRPr="00F81355">
        <w:rPr>
          <w:rFonts w:eastAsia="Times New Roman"/>
          <w:color w:val="000000"/>
          <w:lang w:eastAsia="en-AU"/>
        </w:rPr>
        <w:lastRenderedPageBreak/>
        <w:t xml:space="preserve">The health sector in Victoria currently uses ISO 31000: 2018 (VGRMF) / VPHS 2019 Consequence Ratings, a five level system with the following options: Catastrophic, Major, Moderate, Minor, </w:t>
      </w:r>
      <w:r w:rsidRPr="00F81355">
        <w:rPr>
          <w:color w:val="000000"/>
          <w:lang w:eastAsia="en-AU"/>
        </w:rPr>
        <w:t>Insignificant/Negligible.</w:t>
      </w:r>
    </w:p>
    <w:p w14:paraId="2D7DE850" w14:textId="77777777" w:rsidR="003728B5" w:rsidRDefault="003728B5" w:rsidP="003728B5">
      <w:pPr>
        <w:pStyle w:val="Heading2"/>
      </w:pPr>
      <w:bookmarkStart w:id="27" w:name="_Toc124856928"/>
      <w:bookmarkStart w:id="28" w:name="_Toc126829059"/>
      <w:r>
        <w:t>Technology</w:t>
      </w:r>
      <w:bookmarkEnd w:id="27"/>
      <w:bookmarkEnd w:id="28"/>
    </w:p>
    <w:p w14:paraId="52461469" w14:textId="77777777" w:rsidR="003728B5" w:rsidRDefault="003728B5" w:rsidP="003728B5">
      <w:pPr>
        <w:pStyle w:val="DPCbody"/>
      </w:pPr>
      <w:r>
        <w:t xml:space="preserve">The use of a </w:t>
      </w:r>
      <w:r w:rsidRPr="00514724">
        <w:t>Configuration Management Database</w:t>
      </w:r>
      <w:r>
        <w:t xml:space="preserve"> </w:t>
      </w:r>
      <w:r w:rsidRPr="001F5470">
        <w:t>(CMDB)</w:t>
      </w:r>
      <w:r>
        <w:t xml:space="preserve"> is</w:t>
      </w:r>
      <w:r w:rsidRPr="00514724">
        <w:t xml:space="preserve"> recommended for all organisations with more than 200 end users,</w:t>
      </w:r>
      <w:r>
        <w:t xml:space="preserve"> as this has the following benefits:</w:t>
      </w:r>
    </w:p>
    <w:p w14:paraId="6589E7B2" w14:textId="77777777" w:rsidR="003728B5" w:rsidRDefault="003728B5" w:rsidP="00B22A1A">
      <w:pPr>
        <w:pStyle w:val="DPCbody"/>
        <w:numPr>
          <w:ilvl w:val="0"/>
          <w:numId w:val="23"/>
        </w:numPr>
      </w:pPr>
      <w:r>
        <w:t>All IT asset data can be stored in one place (source of truth)</w:t>
      </w:r>
    </w:p>
    <w:p w14:paraId="768A728D" w14:textId="77777777" w:rsidR="003728B5" w:rsidRDefault="003728B5" w:rsidP="00B22A1A">
      <w:pPr>
        <w:pStyle w:val="DPCbody"/>
        <w:numPr>
          <w:ilvl w:val="0"/>
          <w:numId w:val="23"/>
        </w:numPr>
      </w:pPr>
      <w:r>
        <w:t>Automated and semi-automated IT operational and IT asset management processes can be built around the IT asset data</w:t>
      </w:r>
    </w:p>
    <w:p w14:paraId="385971BA" w14:textId="77777777" w:rsidR="003728B5" w:rsidRDefault="003728B5" w:rsidP="00B22A1A">
      <w:pPr>
        <w:pStyle w:val="DPCbody"/>
        <w:numPr>
          <w:ilvl w:val="0"/>
          <w:numId w:val="23"/>
        </w:numPr>
      </w:pPr>
      <w:r>
        <w:t>Data can be imported into and exported out of this database to other systems</w:t>
      </w:r>
    </w:p>
    <w:p w14:paraId="5A6CB2A1" w14:textId="77777777" w:rsidR="003728B5" w:rsidRDefault="003728B5" w:rsidP="003728B5">
      <w:pPr>
        <w:pStyle w:val="DPCbody"/>
      </w:pPr>
      <w:r>
        <w:t>Here is an example of a technology ecosystem for IT asset management:</w:t>
      </w:r>
    </w:p>
    <w:p w14:paraId="170D9DF6" w14:textId="77777777" w:rsidR="003728B5" w:rsidRDefault="003728B5" w:rsidP="003728B5">
      <w:pPr>
        <w:pStyle w:val="DPCbody"/>
      </w:pPr>
    </w:p>
    <w:p w14:paraId="0071A72F" w14:textId="77777777" w:rsidR="003728B5" w:rsidRDefault="003728B5" w:rsidP="003728B5">
      <w:pPr>
        <w:pStyle w:val="DPCbody"/>
      </w:pPr>
      <w:r>
        <w:rPr>
          <w:noProof/>
          <w:color w:val="2B579A"/>
          <w:shd w:val="clear" w:color="auto" w:fill="E6E6E6"/>
        </w:rPr>
        <w:drawing>
          <wp:inline distT="0" distB="0" distL="0" distR="0" wp14:anchorId="1DB17C7B" wp14:editId="10DC9A03">
            <wp:extent cx="5904230" cy="3691890"/>
            <wp:effectExtent l="0" t="0" r="1270" b="3810"/>
            <wp:docPr id="7" name="Picture 7" descr="A diagram of a technology ecosystem that has the CMDB (ITSM) system at its core. It is the source of truth for infrastructure assets. Inputs on the left include: Proactive Processes, such as Enterprise Architecture / IT Planning, IT Procurement, IT Change Control. Enterprise Architecture System / Application Register, which is the source of truth for Application assets. Its inputs are Enterprise Architecture / IT Planning. Reactive Processes, such as IT Asset Reviews, Cloud Infrastructure, Scannining/Discovery. Scanning/ Asset Discovery Systems, which have Scanning/Discovery as their inputs. Intelligence/Vulnerability Feeds. Outputs from the database on the right hand side include: (IT) Risk Register, Fixed Asset Register, S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technology ecosystem that has the CMDB (ITSM) system at its core. It is the source of truth for infrastructure assets. Inputs on the left include: Proactive Processes, such as Enterprise Architecture / IT Planning, IT Procurement, IT Change Control. Enterprise Architecture System / Application Register, which is the source of truth for Application assets. Its inputs are Enterprise Architecture / IT Planning. Reactive Processes, such as IT Asset Reviews, Cloud Infrastructure, Scannining/Discovery. Scanning/ Asset Discovery Systems, which have Scanning/Discovery as their inputs. Intelligence/Vulnerability Feeds. Outputs from the database on the right hand side include: (IT) Risk Register, Fixed Asset Register, SIEM."/>
                    <pic:cNvPicPr/>
                  </pic:nvPicPr>
                  <pic:blipFill>
                    <a:blip r:embed="rId23">
                      <a:extLst>
                        <a:ext uri="{28A0092B-C50C-407E-A947-70E740481C1C}">
                          <a14:useLocalDpi xmlns:a14="http://schemas.microsoft.com/office/drawing/2010/main" val="0"/>
                        </a:ext>
                      </a:extLst>
                    </a:blip>
                    <a:stretch>
                      <a:fillRect/>
                    </a:stretch>
                  </pic:blipFill>
                  <pic:spPr>
                    <a:xfrm>
                      <a:off x="0" y="0"/>
                      <a:ext cx="5904230" cy="3691890"/>
                    </a:xfrm>
                    <a:prstGeom prst="rect">
                      <a:avLst/>
                    </a:prstGeom>
                  </pic:spPr>
                </pic:pic>
              </a:graphicData>
            </a:graphic>
          </wp:inline>
        </w:drawing>
      </w:r>
    </w:p>
    <w:p w14:paraId="23276E1F" w14:textId="77777777" w:rsidR="003728B5" w:rsidRDefault="003728B5" w:rsidP="003728B5">
      <w:pPr>
        <w:rPr>
          <w:szCs w:val="22"/>
        </w:rPr>
      </w:pPr>
    </w:p>
    <w:p w14:paraId="3AB87002" w14:textId="77777777" w:rsidR="003728B5" w:rsidRPr="0061690D" w:rsidRDefault="003728B5" w:rsidP="003728B5">
      <w:pPr>
        <w:rPr>
          <w:szCs w:val="22"/>
        </w:rPr>
      </w:pPr>
      <w:r w:rsidRPr="351B4E9A">
        <w:rPr>
          <w:szCs w:val="22"/>
        </w:rPr>
        <w:t>Some organisations may wish to have their own CMDB, others may wish to share. In the context of a shared CMDB, each IT asset can be tagged with the department/agency that owns it, so access to the data can be restricted to just the owning department/agency.</w:t>
      </w:r>
    </w:p>
    <w:p w14:paraId="50ADCC69" w14:textId="77777777" w:rsidR="003728B5" w:rsidRDefault="003728B5" w:rsidP="003728B5">
      <w:pPr>
        <w:rPr>
          <w:szCs w:val="22"/>
        </w:rPr>
      </w:pPr>
    </w:p>
    <w:p w14:paraId="3687CBD6" w14:textId="77777777" w:rsidR="003728B5" w:rsidRDefault="003728B5" w:rsidP="003728B5">
      <w:pPr>
        <w:rPr>
          <w:szCs w:val="22"/>
        </w:rPr>
      </w:pPr>
      <w:r w:rsidRPr="351B4E9A">
        <w:rPr>
          <w:szCs w:val="22"/>
        </w:rPr>
        <w:lastRenderedPageBreak/>
        <w:t>The deployment of Standard Operating Environments across an organisation can also aid in managing assets and gathering information on assets in a standardised way.</w:t>
      </w:r>
    </w:p>
    <w:p w14:paraId="09FB3FBD" w14:textId="77777777" w:rsidR="003728B5" w:rsidRDefault="003728B5" w:rsidP="003728B5">
      <w:pPr>
        <w:pStyle w:val="Heading2"/>
      </w:pPr>
      <w:bookmarkStart w:id="29" w:name="_Toc124856929"/>
      <w:bookmarkStart w:id="30" w:name="_Toc126829060"/>
      <w:r>
        <w:t>Key Performance Indicators</w:t>
      </w:r>
      <w:bookmarkEnd w:id="29"/>
      <w:bookmarkEnd w:id="30"/>
    </w:p>
    <w:p w14:paraId="06C8F607" w14:textId="77777777" w:rsidR="003728B5" w:rsidRDefault="003728B5" w:rsidP="003728B5">
      <w:pPr>
        <w:pStyle w:val="DPCbody"/>
      </w:pPr>
      <w:r>
        <w:t>The use of Key Performance Indicators by Victorian Government departments and agencies is highly recommended. Their use is critical in order to ensure that IT asset management is being performed to a level that can maintain good cyber security. This guidance categorises KPIs into the following areas:</w:t>
      </w:r>
    </w:p>
    <w:p w14:paraId="66931F24" w14:textId="77777777" w:rsidR="003728B5" w:rsidRDefault="003728B5" w:rsidP="00B22A1A">
      <w:pPr>
        <w:pStyle w:val="DPCbody"/>
        <w:numPr>
          <w:ilvl w:val="0"/>
          <w:numId w:val="27"/>
        </w:numPr>
      </w:pPr>
      <w:r>
        <w:t>IT Asset Identification</w:t>
      </w:r>
    </w:p>
    <w:p w14:paraId="351E958D" w14:textId="77777777" w:rsidR="003728B5" w:rsidRDefault="003728B5" w:rsidP="00B22A1A">
      <w:pPr>
        <w:pStyle w:val="DPCbody"/>
        <w:numPr>
          <w:ilvl w:val="0"/>
          <w:numId w:val="27"/>
        </w:numPr>
      </w:pPr>
      <w:r>
        <w:t>IT Asset Vulnerability Identification</w:t>
      </w:r>
    </w:p>
    <w:p w14:paraId="715C0428" w14:textId="77777777" w:rsidR="003728B5" w:rsidRDefault="003728B5" w:rsidP="00B22A1A">
      <w:pPr>
        <w:pStyle w:val="DPCbody"/>
        <w:numPr>
          <w:ilvl w:val="0"/>
          <w:numId w:val="27"/>
        </w:numPr>
      </w:pPr>
      <w:r>
        <w:t>IT Asset Lifecycle Management</w:t>
      </w:r>
    </w:p>
    <w:p w14:paraId="72186CBD" w14:textId="77777777" w:rsidR="003728B5" w:rsidRDefault="003728B5" w:rsidP="00B22A1A">
      <w:pPr>
        <w:pStyle w:val="DPCbody"/>
        <w:numPr>
          <w:ilvl w:val="0"/>
          <w:numId w:val="27"/>
        </w:numPr>
      </w:pPr>
      <w:r>
        <w:t>IT Asset Monitoring</w:t>
      </w:r>
    </w:p>
    <w:p w14:paraId="2E107264" w14:textId="77777777" w:rsidR="003728B5" w:rsidRDefault="003728B5" w:rsidP="00B22A1A">
      <w:pPr>
        <w:pStyle w:val="DPCbody"/>
        <w:numPr>
          <w:ilvl w:val="0"/>
          <w:numId w:val="27"/>
        </w:numPr>
      </w:pPr>
      <w:r>
        <w:t>IT Asset Security Patching</w:t>
      </w:r>
    </w:p>
    <w:p w14:paraId="4801372D" w14:textId="77777777" w:rsidR="003728B5" w:rsidRDefault="003728B5" w:rsidP="00B22A1A">
      <w:pPr>
        <w:pStyle w:val="DPCbody"/>
        <w:numPr>
          <w:ilvl w:val="0"/>
          <w:numId w:val="27"/>
        </w:numPr>
      </w:pPr>
      <w:r>
        <w:t>IT Asset Basic Security Controls</w:t>
      </w:r>
    </w:p>
    <w:p w14:paraId="71AE92CF" w14:textId="77777777" w:rsidR="003728B5" w:rsidRDefault="003728B5" w:rsidP="00B22A1A">
      <w:pPr>
        <w:pStyle w:val="DPCbody"/>
        <w:numPr>
          <w:ilvl w:val="0"/>
          <w:numId w:val="27"/>
        </w:numPr>
      </w:pPr>
      <w:r>
        <w:t>IT Asset Disposal</w:t>
      </w:r>
    </w:p>
    <w:p w14:paraId="14007C30" w14:textId="75BFE9F5" w:rsidR="003728B5" w:rsidRDefault="006237B1" w:rsidP="003728B5">
      <w:pPr>
        <w:pStyle w:val="DPCbody"/>
      </w:pPr>
      <w:bookmarkStart w:id="31" w:name="_Hlk139272887"/>
      <w:r>
        <w:rPr>
          <w:rFonts w:ascii="VIC" w:hAnsi="VIC"/>
        </w:rPr>
        <w:t>P</w:t>
      </w:r>
      <w:r w:rsidRPr="008A7D64">
        <w:rPr>
          <w:rFonts w:ascii="VIC" w:hAnsi="VIC"/>
        </w:rPr>
        <w:t xml:space="preserve">lease contact the Cyber Security Branch at </w:t>
      </w:r>
      <w:hyperlink r:id="rId24" w:history="1">
        <w:r w:rsidRPr="008A7D64">
          <w:rPr>
            <w:rStyle w:val="Hyperlink"/>
            <w:rFonts w:ascii="VIC" w:hAnsi="VIC"/>
          </w:rPr>
          <w:t>vicgov.ciso@dpc.vic.gov.au</w:t>
        </w:r>
      </w:hyperlink>
      <w:r>
        <w:rPr>
          <w:rStyle w:val="Hyperlink"/>
          <w:rFonts w:ascii="VIC" w:hAnsi="VIC"/>
        </w:rPr>
        <w:t xml:space="preserve"> </w:t>
      </w:r>
      <w:r w:rsidRPr="006237B1">
        <w:rPr>
          <w:rStyle w:val="Hyperlink"/>
          <w:rFonts w:ascii="VIC" w:hAnsi="VIC"/>
          <w:u w:val="none"/>
        </w:rPr>
        <w:t>to</w:t>
      </w:r>
      <w:r w:rsidRPr="006237B1">
        <w:t xml:space="preserve"> </w:t>
      </w:r>
      <w:r>
        <w:t xml:space="preserve">access the resource </w:t>
      </w:r>
      <w:r w:rsidR="003728B5" w:rsidRPr="00F00D57">
        <w:rPr>
          <w:b/>
          <w:bCs/>
        </w:rPr>
        <w:t>WoVG IT Asset Management Cybersecurity KPIs</w:t>
      </w:r>
      <w:r w:rsidR="00443102">
        <w:rPr>
          <w:b/>
          <w:bCs/>
        </w:rPr>
        <w:t xml:space="preserve"> </w:t>
      </w:r>
      <w:r w:rsidR="00443102">
        <w:t>for a</w:t>
      </w:r>
      <w:r w:rsidR="003728B5">
        <w:t xml:space="preserve"> comprehensive list of cybersecurity related KPIs. </w:t>
      </w:r>
    </w:p>
    <w:bookmarkEnd w:id="31"/>
    <w:p w14:paraId="71A8EA64" w14:textId="77777777" w:rsidR="003728B5" w:rsidRDefault="003728B5" w:rsidP="003728B5">
      <w:pPr>
        <w:pStyle w:val="DPCbody"/>
      </w:pPr>
      <w:r>
        <w:t xml:space="preserve">This list of KPIs includes a suggestion as to which </w:t>
      </w:r>
      <w:r w:rsidRPr="00D12B57">
        <w:rPr>
          <w:b/>
          <w:bCs/>
        </w:rPr>
        <w:t>role</w:t>
      </w:r>
      <w:r>
        <w:t xml:space="preserve"> (“Example Responsible Party”) in your organisation is responsible for each KPI. Note that the naming of these roles may be different, and that multiple roles may be fulfilled by the same person. If a role has been outsourced to a third party, the relevant KPIs against that role should be included in the </w:t>
      </w:r>
      <w:r w:rsidRPr="00593DE0">
        <w:rPr>
          <w:b/>
          <w:bCs/>
        </w:rPr>
        <w:t>contract</w:t>
      </w:r>
      <w:r>
        <w:t xml:space="preserve"> with the third party (it is recommended that penalty clauses with recoup opportunities be included to ensure that the third party strives to meet the KPIs on an ongoing basis). If a role is fulfilled by a Victorian Public Servant, the KPI should be written into their </w:t>
      </w:r>
      <w:r w:rsidRPr="00593DE0">
        <w:rPr>
          <w:b/>
          <w:bCs/>
        </w:rPr>
        <w:t>Performance Plan</w:t>
      </w:r>
      <w:r>
        <w:t>.</w:t>
      </w:r>
    </w:p>
    <w:p w14:paraId="7834FDEE" w14:textId="77777777" w:rsidR="003728B5" w:rsidRDefault="003728B5" w:rsidP="003728B5">
      <w:pPr>
        <w:pStyle w:val="DPCbody"/>
      </w:pPr>
      <w:r>
        <w:t xml:space="preserve">Note that there are different suggested </w:t>
      </w:r>
      <w:r>
        <w:rPr>
          <w:b/>
          <w:bCs/>
        </w:rPr>
        <w:t>T</w:t>
      </w:r>
      <w:r w:rsidRPr="00AA2575">
        <w:rPr>
          <w:b/>
          <w:bCs/>
        </w:rPr>
        <w:t>arget</w:t>
      </w:r>
      <w:r>
        <w:rPr>
          <w:b/>
          <w:bCs/>
        </w:rPr>
        <w:t xml:space="preserve"> Asset Coverage</w:t>
      </w:r>
      <w:r w:rsidRPr="00AA2575">
        <w:rPr>
          <w:b/>
          <w:bCs/>
        </w:rPr>
        <w:t xml:space="preserve"> KPIs,</w:t>
      </w:r>
      <w:r>
        <w:t xml:space="preserve"> and </w:t>
      </w:r>
      <w:r w:rsidRPr="006E367B">
        <w:rPr>
          <w:b/>
          <w:bCs/>
        </w:rPr>
        <w:t>Minimum Process Frequenc</w:t>
      </w:r>
      <w:r>
        <w:rPr>
          <w:b/>
          <w:bCs/>
        </w:rPr>
        <w:t>ies</w:t>
      </w:r>
      <w:r>
        <w:t xml:space="preserve"> for IT assets being managed at “AMAF level 3 Competence” and “AMAF level 4 Optimising” levels of maturity.</w:t>
      </w:r>
    </w:p>
    <w:p w14:paraId="23FE7A31" w14:textId="77777777" w:rsidR="003728B5" w:rsidRDefault="003728B5" w:rsidP="003728B5">
      <w:pPr>
        <w:pStyle w:val="DPCbody"/>
      </w:pPr>
      <w:r>
        <w:t xml:space="preserve">The initial focus of implementing KPIs should be </w:t>
      </w:r>
      <w:r w:rsidRPr="002F5C10">
        <w:rPr>
          <w:b/>
          <w:bCs/>
        </w:rPr>
        <w:t>visibility</w:t>
      </w:r>
      <w:r>
        <w:t xml:space="preserve"> i.e. an agency can start by measuring processes against the KPIs to see where they are at currently, and to identify missing processes and insufficient resourcing.</w:t>
      </w:r>
    </w:p>
    <w:p w14:paraId="140F3C66" w14:textId="47DEF7F1" w:rsidR="003728B5" w:rsidRDefault="003728B5" w:rsidP="00C31FF9">
      <w:pPr>
        <w:pStyle w:val="DPCbody"/>
        <w:rPr>
          <w:rFonts w:asciiTheme="majorHAnsi" w:eastAsia="MS Gothic" w:hAnsiTheme="majorHAnsi"/>
          <w:b/>
          <w:bCs/>
          <w:color w:val="53565A"/>
          <w:sz w:val="32"/>
          <w:szCs w:val="32"/>
        </w:rPr>
      </w:pPr>
      <w:r>
        <w:t xml:space="preserve">The recommended </w:t>
      </w:r>
      <w:r w:rsidRPr="00474ED1">
        <w:t xml:space="preserve">target KPIs </w:t>
      </w:r>
      <w:r>
        <w:t>may</w:t>
      </w:r>
      <w:r w:rsidRPr="00474ED1">
        <w:t xml:space="preserve"> be adjusted</w:t>
      </w:r>
      <w:r>
        <w:t xml:space="preserve"> by the WoVG IT Asset Management Working Group over time, if there is consensus that they are too high or too low, or where compensatory controls are in place. These recommended target KPIs are </w:t>
      </w:r>
      <w:r w:rsidRPr="00DF08AB">
        <w:rPr>
          <w:b/>
          <w:bCs/>
        </w:rPr>
        <w:t>currently not mandatory</w:t>
      </w:r>
      <w:r>
        <w:t>. The final decision as to which target KPIs are applicable to an agency, and how high they should be, should rest with the agency’s management and Audit and Risk Committee, and be based on risk.</w:t>
      </w:r>
      <w:r>
        <w:br w:type="page"/>
      </w:r>
    </w:p>
    <w:p w14:paraId="608848F9" w14:textId="77777777" w:rsidR="003728B5" w:rsidRPr="00E12F09" w:rsidRDefault="003728B5" w:rsidP="003728B5">
      <w:pPr>
        <w:pStyle w:val="Heading2"/>
      </w:pPr>
      <w:bookmarkStart w:id="32" w:name="_Toc124856930"/>
      <w:bookmarkStart w:id="33" w:name="_Toc126829061"/>
      <w:r>
        <w:lastRenderedPageBreak/>
        <w:t>Reporting</w:t>
      </w:r>
      <w:bookmarkEnd w:id="32"/>
      <w:bookmarkEnd w:id="33"/>
    </w:p>
    <w:p w14:paraId="67645059" w14:textId="77777777" w:rsidR="003728B5" w:rsidRDefault="003728B5" w:rsidP="003728B5">
      <w:pPr>
        <w:pStyle w:val="DPCbody"/>
      </w:pPr>
      <w:r>
        <w:t>Ongoing reporting of IT asset management maturity and KPIs has the following benefits:</w:t>
      </w:r>
    </w:p>
    <w:p w14:paraId="0E6B42A6" w14:textId="77777777" w:rsidR="003728B5" w:rsidRDefault="003728B5" w:rsidP="00B22A1A">
      <w:pPr>
        <w:pStyle w:val="DPCbody"/>
        <w:numPr>
          <w:ilvl w:val="0"/>
          <w:numId w:val="27"/>
        </w:numPr>
      </w:pPr>
      <w:r>
        <w:t xml:space="preserve">Ensuring IT asset management processes continue to be run effectively on an </w:t>
      </w:r>
      <w:r w:rsidRPr="00054886">
        <w:rPr>
          <w:b/>
          <w:bCs/>
        </w:rPr>
        <w:t>ongoing basis</w:t>
      </w:r>
      <w:r>
        <w:t xml:space="preserve">, as it is very easy for them to </w:t>
      </w:r>
      <w:r w:rsidRPr="00054886">
        <w:t>degrade</w:t>
      </w:r>
      <w:r>
        <w:t xml:space="preserve"> if they are not being managed and monitored</w:t>
      </w:r>
    </w:p>
    <w:p w14:paraId="43E88563" w14:textId="77777777" w:rsidR="003728B5" w:rsidRDefault="003728B5" w:rsidP="00B22A1A">
      <w:pPr>
        <w:pStyle w:val="DPCbody"/>
        <w:numPr>
          <w:ilvl w:val="0"/>
          <w:numId w:val="27"/>
        </w:numPr>
      </w:pPr>
      <w:r>
        <w:t xml:space="preserve">Ensuring </w:t>
      </w:r>
      <w:r w:rsidRPr="003C6513">
        <w:rPr>
          <w:b/>
          <w:bCs/>
        </w:rPr>
        <w:t>process improvements</w:t>
      </w:r>
      <w:r>
        <w:t xml:space="preserve"> continue to be made until AMAF maturity and KPI targets have been reached</w:t>
      </w:r>
    </w:p>
    <w:p w14:paraId="4A5211D0" w14:textId="77777777" w:rsidR="003728B5" w:rsidRDefault="003728B5" w:rsidP="00B22A1A">
      <w:pPr>
        <w:pStyle w:val="DPCbody"/>
        <w:numPr>
          <w:ilvl w:val="0"/>
          <w:numId w:val="27"/>
        </w:numPr>
      </w:pPr>
      <w:r>
        <w:t xml:space="preserve">Providing evidence of maturity to the VMIA and other cyber insurance providers to help achieve </w:t>
      </w:r>
      <w:r w:rsidRPr="00726E9C">
        <w:rPr>
          <w:b/>
          <w:bCs/>
        </w:rPr>
        <w:t>reduce</w:t>
      </w:r>
      <w:r>
        <w:rPr>
          <w:b/>
          <w:bCs/>
        </w:rPr>
        <w:t>d</w:t>
      </w:r>
      <w:r w:rsidRPr="00726E9C">
        <w:rPr>
          <w:b/>
          <w:bCs/>
        </w:rPr>
        <w:t xml:space="preserve"> cybersecurity premiums</w:t>
      </w:r>
    </w:p>
    <w:p w14:paraId="49823327" w14:textId="77777777" w:rsidR="003728B5" w:rsidRPr="00995449" w:rsidRDefault="003728B5" w:rsidP="00B22A1A">
      <w:pPr>
        <w:pStyle w:val="DPCbody"/>
        <w:numPr>
          <w:ilvl w:val="0"/>
          <w:numId w:val="27"/>
        </w:numPr>
      </w:pPr>
      <w:r>
        <w:t xml:space="preserve">Enabling a smooth inclusion of the IT asset class into DTF’s overall multi-asset class AMAF </w:t>
      </w:r>
      <w:r w:rsidRPr="00F12204">
        <w:rPr>
          <w:b/>
          <w:bCs/>
        </w:rPr>
        <w:t>assessment</w:t>
      </w:r>
      <w:r>
        <w:t xml:space="preserve"> and </w:t>
      </w:r>
      <w:r w:rsidRPr="00851F09">
        <w:rPr>
          <w:b/>
          <w:bCs/>
        </w:rPr>
        <w:t>attestation obligations</w:t>
      </w:r>
    </w:p>
    <w:p w14:paraId="22F129CC" w14:textId="77777777" w:rsidR="003728B5" w:rsidRDefault="003728B5" w:rsidP="003728B5">
      <w:pPr>
        <w:pStyle w:val="DPCbody"/>
        <w:ind w:left="720"/>
      </w:pPr>
    </w:p>
    <w:tbl>
      <w:tblPr>
        <w:tblW w:w="0" w:type="auto"/>
        <w:tblCellMar>
          <w:left w:w="0" w:type="dxa"/>
          <w:right w:w="0" w:type="dxa"/>
        </w:tblCellMar>
        <w:tblLook w:val="0420" w:firstRow="1" w:lastRow="0" w:firstColumn="0" w:lastColumn="0" w:noHBand="0" w:noVBand="1"/>
      </w:tblPr>
      <w:tblGrid>
        <w:gridCol w:w="1491"/>
        <w:gridCol w:w="1693"/>
        <w:gridCol w:w="1843"/>
        <w:gridCol w:w="2123"/>
        <w:gridCol w:w="1895"/>
      </w:tblGrid>
      <w:tr w:rsidR="003728B5" w:rsidRPr="006E0E13" w14:paraId="1E9223DA" w14:textId="77777777" w:rsidTr="004E786C">
        <w:trPr>
          <w:trHeight w:val="341"/>
        </w:trPr>
        <w:tc>
          <w:tcPr>
            <w:tcW w:w="0" w:type="auto"/>
            <w:tcBorders>
              <w:top w:val="single" w:sz="8" w:space="0" w:color="FFFFFF"/>
              <w:left w:val="single" w:sz="8" w:space="0" w:color="FFFFFF"/>
              <w:bottom w:val="single" w:sz="24" w:space="0" w:color="FFFFFF"/>
              <w:right w:val="single" w:sz="8" w:space="0" w:color="FFFFFF"/>
            </w:tcBorders>
            <w:shd w:val="clear" w:color="auto" w:fill="0072CE"/>
            <w:tcMar>
              <w:top w:w="72" w:type="dxa"/>
              <w:left w:w="144" w:type="dxa"/>
              <w:bottom w:w="72" w:type="dxa"/>
              <w:right w:w="144" w:type="dxa"/>
            </w:tcMar>
            <w:hideMark/>
          </w:tcPr>
          <w:p w14:paraId="18DD4DA7" w14:textId="77777777" w:rsidR="003728B5" w:rsidRPr="00DF3388" w:rsidRDefault="003728B5" w:rsidP="004E786C">
            <w:pPr>
              <w:rPr>
                <w:rFonts w:cstheme="minorHAnsi"/>
                <w:color w:val="FFFFFF" w:themeColor="background1"/>
                <w:sz w:val="16"/>
                <w:szCs w:val="16"/>
              </w:rPr>
            </w:pPr>
            <w:r w:rsidRPr="00DF3388">
              <w:rPr>
                <w:rFonts w:cstheme="minorHAnsi"/>
                <w:b/>
                <w:bCs/>
                <w:color w:val="FFFFFF" w:themeColor="background1"/>
                <w:sz w:val="16"/>
                <w:szCs w:val="16"/>
              </w:rPr>
              <w:t>Report Type</w:t>
            </w:r>
          </w:p>
        </w:tc>
        <w:tc>
          <w:tcPr>
            <w:tcW w:w="1693" w:type="dxa"/>
            <w:tcBorders>
              <w:top w:val="single" w:sz="8" w:space="0" w:color="FFFFFF"/>
              <w:left w:val="single" w:sz="8" w:space="0" w:color="FFFFFF"/>
              <w:bottom w:val="single" w:sz="24" w:space="0" w:color="FFFFFF"/>
              <w:right w:val="single" w:sz="8" w:space="0" w:color="FFFFFF"/>
            </w:tcBorders>
            <w:shd w:val="clear" w:color="auto" w:fill="0072CE"/>
            <w:tcMar>
              <w:top w:w="72" w:type="dxa"/>
              <w:left w:w="144" w:type="dxa"/>
              <w:bottom w:w="72" w:type="dxa"/>
              <w:right w:w="144" w:type="dxa"/>
            </w:tcMar>
            <w:hideMark/>
          </w:tcPr>
          <w:p w14:paraId="7CF8D1A3" w14:textId="77777777" w:rsidR="003728B5" w:rsidRPr="00DF3388" w:rsidRDefault="003728B5" w:rsidP="004E786C">
            <w:pPr>
              <w:rPr>
                <w:rFonts w:cstheme="minorHAnsi"/>
                <w:color w:val="FFFFFF" w:themeColor="background1"/>
                <w:sz w:val="16"/>
                <w:szCs w:val="16"/>
              </w:rPr>
            </w:pPr>
            <w:r w:rsidRPr="00DF3388">
              <w:rPr>
                <w:rFonts w:cstheme="minorHAnsi"/>
                <w:b/>
                <w:bCs/>
                <w:color w:val="FFFFFF" w:themeColor="background1"/>
                <w:sz w:val="16"/>
                <w:szCs w:val="16"/>
              </w:rPr>
              <w:t>Reason</w:t>
            </w:r>
          </w:p>
        </w:tc>
        <w:tc>
          <w:tcPr>
            <w:tcW w:w="1843" w:type="dxa"/>
            <w:tcBorders>
              <w:top w:val="single" w:sz="8" w:space="0" w:color="FFFFFF"/>
              <w:left w:val="single" w:sz="8" w:space="0" w:color="FFFFFF"/>
              <w:bottom w:val="single" w:sz="24" w:space="0" w:color="FFFFFF"/>
              <w:right w:val="single" w:sz="8" w:space="0" w:color="FFFFFF"/>
            </w:tcBorders>
            <w:shd w:val="clear" w:color="auto" w:fill="0072CE"/>
            <w:tcMar>
              <w:top w:w="72" w:type="dxa"/>
              <w:left w:w="144" w:type="dxa"/>
              <w:bottom w:w="72" w:type="dxa"/>
              <w:right w:w="144" w:type="dxa"/>
            </w:tcMar>
            <w:hideMark/>
          </w:tcPr>
          <w:p w14:paraId="708F4F7A" w14:textId="77777777" w:rsidR="003728B5" w:rsidRPr="00DF3388" w:rsidRDefault="003728B5" w:rsidP="004E786C">
            <w:pPr>
              <w:rPr>
                <w:rFonts w:cstheme="minorHAnsi"/>
                <w:color w:val="FFFFFF" w:themeColor="background1"/>
                <w:sz w:val="16"/>
                <w:szCs w:val="16"/>
              </w:rPr>
            </w:pPr>
            <w:r w:rsidRPr="00DF3388">
              <w:rPr>
                <w:rFonts w:cstheme="minorHAnsi"/>
                <w:b/>
                <w:bCs/>
                <w:color w:val="FFFFFF" w:themeColor="background1"/>
                <w:sz w:val="16"/>
                <w:szCs w:val="16"/>
              </w:rPr>
              <w:t>Target</w:t>
            </w:r>
          </w:p>
        </w:tc>
        <w:tc>
          <w:tcPr>
            <w:tcW w:w="2123" w:type="dxa"/>
            <w:tcBorders>
              <w:top w:val="single" w:sz="8" w:space="0" w:color="FFFFFF"/>
              <w:left w:val="single" w:sz="8" w:space="0" w:color="FFFFFF"/>
              <w:bottom w:val="single" w:sz="24" w:space="0" w:color="FFFFFF"/>
              <w:right w:val="single" w:sz="8" w:space="0" w:color="FFFFFF"/>
            </w:tcBorders>
            <w:shd w:val="clear" w:color="auto" w:fill="0072CE"/>
            <w:tcMar>
              <w:top w:w="72" w:type="dxa"/>
              <w:left w:w="144" w:type="dxa"/>
              <w:bottom w:w="72" w:type="dxa"/>
              <w:right w:w="144" w:type="dxa"/>
            </w:tcMar>
            <w:hideMark/>
          </w:tcPr>
          <w:p w14:paraId="44E8DF80" w14:textId="77777777" w:rsidR="003728B5" w:rsidRPr="00DF3388" w:rsidRDefault="003728B5" w:rsidP="004E786C">
            <w:pPr>
              <w:rPr>
                <w:rFonts w:cstheme="minorHAnsi"/>
                <w:color w:val="FFFFFF" w:themeColor="background1"/>
                <w:sz w:val="16"/>
                <w:szCs w:val="16"/>
              </w:rPr>
            </w:pPr>
            <w:r w:rsidRPr="00DF3388">
              <w:rPr>
                <w:rFonts w:cstheme="minorHAnsi"/>
                <w:b/>
                <w:bCs/>
                <w:color w:val="FFFFFF" w:themeColor="background1"/>
                <w:sz w:val="16"/>
                <w:szCs w:val="16"/>
              </w:rPr>
              <w:t>Measurement</w:t>
            </w:r>
          </w:p>
        </w:tc>
        <w:tc>
          <w:tcPr>
            <w:tcW w:w="0" w:type="auto"/>
            <w:tcBorders>
              <w:top w:val="single" w:sz="8" w:space="0" w:color="FFFFFF"/>
              <w:left w:val="single" w:sz="8" w:space="0" w:color="FFFFFF"/>
              <w:bottom w:val="single" w:sz="24" w:space="0" w:color="FFFFFF"/>
              <w:right w:val="single" w:sz="8" w:space="0" w:color="FFFFFF"/>
            </w:tcBorders>
            <w:shd w:val="clear" w:color="auto" w:fill="0072CE"/>
            <w:tcMar>
              <w:top w:w="72" w:type="dxa"/>
              <w:left w:w="144" w:type="dxa"/>
              <w:bottom w:w="72" w:type="dxa"/>
              <w:right w:w="144" w:type="dxa"/>
            </w:tcMar>
            <w:hideMark/>
          </w:tcPr>
          <w:p w14:paraId="34D305CC" w14:textId="77777777" w:rsidR="003728B5" w:rsidRPr="00DF3388" w:rsidRDefault="003728B5" w:rsidP="004E786C">
            <w:pPr>
              <w:rPr>
                <w:rFonts w:cstheme="minorHAnsi"/>
                <w:color w:val="FFFFFF" w:themeColor="background1"/>
                <w:sz w:val="16"/>
                <w:szCs w:val="16"/>
              </w:rPr>
            </w:pPr>
            <w:r>
              <w:rPr>
                <w:rFonts w:cstheme="minorHAnsi"/>
                <w:b/>
                <w:bCs/>
                <w:color w:val="FFFFFF" w:themeColor="background1"/>
                <w:sz w:val="16"/>
                <w:szCs w:val="16"/>
              </w:rPr>
              <w:t xml:space="preserve">Suggested </w:t>
            </w:r>
            <w:r w:rsidRPr="00DF3388">
              <w:rPr>
                <w:rFonts w:cstheme="minorHAnsi"/>
                <w:b/>
                <w:bCs/>
                <w:color w:val="FFFFFF" w:themeColor="background1"/>
                <w:sz w:val="16"/>
                <w:szCs w:val="16"/>
              </w:rPr>
              <w:t>Reporting Frequency</w:t>
            </w:r>
          </w:p>
        </w:tc>
      </w:tr>
      <w:tr w:rsidR="003728B5" w:rsidRPr="006E0E13" w14:paraId="56281ADA" w14:textId="77777777" w:rsidTr="004E786C">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CBD5ED"/>
            <w:tcMar>
              <w:top w:w="72" w:type="dxa"/>
              <w:left w:w="144" w:type="dxa"/>
              <w:bottom w:w="72" w:type="dxa"/>
              <w:right w:w="144" w:type="dxa"/>
            </w:tcMar>
            <w:hideMark/>
          </w:tcPr>
          <w:p w14:paraId="67761345" w14:textId="77777777" w:rsidR="003728B5" w:rsidRDefault="003728B5" w:rsidP="004E786C">
            <w:pPr>
              <w:rPr>
                <w:rFonts w:cstheme="minorHAnsi"/>
                <w:b/>
                <w:bCs/>
                <w:sz w:val="16"/>
                <w:szCs w:val="16"/>
              </w:rPr>
            </w:pPr>
            <w:r w:rsidRPr="00DF3388">
              <w:rPr>
                <w:rFonts w:cstheme="minorHAnsi"/>
                <w:b/>
                <w:bCs/>
                <w:sz w:val="16"/>
                <w:szCs w:val="16"/>
              </w:rPr>
              <w:t>AMAF Maturity Assessment – IT Asset Class</w:t>
            </w:r>
          </w:p>
          <w:p w14:paraId="37CE3D4C" w14:textId="77777777" w:rsidR="003728B5" w:rsidRPr="00DF3388" w:rsidRDefault="003728B5" w:rsidP="004E786C">
            <w:pPr>
              <w:rPr>
                <w:rFonts w:cstheme="minorHAnsi"/>
                <w:sz w:val="16"/>
                <w:szCs w:val="16"/>
              </w:rPr>
            </w:pPr>
            <w:r w:rsidRPr="00DF3388">
              <w:rPr>
                <w:rFonts w:cstheme="minorHAnsi"/>
                <w:i/>
                <w:iCs/>
                <w:sz w:val="16"/>
                <w:szCs w:val="16"/>
              </w:rPr>
              <w:t>(</w:t>
            </w:r>
            <w:r>
              <w:rPr>
                <w:rFonts w:cstheme="minorHAnsi"/>
                <w:i/>
                <w:iCs/>
                <w:sz w:val="16"/>
                <w:szCs w:val="16"/>
              </w:rPr>
              <w:t xml:space="preserve">Can </w:t>
            </w:r>
            <w:r w:rsidRPr="00DF3388">
              <w:rPr>
                <w:rFonts w:cstheme="minorHAnsi"/>
                <w:i/>
                <w:iCs/>
                <w:sz w:val="16"/>
                <w:szCs w:val="16"/>
              </w:rPr>
              <w:t>feed up into dept/agency all asset class AMAF assessment)</w:t>
            </w:r>
          </w:p>
        </w:tc>
        <w:tc>
          <w:tcPr>
            <w:tcW w:w="1693" w:type="dxa"/>
            <w:tcBorders>
              <w:top w:val="single" w:sz="24" w:space="0" w:color="FFFFFF"/>
              <w:left w:val="single" w:sz="8" w:space="0" w:color="FFFFFF"/>
              <w:bottom w:val="single" w:sz="8" w:space="0" w:color="FFFFFF"/>
              <w:right w:val="single" w:sz="8" w:space="0" w:color="FFFFFF"/>
            </w:tcBorders>
            <w:shd w:val="clear" w:color="auto" w:fill="CBD5ED"/>
            <w:tcMar>
              <w:top w:w="72" w:type="dxa"/>
              <w:left w:w="144" w:type="dxa"/>
              <w:bottom w:w="72" w:type="dxa"/>
              <w:right w:w="144" w:type="dxa"/>
            </w:tcMar>
            <w:hideMark/>
          </w:tcPr>
          <w:p w14:paraId="7E12506B" w14:textId="77777777" w:rsidR="003728B5" w:rsidRPr="00DF3388" w:rsidRDefault="003728B5" w:rsidP="004E786C">
            <w:pPr>
              <w:rPr>
                <w:rFonts w:cstheme="minorHAnsi"/>
                <w:sz w:val="16"/>
                <w:szCs w:val="16"/>
              </w:rPr>
            </w:pPr>
            <w:r w:rsidRPr="00DF3388">
              <w:rPr>
                <w:rFonts w:cstheme="minorHAnsi"/>
                <w:sz w:val="16"/>
                <w:szCs w:val="16"/>
              </w:rPr>
              <w:t xml:space="preserve">To understand </w:t>
            </w:r>
            <w:r w:rsidRPr="004F6691">
              <w:rPr>
                <w:rFonts w:cstheme="minorHAnsi"/>
                <w:b/>
                <w:bCs/>
                <w:sz w:val="16"/>
                <w:szCs w:val="16"/>
              </w:rPr>
              <w:t>how mature</w:t>
            </w:r>
            <w:r w:rsidRPr="00DF3388">
              <w:rPr>
                <w:rFonts w:cstheme="minorHAnsi"/>
                <w:sz w:val="16"/>
                <w:szCs w:val="16"/>
              </w:rPr>
              <w:t xml:space="preserve"> a dept/agency’s IT asset management processes are at a </w:t>
            </w:r>
            <w:r>
              <w:rPr>
                <w:rFonts w:cstheme="minorHAnsi"/>
                <w:sz w:val="16"/>
                <w:szCs w:val="16"/>
              </w:rPr>
              <w:t>medium</w:t>
            </w:r>
            <w:r w:rsidRPr="00DF3388">
              <w:rPr>
                <w:rFonts w:cstheme="minorHAnsi"/>
                <w:sz w:val="16"/>
                <w:szCs w:val="16"/>
              </w:rPr>
              <w:t xml:space="preserve"> level</w:t>
            </w:r>
            <w:r>
              <w:rPr>
                <w:rFonts w:cstheme="minorHAnsi"/>
                <w:sz w:val="16"/>
                <w:szCs w:val="16"/>
              </w:rPr>
              <w:t xml:space="preserve"> of detail</w:t>
            </w:r>
            <w:r w:rsidRPr="00DF3388">
              <w:rPr>
                <w:rFonts w:cstheme="minorHAnsi"/>
                <w:sz w:val="16"/>
                <w:szCs w:val="16"/>
              </w:rPr>
              <w:t xml:space="preserve"> (41 process areas)</w:t>
            </w:r>
          </w:p>
        </w:tc>
        <w:tc>
          <w:tcPr>
            <w:tcW w:w="1843" w:type="dxa"/>
            <w:tcBorders>
              <w:top w:val="single" w:sz="24" w:space="0" w:color="FFFFFF"/>
              <w:left w:val="single" w:sz="8" w:space="0" w:color="FFFFFF"/>
              <w:bottom w:val="single" w:sz="8" w:space="0" w:color="FFFFFF"/>
              <w:right w:val="single" w:sz="8" w:space="0" w:color="FFFFFF"/>
            </w:tcBorders>
            <w:shd w:val="clear" w:color="auto" w:fill="CBD5ED"/>
            <w:tcMar>
              <w:top w:w="72" w:type="dxa"/>
              <w:left w:w="144" w:type="dxa"/>
              <w:bottom w:w="72" w:type="dxa"/>
              <w:right w:w="144" w:type="dxa"/>
            </w:tcMar>
            <w:hideMark/>
          </w:tcPr>
          <w:p w14:paraId="1FA40179" w14:textId="77777777" w:rsidR="003728B5" w:rsidRPr="00DF3388" w:rsidRDefault="003728B5" w:rsidP="004E786C">
            <w:pPr>
              <w:rPr>
                <w:rFonts w:cstheme="minorHAnsi"/>
                <w:sz w:val="16"/>
                <w:szCs w:val="16"/>
              </w:rPr>
            </w:pPr>
            <w:r w:rsidRPr="00DF3388">
              <w:rPr>
                <w:rFonts w:cstheme="minorHAnsi"/>
                <w:sz w:val="16"/>
                <w:szCs w:val="16"/>
              </w:rPr>
              <w:t xml:space="preserve">All (100%) 41 processes at Competence (level </w:t>
            </w:r>
            <w:r>
              <w:rPr>
                <w:rFonts w:cstheme="minorHAnsi"/>
                <w:sz w:val="16"/>
                <w:szCs w:val="16"/>
              </w:rPr>
              <w:t>3</w:t>
            </w:r>
            <w:r w:rsidRPr="00DF3388">
              <w:rPr>
                <w:rFonts w:cstheme="minorHAnsi"/>
                <w:sz w:val="16"/>
                <w:szCs w:val="16"/>
              </w:rPr>
              <w:t>)</w:t>
            </w:r>
            <w:r>
              <w:rPr>
                <w:rFonts w:cstheme="minorHAnsi"/>
                <w:sz w:val="16"/>
                <w:szCs w:val="16"/>
              </w:rPr>
              <w:br/>
            </w:r>
          </w:p>
          <w:p w14:paraId="71D9484F" w14:textId="77777777" w:rsidR="003728B5" w:rsidRPr="00DF3388" w:rsidRDefault="003728B5" w:rsidP="004E786C">
            <w:pPr>
              <w:rPr>
                <w:rFonts w:cstheme="minorHAnsi"/>
                <w:sz w:val="16"/>
                <w:szCs w:val="16"/>
              </w:rPr>
            </w:pPr>
            <w:r w:rsidRPr="00DF3388">
              <w:rPr>
                <w:rFonts w:cstheme="minorHAnsi"/>
                <w:sz w:val="16"/>
                <w:szCs w:val="16"/>
              </w:rPr>
              <w:t xml:space="preserve">Relevant processes for relevant higher-risk IT assets at Optimising (level </w:t>
            </w:r>
            <w:r>
              <w:rPr>
                <w:rFonts w:cstheme="minorHAnsi"/>
                <w:sz w:val="16"/>
                <w:szCs w:val="16"/>
              </w:rPr>
              <w:t>4</w:t>
            </w:r>
            <w:r w:rsidRPr="00DF3388">
              <w:rPr>
                <w:rFonts w:cstheme="minorHAnsi"/>
                <w:sz w:val="16"/>
                <w:szCs w:val="16"/>
              </w:rPr>
              <w:t>)</w:t>
            </w:r>
          </w:p>
        </w:tc>
        <w:tc>
          <w:tcPr>
            <w:tcW w:w="2123" w:type="dxa"/>
            <w:tcBorders>
              <w:top w:val="single" w:sz="24" w:space="0" w:color="FFFFFF"/>
              <w:left w:val="single" w:sz="8" w:space="0" w:color="FFFFFF"/>
              <w:bottom w:val="single" w:sz="8" w:space="0" w:color="FFFFFF"/>
              <w:right w:val="single" w:sz="8" w:space="0" w:color="FFFFFF"/>
            </w:tcBorders>
            <w:shd w:val="clear" w:color="auto" w:fill="CBD5ED"/>
            <w:tcMar>
              <w:top w:w="72" w:type="dxa"/>
              <w:left w:w="144" w:type="dxa"/>
              <w:bottom w:w="72" w:type="dxa"/>
              <w:right w:w="144" w:type="dxa"/>
            </w:tcMar>
            <w:hideMark/>
          </w:tcPr>
          <w:p w14:paraId="37B7F83C" w14:textId="77777777" w:rsidR="003728B5" w:rsidRPr="00DF3388" w:rsidRDefault="003728B5" w:rsidP="004E786C">
            <w:pPr>
              <w:rPr>
                <w:rFonts w:cstheme="minorHAnsi"/>
                <w:sz w:val="16"/>
                <w:szCs w:val="16"/>
              </w:rPr>
            </w:pPr>
            <w:r w:rsidRPr="00DF3388">
              <w:rPr>
                <w:rFonts w:cstheme="minorHAnsi"/>
                <w:sz w:val="16"/>
                <w:szCs w:val="16"/>
              </w:rPr>
              <w:t xml:space="preserve">% of the 41 processes at Competence (level </w:t>
            </w:r>
            <w:r>
              <w:rPr>
                <w:rFonts w:cstheme="minorHAnsi"/>
                <w:sz w:val="16"/>
                <w:szCs w:val="16"/>
              </w:rPr>
              <w:t>3</w:t>
            </w:r>
            <w:r w:rsidRPr="00DF3388">
              <w:rPr>
                <w:rFonts w:cstheme="minorHAnsi"/>
                <w:sz w:val="16"/>
                <w:szCs w:val="16"/>
              </w:rPr>
              <w:t>)</w:t>
            </w:r>
            <w:r>
              <w:rPr>
                <w:rFonts w:cstheme="minorHAnsi"/>
                <w:sz w:val="16"/>
                <w:szCs w:val="16"/>
              </w:rPr>
              <w:br/>
            </w:r>
          </w:p>
          <w:p w14:paraId="27BAE140" w14:textId="77777777" w:rsidR="003728B5" w:rsidRPr="00DF3388" w:rsidRDefault="003728B5" w:rsidP="004E786C">
            <w:pPr>
              <w:rPr>
                <w:rFonts w:cstheme="minorHAnsi"/>
                <w:sz w:val="16"/>
                <w:szCs w:val="16"/>
              </w:rPr>
            </w:pPr>
            <w:r w:rsidRPr="00DF3388">
              <w:rPr>
                <w:rFonts w:cstheme="minorHAnsi"/>
                <w:sz w:val="16"/>
                <w:szCs w:val="16"/>
              </w:rPr>
              <w:t xml:space="preserve">% of the relevant 41 processes for relevant higher-risk assets at Optimising (level </w:t>
            </w:r>
            <w:r>
              <w:rPr>
                <w:rFonts w:cstheme="minorHAnsi"/>
                <w:sz w:val="16"/>
                <w:szCs w:val="16"/>
              </w:rPr>
              <w:t>4</w:t>
            </w:r>
            <w:r w:rsidRPr="00DF3388">
              <w:rPr>
                <w:rFonts w:cstheme="minorHAnsi"/>
                <w:sz w:val="16"/>
                <w:szCs w:val="16"/>
              </w:rPr>
              <w:t>)</w:t>
            </w:r>
          </w:p>
        </w:tc>
        <w:tc>
          <w:tcPr>
            <w:tcW w:w="0" w:type="auto"/>
            <w:tcBorders>
              <w:top w:val="single" w:sz="24" w:space="0" w:color="FFFFFF"/>
              <w:left w:val="single" w:sz="8" w:space="0" w:color="FFFFFF"/>
              <w:bottom w:val="single" w:sz="8" w:space="0" w:color="FFFFFF"/>
              <w:right w:val="single" w:sz="8" w:space="0" w:color="FFFFFF"/>
            </w:tcBorders>
            <w:shd w:val="clear" w:color="auto" w:fill="CBD5ED"/>
            <w:tcMar>
              <w:top w:w="72" w:type="dxa"/>
              <w:left w:w="144" w:type="dxa"/>
              <w:bottom w:w="72" w:type="dxa"/>
              <w:right w:w="144" w:type="dxa"/>
            </w:tcMar>
            <w:hideMark/>
          </w:tcPr>
          <w:p w14:paraId="47602AB8" w14:textId="77777777" w:rsidR="003728B5" w:rsidRPr="00DF3388" w:rsidRDefault="003728B5" w:rsidP="004E786C">
            <w:pPr>
              <w:rPr>
                <w:rFonts w:cstheme="minorHAnsi"/>
                <w:sz w:val="16"/>
                <w:szCs w:val="16"/>
              </w:rPr>
            </w:pPr>
            <w:r w:rsidRPr="00DF3388">
              <w:rPr>
                <w:rFonts w:cstheme="minorHAnsi"/>
                <w:sz w:val="16"/>
                <w:szCs w:val="16"/>
              </w:rPr>
              <w:t xml:space="preserve">Every financial year for internal dept/agency </w:t>
            </w:r>
            <w:r>
              <w:rPr>
                <w:rFonts w:cstheme="minorHAnsi"/>
                <w:sz w:val="16"/>
                <w:szCs w:val="16"/>
              </w:rPr>
              <w:t xml:space="preserve">IT Asset governance board and </w:t>
            </w:r>
            <w:r w:rsidRPr="00DF3388">
              <w:rPr>
                <w:rFonts w:cstheme="minorHAnsi"/>
                <w:sz w:val="16"/>
                <w:szCs w:val="16"/>
              </w:rPr>
              <w:t xml:space="preserve">maturity improvement planning, Digital Victoria Cyber </w:t>
            </w:r>
            <w:r>
              <w:rPr>
                <w:rFonts w:cstheme="minorHAnsi"/>
                <w:sz w:val="16"/>
                <w:szCs w:val="16"/>
              </w:rPr>
              <w:t>Security</w:t>
            </w:r>
            <w:r w:rsidRPr="00DF3388">
              <w:rPr>
                <w:rFonts w:cstheme="minorHAnsi"/>
                <w:sz w:val="16"/>
                <w:szCs w:val="16"/>
              </w:rPr>
              <w:t xml:space="preserve"> Unit visibility, and VMIA insurance re-pricing purposes</w:t>
            </w:r>
            <w:r>
              <w:rPr>
                <w:rFonts w:cstheme="minorHAnsi"/>
                <w:sz w:val="16"/>
                <w:szCs w:val="16"/>
              </w:rPr>
              <w:br/>
            </w:r>
          </w:p>
          <w:p w14:paraId="4F539FD9" w14:textId="77777777" w:rsidR="003728B5" w:rsidRPr="00DF3388" w:rsidRDefault="003728B5" w:rsidP="004E786C">
            <w:pPr>
              <w:rPr>
                <w:rFonts w:cstheme="minorHAnsi"/>
                <w:sz w:val="16"/>
                <w:szCs w:val="16"/>
              </w:rPr>
            </w:pPr>
            <w:r w:rsidRPr="00DF3388">
              <w:rPr>
                <w:rFonts w:cstheme="minorHAnsi"/>
                <w:sz w:val="16"/>
                <w:szCs w:val="16"/>
              </w:rPr>
              <w:t>Every three years as part of overall (all asset class</w:t>
            </w:r>
            <w:r>
              <w:rPr>
                <w:rFonts w:cstheme="minorHAnsi"/>
                <w:sz w:val="16"/>
                <w:szCs w:val="16"/>
              </w:rPr>
              <w:t>es</w:t>
            </w:r>
            <w:r w:rsidRPr="00DF3388">
              <w:rPr>
                <w:rFonts w:cstheme="minorHAnsi"/>
                <w:sz w:val="16"/>
                <w:szCs w:val="16"/>
              </w:rPr>
              <w:t>) AMAF assessment</w:t>
            </w:r>
          </w:p>
        </w:tc>
      </w:tr>
      <w:tr w:rsidR="003728B5" w:rsidRPr="006E0E13" w14:paraId="47C0ABD4" w14:textId="77777777" w:rsidTr="004E786C">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BF6"/>
            <w:tcMar>
              <w:top w:w="72" w:type="dxa"/>
              <w:left w:w="144" w:type="dxa"/>
              <w:bottom w:w="72" w:type="dxa"/>
              <w:right w:w="144" w:type="dxa"/>
            </w:tcMar>
            <w:hideMark/>
          </w:tcPr>
          <w:p w14:paraId="5B9B00EC" w14:textId="77777777" w:rsidR="003728B5" w:rsidRPr="00DF3388" w:rsidRDefault="003728B5" w:rsidP="004E786C">
            <w:pPr>
              <w:rPr>
                <w:rFonts w:cstheme="minorHAnsi"/>
                <w:sz w:val="16"/>
                <w:szCs w:val="16"/>
              </w:rPr>
            </w:pPr>
            <w:r w:rsidRPr="00DF3388">
              <w:rPr>
                <w:rFonts w:cstheme="minorHAnsi"/>
                <w:b/>
                <w:bCs/>
                <w:sz w:val="16"/>
                <w:szCs w:val="16"/>
              </w:rPr>
              <w:t xml:space="preserve">IT Asset Management </w:t>
            </w:r>
            <w:r w:rsidRPr="00BD5F25">
              <w:rPr>
                <w:rFonts w:cstheme="minorHAnsi"/>
                <w:b/>
                <w:bCs/>
                <w:sz w:val="16"/>
                <w:szCs w:val="16"/>
                <w:u w:val="single"/>
              </w:rPr>
              <w:t>Process Frequency</w:t>
            </w:r>
            <w:r w:rsidRPr="00DF3388">
              <w:rPr>
                <w:rFonts w:cstheme="minorHAnsi"/>
                <w:b/>
                <w:bCs/>
                <w:sz w:val="16"/>
                <w:szCs w:val="16"/>
              </w:rPr>
              <w:t xml:space="preserve"> </w:t>
            </w:r>
            <w:r>
              <w:rPr>
                <w:rFonts w:cstheme="minorHAnsi"/>
                <w:b/>
                <w:bCs/>
                <w:sz w:val="16"/>
                <w:szCs w:val="16"/>
              </w:rPr>
              <w:t xml:space="preserve">KPI </w:t>
            </w:r>
            <w:r w:rsidRPr="00DF3388">
              <w:rPr>
                <w:rFonts w:cstheme="minorHAnsi"/>
                <w:b/>
                <w:bCs/>
                <w:sz w:val="16"/>
                <w:szCs w:val="16"/>
              </w:rPr>
              <w:t>Report</w:t>
            </w:r>
          </w:p>
        </w:tc>
        <w:tc>
          <w:tcPr>
            <w:tcW w:w="1693" w:type="dxa"/>
            <w:tcBorders>
              <w:top w:val="single" w:sz="8" w:space="0" w:color="FFFFFF"/>
              <w:left w:val="single" w:sz="8" w:space="0" w:color="FFFFFF"/>
              <w:bottom w:val="single" w:sz="8" w:space="0" w:color="FFFFFF"/>
              <w:right w:val="single" w:sz="8" w:space="0" w:color="FFFFFF"/>
            </w:tcBorders>
            <w:shd w:val="clear" w:color="auto" w:fill="E7EBF6"/>
            <w:tcMar>
              <w:top w:w="72" w:type="dxa"/>
              <w:left w:w="144" w:type="dxa"/>
              <w:bottom w:w="72" w:type="dxa"/>
              <w:right w:w="144" w:type="dxa"/>
            </w:tcMar>
            <w:hideMark/>
          </w:tcPr>
          <w:p w14:paraId="647F54DE" w14:textId="77777777" w:rsidR="003728B5" w:rsidRPr="00DF3388" w:rsidRDefault="003728B5" w:rsidP="004E786C">
            <w:pPr>
              <w:rPr>
                <w:rFonts w:cstheme="minorHAnsi"/>
                <w:sz w:val="16"/>
                <w:szCs w:val="16"/>
              </w:rPr>
            </w:pPr>
            <w:r w:rsidRPr="00DF3388">
              <w:rPr>
                <w:rFonts w:cstheme="minorHAnsi"/>
                <w:sz w:val="16"/>
                <w:szCs w:val="16"/>
              </w:rPr>
              <w:t xml:space="preserve">To understand </w:t>
            </w:r>
            <w:r w:rsidRPr="00B5364D">
              <w:rPr>
                <w:rFonts w:cstheme="minorHAnsi"/>
                <w:b/>
                <w:bCs/>
                <w:sz w:val="16"/>
                <w:szCs w:val="16"/>
              </w:rPr>
              <w:t xml:space="preserve">how often </w:t>
            </w:r>
            <w:r w:rsidRPr="00DF3388">
              <w:rPr>
                <w:rFonts w:cstheme="minorHAnsi"/>
                <w:sz w:val="16"/>
                <w:szCs w:val="16"/>
              </w:rPr>
              <w:t>IT asset management processes are run (for more than 100 discrete KPIs)</w:t>
            </w:r>
          </w:p>
        </w:tc>
        <w:tc>
          <w:tcPr>
            <w:tcW w:w="1843" w:type="dxa"/>
            <w:tcBorders>
              <w:top w:val="single" w:sz="8" w:space="0" w:color="FFFFFF"/>
              <w:left w:val="single" w:sz="8" w:space="0" w:color="FFFFFF"/>
              <w:bottom w:val="single" w:sz="8" w:space="0" w:color="FFFFFF"/>
              <w:right w:val="single" w:sz="8" w:space="0" w:color="FFFFFF"/>
            </w:tcBorders>
            <w:shd w:val="clear" w:color="auto" w:fill="E7EBF6"/>
            <w:tcMar>
              <w:top w:w="72" w:type="dxa"/>
              <w:left w:w="144" w:type="dxa"/>
              <w:bottom w:w="72" w:type="dxa"/>
              <w:right w:w="144" w:type="dxa"/>
            </w:tcMar>
            <w:hideMark/>
          </w:tcPr>
          <w:p w14:paraId="03E7C183" w14:textId="77777777" w:rsidR="003728B5" w:rsidRPr="00DF3388" w:rsidRDefault="003728B5" w:rsidP="004E786C">
            <w:pPr>
              <w:rPr>
                <w:rFonts w:cstheme="minorHAnsi"/>
                <w:sz w:val="16"/>
                <w:szCs w:val="16"/>
              </w:rPr>
            </w:pPr>
            <w:r w:rsidRPr="00DF3388">
              <w:rPr>
                <w:rFonts w:cstheme="minorHAnsi"/>
                <w:sz w:val="16"/>
                <w:szCs w:val="16"/>
              </w:rPr>
              <w:t xml:space="preserve">All (100%) relevant KPI processes run at Competence (level </w:t>
            </w:r>
            <w:r>
              <w:rPr>
                <w:rFonts w:cstheme="minorHAnsi"/>
                <w:sz w:val="16"/>
                <w:szCs w:val="16"/>
              </w:rPr>
              <w:t>3</w:t>
            </w:r>
            <w:r w:rsidRPr="00DF3388">
              <w:rPr>
                <w:rFonts w:cstheme="minorHAnsi"/>
                <w:sz w:val="16"/>
                <w:szCs w:val="16"/>
              </w:rPr>
              <w:t>) frequency</w:t>
            </w:r>
            <w:r>
              <w:rPr>
                <w:rFonts w:cstheme="minorHAnsi"/>
                <w:sz w:val="16"/>
                <w:szCs w:val="16"/>
              </w:rPr>
              <w:br/>
            </w:r>
          </w:p>
          <w:p w14:paraId="6CF7718A" w14:textId="77777777" w:rsidR="003728B5" w:rsidRPr="00DF3388" w:rsidRDefault="003728B5" w:rsidP="004E786C">
            <w:pPr>
              <w:rPr>
                <w:rFonts w:cstheme="minorHAnsi"/>
                <w:sz w:val="16"/>
                <w:szCs w:val="16"/>
              </w:rPr>
            </w:pPr>
            <w:r w:rsidRPr="00DF3388">
              <w:rPr>
                <w:rFonts w:cstheme="minorHAnsi"/>
                <w:sz w:val="16"/>
                <w:szCs w:val="16"/>
              </w:rPr>
              <w:t xml:space="preserve">Relevant KPI processes for relevant higher-risk </w:t>
            </w:r>
            <w:r w:rsidRPr="00DF3388">
              <w:rPr>
                <w:rFonts w:cstheme="minorHAnsi"/>
                <w:sz w:val="16"/>
                <w:szCs w:val="16"/>
              </w:rPr>
              <w:lastRenderedPageBreak/>
              <w:t xml:space="preserve">IT assets run at Optimising (level </w:t>
            </w:r>
            <w:r>
              <w:rPr>
                <w:rFonts w:cstheme="minorHAnsi"/>
                <w:sz w:val="16"/>
                <w:szCs w:val="16"/>
              </w:rPr>
              <w:t>4</w:t>
            </w:r>
            <w:r w:rsidRPr="00DF3388">
              <w:rPr>
                <w:rFonts w:cstheme="minorHAnsi"/>
                <w:sz w:val="16"/>
                <w:szCs w:val="16"/>
              </w:rPr>
              <w:t>) frequency</w:t>
            </w:r>
          </w:p>
        </w:tc>
        <w:tc>
          <w:tcPr>
            <w:tcW w:w="2123" w:type="dxa"/>
            <w:tcBorders>
              <w:top w:val="single" w:sz="8" w:space="0" w:color="FFFFFF"/>
              <w:left w:val="single" w:sz="8" w:space="0" w:color="FFFFFF"/>
              <w:bottom w:val="single" w:sz="8" w:space="0" w:color="FFFFFF"/>
              <w:right w:val="single" w:sz="8" w:space="0" w:color="FFFFFF"/>
            </w:tcBorders>
            <w:shd w:val="clear" w:color="auto" w:fill="E7EBF6"/>
            <w:tcMar>
              <w:top w:w="72" w:type="dxa"/>
              <w:left w:w="144" w:type="dxa"/>
              <w:bottom w:w="72" w:type="dxa"/>
              <w:right w:w="144" w:type="dxa"/>
            </w:tcMar>
            <w:hideMark/>
          </w:tcPr>
          <w:p w14:paraId="6BCBA8C0" w14:textId="77777777" w:rsidR="003728B5" w:rsidRPr="00DF3388" w:rsidRDefault="003728B5" w:rsidP="004E786C">
            <w:pPr>
              <w:rPr>
                <w:rFonts w:cstheme="minorHAnsi"/>
                <w:sz w:val="16"/>
                <w:szCs w:val="16"/>
              </w:rPr>
            </w:pPr>
            <w:r w:rsidRPr="00DF3388">
              <w:rPr>
                <w:rFonts w:cstheme="minorHAnsi"/>
                <w:sz w:val="16"/>
                <w:szCs w:val="16"/>
              </w:rPr>
              <w:lastRenderedPageBreak/>
              <w:t xml:space="preserve">% of the &gt;100 KPI processes running at the target Competence (level </w:t>
            </w:r>
            <w:r>
              <w:rPr>
                <w:rFonts w:cstheme="minorHAnsi"/>
                <w:sz w:val="16"/>
                <w:szCs w:val="16"/>
              </w:rPr>
              <w:t>3</w:t>
            </w:r>
            <w:r w:rsidRPr="00DF3388">
              <w:rPr>
                <w:rFonts w:cstheme="minorHAnsi"/>
                <w:sz w:val="16"/>
                <w:szCs w:val="16"/>
              </w:rPr>
              <w:t>) frequency</w:t>
            </w:r>
            <w:r>
              <w:rPr>
                <w:rFonts w:cstheme="minorHAnsi"/>
                <w:sz w:val="16"/>
                <w:szCs w:val="16"/>
              </w:rPr>
              <w:br/>
            </w:r>
          </w:p>
          <w:p w14:paraId="7F15C40F" w14:textId="77777777" w:rsidR="003728B5" w:rsidRPr="00DF3388" w:rsidRDefault="003728B5" w:rsidP="004E786C">
            <w:pPr>
              <w:rPr>
                <w:rFonts w:cstheme="minorHAnsi"/>
                <w:sz w:val="16"/>
                <w:szCs w:val="16"/>
              </w:rPr>
            </w:pPr>
            <w:r w:rsidRPr="00DF3388">
              <w:rPr>
                <w:rFonts w:cstheme="minorHAnsi"/>
                <w:sz w:val="16"/>
                <w:szCs w:val="16"/>
              </w:rPr>
              <w:t xml:space="preserve">% of the relevant KPI processes for relevant higher-risk assets </w:t>
            </w:r>
            <w:r w:rsidRPr="00DF3388">
              <w:rPr>
                <w:rFonts w:cstheme="minorHAnsi"/>
                <w:sz w:val="16"/>
                <w:szCs w:val="16"/>
              </w:rPr>
              <w:lastRenderedPageBreak/>
              <w:t xml:space="preserve">running at the target Optimising (level </w:t>
            </w:r>
            <w:r>
              <w:rPr>
                <w:rFonts w:cstheme="minorHAnsi"/>
                <w:sz w:val="16"/>
                <w:szCs w:val="16"/>
              </w:rPr>
              <w:t>4</w:t>
            </w:r>
            <w:r w:rsidRPr="00DF3388">
              <w:rPr>
                <w:rFonts w:cstheme="minorHAnsi"/>
                <w:sz w:val="16"/>
                <w:szCs w:val="16"/>
              </w:rPr>
              <w:t>) frequency</w:t>
            </w:r>
          </w:p>
        </w:tc>
        <w:tc>
          <w:tcPr>
            <w:tcW w:w="0" w:type="auto"/>
            <w:tcBorders>
              <w:top w:val="single" w:sz="8" w:space="0" w:color="FFFFFF"/>
              <w:left w:val="single" w:sz="8" w:space="0" w:color="FFFFFF"/>
              <w:bottom w:val="single" w:sz="8" w:space="0" w:color="FFFFFF"/>
              <w:right w:val="single" w:sz="8" w:space="0" w:color="FFFFFF"/>
            </w:tcBorders>
            <w:shd w:val="clear" w:color="auto" w:fill="E7EBF6"/>
            <w:tcMar>
              <w:top w:w="72" w:type="dxa"/>
              <w:left w:w="144" w:type="dxa"/>
              <w:bottom w:w="72" w:type="dxa"/>
              <w:right w:w="144" w:type="dxa"/>
            </w:tcMar>
            <w:hideMark/>
          </w:tcPr>
          <w:p w14:paraId="010F6C76" w14:textId="77777777" w:rsidR="003728B5" w:rsidRPr="00DF3388" w:rsidRDefault="003728B5" w:rsidP="004E786C">
            <w:pPr>
              <w:rPr>
                <w:rFonts w:cstheme="minorHAnsi"/>
                <w:sz w:val="16"/>
                <w:szCs w:val="16"/>
              </w:rPr>
            </w:pPr>
            <w:r w:rsidRPr="00DF3388">
              <w:rPr>
                <w:rFonts w:cstheme="minorHAnsi"/>
                <w:sz w:val="16"/>
                <w:szCs w:val="16"/>
              </w:rPr>
              <w:lastRenderedPageBreak/>
              <w:t xml:space="preserve">Every financial year for internal dept/agency operational monitoring and maturity improvement planning, Digital </w:t>
            </w:r>
            <w:r w:rsidRPr="00DF3388">
              <w:rPr>
                <w:rFonts w:cstheme="minorHAnsi"/>
                <w:sz w:val="16"/>
                <w:szCs w:val="16"/>
              </w:rPr>
              <w:lastRenderedPageBreak/>
              <w:t xml:space="preserve">Victoria Cyber </w:t>
            </w:r>
            <w:r>
              <w:rPr>
                <w:rFonts w:cstheme="minorHAnsi"/>
                <w:sz w:val="16"/>
                <w:szCs w:val="16"/>
              </w:rPr>
              <w:t>Security</w:t>
            </w:r>
            <w:r w:rsidRPr="00DF3388">
              <w:rPr>
                <w:rFonts w:cstheme="minorHAnsi"/>
                <w:sz w:val="16"/>
                <w:szCs w:val="16"/>
              </w:rPr>
              <w:t xml:space="preserve"> Unit visibility, and VMIA insurance re-pricing</w:t>
            </w:r>
          </w:p>
        </w:tc>
      </w:tr>
      <w:tr w:rsidR="003728B5" w:rsidRPr="006E0E13" w14:paraId="33756858" w14:textId="77777777" w:rsidTr="004E786C">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BD5ED"/>
            <w:tcMar>
              <w:top w:w="72" w:type="dxa"/>
              <w:left w:w="144" w:type="dxa"/>
              <w:bottom w:w="72" w:type="dxa"/>
              <w:right w:w="144" w:type="dxa"/>
            </w:tcMar>
            <w:hideMark/>
          </w:tcPr>
          <w:p w14:paraId="458CD05D" w14:textId="77777777" w:rsidR="003728B5" w:rsidRPr="00DF3388" w:rsidRDefault="003728B5" w:rsidP="004E786C">
            <w:pPr>
              <w:rPr>
                <w:rFonts w:cstheme="minorHAnsi"/>
                <w:sz w:val="16"/>
                <w:szCs w:val="16"/>
              </w:rPr>
            </w:pPr>
            <w:r w:rsidRPr="00DF3388">
              <w:rPr>
                <w:rFonts w:cstheme="minorHAnsi"/>
                <w:b/>
                <w:bCs/>
                <w:sz w:val="16"/>
                <w:szCs w:val="16"/>
              </w:rPr>
              <w:lastRenderedPageBreak/>
              <w:t xml:space="preserve">IT Asset Management </w:t>
            </w:r>
            <w:r w:rsidRPr="00BD5F25">
              <w:rPr>
                <w:rFonts w:cstheme="minorHAnsi"/>
                <w:b/>
                <w:bCs/>
                <w:sz w:val="16"/>
                <w:szCs w:val="16"/>
                <w:u w:val="single"/>
              </w:rPr>
              <w:t>Asset Coverage</w:t>
            </w:r>
            <w:r>
              <w:rPr>
                <w:rFonts w:cstheme="minorHAnsi"/>
                <w:b/>
                <w:bCs/>
                <w:sz w:val="16"/>
                <w:szCs w:val="16"/>
              </w:rPr>
              <w:t xml:space="preserve"> KPI</w:t>
            </w:r>
            <w:r w:rsidRPr="00DF3388">
              <w:rPr>
                <w:rFonts w:cstheme="minorHAnsi"/>
                <w:b/>
                <w:bCs/>
                <w:sz w:val="16"/>
                <w:szCs w:val="16"/>
              </w:rPr>
              <w:t xml:space="preserve"> Score Report</w:t>
            </w:r>
          </w:p>
        </w:tc>
        <w:tc>
          <w:tcPr>
            <w:tcW w:w="1693" w:type="dxa"/>
            <w:tcBorders>
              <w:top w:val="single" w:sz="8" w:space="0" w:color="FFFFFF"/>
              <w:left w:val="single" w:sz="8" w:space="0" w:color="FFFFFF"/>
              <w:bottom w:val="single" w:sz="8" w:space="0" w:color="FFFFFF"/>
              <w:right w:val="single" w:sz="8" w:space="0" w:color="FFFFFF"/>
            </w:tcBorders>
            <w:shd w:val="clear" w:color="auto" w:fill="CBD5ED"/>
            <w:tcMar>
              <w:top w:w="72" w:type="dxa"/>
              <w:left w:w="144" w:type="dxa"/>
              <w:bottom w:w="72" w:type="dxa"/>
              <w:right w:w="144" w:type="dxa"/>
            </w:tcMar>
            <w:hideMark/>
          </w:tcPr>
          <w:p w14:paraId="462257C0" w14:textId="77777777" w:rsidR="003728B5" w:rsidRPr="00DF3388" w:rsidRDefault="003728B5" w:rsidP="004E786C">
            <w:pPr>
              <w:rPr>
                <w:rFonts w:cstheme="minorHAnsi"/>
                <w:sz w:val="16"/>
                <w:szCs w:val="16"/>
              </w:rPr>
            </w:pPr>
            <w:r w:rsidRPr="00DF3388">
              <w:rPr>
                <w:rFonts w:cstheme="minorHAnsi"/>
                <w:sz w:val="16"/>
                <w:szCs w:val="16"/>
              </w:rPr>
              <w:t xml:space="preserve">To understand </w:t>
            </w:r>
            <w:r w:rsidRPr="004F6691">
              <w:rPr>
                <w:rFonts w:cstheme="minorHAnsi"/>
                <w:b/>
                <w:bCs/>
                <w:sz w:val="16"/>
                <w:szCs w:val="16"/>
              </w:rPr>
              <w:t xml:space="preserve">how many </w:t>
            </w:r>
            <w:r>
              <w:rPr>
                <w:rFonts w:cstheme="minorHAnsi"/>
                <w:sz w:val="16"/>
                <w:szCs w:val="16"/>
              </w:rPr>
              <w:t>IT assets are being managed</w:t>
            </w:r>
            <w:r w:rsidRPr="00DF3388">
              <w:rPr>
                <w:rFonts w:cstheme="minorHAnsi"/>
                <w:sz w:val="16"/>
                <w:szCs w:val="16"/>
              </w:rPr>
              <w:t xml:space="preserve"> (more than 100 discrete KPIs)</w:t>
            </w:r>
          </w:p>
        </w:tc>
        <w:tc>
          <w:tcPr>
            <w:tcW w:w="1843" w:type="dxa"/>
            <w:tcBorders>
              <w:top w:val="single" w:sz="8" w:space="0" w:color="FFFFFF"/>
              <w:left w:val="single" w:sz="8" w:space="0" w:color="FFFFFF"/>
              <w:bottom w:val="single" w:sz="8" w:space="0" w:color="FFFFFF"/>
              <w:right w:val="single" w:sz="8" w:space="0" w:color="FFFFFF"/>
            </w:tcBorders>
            <w:shd w:val="clear" w:color="auto" w:fill="CBD5ED"/>
            <w:tcMar>
              <w:top w:w="72" w:type="dxa"/>
              <w:left w:w="144" w:type="dxa"/>
              <w:bottom w:w="72" w:type="dxa"/>
              <w:right w:w="144" w:type="dxa"/>
            </w:tcMar>
            <w:hideMark/>
          </w:tcPr>
          <w:p w14:paraId="2E8D4408" w14:textId="77777777" w:rsidR="003728B5" w:rsidRPr="00DF3388" w:rsidRDefault="003728B5" w:rsidP="004E786C">
            <w:pPr>
              <w:rPr>
                <w:rFonts w:cstheme="minorHAnsi"/>
                <w:sz w:val="16"/>
                <w:szCs w:val="16"/>
              </w:rPr>
            </w:pPr>
            <w:r w:rsidRPr="00DF3388">
              <w:rPr>
                <w:rFonts w:cstheme="minorHAnsi"/>
                <w:sz w:val="16"/>
                <w:szCs w:val="16"/>
              </w:rPr>
              <w:t>All (100%) relevant</w:t>
            </w:r>
            <w:r>
              <w:rPr>
                <w:rFonts w:cstheme="minorHAnsi"/>
                <w:sz w:val="16"/>
                <w:szCs w:val="16"/>
              </w:rPr>
              <w:t xml:space="preserve"> Coverage</w:t>
            </w:r>
            <w:r w:rsidRPr="00DF3388">
              <w:rPr>
                <w:rFonts w:cstheme="minorHAnsi"/>
                <w:sz w:val="16"/>
                <w:szCs w:val="16"/>
              </w:rPr>
              <w:t xml:space="preserve"> KPI</w:t>
            </w:r>
            <w:r>
              <w:rPr>
                <w:rFonts w:cstheme="minorHAnsi"/>
                <w:sz w:val="16"/>
                <w:szCs w:val="16"/>
              </w:rPr>
              <w:t>s</w:t>
            </w:r>
            <w:r w:rsidRPr="00DF3388">
              <w:rPr>
                <w:rFonts w:cstheme="minorHAnsi"/>
                <w:sz w:val="16"/>
                <w:szCs w:val="16"/>
              </w:rPr>
              <w:t xml:space="preserve"> meeting the target Competence (level </w:t>
            </w:r>
            <w:r>
              <w:rPr>
                <w:rFonts w:cstheme="minorHAnsi"/>
                <w:sz w:val="16"/>
                <w:szCs w:val="16"/>
              </w:rPr>
              <w:t>3</w:t>
            </w:r>
            <w:r w:rsidRPr="00DF3388">
              <w:rPr>
                <w:rFonts w:cstheme="minorHAnsi"/>
                <w:sz w:val="16"/>
                <w:szCs w:val="16"/>
              </w:rPr>
              <w:t xml:space="preserve">) </w:t>
            </w:r>
            <w:r>
              <w:rPr>
                <w:rFonts w:cstheme="minorHAnsi"/>
                <w:sz w:val="16"/>
                <w:szCs w:val="16"/>
              </w:rPr>
              <w:br/>
            </w:r>
          </w:p>
          <w:p w14:paraId="7C77B43B" w14:textId="77777777" w:rsidR="003728B5" w:rsidRPr="00DF3388" w:rsidRDefault="003728B5" w:rsidP="004E786C">
            <w:pPr>
              <w:rPr>
                <w:rFonts w:cstheme="minorHAnsi"/>
                <w:sz w:val="16"/>
                <w:szCs w:val="16"/>
              </w:rPr>
            </w:pPr>
            <w:r>
              <w:rPr>
                <w:rFonts w:cstheme="minorHAnsi"/>
                <w:sz w:val="16"/>
                <w:szCs w:val="16"/>
              </w:rPr>
              <w:t>Coverage</w:t>
            </w:r>
            <w:r w:rsidRPr="00DF3388">
              <w:rPr>
                <w:rFonts w:cstheme="minorHAnsi"/>
                <w:sz w:val="16"/>
                <w:szCs w:val="16"/>
              </w:rPr>
              <w:t xml:space="preserve"> for relevant higher-risk IT assets meeting Optimising (level </w:t>
            </w:r>
            <w:r>
              <w:rPr>
                <w:rFonts w:cstheme="minorHAnsi"/>
                <w:sz w:val="16"/>
                <w:szCs w:val="16"/>
              </w:rPr>
              <w:t>4</w:t>
            </w:r>
            <w:r w:rsidRPr="00DF3388">
              <w:rPr>
                <w:rFonts w:cstheme="minorHAnsi"/>
                <w:sz w:val="16"/>
                <w:szCs w:val="16"/>
              </w:rPr>
              <w:t>) KPIs</w:t>
            </w:r>
          </w:p>
        </w:tc>
        <w:tc>
          <w:tcPr>
            <w:tcW w:w="2123" w:type="dxa"/>
            <w:tcBorders>
              <w:top w:val="single" w:sz="8" w:space="0" w:color="FFFFFF"/>
              <w:left w:val="single" w:sz="8" w:space="0" w:color="FFFFFF"/>
              <w:bottom w:val="single" w:sz="8" w:space="0" w:color="FFFFFF"/>
              <w:right w:val="single" w:sz="8" w:space="0" w:color="FFFFFF"/>
            </w:tcBorders>
            <w:shd w:val="clear" w:color="auto" w:fill="CBD5ED"/>
            <w:tcMar>
              <w:top w:w="72" w:type="dxa"/>
              <w:left w:w="144" w:type="dxa"/>
              <w:bottom w:w="72" w:type="dxa"/>
              <w:right w:w="144" w:type="dxa"/>
            </w:tcMar>
            <w:hideMark/>
          </w:tcPr>
          <w:p w14:paraId="174A26A9" w14:textId="77777777" w:rsidR="003728B5" w:rsidRPr="00DF3388" w:rsidRDefault="003728B5" w:rsidP="004E786C">
            <w:pPr>
              <w:rPr>
                <w:rFonts w:cstheme="minorHAnsi"/>
                <w:sz w:val="16"/>
                <w:szCs w:val="16"/>
              </w:rPr>
            </w:pPr>
            <w:r w:rsidRPr="00DF3388">
              <w:rPr>
                <w:rFonts w:cstheme="minorHAnsi"/>
                <w:sz w:val="16"/>
                <w:szCs w:val="16"/>
              </w:rPr>
              <w:t xml:space="preserve">Average % of all the &gt; 100 </w:t>
            </w:r>
            <w:r>
              <w:rPr>
                <w:rFonts w:cstheme="minorHAnsi"/>
                <w:sz w:val="16"/>
                <w:szCs w:val="16"/>
              </w:rPr>
              <w:t xml:space="preserve">Coverage </w:t>
            </w:r>
            <w:r w:rsidRPr="00DF3388">
              <w:rPr>
                <w:rFonts w:cstheme="minorHAnsi"/>
                <w:sz w:val="16"/>
                <w:szCs w:val="16"/>
              </w:rPr>
              <w:t xml:space="preserve">KPIs meeting the target Competence (level </w:t>
            </w:r>
            <w:r>
              <w:rPr>
                <w:rFonts w:cstheme="minorHAnsi"/>
                <w:sz w:val="16"/>
                <w:szCs w:val="16"/>
              </w:rPr>
              <w:t>3</w:t>
            </w:r>
            <w:r w:rsidRPr="00DF3388">
              <w:rPr>
                <w:rFonts w:cstheme="minorHAnsi"/>
                <w:sz w:val="16"/>
                <w:szCs w:val="16"/>
              </w:rPr>
              <w:t>) KPIs</w:t>
            </w:r>
          </w:p>
          <w:p w14:paraId="12B9D22D" w14:textId="77777777" w:rsidR="003728B5" w:rsidRPr="00DF3388" w:rsidRDefault="003728B5" w:rsidP="004E786C">
            <w:pPr>
              <w:rPr>
                <w:rFonts w:cstheme="minorHAnsi"/>
                <w:sz w:val="16"/>
                <w:szCs w:val="16"/>
              </w:rPr>
            </w:pPr>
            <w:r w:rsidRPr="00DF3388">
              <w:rPr>
                <w:rFonts w:cstheme="minorHAnsi"/>
                <w:sz w:val="16"/>
                <w:szCs w:val="16"/>
              </w:rPr>
              <w:t xml:space="preserve"> </w:t>
            </w:r>
          </w:p>
          <w:p w14:paraId="7DC0C556" w14:textId="77777777" w:rsidR="003728B5" w:rsidRPr="00DF3388" w:rsidRDefault="003728B5" w:rsidP="004E786C">
            <w:pPr>
              <w:rPr>
                <w:rFonts w:cstheme="minorHAnsi"/>
                <w:sz w:val="16"/>
                <w:szCs w:val="16"/>
              </w:rPr>
            </w:pPr>
            <w:r w:rsidRPr="00DF3388">
              <w:rPr>
                <w:rFonts w:cstheme="minorHAnsi"/>
                <w:sz w:val="16"/>
                <w:szCs w:val="16"/>
              </w:rPr>
              <w:t xml:space="preserve">Average % of the </w:t>
            </w:r>
            <w:r>
              <w:rPr>
                <w:rFonts w:cstheme="minorHAnsi"/>
                <w:sz w:val="16"/>
                <w:szCs w:val="16"/>
              </w:rPr>
              <w:t xml:space="preserve">Coverage </w:t>
            </w:r>
            <w:r w:rsidRPr="00DF3388">
              <w:rPr>
                <w:rFonts w:cstheme="minorHAnsi"/>
                <w:sz w:val="16"/>
                <w:szCs w:val="16"/>
              </w:rPr>
              <w:t xml:space="preserve">KPI for relevant higher-risk assets meeting the target Optimising (level </w:t>
            </w:r>
            <w:r>
              <w:rPr>
                <w:rFonts w:cstheme="minorHAnsi"/>
                <w:sz w:val="16"/>
                <w:szCs w:val="16"/>
              </w:rPr>
              <w:t>4</w:t>
            </w:r>
            <w:r w:rsidRPr="00DF3388">
              <w:rPr>
                <w:rFonts w:cstheme="minorHAnsi"/>
                <w:sz w:val="16"/>
                <w:szCs w:val="16"/>
              </w:rPr>
              <w:t>) frequency</w:t>
            </w:r>
          </w:p>
        </w:tc>
        <w:tc>
          <w:tcPr>
            <w:tcW w:w="0" w:type="auto"/>
            <w:tcBorders>
              <w:top w:val="single" w:sz="8" w:space="0" w:color="FFFFFF"/>
              <w:left w:val="single" w:sz="8" w:space="0" w:color="FFFFFF"/>
              <w:bottom w:val="single" w:sz="8" w:space="0" w:color="FFFFFF"/>
              <w:right w:val="single" w:sz="8" w:space="0" w:color="FFFFFF"/>
            </w:tcBorders>
            <w:shd w:val="clear" w:color="auto" w:fill="CBD5ED"/>
            <w:tcMar>
              <w:top w:w="72" w:type="dxa"/>
              <w:left w:w="144" w:type="dxa"/>
              <w:bottom w:w="72" w:type="dxa"/>
              <w:right w:w="144" w:type="dxa"/>
            </w:tcMar>
            <w:hideMark/>
          </w:tcPr>
          <w:p w14:paraId="675F6EE6" w14:textId="77777777" w:rsidR="003728B5" w:rsidRPr="00DF3388" w:rsidRDefault="003728B5" w:rsidP="004E786C">
            <w:pPr>
              <w:rPr>
                <w:rFonts w:cstheme="minorHAnsi"/>
                <w:sz w:val="16"/>
                <w:szCs w:val="16"/>
              </w:rPr>
            </w:pPr>
            <w:r w:rsidRPr="00DF3388">
              <w:rPr>
                <w:rFonts w:cstheme="minorHAnsi"/>
                <w:sz w:val="16"/>
                <w:szCs w:val="16"/>
              </w:rPr>
              <w:t>Every quarter for internal dept/agency operational monitoring</w:t>
            </w:r>
            <w:r>
              <w:rPr>
                <w:rFonts w:cstheme="minorHAnsi"/>
                <w:sz w:val="16"/>
                <w:szCs w:val="16"/>
              </w:rPr>
              <w:br/>
            </w:r>
          </w:p>
          <w:p w14:paraId="532E54BB" w14:textId="77777777" w:rsidR="003728B5" w:rsidRPr="00DF3388" w:rsidRDefault="003728B5" w:rsidP="004E786C">
            <w:pPr>
              <w:rPr>
                <w:rFonts w:cstheme="minorHAnsi"/>
                <w:sz w:val="16"/>
                <w:szCs w:val="16"/>
              </w:rPr>
            </w:pPr>
            <w:r w:rsidRPr="00DF3388">
              <w:rPr>
                <w:rFonts w:cstheme="minorHAnsi"/>
                <w:sz w:val="16"/>
                <w:szCs w:val="16"/>
              </w:rPr>
              <w:t xml:space="preserve">Every financial year for Digital Victoria Cyber </w:t>
            </w:r>
            <w:r>
              <w:rPr>
                <w:rFonts w:cstheme="minorHAnsi"/>
                <w:sz w:val="16"/>
                <w:szCs w:val="16"/>
              </w:rPr>
              <w:t>Security</w:t>
            </w:r>
            <w:r w:rsidRPr="00DF3388">
              <w:rPr>
                <w:rFonts w:cstheme="minorHAnsi"/>
                <w:sz w:val="16"/>
                <w:szCs w:val="16"/>
              </w:rPr>
              <w:t xml:space="preserve"> Unit visibility, and VMIA insurance re-pricing</w:t>
            </w:r>
          </w:p>
        </w:tc>
      </w:tr>
    </w:tbl>
    <w:p w14:paraId="3A30CCB7" w14:textId="77777777" w:rsidR="003728B5" w:rsidRDefault="003728B5" w:rsidP="003728B5"/>
    <w:p w14:paraId="7D2A4CA9" w14:textId="77777777" w:rsidR="003728B5" w:rsidRDefault="003728B5" w:rsidP="003728B5">
      <w:pPr>
        <w:pStyle w:val="DPCbody"/>
        <w:rPr>
          <w:rFonts w:asciiTheme="majorHAnsi" w:eastAsia="MS Gothic" w:hAnsiTheme="majorHAnsi"/>
          <w:b/>
          <w:bCs/>
          <w:color w:val="53565A"/>
          <w:sz w:val="32"/>
          <w:szCs w:val="32"/>
        </w:rPr>
      </w:pPr>
      <w:r>
        <w:br w:type="page"/>
      </w:r>
    </w:p>
    <w:p w14:paraId="5E62BEEE" w14:textId="77777777" w:rsidR="003728B5" w:rsidRPr="00110164" w:rsidRDefault="003728B5" w:rsidP="003728B5">
      <w:pPr>
        <w:pStyle w:val="Heading2"/>
      </w:pPr>
      <w:bookmarkStart w:id="34" w:name="_Toc124856931"/>
      <w:bookmarkStart w:id="35" w:name="_Toc126829062"/>
      <w:r>
        <w:lastRenderedPageBreak/>
        <w:t>Implementation</w:t>
      </w:r>
      <w:bookmarkEnd w:id="34"/>
      <w:bookmarkEnd w:id="35"/>
    </w:p>
    <w:p w14:paraId="0D438C7A" w14:textId="77777777" w:rsidR="003728B5" w:rsidRPr="00632626" w:rsidRDefault="003728B5" w:rsidP="003728B5">
      <w:pPr>
        <w:pStyle w:val="DPCbody"/>
      </w:pPr>
      <w:r w:rsidRPr="00632626">
        <w:t xml:space="preserve">The following is a suggested </w:t>
      </w:r>
      <w:r>
        <w:t xml:space="preserve">(pro forma) </w:t>
      </w:r>
      <w:r w:rsidRPr="00632626">
        <w:t xml:space="preserve">IT asset management uplift plan that can be modified </w:t>
      </w:r>
      <w:r>
        <w:t xml:space="preserve">and re-arranged </w:t>
      </w:r>
      <w:r w:rsidRPr="00632626">
        <w:t>based on an individual department/agenc</w:t>
      </w:r>
      <w:r>
        <w:t>y’</w:t>
      </w:r>
      <w:r w:rsidRPr="00632626">
        <w:t xml:space="preserve">s </w:t>
      </w:r>
      <w:r>
        <w:t xml:space="preserve">priorities and </w:t>
      </w:r>
      <w:r w:rsidRPr="00632626">
        <w:t>maturity</w:t>
      </w:r>
      <w:r>
        <w:t>. Note that each phase may take anywhere from a month for a smaller agency to up to say six months for a department/agency with a large asset fleet.</w:t>
      </w:r>
    </w:p>
    <w:tbl>
      <w:tblPr>
        <w:tblW w:w="0" w:type="auto"/>
        <w:tblLayout w:type="fixed"/>
        <w:tblCellMar>
          <w:left w:w="0" w:type="dxa"/>
          <w:right w:w="0" w:type="dxa"/>
        </w:tblCellMar>
        <w:tblLook w:val="0420" w:firstRow="1" w:lastRow="0" w:firstColumn="0" w:lastColumn="0" w:noHBand="0" w:noVBand="1"/>
      </w:tblPr>
      <w:tblGrid>
        <w:gridCol w:w="995"/>
        <w:gridCol w:w="2268"/>
        <w:gridCol w:w="2126"/>
        <w:gridCol w:w="2126"/>
        <w:gridCol w:w="2071"/>
      </w:tblGrid>
      <w:tr w:rsidR="003728B5" w:rsidRPr="00296DB9" w14:paraId="05BD7EA7" w14:textId="77777777" w:rsidTr="004E786C">
        <w:trPr>
          <w:cantSplit/>
          <w:trHeight w:val="318"/>
          <w:tblHeader/>
        </w:trPr>
        <w:tc>
          <w:tcPr>
            <w:tcW w:w="995" w:type="dxa"/>
            <w:tcBorders>
              <w:top w:val="single" w:sz="8" w:space="0" w:color="DFE1DF" w:themeColor="background2"/>
              <w:left w:val="single" w:sz="8" w:space="0" w:color="DFE1DF" w:themeColor="background2"/>
              <w:bottom w:val="single" w:sz="24" w:space="0" w:color="DFE1DF" w:themeColor="background2"/>
              <w:right w:val="single" w:sz="8" w:space="0" w:color="DFE1DF" w:themeColor="background2"/>
            </w:tcBorders>
            <w:shd w:val="clear" w:color="auto" w:fill="005F9E" w:themeFill="accent1"/>
            <w:tcMar>
              <w:top w:w="72" w:type="dxa"/>
              <w:left w:w="144" w:type="dxa"/>
              <w:bottom w:w="72" w:type="dxa"/>
              <w:right w:w="144" w:type="dxa"/>
            </w:tcMar>
            <w:hideMark/>
          </w:tcPr>
          <w:p w14:paraId="7370D9E4" w14:textId="77777777" w:rsidR="003728B5" w:rsidRPr="005C4042" w:rsidRDefault="003728B5" w:rsidP="004E786C">
            <w:pPr>
              <w:pStyle w:val="DPCbody"/>
              <w:rPr>
                <w:b/>
                <w:bCs/>
                <w:color w:val="FFFFFF" w:themeColor="background1"/>
                <w:sz w:val="18"/>
                <w:szCs w:val="18"/>
              </w:rPr>
            </w:pPr>
            <w:r w:rsidRPr="005C4042">
              <w:rPr>
                <w:b/>
                <w:bCs/>
                <w:color w:val="FFFFFF" w:themeColor="background1"/>
                <w:sz w:val="18"/>
                <w:szCs w:val="18"/>
              </w:rPr>
              <w:t>PHASE</w:t>
            </w:r>
          </w:p>
        </w:tc>
        <w:tc>
          <w:tcPr>
            <w:tcW w:w="2268" w:type="dxa"/>
            <w:tcBorders>
              <w:top w:val="single" w:sz="8" w:space="0" w:color="DFE1DF" w:themeColor="background2"/>
              <w:left w:val="single" w:sz="8" w:space="0" w:color="DFE1DF" w:themeColor="background2"/>
              <w:bottom w:val="single" w:sz="24" w:space="0" w:color="DFE1DF" w:themeColor="background2"/>
              <w:right w:val="single" w:sz="8" w:space="0" w:color="DFE1DF" w:themeColor="background2"/>
            </w:tcBorders>
            <w:shd w:val="clear" w:color="auto" w:fill="005F9E" w:themeFill="accent1"/>
            <w:tcMar>
              <w:top w:w="72" w:type="dxa"/>
              <w:left w:w="144" w:type="dxa"/>
              <w:bottom w:w="72" w:type="dxa"/>
              <w:right w:w="144" w:type="dxa"/>
            </w:tcMar>
            <w:hideMark/>
          </w:tcPr>
          <w:p w14:paraId="4B63FB29" w14:textId="77777777" w:rsidR="003728B5" w:rsidRPr="00296DB9" w:rsidRDefault="003728B5" w:rsidP="004E786C">
            <w:pPr>
              <w:pStyle w:val="DPCbody"/>
              <w:rPr>
                <w:b/>
                <w:color w:val="FFFFFF" w:themeColor="background1"/>
                <w:sz w:val="18"/>
                <w:szCs w:val="18"/>
              </w:rPr>
            </w:pPr>
            <w:r w:rsidRPr="00296DB9">
              <w:rPr>
                <w:b/>
                <w:color w:val="FFFFFF" w:themeColor="background1"/>
                <w:sz w:val="18"/>
                <w:szCs w:val="18"/>
              </w:rPr>
              <w:t>People</w:t>
            </w:r>
          </w:p>
        </w:tc>
        <w:tc>
          <w:tcPr>
            <w:tcW w:w="2126" w:type="dxa"/>
            <w:tcBorders>
              <w:top w:val="single" w:sz="8" w:space="0" w:color="DFE1DF" w:themeColor="background2"/>
              <w:left w:val="single" w:sz="8" w:space="0" w:color="DFE1DF" w:themeColor="background2"/>
              <w:bottom w:val="single" w:sz="24" w:space="0" w:color="DFE1DF" w:themeColor="background2"/>
              <w:right w:val="single" w:sz="8" w:space="0" w:color="DFE1DF" w:themeColor="background2"/>
            </w:tcBorders>
            <w:shd w:val="clear" w:color="auto" w:fill="005F9E" w:themeFill="accent1"/>
            <w:tcMar>
              <w:top w:w="72" w:type="dxa"/>
              <w:left w:w="144" w:type="dxa"/>
              <w:bottom w:w="72" w:type="dxa"/>
              <w:right w:w="144" w:type="dxa"/>
            </w:tcMar>
            <w:hideMark/>
          </w:tcPr>
          <w:p w14:paraId="55A72D22" w14:textId="77777777" w:rsidR="003728B5" w:rsidRPr="00296DB9" w:rsidRDefault="003728B5" w:rsidP="004E786C">
            <w:pPr>
              <w:pStyle w:val="DPCbody"/>
              <w:rPr>
                <w:b/>
                <w:color w:val="FFFFFF" w:themeColor="background1"/>
                <w:sz w:val="18"/>
                <w:szCs w:val="18"/>
              </w:rPr>
            </w:pPr>
            <w:r w:rsidRPr="00296DB9">
              <w:rPr>
                <w:b/>
                <w:color w:val="FFFFFF" w:themeColor="background1"/>
                <w:sz w:val="18"/>
                <w:szCs w:val="18"/>
              </w:rPr>
              <w:t>Process</w:t>
            </w:r>
          </w:p>
        </w:tc>
        <w:tc>
          <w:tcPr>
            <w:tcW w:w="2126" w:type="dxa"/>
            <w:tcBorders>
              <w:top w:val="single" w:sz="8" w:space="0" w:color="DFE1DF" w:themeColor="background2"/>
              <w:left w:val="single" w:sz="8" w:space="0" w:color="DFE1DF" w:themeColor="background2"/>
              <w:bottom w:val="single" w:sz="24" w:space="0" w:color="DFE1DF" w:themeColor="background2"/>
              <w:right w:val="single" w:sz="8" w:space="0" w:color="DFE1DF" w:themeColor="background2"/>
            </w:tcBorders>
            <w:shd w:val="clear" w:color="auto" w:fill="005F9E" w:themeFill="accent1"/>
            <w:tcMar>
              <w:top w:w="72" w:type="dxa"/>
              <w:left w:w="144" w:type="dxa"/>
              <w:bottom w:w="72" w:type="dxa"/>
              <w:right w:w="144" w:type="dxa"/>
            </w:tcMar>
            <w:hideMark/>
          </w:tcPr>
          <w:p w14:paraId="097B5802" w14:textId="77777777" w:rsidR="003728B5" w:rsidRPr="00296DB9" w:rsidRDefault="003728B5" w:rsidP="004E786C">
            <w:pPr>
              <w:pStyle w:val="DPCbody"/>
              <w:rPr>
                <w:b/>
                <w:color w:val="FFFFFF" w:themeColor="background1"/>
                <w:sz w:val="18"/>
                <w:szCs w:val="18"/>
              </w:rPr>
            </w:pPr>
            <w:r w:rsidRPr="00296DB9">
              <w:rPr>
                <w:b/>
                <w:color w:val="FFFFFF" w:themeColor="background1"/>
                <w:sz w:val="18"/>
                <w:szCs w:val="18"/>
              </w:rPr>
              <w:t>Data</w:t>
            </w:r>
          </w:p>
        </w:tc>
        <w:tc>
          <w:tcPr>
            <w:tcW w:w="2071" w:type="dxa"/>
            <w:tcBorders>
              <w:top w:val="single" w:sz="8" w:space="0" w:color="DFE1DF" w:themeColor="background2"/>
              <w:left w:val="single" w:sz="8" w:space="0" w:color="DFE1DF" w:themeColor="background2"/>
              <w:bottom w:val="single" w:sz="24" w:space="0" w:color="DFE1DF" w:themeColor="background2"/>
              <w:right w:val="single" w:sz="8" w:space="0" w:color="DFE1DF" w:themeColor="background2"/>
            </w:tcBorders>
            <w:shd w:val="clear" w:color="auto" w:fill="005F9E" w:themeFill="accent1"/>
            <w:tcMar>
              <w:top w:w="72" w:type="dxa"/>
              <w:left w:w="144" w:type="dxa"/>
              <w:bottom w:w="72" w:type="dxa"/>
              <w:right w:w="144" w:type="dxa"/>
            </w:tcMar>
            <w:hideMark/>
          </w:tcPr>
          <w:p w14:paraId="5BEBF25B" w14:textId="77777777" w:rsidR="003728B5" w:rsidRPr="00296DB9" w:rsidRDefault="003728B5" w:rsidP="004E786C">
            <w:pPr>
              <w:pStyle w:val="DPCbody"/>
              <w:rPr>
                <w:b/>
                <w:color w:val="FFFFFF" w:themeColor="background1"/>
                <w:sz w:val="18"/>
                <w:szCs w:val="18"/>
              </w:rPr>
            </w:pPr>
            <w:r w:rsidRPr="00296DB9">
              <w:rPr>
                <w:b/>
                <w:color w:val="FFFFFF" w:themeColor="background1"/>
                <w:sz w:val="18"/>
                <w:szCs w:val="18"/>
              </w:rPr>
              <w:t>Technology</w:t>
            </w:r>
          </w:p>
        </w:tc>
      </w:tr>
      <w:tr w:rsidR="003728B5" w:rsidRPr="00296DB9" w14:paraId="7C380376" w14:textId="77777777" w:rsidTr="004E786C">
        <w:trPr>
          <w:cantSplit/>
          <w:trHeight w:val="584"/>
        </w:trPr>
        <w:tc>
          <w:tcPr>
            <w:tcW w:w="995" w:type="dxa"/>
            <w:tcBorders>
              <w:top w:val="single" w:sz="24"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51B08E3B" w14:textId="77777777" w:rsidR="003728B5" w:rsidRPr="00296DB9" w:rsidRDefault="003728B5" w:rsidP="004E786C">
            <w:pPr>
              <w:pStyle w:val="DPCbody"/>
              <w:rPr>
                <w:sz w:val="18"/>
                <w:szCs w:val="18"/>
              </w:rPr>
            </w:pPr>
            <w:r>
              <w:rPr>
                <w:sz w:val="18"/>
                <w:szCs w:val="18"/>
              </w:rPr>
              <w:t>Phase 1</w:t>
            </w:r>
            <w:r w:rsidRPr="00296DB9">
              <w:rPr>
                <w:sz w:val="18"/>
                <w:szCs w:val="18"/>
              </w:rPr>
              <w:br/>
            </w:r>
          </w:p>
        </w:tc>
        <w:tc>
          <w:tcPr>
            <w:tcW w:w="2268" w:type="dxa"/>
            <w:tcBorders>
              <w:top w:val="single" w:sz="24"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7D4D44CC" w14:textId="77777777" w:rsidR="003728B5" w:rsidRDefault="003728B5" w:rsidP="004E786C">
            <w:pPr>
              <w:pStyle w:val="DPCbody"/>
              <w:rPr>
                <w:sz w:val="18"/>
                <w:szCs w:val="18"/>
              </w:rPr>
            </w:pPr>
            <w:r>
              <w:rPr>
                <w:sz w:val="18"/>
                <w:szCs w:val="18"/>
              </w:rPr>
              <w:t xml:space="preserve">Assemble ITAM </w:t>
            </w:r>
            <w:r w:rsidRPr="00F70AA1">
              <w:rPr>
                <w:b/>
                <w:bCs/>
                <w:sz w:val="18"/>
                <w:szCs w:val="18"/>
              </w:rPr>
              <w:t>steering committee</w:t>
            </w:r>
            <w:r>
              <w:rPr>
                <w:b/>
                <w:bCs/>
                <w:sz w:val="18"/>
                <w:szCs w:val="18"/>
              </w:rPr>
              <w:t>/governance board</w:t>
            </w:r>
            <w:r>
              <w:rPr>
                <w:sz w:val="18"/>
                <w:szCs w:val="18"/>
              </w:rPr>
              <w:t xml:space="preserve"> (managers of relevant IT staff, risk and assurance, finance and procurement representatives) and allocate a senior ITAM sponsor (e.g. CIO/CTO)</w:t>
            </w:r>
          </w:p>
          <w:p w14:paraId="18553E5F" w14:textId="77777777" w:rsidR="003728B5" w:rsidRPr="00296DB9" w:rsidRDefault="003728B5" w:rsidP="004E786C">
            <w:pPr>
              <w:pStyle w:val="DPCbody"/>
              <w:rPr>
                <w:sz w:val="18"/>
                <w:szCs w:val="18"/>
              </w:rPr>
            </w:pPr>
            <w:r w:rsidRPr="00296DB9">
              <w:rPr>
                <w:sz w:val="18"/>
                <w:szCs w:val="18"/>
              </w:rPr>
              <w:t>Hire</w:t>
            </w:r>
            <w:r>
              <w:rPr>
                <w:sz w:val="18"/>
                <w:szCs w:val="18"/>
              </w:rPr>
              <w:t xml:space="preserve"> an </w:t>
            </w:r>
            <w:r w:rsidRPr="00F70AA1">
              <w:rPr>
                <w:b/>
                <w:bCs/>
                <w:sz w:val="18"/>
                <w:szCs w:val="18"/>
              </w:rPr>
              <w:t>accountable IT Asset Manager</w:t>
            </w:r>
            <w:r w:rsidRPr="00296DB9">
              <w:rPr>
                <w:sz w:val="18"/>
                <w:szCs w:val="18"/>
              </w:rPr>
              <w:t xml:space="preserve"> or an ITAM Project Manager</w:t>
            </w:r>
            <w:r>
              <w:rPr>
                <w:sz w:val="18"/>
                <w:szCs w:val="18"/>
              </w:rPr>
              <w:t xml:space="preserve"> to manage the uplift process either through a project or BAU program of work</w:t>
            </w:r>
          </w:p>
          <w:p w14:paraId="19468A85" w14:textId="77777777" w:rsidR="003728B5" w:rsidRPr="00296DB9" w:rsidRDefault="003728B5" w:rsidP="004E786C">
            <w:pPr>
              <w:pStyle w:val="DPCbody"/>
              <w:rPr>
                <w:sz w:val="18"/>
                <w:szCs w:val="18"/>
              </w:rPr>
            </w:pPr>
            <w:r w:rsidRPr="00296DB9">
              <w:rPr>
                <w:sz w:val="18"/>
                <w:szCs w:val="18"/>
              </w:rPr>
              <w:t xml:space="preserve">Identity </w:t>
            </w:r>
            <w:r w:rsidRPr="004A1E76">
              <w:rPr>
                <w:b/>
                <w:bCs/>
                <w:sz w:val="18"/>
                <w:szCs w:val="18"/>
              </w:rPr>
              <w:t>staff roles</w:t>
            </w:r>
            <w:r w:rsidRPr="00296DB9">
              <w:rPr>
                <w:sz w:val="18"/>
                <w:szCs w:val="18"/>
              </w:rPr>
              <w:t xml:space="preserve"> and shortages</w:t>
            </w:r>
          </w:p>
          <w:p w14:paraId="423CD926" w14:textId="77777777" w:rsidR="003728B5" w:rsidRDefault="003728B5" w:rsidP="004E786C">
            <w:pPr>
              <w:pStyle w:val="DPCbody"/>
              <w:rPr>
                <w:sz w:val="18"/>
                <w:szCs w:val="18"/>
              </w:rPr>
            </w:pPr>
            <w:r w:rsidRPr="004A1E76">
              <w:rPr>
                <w:b/>
                <w:bCs/>
                <w:sz w:val="18"/>
                <w:szCs w:val="18"/>
              </w:rPr>
              <w:t>Allocate processes</w:t>
            </w:r>
            <w:r>
              <w:rPr>
                <w:sz w:val="18"/>
                <w:szCs w:val="18"/>
              </w:rPr>
              <w:t xml:space="preserve"> and </w:t>
            </w:r>
            <w:r w:rsidRPr="00296DB9">
              <w:rPr>
                <w:sz w:val="18"/>
                <w:szCs w:val="18"/>
              </w:rPr>
              <w:t>KPIs to relevant staff</w:t>
            </w:r>
          </w:p>
          <w:p w14:paraId="33634F90" w14:textId="77777777" w:rsidR="003728B5" w:rsidRPr="00296DB9" w:rsidRDefault="003728B5" w:rsidP="004E786C">
            <w:pPr>
              <w:pStyle w:val="DPCbody"/>
              <w:rPr>
                <w:sz w:val="18"/>
                <w:szCs w:val="18"/>
              </w:rPr>
            </w:pPr>
            <w:r w:rsidRPr="004A1E76">
              <w:rPr>
                <w:b/>
                <w:bCs/>
                <w:sz w:val="18"/>
                <w:szCs w:val="18"/>
              </w:rPr>
              <w:t>Train</w:t>
            </w:r>
            <w:r w:rsidRPr="00296DB9">
              <w:rPr>
                <w:sz w:val="18"/>
                <w:szCs w:val="18"/>
              </w:rPr>
              <w:t xml:space="preserve"> relevant ITAM staff on AMAF</w:t>
            </w:r>
            <w:r>
              <w:rPr>
                <w:sz w:val="18"/>
                <w:szCs w:val="18"/>
              </w:rPr>
              <w:t xml:space="preserve"> and this guidance</w:t>
            </w:r>
          </w:p>
        </w:tc>
        <w:tc>
          <w:tcPr>
            <w:tcW w:w="2126" w:type="dxa"/>
            <w:tcBorders>
              <w:top w:val="single" w:sz="24"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03F0091B" w14:textId="77777777" w:rsidR="003728B5" w:rsidRPr="00296DB9" w:rsidRDefault="003728B5" w:rsidP="004E786C">
            <w:pPr>
              <w:pStyle w:val="DPCbody"/>
              <w:rPr>
                <w:sz w:val="18"/>
                <w:szCs w:val="18"/>
              </w:rPr>
            </w:pPr>
            <w:r>
              <w:rPr>
                <w:sz w:val="18"/>
                <w:szCs w:val="18"/>
              </w:rPr>
              <w:t>Perform a</w:t>
            </w:r>
            <w:r w:rsidRPr="00296DB9">
              <w:rPr>
                <w:sz w:val="18"/>
                <w:szCs w:val="18"/>
              </w:rPr>
              <w:t xml:space="preserve"> </w:t>
            </w:r>
            <w:r w:rsidRPr="00F70AA1">
              <w:rPr>
                <w:b/>
                <w:bCs/>
                <w:sz w:val="18"/>
                <w:szCs w:val="18"/>
              </w:rPr>
              <w:t>baseline maturity assessment</w:t>
            </w:r>
            <w:r w:rsidRPr="00296DB9">
              <w:rPr>
                <w:sz w:val="18"/>
                <w:szCs w:val="18"/>
              </w:rPr>
              <w:t xml:space="preserve"> using AMAF (41 areas)</w:t>
            </w:r>
          </w:p>
          <w:p w14:paraId="2A99F05B" w14:textId="77777777" w:rsidR="003728B5" w:rsidRPr="00296DB9" w:rsidRDefault="003728B5" w:rsidP="004E786C">
            <w:pPr>
              <w:pStyle w:val="DPCbody"/>
              <w:rPr>
                <w:sz w:val="18"/>
                <w:szCs w:val="18"/>
              </w:rPr>
            </w:pPr>
            <w:r w:rsidRPr="00296DB9">
              <w:rPr>
                <w:sz w:val="18"/>
                <w:szCs w:val="18"/>
              </w:rPr>
              <w:t>Implement</w:t>
            </w:r>
            <w:r>
              <w:rPr>
                <w:sz w:val="18"/>
                <w:szCs w:val="18"/>
              </w:rPr>
              <w:t xml:space="preserve"> an</w:t>
            </w:r>
            <w:r w:rsidRPr="00296DB9">
              <w:rPr>
                <w:sz w:val="18"/>
                <w:szCs w:val="18"/>
              </w:rPr>
              <w:t xml:space="preserve"> </w:t>
            </w:r>
            <w:r w:rsidRPr="00F70AA1">
              <w:rPr>
                <w:b/>
                <w:bCs/>
                <w:sz w:val="18"/>
                <w:szCs w:val="18"/>
              </w:rPr>
              <w:t>IT Change Contro</w:t>
            </w:r>
            <w:r w:rsidRPr="00296DB9">
              <w:rPr>
                <w:sz w:val="18"/>
                <w:szCs w:val="18"/>
              </w:rPr>
              <w:t>l CMDB update hook</w:t>
            </w:r>
            <w:r>
              <w:rPr>
                <w:sz w:val="18"/>
                <w:szCs w:val="18"/>
              </w:rPr>
              <w:t xml:space="preserve"> (e.g. no PROD release until the CMDB is updated)</w:t>
            </w:r>
          </w:p>
          <w:p w14:paraId="6EA69897" w14:textId="77777777" w:rsidR="003728B5" w:rsidRPr="00296DB9" w:rsidRDefault="003728B5" w:rsidP="004E786C">
            <w:pPr>
              <w:pStyle w:val="DPCbody"/>
              <w:rPr>
                <w:sz w:val="18"/>
                <w:szCs w:val="18"/>
              </w:rPr>
            </w:pPr>
            <w:r w:rsidRPr="00296DB9">
              <w:rPr>
                <w:sz w:val="18"/>
                <w:szCs w:val="18"/>
              </w:rPr>
              <w:t xml:space="preserve">Implement </w:t>
            </w:r>
            <w:r>
              <w:rPr>
                <w:sz w:val="18"/>
                <w:szCs w:val="18"/>
              </w:rPr>
              <w:t xml:space="preserve">an </w:t>
            </w:r>
            <w:r w:rsidRPr="00296DB9">
              <w:rPr>
                <w:sz w:val="18"/>
                <w:szCs w:val="18"/>
              </w:rPr>
              <w:t xml:space="preserve">Enterprise Architecture </w:t>
            </w:r>
            <w:r w:rsidRPr="00F70AA1">
              <w:rPr>
                <w:b/>
                <w:bCs/>
                <w:sz w:val="18"/>
                <w:szCs w:val="18"/>
              </w:rPr>
              <w:t>forward planning</w:t>
            </w:r>
            <w:r>
              <w:rPr>
                <w:sz w:val="18"/>
                <w:szCs w:val="18"/>
              </w:rPr>
              <w:t xml:space="preserve"> process (minimum 12 months ahead)</w:t>
            </w:r>
          </w:p>
        </w:tc>
        <w:tc>
          <w:tcPr>
            <w:tcW w:w="2126" w:type="dxa"/>
            <w:tcBorders>
              <w:top w:val="single" w:sz="24"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0838C847" w14:textId="77777777" w:rsidR="003728B5" w:rsidRPr="00296DB9" w:rsidRDefault="003728B5" w:rsidP="004E786C">
            <w:pPr>
              <w:pStyle w:val="DPCbody"/>
              <w:rPr>
                <w:sz w:val="18"/>
                <w:szCs w:val="18"/>
              </w:rPr>
            </w:pPr>
            <w:r w:rsidRPr="00296DB9">
              <w:rPr>
                <w:sz w:val="18"/>
                <w:szCs w:val="18"/>
              </w:rPr>
              <w:t xml:space="preserve">Configure CMDB to the </w:t>
            </w:r>
            <w:r w:rsidRPr="00F70AA1">
              <w:rPr>
                <w:b/>
                <w:bCs/>
                <w:sz w:val="18"/>
                <w:szCs w:val="18"/>
              </w:rPr>
              <w:t>WoVG standard fields</w:t>
            </w:r>
            <w:r w:rsidRPr="00296DB9">
              <w:rPr>
                <w:sz w:val="18"/>
                <w:szCs w:val="18"/>
              </w:rPr>
              <w:t xml:space="preserve"> for Applications and Infrastructure</w:t>
            </w:r>
          </w:p>
          <w:p w14:paraId="0568032B" w14:textId="77777777" w:rsidR="003728B5" w:rsidRPr="00296DB9" w:rsidRDefault="003728B5" w:rsidP="004E786C">
            <w:pPr>
              <w:pStyle w:val="DPCbody"/>
              <w:rPr>
                <w:sz w:val="18"/>
                <w:szCs w:val="18"/>
              </w:rPr>
            </w:pPr>
            <w:r w:rsidRPr="00296DB9">
              <w:rPr>
                <w:sz w:val="18"/>
                <w:szCs w:val="18"/>
              </w:rPr>
              <w:t xml:space="preserve">Identify </w:t>
            </w:r>
            <w:r>
              <w:rPr>
                <w:sz w:val="18"/>
                <w:szCs w:val="18"/>
              </w:rPr>
              <w:t xml:space="preserve">IT asset </w:t>
            </w:r>
            <w:r w:rsidRPr="00296DB9">
              <w:rPr>
                <w:sz w:val="18"/>
                <w:szCs w:val="18"/>
              </w:rPr>
              <w:t>data shortcomings</w:t>
            </w:r>
            <w:r>
              <w:rPr>
                <w:sz w:val="18"/>
                <w:szCs w:val="18"/>
              </w:rPr>
              <w:t xml:space="preserve"> (priority is the data accuracy of BIL 3+ systems)</w:t>
            </w:r>
          </w:p>
        </w:tc>
        <w:tc>
          <w:tcPr>
            <w:tcW w:w="2071" w:type="dxa"/>
            <w:tcBorders>
              <w:top w:val="single" w:sz="24"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024E4504" w14:textId="77777777" w:rsidR="003728B5" w:rsidRPr="00296DB9" w:rsidRDefault="003728B5" w:rsidP="004E786C">
            <w:pPr>
              <w:pStyle w:val="DPCbody"/>
              <w:rPr>
                <w:sz w:val="18"/>
                <w:szCs w:val="18"/>
              </w:rPr>
            </w:pPr>
            <w:r w:rsidRPr="00296DB9">
              <w:rPr>
                <w:sz w:val="18"/>
                <w:szCs w:val="18"/>
              </w:rPr>
              <w:t xml:space="preserve">Start using </w:t>
            </w:r>
            <w:r>
              <w:rPr>
                <w:sz w:val="18"/>
                <w:szCs w:val="18"/>
              </w:rPr>
              <w:t xml:space="preserve">a </w:t>
            </w:r>
            <w:r w:rsidRPr="00F70AA1">
              <w:rPr>
                <w:b/>
                <w:bCs/>
                <w:sz w:val="18"/>
                <w:szCs w:val="18"/>
              </w:rPr>
              <w:t>modern</w:t>
            </w:r>
            <w:r>
              <w:rPr>
                <w:b/>
                <w:bCs/>
                <w:sz w:val="18"/>
                <w:szCs w:val="18"/>
              </w:rPr>
              <w:t xml:space="preserve"> </w:t>
            </w:r>
            <w:r w:rsidRPr="00F70AA1">
              <w:rPr>
                <w:b/>
                <w:bCs/>
                <w:sz w:val="18"/>
                <w:szCs w:val="18"/>
              </w:rPr>
              <w:t>CMDB</w:t>
            </w:r>
            <w:r w:rsidRPr="00296DB9">
              <w:rPr>
                <w:sz w:val="18"/>
                <w:szCs w:val="18"/>
              </w:rPr>
              <w:t xml:space="preserve"> (IT</w:t>
            </w:r>
            <w:r>
              <w:rPr>
                <w:sz w:val="18"/>
                <w:szCs w:val="18"/>
              </w:rPr>
              <w:t>SM</w:t>
            </w:r>
            <w:r w:rsidRPr="00296DB9">
              <w:rPr>
                <w:sz w:val="18"/>
                <w:szCs w:val="18"/>
              </w:rPr>
              <w:t>) system (if not already)</w:t>
            </w:r>
          </w:p>
          <w:p w14:paraId="0FBA6D5E" w14:textId="77777777" w:rsidR="003728B5" w:rsidRDefault="003728B5" w:rsidP="004E786C">
            <w:pPr>
              <w:pStyle w:val="DPCbody"/>
              <w:rPr>
                <w:sz w:val="18"/>
                <w:szCs w:val="18"/>
              </w:rPr>
            </w:pPr>
            <w:r w:rsidRPr="00296DB9">
              <w:rPr>
                <w:sz w:val="18"/>
                <w:szCs w:val="18"/>
              </w:rPr>
              <w:t xml:space="preserve">Implement </w:t>
            </w:r>
            <w:r w:rsidRPr="003D2832">
              <w:rPr>
                <w:b/>
                <w:bCs/>
                <w:sz w:val="18"/>
                <w:szCs w:val="18"/>
              </w:rPr>
              <w:t>discovery/scanning tools</w:t>
            </w:r>
          </w:p>
          <w:p w14:paraId="7E026A7E" w14:textId="77777777" w:rsidR="003728B5" w:rsidRDefault="003728B5" w:rsidP="004E786C">
            <w:pPr>
              <w:pStyle w:val="DPCbody"/>
              <w:rPr>
                <w:sz w:val="18"/>
                <w:szCs w:val="18"/>
              </w:rPr>
            </w:pPr>
            <w:r w:rsidRPr="002A415A">
              <w:rPr>
                <w:b/>
                <w:bCs/>
                <w:sz w:val="18"/>
                <w:szCs w:val="18"/>
              </w:rPr>
              <w:t>Decommission</w:t>
            </w:r>
            <w:r>
              <w:rPr>
                <w:sz w:val="18"/>
                <w:szCs w:val="18"/>
              </w:rPr>
              <w:t xml:space="preserve"> unused public websites/Domain Names</w:t>
            </w:r>
          </w:p>
          <w:p w14:paraId="3DBC4F39" w14:textId="77777777" w:rsidR="003728B5" w:rsidRPr="00296DB9" w:rsidRDefault="003728B5" w:rsidP="004E786C">
            <w:pPr>
              <w:pStyle w:val="DPCbody"/>
              <w:rPr>
                <w:sz w:val="18"/>
                <w:szCs w:val="18"/>
              </w:rPr>
            </w:pPr>
            <w:r w:rsidRPr="0097552C">
              <w:rPr>
                <w:b/>
                <w:bCs/>
                <w:sz w:val="18"/>
                <w:szCs w:val="18"/>
              </w:rPr>
              <w:t>Decommission</w:t>
            </w:r>
            <w:r>
              <w:rPr>
                <w:sz w:val="18"/>
                <w:szCs w:val="18"/>
              </w:rPr>
              <w:t xml:space="preserve"> unused and unsupported servers</w:t>
            </w:r>
          </w:p>
        </w:tc>
      </w:tr>
      <w:tr w:rsidR="003728B5" w:rsidRPr="00296DB9" w14:paraId="12B10442" w14:textId="77777777" w:rsidTr="004E786C">
        <w:trPr>
          <w:cantSplit/>
          <w:trHeight w:val="584"/>
        </w:trPr>
        <w:tc>
          <w:tcPr>
            <w:tcW w:w="995"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0BE9CA32" w14:textId="77777777" w:rsidR="003728B5" w:rsidRPr="00296DB9" w:rsidRDefault="003728B5" w:rsidP="004E786C">
            <w:pPr>
              <w:pStyle w:val="DPCbody"/>
              <w:rPr>
                <w:sz w:val="18"/>
                <w:szCs w:val="18"/>
              </w:rPr>
            </w:pPr>
            <w:r>
              <w:rPr>
                <w:sz w:val="18"/>
                <w:szCs w:val="18"/>
              </w:rPr>
              <w:lastRenderedPageBreak/>
              <w:t>Phase 2</w:t>
            </w:r>
            <w:r w:rsidRPr="00296DB9">
              <w:rPr>
                <w:sz w:val="18"/>
                <w:szCs w:val="18"/>
              </w:rPr>
              <w:br/>
            </w:r>
          </w:p>
        </w:tc>
        <w:tc>
          <w:tcPr>
            <w:tcW w:w="2268"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22FE8B40" w14:textId="77777777" w:rsidR="003728B5" w:rsidRPr="00296DB9" w:rsidRDefault="003728B5" w:rsidP="004E786C">
            <w:pPr>
              <w:pStyle w:val="DPCbody"/>
              <w:spacing w:after="0"/>
              <w:rPr>
                <w:rFonts w:ascii="Arial" w:hAnsi="Arial"/>
                <w:b/>
                <w:bCs/>
              </w:rPr>
            </w:pPr>
            <w:r w:rsidRPr="7E92141B">
              <w:rPr>
                <w:rFonts w:ascii="Arial" w:hAnsi="Arial"/>
                <w:b/>
                <w:bCs/>
              </w:rPr>
              <w:t xml:space="preserve"> </w:t>
            </w:r>
          </w:p>
        </w:tc>
        <w:tc>
          <w:tcPr>
            <w:tcW w:w="2126"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1A30DABD" w14:textId="77777777" w:rsidR="003728B5" w:rsidRPr="00296DB9" w:rsidRDefault="003728B5" w:rsidP="004E786C">
            <w:pPr>
              <w:pStyle w:val="DPCbody"/>
              <w:rPr>
                <w:sz w:val="18"/>
                <w:szCs w:val="18"/>
              </w:rPr>
            </w:pPr>
            <w:r w:rsidRPr="00296DB9">
              <w:rPr>
                <w:sz w:val="18"/>
                <w:szCs w:val="18"/>
              </w:rPr>
              <w:t xml:space="preserve">Do </w:t>
            </w:r>
            <w:r w:rsidRPr="001C2DDA">
              <w:rPr>
                <w:b/>
                <w:bCs/>
                <w:sz w:val="18"/>
                <w:szCs w:val="18"/>
              </w:rPr>
              <w:t>baseline KPI assessment</w:t>
            </w:r>
            <w:r w:rsidRPr="00296DB9">
              <w:rPr>
                <w:sz w:val="18"/>
                <w:szCs w:val="18"/>
              </w:rPr>
              <w:t xml:space="preserve"> against WoVG ITAM KPIs</w:t>
            </w:r>
          </w:p>
          <w:p w14:paraId="5F4438E2" w14:textId="77777777" w:rsidR="003728B5" w:rsidRPr="00296DB9" w:rsidRDefault="003728B5" w:rsidP="004E786C">
            <w:pPr>
              <w:pStyle w:val="DPCbody"/>
              <w:rPr>
                <w:sz w:val="18"/>
                <w:szCs w:val="18"/>
              </w:rPr>
            </w:pPr>
            <w:r w:rsidRPr="00296DB9">
              <w:rPr>
                <w:sz w:val="18"/>
                <w:szCs w:val="18"/>
              </w:rPr>
              <w:t xml:space="preserve">Achieve minimum WoVG KPIs for all </w:t>
            </w:r>
            <w:r w:rsidRPr="00F70AA1">
              <w:rPr>
                <w:b/>
                <w:bCs/>
                <w:sz w:val="18"/>
                <w:szCs w:val="18"/>
              </w:rPr>
              <w:t>Essential 8</w:t>
            </w:r>
            <w:r w:rsidRPr="00296DB9">
              <w:rPr>
                <w:sz w:val="18"/>
                <w:szCs w:val="18"/>
              </w:rPr>
              <w:t>-related KPI</w:t>
            </w:r>
            <w:r w:rsidRPr="001C2DDA">
              <w:rPr>
                <w:sz w:val="18"/>
                <w:szCs w:val="18"/>
              </w:rPr>
              <w:t>s</w:t>
            </w:r>
            <w:r>
              <w:rPr>
                <w:sz w:val="18"/>
                <w:szCs w:val="18"/>
              </w:rPr>
              <w:t xml:space="preserve"> to </w:t>
            </w:r>
            <w:r w:rsidRPr="001C2DDA">
              <w:rPr>
                <w:sz w:val="18"/>
                <w:szCs w:val="18"/>
              </w:rPr>
              <w:t xml:space="preserve">Level </w:t>
            </w:r>
            <w:r>
              <w:rPr>
                <w:sz w:val="18"/>
                <w:szCs w:val="18"/>
              </w:rPr>
              <w:t>3</w:t>
            </w:r>
            <w:r w:rsidRPr="001C2DDA">
              <w:rPr>
                <w:sz w:val="18"/>
                <w:szCs w:val="18"/>
              </w:rPr>
              <w:t xml:space="preserve"> </w:t>
            </w:r>
            <w:r>
              <w:rPr>
                <w:sz w:val="18"/>
                <w:szCs w:val="18"/>
              </w:rPr>
              <w:t>(</w:t>
            </w:r>
            <w:r w:rsidRPr="001C2DDA">
              <w:rPr>
                <w:sz w:val="18"/>
                <w:szCs w:val="18"/>
              </w:rPr>
              <w:t>“Competence”)</w:t>
            </w:r>
          </w:p>
          <w:p w14:paraId="57472718" w14:textId="77777777" w:rsidR="003728B5" w:rsidRPr="00296DB9" w:rsidRDefault="003728B5" w:rsidP="004E786C">
            <w:pPr>
              <w:pStyle w:val="DPCbody"/>
              <w:rPr>
                <w:sz w:val="18"/>
                <w:szCs w:val="18"/>
              </w:rPr>
            </w:pPr>
            <w:r w:rsidRPr="00296DB9">
              <w:rPr>
                <w:sz w:val="18"/>
                <w:szCs w:val="18"/>
              </w:rPr>
              <w:t xml:space="preserve">Implement </w:t>
            </w:r>
            <w:r w:rsidRPr="001C2DDA">
              <w:rPr>
                <w:b/>
                <w:bCs/>
                <w:sz w:val="18"/>
                <w:szCs w:val="18"/>
              </w:rPr>
              <w:t>IT Procurement visibility</w:t>
            </w:r>
            <w:r w:rsidRPr="00296DB9">
              <w:rPr>
                <w:sz w:val="18"/>
                <w:szCs w:val="18"/>
              </w:rPr>
              <w:t xml:space="preserve"> </w:t>
            </w:r>
            <w:r>
              <w:rPr>
                <w:sz w:val="18"/>
                <w:szCs w:val="18"/>
              </w:rPr>
              <w:t xml:space="preserve">governance </w:t>
            </w:r>
            <w:r w:rsidRPr="00296DB9">
              <w:rPr>
                <w:sz w:val="18"/>
                <w:szCs w:val="18"/>
              </w:rPr>
              <w:t>hook</w:t>
            </w:r>
            <w:r>
              <w:rPr>
                <w:sz w:val="18"/>
                <w:szCs w:val="18"/>
              </w:rPr>
              <w:t>s (esp. to capture cloud and shadow assets)</w:t>
            </w:r>
          </w:p>
        </w:tc>
        <w:tc>
          <w:tcPr>
            <w:tcW w:w="2126"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5FB39A42" w14:textId="77777777" w:rsidR="003728B5" w:rsidRDefault="003728B5" w:rsidP="004E786C">
            <w:pPr>
              <w:pStyle w:val="DPCbody"/>
              <w:rPr>
                <w:sz w:val="18"/>
                <w:szCs w:val="18"/>
              </w:rPr>
            </w:pPr>
            <w:r w:rsidRPr="00296DB9">
              <w:rPr>
                <w:sz w:val="18"/>
                <w:szCs w:val="18"/>
              </w:rPr>
              <w:t xml:space="preserve">Uplift </w:t>
            </w:r>
            <w:r w:rsidRPr="000A560B">
              <w:rPr>
                <w:b/>
                <w:bCs/>
                <w:sz w:val="18"/>
                <w:szCs w:val="18"/>
              </w:rPr>
              <w:t>Application</w:t>
            </w:r>
            <w:r w:rsidRPr="00296DB9">
              <w:rPr>
                <w:sz w:val="18"/>
                <w:szCs w:val="18"/>
              </w:rPr>
              <w:t xml:space="preserve"> data coverage and quality (including SaaS and shadow systems)</w:t>
            </w:r>
          </w:p>
          <w:p w14:paraId="0831CE51" w14:textId="77777777" w:rsidR="003728B5" w:rsidRPr="00296DB9" w:rsidRDefault="003728B5" w:rsidP="004E786C">
            <w:pPr>
              <w:pStyle w:val="DPCbody"/>
              <w:rPr>
                <w:sz w:val="18"/>
                <w:szCs w:val="18"/>
              </w:rPr>
            </w:pPr>
            <w:r>
              <w:rPr>
                <w:sz w:val="18"/>
                <w:szCs w:val="18"/>
              </w:rPr>
              <w:t xml:space="preserve">Define </w:t>
            </w:r>
            <w:r w:rsidRPr="005A29B6">
              <w:rPr>
                <w:b/>
                <w:bCs/>
                <w:sz w:val="18"/>
                <w:szCs w:val="18"/>
              </w:rPr>
              <w:t>mappings</w:t>
            </w:r>
            <w:r>
              <w:rPr>
                <w:sz w:val="18"/>
                <w:szCs w:val="18"/>
              </w:rPr>
              <w:t xml:space="preserve"> between IT assets</w:t>
            </w:r>
          </w:p>
          <w:p w14:paraId="79C4A1F5" w14:textId="77777777" w:rsidR="003728B5" w:rsidRPr="0095278D" w:rsidRDefault="003728B5" w:rsidP="004E786C">
            <w:pPr>
              <w:pStyle w:val="DPCbody"/>
              <w:rPr>
                <w:sz w:val="18"/>
                <w:szCs w:val="18"/>
              </w:rPr>
            </w:pPr>
            <w:r w:rsidRPr="000A560B">
              <w:rPr>
                <w:sz w:val="18"/>
                <w:szCs w:val="18"/>
              </w:rPr>
              <w:t xml:space="preserve">Meet </w:t>
            </w:r>
            <w:r w:rsidRPr="000A560B">
              <w:rPr>
                <w:b/>
                <w:bCs/>
                <w:sz w:val="18"/>
                <w:szCs w:val="18"/>
              </w:rPr>
              <w:t xml:space="preserve">End User </w:t>
            </w:r>
            <w:r>
              <w:rPr>
                <w:b/>
                <w:bCs/>
                <w:sz w:val="18"/>
                <w:szCs w:val="18"/>
              </w:rPr>
              <w:t>Administration</w:t>
            </w:r>
            <w:r w:rsidRPr="000A560B">
              <w:rPr>
                <w:sz w:val="18"/>
                <w:szCs w:val="18"/>
              </w:rPr>
              <w:t xml:space="preserve"> minimum KPIs</w:t>
            </w:r>
            <w:r>
              <w:rPr>
                <w:sz w:val="18"/>
                <w:szCs w:val="18"/>
              </w:rPr>
              <w:t xml:space="preserve"> across all areas</w:t>
            </w:r>
          </w:p>
          <w:p w14:paraId="07863E7A" w14:textId="77777777" w:rsidR="003728B5" w:rsidRPr="00124B6A" w:rsidRDefault="003728B5" w:rsidP="004E786C">
            <w:pPr>
              <w:jc w:val="right"/>
            </w:pPr>
          </w:p>
        </w:tc>
        <w:tc>
          <w:tcPr>
            <w:tcW w:w="2071"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44177535" w14:textId="77777777" w:rsidR="003728B5" w:rsidRDefault="003728B5" w:rsidP="004E786C">
            <w:pPr>
              <w:pStyle w:val="DPCbody"/>
              <w:rPr>
                <w:sz w:val="18"/>
                <w:szCs w:val="18"/>
              </w:rPr>
            </w:pPr>
            <w:r w:rsidRPr="00296DB9">
              <w:rPr>
                <w:sz w:val="18"/>
                <w:szCs w:val="18"/>
              </w:rPr>
              <w:t xml:space="preserve">Integrate ongoing </w:t>
            </w:r>
            <w:r w:rsidRPr="009932A3">
              <w:rPr>
                <w:b/>
                <w:bCs/>
                <w:sz w:val="18"/>
                <w:szCs w:val="18"/>
              </w:rPr>
              <w:t>scanning data feeds</w:t>
            </w:r>
            <w:r w:rsidRPr="00296DB9">
              <w:rPr>
                <w:sz w:val="18"/>
                <w:szCs w:val="18"/>
              </w:rPr>
              <w:t xml:space="preserve"> into CMDB</w:t>
            </w:r>
          </w:p>
          <w:p w14:paraId="52F85682" w14:textId="77777777" w:rsidR="003728B5" w:rsidRPr="009932A3" w:rsidRDefault="003728B5" w:rsidP="004E786C">
            <w:pPr>
              <w:pStyle w:val="DPCbody"/>
              <w:rPr>
                <w:sz w:val="18"/>
                <w:szCs w:val="18"/>
              </w:rPr>
            </w:pPr>
            <w:r w:rsidRPr="009932A3">
              <w:rPr>
                <w:sz w:val="18"/>
                <w:szCs w:val="18"/>
              </w:rPr>
              <w:t xml:space="preserve">Commence </w:t>
            </w:r>
            <w:r>
              <w:rPr>
                <w:sz w:val="18"/>
                <w:szCs w:val="18"/>
              </w:rPr>
              <w:t>regular and</w:t>
            </w:r>
            <w:r w:rsidRPr="009932A3">
              <w:rPr>
                <w:sz w:val="18"/>
                <w:szCs w:val="18"/>
              </w:rPr>
              <w:t xml:space="preserve"> automated </w:t>
            </w:r>
            <w:r w:rsidRPr="00D50964">
              <w:rPr>
                <w:b/>
                <w:bCs/>
                <w:sz w:val="18"/>
                <w:szCs w:val="18"/>
              </w:rPr>
              <w:t>reporting</w:t>
            </w:r>
          </w:p>
          <w:p w14:paraId="1C1B946B" w14:textId="77777777" w:rsidR="003728B5" w:rsidRDefault="003728B5" w:rsidP="004E786C">
            <w:pPr>
              <w:pStyle w:val="DPCbody"/>
              <w:rPr>
                <w:sz w:val="18"/>
                <w:szCs w:val="18"/>
              </w:rPr>
            </w:pPr>
            <w:r w:rsidRPr="009932A3">
              <w:rPr>
                <w:sz w:val="18"/>
                <w:szCs w:val="18"/>
              </w:rPr>
              <w:t xml:space="preserve">Identity </w:t>
            </w:r>
            <w:r w:rsidRPr="009932A3">
              <w:rPr>
                <w:b/>
                <w:bCs/>
                <w:sz w:val="18"/>
                <w:szCs w:val="18"/>
              </w:rPr>
              <w:t>IaaS</w:t>
            </w:r>
            <w:r w:rsidRPr="009932A3">
              <w:rPr>
                <w:sz w:val="18"/>
                <w:szCs w:val="18"/>
              </w:rPr>
              <w:t xml:space="preserve"> platform accounts/tenants/subscriptions (e.g. AWS, Azure, GCP) inc. owners</w:t>
            </w:r>
          </w:p>
          <w:p w14:paraId="69198284" w14:textId="77777777" w:rsidR="003728B5" w:rsidRPr="00296DB9" w:rsidRDefault="003728B5" w:rsidP="004E786C">
            <w:pPr>
              <w:pStyle w:val="DPCbody"/>
              <w:rPr>
                <w:sz w:val="18"/>
                <w:szCs w:val="18"/>
              </w:rPr>
            </w:pPr>
            <w:r w:rsidRPr="00DE0564">
              <w:rPr>
                <w:b/>
                <w:bCs/>
                <w:sz w:val="18"/>
                <w:szCs w:val="18"/>
              </w:rPr>
              <w:t>Decommission</w:t>
            </w:r>
            <w:r>
              <w:rPr>
                <w:sz w:val="18"/>
                <w:szCs w:val="18"/>
              </w:rPr>
              <w:t xml:space="preserve"> unused IaaS and SaaS services</w:t>
            </w:r>
          </w:p>
        </w:tc>
      </w:tr>
      <w:tr w:rsidR="003728B5" w:rsidRPr="00296DB9" w14:paraId="6BA6BFAE" w14:textId="77777777" w:rsidTr="004E786C">
        <w:trPr>
          <w:cantSplit/>
          <w:trHeight w:val="584"/>
        </w:trPr>
        <w:tc>
          <w:tcPr>
            <w:tcW w:w="995"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2BFD0695" w14:textId="77777777" w:rsidR="003728B5" w:rsidRPr="00296DB9" w:rsidRDefault="003728B5" w:rsidP="004E786C">
            <w:pPr>
              <w:pStyle w:val="DPCbody"/>
              <w:rPr>
                <w:sz w:val="18"/>
                <w:szCs w:val="18"/>
              </w:rPr>
            </w:pPr>
            <w:r>
              <w:rPr>
                <w:sz w:val="18"/>
                <w:szCs w:val="18"/>
              </w:rPr>
              <w:t>Phase 3</w:t>
            </w:r>
            <w:r w:rsidRPr="00296DB9">
              <w:rPr>
                <w:sz w:val="18"/>
                <w:szCs w:val="18"/>
              </w:rPr>
              <w:br/>
            </w:r>
          </w:p>
        </w:tc>
        <w:tc>
          <w:tcPr>
            <w:tcW w:w="2268"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24F25B38" w14:textId="77777777" w:rsidR="003728B5" w:rsidRPr="00296DB9" w:rsidRDefault="003728B5" w:rsidP="004E786C">
            <w:pPr>
              <w:pStyle w:val="DPCbody"/>
              <w:rPr>
                <w:sz w:val="18"/>
                <w:szCs w:val="18"/>
              </w:rPr>
            </w:pPr>
            <w:r w:rsidRPr="00D50964">
              <w:rPr>
                <w:b/>
                <w:bCs/>
                <w:sz w:val="18"/>
                <w:szCs w:val="18"/>
              </w:rPr>
              <w:t>Reinforce the need</w:t>
            </w:r>
            <w:r w:rsidRPr="00D50964">
              <w:rPr>
                <w:sz w:val="18"/>
                <w:szCs w:val="18"/>
              </w:rPr>
              <w:t xml:space="preserve"> for ITAM responsibilities and improvements across the business through socialisation, awareness and reporting</w:t>
            </w:r>
          </w:p>
        </w:tc>
        <w:tc>
          <w:tcPr>
            <w:tcW w:w="2126"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00A24C10" w14:textId="77777777" w:rsidR="003728B5" w:rsidRDefault="003728B5" w:rsidP="004E786C">
            <w:pPr>
              <w:pStyle w:val="DPCbody"/>
              <w:rPr>
                <w:sz w:val="18"/>
                <w:szCs w:val="18"/>
              </w:rPr>
            </w:pPr>
            <w:r w:rsidRPr="00296DB9">
              <w:rPr>
                <w:sz w:val="18"/>
                <w:szCs w:val="18"/>
              </w:rPr>
              <w:t xml:space="preserve">Achieve </w:t>
            </w:r>
            <w:r w:rsidRPr="008E5EA4">
              <w:rPr>
                <w:b/>
                <w:bCs/>
                <w:sz w:val="18"/>
                <w:szCs w:val="18"/>
              </w:rPr>
              <w:t>Security Patching</w:t>
            </w:r>
            <w:r w:rsidRPr="00296DB9">
              <w:rPr>
                <w:sz w:val="18"/>
                <w:szCs w:val="18"/>
              </w:rPr>
              <w:t xml:space="preserve"> KPIs </w:t>
            </w:r>
            <w:r>
              <w:rPr>
                <w:sz w:val="18"/>
                <w:szCs w:val="18"/>
              </w:rPr>
              <w:t xml:space="preserve">to </w:t>
            </w:r>
            <w:r w:rsidRPr="00296DB9">
              <w:rPr>
                <w:sz w:val="18"/>
                <w:szCs w:val="18"/>
              </w:rPr>
              <w:t xml:space="preserve">Level 3 </w:t>
            </w:r>
            <w:r>
              <w:rPr>
                <w:sz w:val="18"/>
                <w:szCs w:val="18"/>
              </w:rPr>
              <w:t>(</w:t>
            </w:r>
            <w:r w:rsidRPr="00296DB9">
              <w:rPr>
                <w:sz w:val="18"/>
                <w:szCs w:val="18"/>
              </w:rPr>
              <w:t>“Competence”)</w:t>
            </w:r>
          </w:p>
          <w:p w14:paraId="6D4CB7AF" w14:textId="77777777" w:rsidR="003728B5" w:rsidRDefault="003728B5" w:rsidP="004E786C">
            <w:pPr>
              <w:pStyle w:val="DPCbody"/>
              <w:rPr>
                <w:sz w:val="18"/>
                <w:szCs w:val="18"/>
              </w:rPr>
            </w:pPr>
            <w:r w:rsidRPr="00296DB9">
              <w:rPr>
                <w:sz w:val="18"/>
                <w:szCs w:val="18"/>
              </w:rPr>
              <w:t xml:space="preserve">Achieve </w:t>
            </w:r>
            <w:r w:rsidRPr="007C66CD">
              <w:rPr>
                <w:b/>
                <w:bCs/>
                <w:sz w:val="18"/>
                <w:szCs w:val="18"/>
              </w:rPr>
              <w:t>Asset Disposal</w:t>
            </w:r>
            <w:r w:rsidRPr="00296DB9">
              <w:rPr>
                <w:sz w:val="18"/>
                <w:szCs w:val="18"/>
              </w:rPr>
              <w:t xml:space="preserve"> KPIs </w:t>
            </w:r>
            <w:r>
              <w:rPr>
                <w:sz w:val="18"/>
                <w:szCs w:val="18"/>
              </w:rPr>
              <w:t xml:space="preserve">to </w:t>
            </w:r>
            <w:r w:rsidRPr="00296DB9">
              <w:rPr>
                <w:sz w:val="18"/>
                <w:szCs w:val="18"/>
              </w:rPr>
              <w:t xml:space="preserve">Level </w:t>
            </w:r>
            <w:r>
              <w:rPr>
                <w:sz w:val="18"/>
                <w:szCs w:val="18"/>
              </w:rPr>
              <w:t>3</w:t>
            </w:r>
            <w:r w:rsidRPr="00296DB9">
              <w:rPr>
                <w:sz w:val="18"/>
                <w:szCs w:val="18"/>
              </w:rPr>
              <w:t xml:space="preserve"> </w:t>
            </w:r>
            <w:r>
              <w:rPr>
                <w:sz w:val="18"/>
                <w:szCs w:val="18"/>
              </w:rPr>
              <w:t>(</w:t>
            </w:r>
            <w:r w:rsidRPr="00296DB9">
              <w:rPr>
                <w:sz w:val="18"/>
                <w:szCs w:val="18"/>
              </w:rPr>
              <w:t>“Competence”</w:t>
            </w:r>
            <w:r>
              <w:rPr>
                <w:sz w:val="18"/>
                <w:szCs w:val="18"/>
              </w:rPr>
              <w:t>)</w:t>
            </w:r>
          </w:p>
          <w:p w14:paraId="332FA56B" w14:textId="77777777" w:rsidR="003728B5" w:rsidRDefault="003728B5" w:rsidP="004E786C">
            <w:pPr>
              <w:pStyle w:val="DPCbody"/>
              <w:rPr>
                <w:sz w:val="18"/>
                <w:szCs w:val="18"/>
              </w:rPr>
            </w:pPr>
          </w:p>
          <w:p w14:paraId="45E9CE04" w14:textId="77777777" w:rsidR="003728B5" w:rsidRPr="00296DB9" w:rsidRDefault="003728B5" w:rsidP="004E786C">
            <w:pPr>
              <w:pStyle w:val="DPCbody"/>
              <w:rPr>
                <w:sz w:val="18"/>
                <w:szCs w:val="18"/>
              </w:rPr>
            </w:pPr>
          </w:p>
        </w:tc>
        <w:tc>
          <w:tcPr>
            <w:tcW w:w="2126"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3591489E" w14:textId="77777777" w:rsidR="003728B5" w:rsidRDefault="003728B5" w:rsidP="004E786C">
            <w:pPr>
              <w:pStyle w:val="DPCbody"/>
              <w:rPr>
                <w:sz w:val="18"/>
                <w:szCs w:val="18"/>
              </w:rPr>
            </w:pPr>
            <w:r w:rsidRPr="00296DB9">
              <w:rPr>
                <w:sz w:val="18"/>
                <w:szCs w:val="18"/>
              </w:rPr>
              <w:t xml:space="preserve">Uplift </w:t>
            </w:r>
            <w:r w:rsidRPr="006021AE">
              <w:rPr>
                <w:b/>
                <w:bCs/>
                <w:sz w:val="18"/>
                <w:szCs w:val="18"/>
              </w:rPr>
              <w:t>Infrastructure</w:t>
            </w:r>
            <w:r w:rsidRPr="00296DB9">
              <w:rPr>
                <w:sz w:val="18"/>
                <w:szCs w:val="18"/>
              </w:rPr>
              <w:t xml:space="preserve"> data coverage and quality</w:t>
            </w:r>
          </w:p>
          <w:p w14:paraId="219BB516" w14:textId="77777777" w:rsidR="003728B5" w:rsidRPr="00124B6A" w:rsidRDefault="003728B5" w:rsidP="004E786C">
            <w:pPr>
              <w:pStyle w:val="DPCbody"/>
            </w:pPr>
          </w:p>
        </w:tc>
        <w:tc>
          <w:tcPr>
            <w:tcW w:w="2071"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6D7EBEBE" w14:textId="77777777" w:rsidR="003728B5" w:rsidRDefault="003728B5" w:rsidP="004E786C">
            <w:pPr>
              <w:pStyle w:val="DPCbody"/>
              <w:rPr>
                <w:sz w:val="18"/>
                <w:szCs w:val="18"/>
              </w:rPr>
            </w:pPr>
            <w:r>
              <w:rPr>
                <w:sz w:val="18"/>
                <w:szCs w:val="18"/>
              </w:rPr>
              <w:t xml:space="preserve">Implement ongoing </w:t>
            </w:r>
            <w:r w:rsidRPr="008E5EA4">
              <w:rPr>
                <w:b/>
                <w:bCs/>
                <w:sz w:val="18"/>
                <w:szCs w:val="18"/>
              </w:rPr>
              <w:t>product</w:t>
            </w:r>
            <w:r>
              <w:rPr>
                <w:sz w:val="18"/>
                <w:szCs w:val="18"/>
              </w:rPr>
              <w:t xml:space="preserve"> </w:t>
            </w:r>
            <w:r w:rsidRPr="008E5EA4">
              <w:rPr>
                <w:b/>
                <w:bCs/>
                <w:sz w:val="18"/>
                <w:szCs w:val="18"/>
              </w:rPr>
              <w:t xml:space="preserve">Vulnerability </w:t>
            </w:r>
            <w:r>
              <w:rPr>
                <w:sz w:val="18"/>
                <w:szCs w:val="18"/>
              </w:rPr>
              <w:t>d</w:t>
            </w:r>
            <w:r w:rsidRPr="008E5EA4">
              <w:rPr>
                <w:sz w:val="18"/>
                <w:szCs w:val="18"/>
              </w:rPr>
              <w:t>ata</w:t>
            </w:r>
            <w:r>
              <w:rPr>
                <w:sz w:val="18"/>
                <w:szCs w:val="18"/>
              </w:rPr>
              <w:t xml:space="preserve"> import feeds</w:t>
            </w:r>
          </w:p>
          <w:p w14:paraId="3268703E" w14:textId="77777777" w:rsidR="003728B5" w:rsidRPr="00296DB9" w:rsidRDefault="003728B5" w:rsidP="004E786C">
            <w:pPr>
              <w:pStyle w:val="DPCbody"/>
              <w:rPr>
                <w:sz w:val="18"/>
                <w:szCs w:val="18"/>
              </w:rPr>
            </w:pPr>
            <w:r w:rsidRPr="00296DB9">
              <w:rPr>
                <w:sz w:val="18"/>
                <w:szCs w:val="18"/>
              </w:rPr>
              <w:t>Implement</w:t>
            </w:r>
            <w:r>
              <w:rPr>
                <w:sz w:val="18"/>
                <w:szCs w:val="18"/>
              </w:rPr>
              <w:t xml:space="preserve"> outgoing</w:t>
            </w:r>
            <w:r w:rsidRPr="00296DB9">
              <w:rPr>
                <w:sz w:val="18"/>
                <w:szCs w:val="18"/>
              </w:rPr>
              <w:t xml:space="preserve"> feed</w:t>
            </w:r>
            <w:r>
              <w:rPr>
                <w:sz w:val="18"/>
                <w:szCs w:val="18"/>
              </w:rPr>
              <w:t xml:space="preserve"> process</w:t>
            </w:r>
            <w:r w:rsidRPr="00296DB9">
              <w:rPr>
                <w:sz w:val="18"/>
                <w:szCs w:val="18"/>
              </w:rPr>
              <w:t xml:space="preserve"> to inject IT asset risks into IT and/or organisational </w:t>
            </w:r>
            <w:r w:rsidRPr="008E5EA4">
              <w:rPr>
                <w:b/>
                <w:bCs/>
                <w:sz w:val="18"/>
                <w:szCs w:val="18"/>
              </w:rPr>
              <w:t>Risk Register</w:t>
            </w:r>
            <w:r>
              <w:rPr>
                <w:b/>
                <w:bCs/>
                <w:sz w:val="18"/>
                <w:szCs w:val="18"/>
              </w:rPr>
              <w:t>s</w:t>
            </w:r>
          </w:p>
        </w:tc>
      </w:tr>
      <w:tr w:rsidR="003728B5" w:rsidRPr="00296DB9" w14:paraId="7AF54ED8" w14:textId="77777777" w:rsidTr="004E786C">
        <w:trPr>
          <w:cantSplit/>
          <w:trHeight w:val="584"/>
        </w:trPr>
        <w:tc>
          <w:tcPr>
            <w:tcW w:w="995"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77146926" w14:textId="77777777" w:rsidR="003728B5" w:rsidRPr="00296DB9" w:rsidRDefault="003728B5" w:rsidP="004E786C">
            <w:pPr>
              <w:pStyle w:val="DPCbody"/>
              <w:rPr>
                <w:sz w:val="18"/>
                <w:szCs w:val="18"/>
              </w:rPr>
            </w:pPr>
            <w:r>
              <w:rPr>
                <w:sz w:val="18"/>
                <w:szCs w:val="18"/>
              </w:rPr>
              <w:lastRenderedPageBreak/>
              <w:t>Phase 4</w:t>
            </w:r>
            <w:r w:rsidRPr="00296DB9">
              <w:rPr>
                <w:sz w:val="18"/>
                <w:szCs w:val="18"/>
              </w:rPr>
              <w:br/>
            </w:r>
          </w:p>
        </w:tc>
        <w:tc>
          <w:tcPr>
            <w:tcW w:w="2268"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6512C938" w14:textId="77777777" w:rsidR="003728B5" w:rsidRDefault="003728B5" w:rsidP="004E786C">
            <w:pPr>
              <w:pStyle w:val="DPCbody"/>
              <w:rPr>
                <w:sz w:val="18"/>
                <w:szCs w:val="18"/>
              </w:rPr>
            </w:pPr>
            <w:r w:rsidRPr="00296DB9">
              <w:rPr>
                <w:sz w:val="18"/>
                <w:szCs w:val="18"/>
              </w:rPr>
              <w:t>Train relevant ITAM staff on SQL</w:t>
            </w:r>
            <w:r>
              <w:rPr>
                <w:sz w:val="18"/>
                <w:szCs w:val="18"/>
              </w:rPr>
              <w:t>/ITSM</w:t>
            </w:r>
            <w:r w:rsidRPr="00296DB9">
              <w:rPr>
                <w:sz w:val="18"/>
                <w:szCs w:val="18"/>
              </w:rPr>
              <w:t xml:space="preserve"> reporting/advanced data analysis</w:t>
            </w:r>
            <w:r>
              <w:rPr>
                <w:sz w:val="18"/>
                <w:szCs w:val="18"/>
              </w:rPr>
              <w:t>/</w:t>
            </w:r>
            <w:r w:rsidRPr="007C66CD">
              <w:rPr>
                <w:b/>
                <w:bCs/>
                <w:sz w:val="18"/>
                <w:szCs w:val="18"/>
              </w:rPr>
              <w:t>advanced ITSM/CMDB</w:t>
            </w:r>
            <w:r>
              <w:rPr>
                <w:sz w:val="18"/>
                <w:szCs w:val="18"/>
              </w:rPr>
              <w:t xml:space="preserve"> configuration</w:t>
            </w:r>
          </w:p>
          <w:p w14:paraId="1CBE5146" w14:textId="77777777" w:rsidR="003728B5" w:rsidRPr="00296DB9" w:rsidRDefault="003728B5" w:rsidP="004E786C">
            <w:pPr>
              <w:pStyle w:val="DPCbody"/>
              <w:rPr>
                <w:sz w:val="18"/>
                <w:szCs w:val="18"/>
              </w:rPr>
            </w:pPr>
            <w:r w:rsidRPr="00D50964">
              <w:rPr>
                <w:b/>
                <w:bCs/>
                <w:sz w:val="18"/>
                <w:szCs w:val="18"/>
              </w:rPr>
              <w:t>Reinforce the need</w:t>
            </w:r>
            <w:r w:rsidRPr="00D50964">
              <w:rPr>
                <w:sz w:val="18"/>
                <w:szCs w:val="18"/>
              </w:rPr>
              <w:t xml:space="preserve"> for ITAM responsibilities and improvements across the business through socialisation, awareness and reporting</w:t>
            </w:r>
            <w:r w:rsidRPr="00296DB9">
              <w:rPr>
                <w:sz w:val="18"/>
                <w:szCs w:val="18"/>
              </w:rPr>
              <w:t xml:space="preserve"> </w:t>
            </w:r>
          </w:p>
        </w:tc>
        <w:tc>
          <w:tcPr>
            <w:tcW w:w="2126"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4C409B6F" w14:textId="77777777" w:rsidR="003728B5" w:rsidRPr="00296DB9" w:rsidRDefault="003728B5" w:rsidP="004E786C">
            <w:pPr>
              <w:pStyle w:val="DPCbody"/>
              <w:rPr>
                <w:sz w:val="18"/>
                <w:szCs w:val="18"/>
              </w:rPr>
            </w:pPr>
            <w:r w:rsidRPr="00296DB9">
              <w:rPr>
                <w:sz w:val="18"/>
                <w:szCs w:val="18"/>
              </w:rPr>
              <w:t xml:space="preserve">Implement </w:t>
            </w:r>
            <w:r w:rsidRPr="007C66CD">
              <w:rPr>
                <w:b/>
                <w:bCs/>
                <w:sz w:val="18"/>
                <w:szCs w:val="18"/>
              </w:rPr>
              <w:t>Application re-attestation</w:t>
            </w:r>
            <w:r w:rsidRPr="00296DB9">
              <w:rPr>
                <w:sz w:val="18"/>
                <w:szCs w:val="18"/>
              </w:rPr>
              <w:t xml:space="preserve"> processes </w:t>
            </w:r>
          </w:p>
          <w:p w14:paraId="6597C338" w14:textId="77777777" w:rsidR="003728B5" w:rsidRDefault="003728B5" w:rsidP="004E786C">
            <w:pPr>
              <w:pStyle w:val="DPCbody"/>
              <w:rPr>
                <w:sz w:val="18"/>
                <w:szCs w:val="18"/>
              </w:rPr>
            </w:pPr>
            <w:r w:rsidRPr="00296DB9">
              <w:rPr>
                <w:sz w:val="18"/>
                <w:szCs w:val="18"/>
              </w:rPr>
              <w:t xml:space="preserve">Achieve </w:t>
            </w:r>
            <w:r w:rsidRPr="007C66CD">
              <w:rPr>
                <w:b/>
                <w:bCs/>
                <w:sz w:val="18"/>
                <w:szCs w:val="18"/>
              </w:rPr>
              <w:t xml:space="preserve">lifecycle management </w:t>
            </w:r>
            <w:r w:rsidRPr="00296DB9">
              <w:rPr>
                <w:sz w:val="18"/>
                <w:szCs w:val="18"/>
              </w:rPr>
              <w:t xml:space="preserve">KPIs </w:t>
            </w:r>
            <w:r>
              <w:rPr>
                <w:sz w:val="18"/>
                <w:szCs w:val="18"/>
              </w:rPr>
              <w:t xml:space="preserve">to </w:t>
            </w:r>
            <w:r w:rsidRPr="00296DB9">
              <w:rPr>
                <w:sz w:val="18"/>
                <w:szCs w:val="18"/>
              </w:rPr>
              <w:t xml:space="preserve">Level </w:t>
            </w:r>
            <w:r>
              <w:rPr>
                <w:sz w:val="18"/>
                <w:szCs w:val="18"/>
              </w:rPr>
              <w:t>3</w:t>
            </w:r>
            <w:r w:rsidRPr="00296DB9">
              <w:rPr>
                <w:sz w:val="18"/>
                <w:szCs w:val="18"/>
              </w:rPr>
              <w:t xml:space="preserve"> </w:t>
            </w:r>
            <w:r>
              <w:rPr>
                <w:sz w:val="18"/>
                <w:szCs w:val="18"/>
              </w:rPr>
              <w:t>(</w:t>
            </w:r>
            <w:r w:rsidRPr="00296DB9">
              <w:rPr>
                <w:sz w:val="18"/>
                <w:szCs w:val="18"/>
              </w:rPr>
              <w:t>“Competence”)</w:t>
            </w:r>
          </w:p>
          <w:p w14:paraId="0A2929A4" w14:textId="77777777" w:rsidR="003728B5" w:rsidRDefault="003728B5" w:rsidP="004E786C">
            <w:pPr>
              <w:pStyle w:val="DPCbody"/>
              <w:rPr>
                <w:sz w:val="18"/>
                <w:szCs w:val="18"/>
              </w:rPr>
            </w:pPr>
            <w:r w:rsidRPr="00296DB9">
              <w:rPr>
                <w:sz w:val="18"/>
                <w:szCs w:val="18"/>
              </w:rPr>
              <w:t xml:space="preserve">Achieve </w:t>
            </w:r>
            <w:r w:rsidRPr="009A77F7">
              <w:rPr>
                <w:b/>
                <w:bCs/>
                <w:sz w:val="18"/>
                <w:szCs w:val="18"/>
              </w:rPr>
              <w:t>Monitoring</w:t>
            </w:r>
            <w:r w:rsidRPr="00296DB9">
              <w:rPr>
                <w:sz w:val="18"/>
                <w:szCs w:val="18"/>
              </w:rPr>
              <w:t xml:space="preserve"> KPI</w:t>
            </w:r>
            <w:r>
              <w:rPr>
                <w:sz w:val="18"/>
                <w:szCs w:val="18"/>
              </w:rPr>
              <w:t xml:space="preserve">s to </w:t>
            </w:r>
            <w:r w:rsidRPr="00296DB9">
              <w:rPr>
                <w:sz w:val="18"/>
                <w:szCs w:val="18"/>
              </w:rPr>
              <w:t xml:space="preserve">Level 3 </w:t>
            </w:r>
            <w:r>
              <w:rPr>
                <w:sz w:val="18"/>
                <w:szCs w:val="18"/>
              </w:rPr>
              <w:t>(</w:t>
            </w:r>
            <w:r w:rsidRPr="00296DB9">
              <w:rPr>
                <w:sz w:val="18"/>
                <w:szCs w:val="18"/>
              </w:rPr>
              <w:t>“Competence”)</w:t>
            </w:r>
          </w:p>
          <w:p w14:paraId="682F3A70" w14:textId="77777777" w:rsidR="003728B5" w:rsidRPr="00296DB9" w:rsidRDefault="003728B5" w:rsidP="004E786C">
            <w:pPr>
              <w:pStyle w:val="DPCbody"/>
              <w:rPr>
                <w:sz w:val="18"/>
                <w:szCs w:val="18"/>
              </w:rPr>
            </w:pPr>
            <w:r w:rsidRPr="007C66CD">
              <w:rPr>
                <w:b/>
                <w:bCs/>
                <w:sz w:val="18"/>
                <w:szCs w:val="18"/>
              </w:rPr>
              <w:t>Repeat AMAF maturity assessment</w:t>
            </w:r>
            <w:r w:rsidRPr="00296DB9">
              <w:rPr>
                <w:sz w:val="18"/>
                <w:szCs w:val="18"/>
              </w:rPr>
              <w:t xml:space="preserve"> to show improvement</w:t>
            </w:r>
            <w:r>
              <w:rPr>
                <w:sz w:val="18"/>
                <w:szCs w:val="18"/>
              </w:rPr>
              <w:t>s since uplift commencement</w:t>
            </w:r>
          </w:p>
        </w:tc>
        <w:tc>
          <w:tcPr>
            <w:tcW w:w="2126"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76E1CDED" w14:textId="77777777" w:rsidR="003728B5" w:rsidRPr="00296DB9" w:rsidRDefault="003728B5" w:rsidP="004E786C">
            <w:pPr>
              <w:pStyle w:val="DPCbody"/>
              <w:rPr>
                <w:sz w:val="18"/>
                <w:szCs w:val="18"/>
              </w:rPr>
            </w:pPr>
            <w:r w:rsidRPr="00296DB9">
              <w:rPr>
                <w:sz w:val="18"/>
                <w:szCs w:val="18"/>
              </w:rPr>
              <w:t>Achieve minimum (</w:t>
            </w:r>
            <w:r>
              <w:rPr>
                <w:sz w:val="18"/>
                <w:szCs w:val="18"/>
              </w:rPr>
              <w:t xml:space="preserve">to </w:t>
            </w:r>
            <w:r w:rsidRPr="00296DB9">
              <w:rPr>
                <w:sz w:val="18"/>
                <w:szCs w:val="18"/>
              </w:rPr>
              <w:t xml:space="preserve">Level </w:t>
            </w:r>
            <w:r>
              <w:rPr>
                <w:sz w:val="18"/>
                <w:szCs w:val="18"/>
              </w:rPr>
              <w:t>3</w:t>
            </w:r>
            <w:r w:rsidRPr="00296DB9">
              <w:rPr>
                <w:sz w:val="18"/>
                <w:szCs w:val="18"/>
              </w:rPr>
              <w:t xml:space="preserve"> “Competence”) WoVG ITAM KPIs for </w:t>
            </w:r>
            <w:r w:rsidRPr="007C66CD">
              <w:rPr>
                <w:b/>
                <w:bCs/>
                <w:sz w:val="18"/>
                <w:szCs w:val="18"/>
              </w:rPr>
              <w:t>Identification</w:t>
            </w:r>
            <w:r w:rsidRPr="001345BC">
              <w:rPr>
                <w:sz w:val="18"/>
                <w:szCs w:val="18"/>
              </w:rPr>
              <w:t xml:space="preserve">, including Internet of Things/Operational Technology assets </w:t>
            </w:r>
            <w:r>
              <w:rPr>
                <w:sz w:val="18"/>
                <w:szCs w:val="18"/>
              </w:rPr>
              <w:t>if</w:t>
            </w:r>
            <w:r w:rsidRPr="001345BC">
              <w:rPr>
                <w:sz w:val="18"/>
                <w:szCs w:val="18"/>
              </w:rPr>
              <w:t xml:space="preserve"> rel</w:t>
            </w:r>
            <w:r>
              <w:rPr>
                <w:sz w:val="18"/>
                <w:szCs w:val="18"/>
              </w:rPr>
              <w:t>e</w:t>
            </w:r>
            <w:r w:rsidRPr="001345BC">
              <w:rPr>
                <w:sz w:val="18"/>
                <w:szCs w:val="18"/>
              </w:rPr>
              <w:t>vant</w:t>
            </w:r>
          </w:p>
        </w:tc>
        <w:tc>
          <w:tcPr>
            <w:tcW w:w="2071"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4FA5E4DF" w14:textId="77777777" w:rsidR="003728B5" w:rsidRDefault="003728B5" w:rsidP="004E786C">
            <w:pPr>
              <w:pStyle w:val="DPCbody"/>
              <w:rPr>
                <w:sz w:val="18"/>
                <w:szCs w:val="18"/>
              </w:rPr>
            </w:pPr>
            <w:r w:rsidRPr="00296DB9">
              <w:rPr>
                <w:sz w:val="18"/>
                <w:szCs w:val="18"/>
              </w:rPr>
              <w:t>Implement ongoing</w:t>
            </w:r>
            <w:r>
              <w:rPr>
                <w:sz w:val="18"/>
                <w:szCs w:val="18"/>
              </w:rPr>
              <w:t xml:space="preserve"> automated feed of IT asset reference data into</w:t>
            </w:r>
            <w:r w:rsidRPr="00296DB9">
              <w:rPr>
                <w:sz w:val="18"/>
                <w:szCs w:val="18"/>
              </w:rPr>
              <w:t xml:space="preserve"> </w:t>
            </w:r>
            <w:r w:rsidRPr="001E5DAF">
              <w:rPr>
                <w:b/>
                <w:bCs/>
                <w:sz w:val="18"/>
                <w:szCs w:val="18"/>
              </w:rPr>
              <w:t>SIEM</w:t>
            </w:r>
            <w:r w:rsidRPr="00296DB9">
              <w:rPr>
                <w:sz w:val="18"/>
                <w:szCs w:val="18"/>
              </w:rPr>
              <w:t xml:space="preserve"> system</w:t>
            </w:r>
          </w:p>
          <w:p w14:paraId="2A4A2EE2" w14:textId="77777777" w:rsidR="003728B5" w:rsidRPr="00296DB9" w:rsidRDefault="003728B5" w:rsidP="004E786C">
            <w:pPr>
              <w:pStyle w:val="DPCbody"/>
              <w:rPr>
                <w:sz w:val="18"/>
                <w:szCs w:val="18"/>
              </w:rPr>
            </w:pPr>
            <w:r w:rsidRPr="002E04FE">
              <w:rPr>
                <w:sz w:val="18"/>
                <w:szCs w:val="18"/>
              </w:rPr>
              <w:t>Expand reporting</w:t>
            </w:r>
          </w:p>
        </w:tc>
      </w:tr>
      <w:tr w:rsidR="003728B5" w:rsidRPr="00296DB9" w14:paraId="587C8111" w14:textId="77777777" w:rsidTr="004E786C">
        <w:trPr>
          <w:cantSplit/>
          <w:trHeight w:val="584"/>
        </w:trPr>
        <w:tc>
          <w:tcPr>
            <w:tcW w:w="995"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2FDE9DE5" w14:textId="77777777" w:rsidR="003728B5" w:rsidRPr="00296DB9" w:rsidRDefault="003728B5" w:rsidP="004E786C">
            <w:pPr>
              <w:pStyle w:val="DPCbody"/>
              <w:rPr>
                <w:sz w:val="18"/>
                <w:szCs w:val="18"/>
              </w:rPr>
            </w:pPr>
            <w:r>
              <w:rPr>
                <w:sz w:val="18"/>
                <w:szCs w:val="18"/>
              </w:rPr>
              <w:t>Phase 5</w:t>
            </w:r>
            <w:r w:rsidRPr="00296DB9">
              <w:rPr>
                <w:sz w:val="18"/>
                <w:szCs w:val="18"/>
              </w:rPr>
              <w:br/>
            </w:r>
          </w:p>
        </w:tc>
        <w:tc>
          <w:tcPr>
            <w:tcW w:w="2268"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0A5C238D" w14:textId="77777777" w:rsidR="003728B5" w:rsidRPr="007B71CC" w:rsidRDefault="003728B5" w:rsidP="004E786C">
            <w:pPr>
              <w:pStyle w:val="DPCbody"/>
              <w:rPr>
                <w:sz w:val="18"/>
                <w:szCs w:val="18"/>
              </w:rPr>
            </w:pPr>
            <w:r w:rsidRPr="007B71CC">
              <w:rPr>
                <w:sz w:val="18"/>
                <w:szCs w:val="18"/>
              </w:rPr>
              <w:t xml:space="preserve">Consider </w:t>
            </w:r>
            <w:r w:rsidRPr="00D56233">
              <w:rPr>
                <w:b/>
                <w:bCs/>
                <w:sz w:val="18"/>
                <w:szCs w:val="18"/>
              </w:rPr>
              <w:t>cycling staff</w:t>
            </w:r>
            <w:r w:rsidRPr="007B71CC">
              <w:rPr>
                <w:sz w:val="18"/>
                <w:szCs w:val="18"/>
              </w:rPr>
              <w:t xml:space="preserve"> </w:t>
            </w:r>
            <w:r>
              <w:rPr>
                <w:sz w:val="18"/>
                <w:szCs w:val="18"/>
              </w:rPr>
              <w:t xml:space="preserve">around ITAM processes/jobs </w:t>
            </w:r>
            <w:r w:rsidRPr="007B71CC">
              <w:rPr>
                <w:sz w:val="18"/>
                <w:szCs w:val="18"/>
              </w:rPr>
              <w:t xml:space="preserve">to avoid </w:t>
            </w:r>
            <w:r>
              <w:rPr>
                <w:sz w:val="18"/>
                <w:szCs w:val="18"/>
              </w:rPr>
              <w:t>disengagement</w:t>
            </w:r>
            <w:r w:rsidRPr="007B71CC">
              <w:rPr>
                <w:sz w:val="18"/>
                <w:szCs w:val="18"/>
              </w:rPr>
              <w:t xml:space="preserve"> </w:t>
            </w:r>
          </w:p>
        </w:tc>
        <w:tc>
          <w:tcPr>
            <w:tcW w:w="2126"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0BCC8509" w14:textId="77777777" w:rsidR="003728B5" w:rsidRDefault="003728B5" w:rsidP="004E786C">
            <w:pPr>
              <w:pStyle w:val="DPCbody"/>
              <w:rPr>
                <w:sz w:val="18"/>
                <w:szCs w:val="18"/>
              </w:rPr>
            </w:pPr>
            <w:r>
              <w:rPr>
                <w:sz w:val="18"/>
                <w:szCs w:val="18"/>
              </w:rPr>
              <w:t xml:space="preserve">Expand </w:t>
            </w:r>
            <w:r w:rsidRPr="00973C6C">
              <w:rPr>
                <w:sz w:val="18"/>
                <w:szCs w:val="18"/>
              </w:rPr>
              <w:t>Enterprise Architecture/</w:t>
            </w:r>
            <w:r w:rsidRPr="00973C6C">
              <w:rPr>
                <w:b/>
                <w:bCs/>
                <w:sz w:val="18"/>
                <w:szCs w:val="18"/>
              </w:rPr>
              <w:t xml:space="preserve">forward planning </w:t>
            </w:r>
            <w:r w:rsidRPr="00973C6C">
              <w:rPr>
                <w:sz w:val="18"/>
                <w:szCs w:val="18"/>
              </w:rPr>
              <w:t>to a minimum of 3 years in advance</w:t>
            </w:r>
          </w:p>
          <w:p w14:paraId="40184F36" w14:textId="77777777" w:rsidR="003728B5" w:rsidRPr="00296DB9" w:rsidRDefault="003728B5" w:rsidP="004E786C">
            <w:pPr>
              <w:pStyle w:val="DPCbody"/>
              <w:rPr>
                <w:sz w:val="18"/>
                <w:szCs w:val="18"/>
              </w:rPr>
            </w:pPr>
            <w:r w:rsidRPr="00296DB9">
              <w:rPr>
                <w:sz w:val="18"/>
                <w:szCs w:val="18"/>
              </w:rPr>
              <w:t xml:space="preserve">Identify which assets need to be </w:t>
            </w:r>
            <w:r>
              <w:rPr>
                <w:sz w:val="18"/>
                <w:szCs w:val="18"/>
              </w:rPr>
              <w:t>managed at a maturity of</w:t>
            </w:r>
            <w:r w:rsidRPr="00296DB9">
              <w:rPr>
                <w:sz w:val="18"/>
                <w:szCs w:val="18"/>
              </w:rPr>
              <w:t xml:space="preserve"> </w:t>
            </w:r>
            <w:r w:rsidRPr="00B7065A">
              <w:rPr>
                <w:b/>
                <w:bCs/>
                <w:sz w:val="18"/>
                <w:szCs w:val="18"/>
              </w:rPr>
              <w:t>Level 4 (Optimising)</w:t>
            </w:r>
          </w:p>
        </w:tc>
        <w:tc>
          <w:tcPr>
            <w:tcW w:w="2126"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7FA39325" w14:textId="77777777" w:rsidR="003728B5" w:rsidRPr="005A29B6" w:rsidRDefault="003728B5" w:rsidP="004E786C">
            <w:pPr>
              <w:pStyle w:val="DPCbody"/>
              <w:rPr>
                <w:b/>
                <w:bCs/>
                <w:sz w:val="18"/>
                <w:szCs w:val="18"/>
              </w:rPr>
            </w:pPr>
            <w:r>
              <w:rPr>
                <w:sz w:val="18"/>
                <w:szCs w:val="18"/>
              </w:rPr>
              <w:t xml:space="preserve">Enterprise architecture/ planning /technology investment decisions now based on the CMDB data as the </w:t>
            </w:r>
            <w:r w:rsidRPr="001A5E5C">
              <w:rPr>
                <w:b/>
                <w:bCs/>
                <w:sz w:val="18"/>
                <w:szCs w:val="18"/>
              </w:rPr>
              <w:t>source of the truth</w:t>
            </w:r>
          </w:p>
        </w:tc>
        <w:tc>
          <w:tcPr>
            <w:tcW w:w="2071"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CBD5ED"/>
            <w:tcMar>
              <w:top w:w="72" w:type="dxa"/>
              <w:left w:w="144" w:type="dxa"/>
              <w:bottom w:w="72" w:type="dxa"/>
              <w:right w:w="144" w:type="dxa"/>
            </w:tcMar>
            <w:hideMark/>
          </w:tcPr>
          <w:p w14:paraId="4150EC0D" w14:textId="77777777" w:rsidR="003728B5" w:rsidRPr="00296DB9" w:rsidRDefault="003728B5" w:rsidP="004E786C">
            <w:pPr>
              <w:pStyle w:val="DPCbody"/>
              <w:rPr>
                <w:sz w:val="18"/>
                <w:szCs w:val="18"/>
              </w:rPr>
            </w:pPr>
            <w:r w:rsidRPr="00296DB9">
              <w:rPr>
                <w:sz w:val="18"/>
                <w:szCs w:val="18"/>
              </w:rPr>
              <w:t xml:space="preserve">Implement ongoing feed to inject one of </w:t>
            </w:r>
            <w:r w:rsidRPr="00814B09">
              <w:rPr>
                <w:b/>
                <w:bCs/>
                <w:sz w:val="18"/>
                <w:szCs w:val="18"/>
              </w:rPr>
              <w:t>AWS, GCP or Azure</w:t>
            </w:r>
            <w:r w:rsidRPr="00296DB9">
              <w:rPr>
                <w:sz w:val="18"/>
                <w:szCs w:val="18"/>
              </w:rPr>
              <w:t xml:space="preserve"> asset data into CMDB</w:t>
            </w:r>
          </w:p>
        </w:tc>
      </w:tr>
      <w:tr w:rsidR="003728B5" w:rsidRPr="00296DB9" w14:paraId="1DA64EDD" w14:textId="77777777" w:rsidTr="004E786C">
        <w:trPr>
          <w:cantSplit/>
          <w:trHeight w:val="584"/>
        </w:trPr>
        <w:tc>
          <w:tcPr>
            <w:tcW w:w="995"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3B705AEB" w14:textId="77777777" w:rsidR="003728B5" w:rsidRPr="00296DB9" w:rsidRDefault="003728B5" w:rsidP="004E786C">
            <w:pPr>
              <w:pStyle w:val="DPCbody"/>
              <w:rPr>
                <w:sz w:val="18"/>
                <w:szCs w:val="18"/>
              </w:rPr>
            </w:pPr>
            <w:r>
              <w:rPr>
                <w:sz w:val="18"/>
                <w:szCs w:val="18"/>
              </w:rPr>
              <w:t>Phase 6</w:t>
            </w:r>
            <w:r w:rsidRPr="00296DB9">
              <w:rPr>
                <w:sz w:val="18"/>
                <w:szCs w:val="18"/>
              </w:rPr>
              <w:br/>
            </w:r>
          </w:p>
        </w:tc>
        <w:tc>
          <w:tcPr>
            <w:tcW w:w="2268"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605CB8DE" w14:textId="77777777" w:rsidR="003728B5" w:rsidRPr="00296DB9" w:rsidRDefault="003728B5" w:rsidP="004E786C">
            <w:pPr>
              <w:pStyle w:val="DPCbody"/>
              <w:rPr>
                <w:sz w:val="18"/>
                <w:szCs w:val="18"/>
              </w:rPr>
            </w:pPr>
            <w:r w:rsidRPr="00D50964">
              <w:rPr>
                <w:b/>
                <w:bCs/>
                <w:sz w:val="18"/>
                <w:szCs w:val="18"/>
              </w:rPr>
              <w:t>Reinforce the need</w:t>
            </w:r>
            <w:r w:rsidRPr="00D50964">
              <w:rPr>
                <w:sz w:val="18"/>
                <w:szCs w:val="18"/>
              </w:rPr>
              <w:t xml:space="preserve"> for ITAM responsibilities and improvements across the business through socialisation, awareness and reporting</w:t>
            </w:r>
          </w:p>
        </w:tc>
        <w:tc>
          <w:tcPr>
            <w:tcW w:w="2126"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602D1222" w14:textId="77777777" w:rsidR="003728B5" w:rsidRPr="00296DB9" w:rsidRDefault="003728B5" w:rsidP="004E786C">
            <w:pPr>
              <w:pStyle w:val="DPCbody"/>
              <w:rPr>
                <w:sz w:val="18"/>
                <w:szCs w:val="18"/>
              </w:rPr>
            </w:pPr>
            <w:r w:rsidRPr="00296DB9">
              <w:rPr>
                <w:sz w:val="18"/>
                <w:szCs w:val="18"/>
              </w:rPr>
              <w:t>Commence uplifting</w:t>
            </w:r>
            <w:r>
              <w:rPr>
                <w:sz w:val="18"/>
                <w:szCs w:val="18"/>
              </w:rPr>
              <w:t xml:space="preserve"> the ITAM processes supporting</w:t>
            </w:r>
            <w:r w:rsidRPr="00296DB9">
              <w:rPr>
                <w:sz w:val="18"/>
                <w:szCs w:val="18"/>
              </w:rPr>
              <w:t xml:space="preserve"> </w:t>
            </w:r>
            <w:r w:rsidRPr="005040DE">
              <w:rPr>
                <w:b/>
                <w:bCs/>
                <w:sz w:val="18"/>
                <w:szCs w:val="18"/>
              </w:rPr>
              <w:t xml:space="preserve">more critical assets </w:t>
            </w:r>
            <w:r w:rsidRPr="00296DB9">
              <w:rPr>
                <w:sz w:val="18"/>
                <w:szCs w:val="18"/>
              </w:rPr>
              <w:t xml:space="preserve">to Level </w:t>
            </w:r>
            <w:r>
              <w:rPr>
                <w:sz w:val="18"/>
                <w:szCs w:val="18"/>
              </w:rPr>
              <w:t>4</w:t>
            </w:r>
            <w:r w:rsidRPr="00296DB9">
              <w:rPr>
                <w:sz w:val="18"/>
                <w:szCs w:val="18"/>
              </w:rPr>
              <w:t xml:space="preserve"> “Optimising”</w:t>
            </w:r>
          </w:p>
        </w:tc>
        <w:tc>
          <w:tcPr>
            <w:tcW w:w="2126"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3C1D9B5C" w14:textId="77777777" w:rsidR="003728B5" w:rsidRPr="00296DB9" w:rsidRDefault="003728B5" w:rsidP="004E786C">
            <w:pPr>
              <w:pStyle w:val="DPCbody"/>
              <w:rPr>
                <w:sz w:val="18"/>
                <w:szCs w:val="18"/>
              </w:rPr>
            </w:pPr>
            <w:r w:rsidRPr="000B5182">
              <w:rPr>
                <w:sz w:val="18"/>
                <w:szCs w:val="18"/>
              </w:rPr>
              <w:t xml:space="preserve">Identify </w:t>
            </w:r>
            <w:r w:rsidRPr="000B5182">
              <w:rPr>
                <w:b/>
                <w:bCs/>
                <w:sz w:val="18"/>
                <w:szCs w:val="18"/>
              </w:rPr>
              <w:t>asset de-duplication</w:t>
            </w:r>
            <w:r w:rsidRPr="000B5182">
              <w:rPr>
                <w:sz w:val="18"/>
                <w:szCs w:val="18"/>
              </w:rPr>
              <w:t xml:space="preserve"> and </w:t>
            </w:r>
            <w:r w:rsidRPr="000B5182">
              <w:rPr>
                <w:b/>
                <w:bCs/>
                <w:sz w:val="18"/>
                <w:szCs w:val="18"/>
              </w:rPr>
              <w:t>standardisation</w:t>
            </w:r>
            <w:r w:rsidRPr="000B5182">
              <w:rPr>
                <w:sz w:val="18"/>
                <w:szCs w:val="18"/>
              </w:rPr>
              <w:t xml:space="preserve"> opportunities based on business capabilities</w:t>
            </w:r>
          </w:p>
        </w:tc>
        <w:tc>
          <w:tcPr>
            <w:tcW w:w="2071"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56DDFFAC" w14:textId="77777777" w:rsidR="003728B5" w:rsidRPr="00296DB9" w:rsidRDefault="003728B5" w:rsidP="004E786C">
            <w:pPr>
              <w:pStyle w:val="DPCbody"/>
              <w:rPr>
                <w:sz w:val="18"/>
                <w:szCs w:val="18"/>
              </w:rPr>
            </w:pPr>
            <w:r>
              <w:rPr>
                <w:sz w:val="18"/>
                <w:szCs w:val="18"/>
              </w:rPr>
              <w:t>I</w:t>
            </w:r>
            <w:r w:rsidRPr="00296DB9">
              <w:rPr>
                <w:sz w:val="18"/>
                <w:szCs w:val="18"/>
              </w:rPr>
              <w:t xml:space="preserve">mplement ongoing feed to inject one of </w:t>
            </w:r>
            <w:r w:rsidRPr="00814B09">
              <w:rPr>
                <w:b/>
                <w:bCs/>
                <w:sz w:val="18"/>
                <w:szCs w:val="18"/>
              </w:rPr>
              <w:t>AWS, GCP or Azure</w:t>
            </w:r>
            <w:r w:rsidRPr="00296DB9">
              <w:rPr>
                <w:sz w:val="18"/>
                <w:szCs w:val="18"/>
              </w:rPr>
              <w:t xml:space="preserve"> asset data into CMDB</w:t>
            </w:r>
          </w:p>
        </w:tc>
      </w:tr>
      <w:tr w:rsidR="003728B5" w:rsidRPr="00296DB9" w14:paraId="505DA323" w14:textId="77777777" w:rsidTr="004E786C">
        <w:trPr>
          <w:cantSplit/>
          <w:trHeight w:val="584"/>
        </w:trPr>
        <w:tc>
          <w:tcPr>
            <w:tcW w:w="995"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102C44E9" w14:textId="77777777" w:rsidR="003728B5" w:rsidRPr="00296DB9" w:rsidRDefault="003728B5" w:rsidP="004E786C">
            <w:pPr>
              <w:pStyle w:val="DPCbody"/>
              <w:rPr>
                <w:sz w:val="18"/>
                <w:szCs w:val="18"/>
              </w:rPr>
            </w:pPr>
            <w:r>
              <w:rPr>
                <w:sz w:val="18"/>
                <w:szCs w:val="18"/>
              </w:rPr>
              <w:lastRenderedPageBreak/>
              <w:t>Phase 7</w:t>
            </w:r>
            <w:r w:rsidRPr="00296DB9">
              <w:rPr>
                <w:sz w:val="18"/>
                <w:szCs w:val="18"/>
              </w:rPr>
              <w:br/>
            </w:r>
          </w:p>
        </w:tc>
        <w:tc>
          <w:tcPr>
            <w:tcW w:w="2268"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0D5C6335" w14:textId="77777777" w:rsidR="003728B5" w:rsidRPr="00296DB9" w:rsidRDefault="003728B5" w:rsidP="004E786C">
            <w:pPr>
              <w:pStyle w:val="DPCbody"/>
              <w:rPr>
                <w:sz w:val="18"/>
                <w:szCs w:val="18"/>
              </w:rPr>
            </w:pPr>
            <w:r>
              <w:rPr>
                <w:sz w:val="18"/>
                <w:szCs w:val="18"/>
              </w:rPr>
              <w:t xml:space="preserve">Ensure that ITAM processes and data are </w:t>
            </w:r>
            <w:r w:rsidRPr="0095278D">
              <w:rPr>
                <w:sz w:val="18"/>
                <w:szCs w:val="18"/>
              </w:rPr>
              <w:t>embedded</w:t>
            </w:r>
            <w:r>
              <w:rPr>
                <w:sz w:val="18"/>
                <w:szCs w:val="18"/>
              </w:rPr>
              <w:t xml:space="preserve"> into the organisation and maintained on an </w:t>
            </w:r>
            <w:r w:rsidRPr="00F35B0E">
              <w:rPr>
                <w:b/>
                <w:bCs/>
                <w:sz w:val="18"/>
                <w:szCs w:val="18"/>
              </w:rPr>
              <w:t>ongoing basis</w:t>
            </w:r>
          </w:p>
        </w:tc>
        <w:tc>
          <w:tcPr>
            <w:tcW w:w="2126"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2C56A373" w14:textId="77777777" w:rsidR="003728B5" w:rsidRPr="00296DB9" w:rsidRDefault="003728B5" w:rsidP="004E786C">
            <w:pPr>
              <w:pStyle w:val="DPCbody"/>
              <w:rPr>
                <w:sz w:val="18"/>
                <w:szCs w:val="18"/>
              </w:rPr>
            </w:pPr>
            <w:r w:rsidRPr="00F35B0E">
              <w:rPr>
                <w:b/>
                <w:bCs/>
                <w:sz w:val="18"/>
                <w:szCs w:val="18"/>
              </w:rPr>
              <w:t>Achieve AMAF Level 4 “Optimising</w:t>
            </w:r>
            <w:r w:rsidRPr="0095278D">
              <w:rPr>
                <w:sz w:val="18"/>
                <w:szCs w:val="18"/>
              </w:rPr>
              <w:t>”</w:t>
            </w:r>
            <w:r w:rsidRPr="00296DB9">
              <w:rPr>
                <w:sz w:val="18"/>
                <w:szCs w:val="18"/>
              </w:rPr>
              <w:t xml:space="preserve"> across all 41 areas and WoVG ITAM KPIs</w:t>
            </w:r>
            <w:r>
              <w:rPr>
                <w:sz w:val="18"/>
                <w:szCs w:val="18"/>
              </w:rPr>
              <w:t xml:space="preserve"> for the more critical assets</w:t>
            </w:r>
          </w:p>
        </w:tc>
        <w:tc>
          <w:tcPr>
            <w:tcW w:w="2126"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12C9394A" w14:textId="77777777" w:rsidR="003728B5" w:rsidRPr="00296DB9" w:rsidRDefault="003728B5" w:rsidP="004E786C">
            <w:pPr>
              <w:pStyle w:val="DPCbody"/>
              <w:rPr>
                <w:sz w:val="18"/>
                <w:szCs w:val="18"/>
              </w:rPr>
            </w:pPr>
          </w:p>
        </w:tc>
        <w:tc>
          <w:tcPr>
            <w:tcW w:w="2071" w:type="dxa"/>
            <w:tcBorders>
              <w:top w:val="single" w:sz="8" w:space="0" w:color="DFE1DF" w:themeColor="background2"/>
              <w:left w:val="single" w:sz="8" w:space="0" w:color="DFE1DF" w:themeColor="background2"/>
              <w:bottom w:val="single" w:sz="8" w:space="0" w:color="DFE1DF" w:themeColor="background2"/>
              <w:right w:val="single" w:sz="8" w:space="0" w:color="DFE1DF" w:themeColor="background2"/>
            </w:tcBorders>
            <w:shd w:val="clear" w:color="auto" w:fill="E7EBF6"/>
            <w:tcMar>
              <w:top w:w="72" w:type="dxa"/>
              <w:left w:w="144" w:type="dxa"/>
              <w:bottom w:w="72" w:type="dxa"/>
              <w:right w:w="144" w:type="dxa"/>
            </w:tcMar>
            <w:hideMark/>
          </w:tcPr>
          <w:p w14:paraId="4CA77C70" w14:textId="77777777" w:rsidR="003728B5" w:rsidRPr="00296DB9" w:rsidRDefault="003728B5" w:rsidP="004E786C">
            <w:pPr>
              <w:pStyle w:val="DPCbody"/>
              <w:rPr>
                <w:sz w:val="18"/>
                <w:szCs w:val="18"/>
              </w:rPr>
            </w:pPr>
            <w:r w:rsidRPr="00296DB9">
              <w:rPr>
                <w:sz w:val="18"/>
                <w:szCs w:val="18"/>
              </w:rPr>
              <w:t>Implement ongoing feed from CMDB into</w:t>
            </w:r>
            <w:r>
              <w:rPr>
                <w:sz w:val="18"/>
                <w:szCs w:val="18"/>
              </w:rPr>
              <w:t xml:space="preserve"> the</w:t>
            </w:r>
            <w:r w:rsidRPr="00296DB9">
              <w:rPr>
                <w:sz w:val="18"/>
                <w:szCs w:val="18"/>
              </w:rPr>
              <w:t xml:space="preserve"> </w:t>
            </w:r>
            <w:r w:rsidRPr="00F35B0E">
              <w:rPr>
                <w:b/>
                <w:bCs/>
                <w:sz w:val="18"/>
                <w:szCs w:val="18"/>
              </w:rPr>
              <w:t>Fixed Asset Register</w:t>
            </w:r>
            <w:r>
              <w:rPr>
                <w:b/>
                <w:bCs/>
                <w:sz w:val="18"/>
                <w:szCs w:val="18"/>
              </w:rPr>
              <w:t xml:space="preserve"> </w:t>
            </w:r>
            <w:r w:rsidRPr="00F35B0E">
              <w:rPr>
                <w:sz w:val="18"/>
                <w:szCs w:val="18"/>
              </w:rPr>
              <w:t>for financial depreciation purposes</w:t>
            </w:r>
          </w:p>
        </w:tc>
      </w:tr>
    </w:tbl>
    <w:p w14:paraId="33485660" w14:textId="77777777" w:rsidR="003728B5" w:rsidRDefault="003728B5" w:rsidP="003728B5">
      <w:pPr>
        <w:pStyle w:val="DPCbullet1"/>
        <w:numPr>
          <w:ilvl w:val="0"/>
          <w:numId w:val="0"/>
        </w:numPr>
        <w:ind w:left="284" w:hanging="284"/>
        <w:rPr>
          <w:b/>
        </w:rPr>
      </w:pPr>
    </w:p>
    <w:p w14:paraId="61A96A20" w14:textId="77777777" w:rsidR="003E15A1" w:rsidRDefault="003E15A1">
      <w:pPr>
        <w:snapToGrid/>
        <w:spacing w:after="0" w:line="240" w:lineRule="auto"/>
      </w:pPr>
      <w:r>
        <w:br w:type="page"/>
      </w:r>
    </w:p>
    <w:p w14:paraId="187A6F6A" w14:textId="77777777" w:rsidR="00003ECE" w:rsidRPr="00F56CE5" w:rsidRDefault="00003ECE" w:rsidP="00003ECE">
      <w:pPr>
        <w:pStyle w:val="Heading2"/>
      </w:pPr>
      <w:bookmarkStart w:id="36" w:name="_Toc124856932"/>
      <w:bookmarkStart w:id="37" w:name="_Toc126829063"/>
      <w:r>
        <w:lastRenderedPageBreak/>
        <w:t>References</w:t>
      </w:r>
      <w:bookmarkEnd w:id="36"/>
      <w:bookmarkEnd w:id="37"/>
    </w:p>
    <w:tbl>
      <w:tblPr>
        <w:tblStyle w:val="Table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416"/>
        <w:gridCol w:w="7629"/>
      </w:tblGrid>
      <w:tr w:rsidR="00697131" w:rsidRPr="00732A41" w14:paraId="5748AC00" w14:textId="77777777" w:rsidTr="004E786C">
        <w:trPr>
          <w:cantSplit/>
          <w:tblHeader/>
        </w:trPr>
        <w:tc>
          <w:tcPr>
            <w:tcW w:w="783" w:type="pct"/>
            <w:shd w:val="clear" w:color="auto" w:fill="auto"/>
            <w:tcMar>
              <w:top w:w="100" w:type="dxa"/>
              <w:left w:w="100" w:type="dxa"/>
              <w:bottom w:w="100" w:type="dxa"/>
              <w:right w:w="100" w:type="dxa"/>
            </w:tcMar>
          </w:tcPr>
          <w:p w14:paraId="306F893F" w14:textId="77777777" w:rsidR="00697131" w:rsidRPr="00732A41" w:rsidRDefault="00697131" w:rsidP="004E786C">
            <w:pPr>
              <w:pStyle w:val="DPCtablecolhead"/>
            </w:pPr>
            <w:r>
              <w:t>Reference</w:t>
            </w:r>
          </w:p>
        </w:tc>
        <w:tc>
          <w:tcPr>
            <w:tcW w:w="4217" w:type="pct"/>
            <w:shd w:val="clear" w:color="auto" w:fill="auto"/>
            <w:tcMar>
              <w:top w:w="100" w:type="dxa"/>
              <w:left w:w="100" w:type="dxa"/>
              <w:bottom w:w="100" w:type="dxa"/>
              <w:right w:w="100" w:type="dxa"/>
            </w:tcMar>
          </w:tcPr>
          <w:p w14:paraId="41F10B3B" w14:textId="77777777" w:rsidR="00697131" w:rsidRPr="00732A41" w:rsidRDefault="00697131" w:rsidP="004E786C">
            <w:pPr>
              <w:pStyle w:val="DPCtablecolhead"/>
            </w:pPr>
            <w:r>
              <w:t>Description</w:t>
            </w:r>
          </w:p>
        </w:tc>
      </w:tr>
      <w:tr w:rsidR="00697131" w:rsidRPr="00732A41" w14:paraId="2A038169" w14:textId="77777777" w:rsidTr="004E786C">
        <w:trPr>
          <w:cantSplit/>
        </w:trPr>
        <w:tc>
          <w:tcPr>
            <w:tcW w:w="783" w:type="pct"/>
            <w:shd w:val="clear" w:color="auto" w:fill="auto"/>
            <w:tcMar>
              <w:top w:w="100" w:type="dxa"/>
              <w:left w:w="100" w:type="dxa"/>
              <w:bottom w:w="100" w:type="dxa"/>
              <w:right w:w="100" w:type="dxa"/>
            </w:tcMar>
          </w:tcPr>
          <w:p w14:paraId="19FB667A" w14:textId="77777777" w:rsidR="00697131" w:rsidRDefault="00697131" w:rsidP="004E786C">
            <w:pPr>
              <w:pStyle w:val="DPCtabletext"/>
              <w:rPr>
                <w:color w:val="333333"/>
              </w:rPr>
            </w:pPr>
            <w:r>
              <w:rPr>
                <w:color w:val="333333"/>
              </w:rPr>
              <w:t>ACSC</w:t>
            </w:r>
          </w:p>
        </w:tc>
        <w:tc>
          <w:tcPr>
            <w:tcW w:w="4217" w:type="pct"/>
            <w:shd w:val="clear" w:color="auto" w:fill="auto"/>
            <w:tcMar>
              <w:top w:w="100" w:type="dxa"/>
              <w:left w:w="100" w:type="dxa"/>
              <w:bottom w:w="100" w:type="dxa"/>
              <w:right w:w="100" w:type="dxa"/>
            </w:tcMar>
          </w:tcPr>
          <w:p w14:paraId="5C970E11" w14:textId="77777777" w:rsidR="00697131" w:rsidRPr="003013EB" w:rsidRDefault="00697131" w:rsidP="004E786C">
            <w:pPr>
              <w:pStyle w:val="DPCtabletext"/>
              <w:rPr>
                <w:color w:val="333333"/>
              </w:rPr>
            </w:pPr>
            <w:r>
              <w:rPr>
                <w:color w:val="333333"/>
              </w:rPr>
              <w:t xml:space="preserve">Australian Cyber Security Centre </w:t>
            </w:r>
            <w:hyperlink r:id="rId25" w:history="1">
              <w:r w:rsidRPr="00146494">
                <w:rPr>
                  <w:rStyle w:val="Hyperlink"/>
                  <w:lang w:val="en-AU"/>
                </w:rPr>
                <w:t>https://www.cyber.gov.au/</w:t>
              </w:r>
            </w:hyperlink>
          </w:p>
        </w:tc>
      </w:tr>
      <w:tr w:rsidR="00697131" w:rsidRPr="00732A41" w14:paraId="13CEBC89" w14:textId="77777777" w:rsidTr="004E786C">
        <w:trPr>
          <w:cantSplit/>
        </w:trPr>
        <w:tc>
          <w:tcPr>
            <w:tcW w:w="783" w:type="pct"/>
            <w:shd w:val="clear" w:color="auto" w:fill="auto"/>
            <w:tcMar>
              <w:top w:w="100" w:type="dxa"/>
              <w:left w:w="100" w:type="dxa"/>
              <w:bottom w:w="100" w:type="dxa"/>
              <w:right w:w="100" w:type="dxa"/>
            </w:tcMar>
          </w:tcPr>
          <w:p w14:paraId="63886DD0" w14:textId="77777777" w:rsidR="00697131" w:rsidRDefault="00697131" w:rsidP="004E786C">
            <w:pPr>
              <w:pStyle w:val="DPCtabletext"/>
              <w:rPr>
                <w:color w:val="333333"/>
              </w:rPr>
            </w:pPr>
            <w:r>
              <w:rPr>
                <w:color w:val="333333"/>
              </w:rPr>
              <w:t>AMAF</w:t>
            </w:r>
          </w:p>
        </w:tc>
        <w:tc>
          <w:tcPr>
            <w:tcW w:w="4217" w:type="pct"/>
            <w:shd w:val="clear" w:color="auto" w:fill="auto"/>
            <w:tcMar>
              <w:top w:w="100" w:type="dxa"/>
              <w:left w:w="100" w:type="dxa"/>
              <w:bottom w:w="100" w:type="dxa"/>
              <w:right w:w="100" w:type="dxa"/>
            </w:tcMar>
          </w:tcPr>
          <w:p w14:paraId="03E9A825" w14:textId="77777777" w:rsidR="00697131" w:rsidRDefault="00697131" w:rsidP="004E786C">
            <w:pPr>
              <w:pStyle w:val="DPCtabletext"/>
              <w:rPr>
                <w:color w:val="333333"/>
              </w:rPr>
            </w:pPr>
            <w:r>
              <w:rPr>
                <w:color w:val="333333"/>
              </w:rPr>
              <w:t>Asset Management Accountability Framework</w:t>
            </w:r>
          </w:p>
          <w:p w14:paraId="35E45647" w14:textId="77777777" w:rsidR="00697131" w:rsidRDefault="008959EF" w:rsidP="004E786C">
            <w:pPr>
              <w:pStyle w:val="DPCtabletext"/>
              <w:rPr>
                <w:color w:val="333333"/>
              </w:rPr>
            </w:pPr>
            <w:hyperlink r:id="rId26" w:history="1">
              <w:r w:rsidR="00697131" w:rsidRPr="00A95AF5">
                <w:rPr>
                  <w:rStyle w:val="Hyperlink"/>
                  <w:rFonts w:eastAsia="Times New Roman" w:cs="Times New Roman"/>
                  <w:lang w:val="en-AU"/>
                </w:rPr>
                <w:t>https://www.dtf.vic.gov.au/infrastructure-investment/asset-management-accountability-framework</w:t>
              </w:r>
            </w:hyperlink>
          </w:p>
        </w:tc>
      </w:tr>
      <w:tr w:rsidR="00697131" w:rsidRPr="00732A41" w14:paraId="21E73846" w14:textId="77777777" w:rsidTr="004E786C">
        <w:trPr>
          <w:cantSplit/>
        </w:trPr>
        <w:tc>
          <w:tcPr>
            <w:tcW w:w="783" w:type="pct"/>
            <w:shd w:val="clear" w:color="auto" w:fill="auto"/>
            <w:tcMar>
              <w:top w:w="100" w:type="dxa"/>
              <w:left w:w="100" w:type="dxa"/>
              <w:bottom w:w="100" w:type="dxa"/>
              <w:right w:w="100" w:type="dxa"/>
            </w:tcMar>
          </w:tcPr>
          <w:p w14:paraId="7D2385F8" w14:textId="77777777" w:rsidR="00697131" w:rsidRDefault="00697131" w:rsidP="004E786C">
            <w:pPr>
              <w:pStyle w:val="DPCtabletext"/>
              <w:rPr>
                <w:color w:val="333333"/>
              </w:rPr>
            </w:pPr>
            <w:r>
              <w:rPr>
                <w:color w:val="333333"/>
              </w:rPr>
              <w:t>AWS</w:t>
            </w:r>
          </w:p>
        </w:tc>
        <w:tc>
          <w:tcPr>
            <w:tcW w:w="4217" w:type="pct"/>
            <w:shd w:val="clear" w:color="auto" w:fill="auto"/>
            <w:tcMar>
              <w:top w:w="100" w:type="dxa"/>
              <w:left w:w="100" w:type="dxa"/>
              <w:bottom w:w="100" w:type="dxa"/>
              <w:right w:w="100" w:type="dxa"/>
            </w:tcMar>
          </w:tcPr>
          <w:p w14:paraId="56D76FC2" w14:textId="77777777" w:rsidR="00697131" w:rsidRDefault="00697131" w:rsidP="004E786C">
            <w:pPr>
              <w:pStyle w:val="DPCtabletext"/>
              <w:rPr>
                <w:color w:val="333333"/>
              </w:rPr>
            </w:pPr>
            <w:r>
              <w:rPr>
                <w:color w:val="333333"/>
              </w:rPr>
              <w:t xml:space="preserve">Amazon Web Services </w:t>
            </w:r>
            <w:hyperlink r:id="rId27" w:history="1">
              <w:r w:rsidRPr="00146494">
                <w:rPr>
                  <w:rStyle w:val="Hyperlink"/>
                </w:rPr>
                <w:t>https://aws.amazon.com</w:t>
              </w:r>
            </w:hyperlink>
          </w:p>
        </w:tc>
      </w:tr>
      <w:tr w:rsidR="00697131" w:rsidRPr="00732A41" w14:paraId="6EE64D1F" w14:textId="77777777" w:rsidTr="004E786C">
        <w:trPr>
          <w:cantSplit/>
        </w:trPr>
        <w:tc>
          <w:tcPr>
            <w:tcW w:w="783" w:type="pct"/>
            <w:shd w:val="clear" w:color="auto" w:fill="auto"/>
            <w:tcMar>
              <w:top w:w="100" w:type="dxa"/>
              <w:left w:w="100" w:type="dxa"/>
              <w:bottom w:w="100" w:type="dxa"/>
              <w:right w:w="100" w:type="dxa"/>
            </w:tcMar>
          </w:tcPr>
          <w:p w14:paraId="3E66A441" w14:textId="77777777" w:rsidR="00697131" w:rsidRDefault="00697131" w:rsidP="004E786C">
            <w:pPr>
              <w:pStyle w:val="DPCtabletext"/>
              <w:rPr>
                <w:color w:val="333333"/>
              </w:rPr>
            </w:pPr>
            <w:r>
              <w:rPr>
                <w:color w:val="333333"/>
              </w:rPr>
              <w:t>Azure</w:t>
            </w:r>
          </w:p>
        </w:tc>
        <w:tc>
          <w:tcPr>
            <w:tcW w:w="4217" w:type="pct"/>
            <w:shd w:val="clear" w:color="auto" w:fill="auto"/>
            <w:tcMar>
              <w:top w:w="100" w:type="dxa"/>
              <w:left w:w="100" w:type="dxa"/>
              <w:bottom w:w="100" w:type="dxa"/>
              <w:right w:w="100" w:type="dxa"/>
            </w:tcMar>
          </w:tcPr>
          <w:p w14:paraId="02B82EC1" w14:textId="77777777" w:rsidR="00697131" w:rsidRDefault="00697131" w:rsidP="004E786C">
            <w:pPr>
              <w:pStyle w:val="DPCtabletext"/>
              <w:rPr>
                <w:color w:val="333333"/>
              </w:rPr>
            </w:pPr>
            <w:r>
              <w:rPr>
                <w:color w:val="333333"/>
              </w:rPr>
              <w:t xml:space="preserve">Microsoft Azure </w:t>
            </w:r>
            <w:hyperlink r:id="rId28" w:history="1">
              <w:r w:rsidRPr="00146494">
                <w:rPr>
                  <w:rStyle w:val="Hyperlink"/>
                </w:rPr>
                <w:t>https://azure.microsoft.com</w:t>
              </w:r>
            </w:hyperlink>
            <w:r>
              <w:rPr>
                <w:color w:val="333333"/>
              </w:rPr>
              <w:t xml:space="preserve"> </w:t>
            </w:r>
          </w:p>
        </w:tc>
      </w:tr>
      <w:tr w:rsidR="00697131" w:rsidRPr="00732A41" w14:paraId="21C2F0F0" w14:textId="77777777" w:rsidTr="004E786C">
        <w:trPr>
          <w:cantSplit/>
        </w:trPr>
        <w:tc>
          <w:tcPr>
            <w:tcW w:w="783" w:type="pct"/>
            <w:shd w:val="clear" w:color="auto" w:fill="auto"/>
            <w:tcMar>
              <w:top w:w="100" w:type="dxa"/>
              <w:left w:w="100" w:type="dxa"/>
              <w:bottom w:w="100" w:type="dxa"/>
              <w:right w:w="100" w:type="dxa"/>
            </w:tcMar>
          </w:tcPr>
          <w:p w14:paraId="14298225" w14:textId="77777777" w:rsidR="00697131" w:rsidRDefault="00697131" w:rsidP="004E786C">
            <w:pPr>
              <w:pStyle w:val="DPCtabletext"/>
              <w:rPr>
                <w:color w:val="333333"/>
              </w:rPr>
            </w:pPr>
            <w:r>
              <w:rPr>
                <w:color w:val="333333"/>
              </w:rPr>
              <w:t>BAU</w:t>
            </w:r>
          </w:p>
        </w:tc>
        <w:tc>
          <w:tcPr>
            <w:tcW w:w="4217" w:type="pct"/>
            <w:shd w:val="clear" w:color="auto" w:fill="auto"/>
            <w:tcMar>
              <w:top w:w="100" w:type="dxa"/>
              <w:left w:w="100" w:type="dxa"/>
              <w:bottom w:w="100" w:type="dxa"/>
              <w:right w:w="100" w:type="dxa"/>
            </w:tcMar>
          </w:tcPr>
          <w:p w14:paraId="177294CB" w14:textId="77777777" w:rsidR="00697131" w:rsidRDefault="00697131" w:rsidP="004E786C">
            <w:pPr>
              <w:pStyle w:val="DPCtabletext"/>
              <w:rPr>
                <w:color w:val="333333"/>
              </w:rPr>
            </w:pPr>
            <w:r>
              <w:rPr>
                <w:color w:val="333333"/>
              </w:rPr>
              <w:t>Business As Usual</w:t>
            </w:r>
          </w:p>
        </w:tc>
      </w:tr>
      <w:tr w:rsidR="00697131" w:rsidRPr="00732A41" w14:paraId="100888D3" w14:textId="77777777" w:rsidTr="004E786C">
        <w:trPr>
          <w:cantSplit/>
        </w:trPr>
        <w:tc>
          <w:tcPr>
            <w:tcW w:w="783" w:type="pct"/>
            <w:shd w:val="clear" w:color="auto" w:fill="auto"/>
            <w:tcMar>
              <w:top w:w="100" w:type="dxa"/>
              <w:left w:w="100" w:type="dxa"/>
              <w:bottom w:w="100" w:type="dxa"/>
              <w:right w:w="100" w:type="dxa"/>
            </w:tcMar>
          </w:tcPr>
          <w:p w14:paraId="4EA1DBB6" w14:textId="77777777" w:rsidR="00697131" w:rsidRDefault="00697131" w:rsidP="004E786C">
            <w:pPr>
              <w:pStyle w:val="DPCtabletext"/>
              <w:rPr>
                <w:color w:val="333333"/>
              </w:rPr>
            </w:pPr>
            <w:r>
              <w:rPr>
                <w:color w:val="333333"/>
              </w:rPr>
              <w:t>BIL(s)</w:t>
            </w:r>
          </w:p>
        </w:tc>
        <w:tc>
          <w:tcPr>
            <w:tcW w:w="4217" w:type="pct"/>
            <w:shd w:val="clear" w:color="auto" w:fill="auto"/>
            <w:tcMar>
              <w:top w:w="100" w:type="dxa"/>
              <w:left w:w="100" w:type="dxa"/>
              <w:bottom w:w="100" w:type="dxa"/>
              <w:right w:w="100" w:type="dxa"/>
            </w:tcMar>
          </w:tcPr>
          <w:p w14:paraId="3276BB9F" w14:textId="77777777" w:rsidR="00697131" w:rsidRDefault="00697131" w:rsidP="004E786C">
            <w:pPr>
              <w:pStyle w:val="DPCtabletext"/>
              <w:rPr>
                <w:color w:val="333333"/>
              </w:rPr>
            </w:pPr>
            <w:r>
              <w:rPr>
                <w:color w:val="333333"/>
              </w:rPr>
              <w:t>Business Impact Level(s) for Confidentiality, Integrity and Availability, as per OVIC’s VPDSS (</w:t>
            </w:r>
            <w:hyperlink r:id="rId29" w:history="1">
              <w:r w:rsidRPr="00EC2D47">
                <w:rPr>
                  <w:rStyle w:val="Hyperlink"/>
                  <w:rFonts w:eastAsia="Times New Roman" w:cs="Times New Roman"/>
                  <w:lang w:val="en-AU"/>
                </w:rPr>
                <w:t>https://ovic.vic.gov.au/data-protection/standards/</w:t>
              </w:r>
            </w:hyperlink>
            <w:r>
              <w:rPr>
                <w:color w:val="333333"/>
              </w:rPr>
              <w:t>)</w:t>
            </w:r>
          </w:p>
        </w:tc>
      </w:tr>
      <w:tr w:rsidR="00697131" w:rsidRPr="00732A41" w14:paraId="44EBE514" w14:textId="77777777" w:rsidTr="004E786C">
        <w:trPr>
          <w:cantSplit/>
        </w:trPr>
        <w:tc>
          <w:tcPr>
            <w:tcW w:w="783" w:type="pct"/>
            <w:shd w:val="clear" w:color="auto" w:fill="auto"/>
            <w:tcMar>
              <w:top w:w="100" w:type="dxa"/>
              <w:left w:w="100" w:type="dxa"/>
              <w:bottom w:w="100" w:type="dxa"/>
              <w:right w:w="100" w:type="dxa"/>
            </w:tcMar>
          </w:tcPr>
          <w:p w14:paraId="3275B3C3" w14:textId="77777777" w:rsidR="00697131" w:rsidRDefault="00697131" w:rsidP="004E786C">
            <w:pPr>
              <w:pStyle w:val="DPCtabletext"/>
              <w:rPr>
                <w:color w:val="333333"/>
              </w:rPr>
            </w:pPr>
            <w:r>
              <w:rPr>
                <w:color w:val="333333"/>
              </w:rPr>
              <w:t>CIA / C-I-A</w:t>
            </w:r>
          </w:p>
        </w:tc>
        <w:tc>
          <w:tcPr>
            <w:tcW w:w="4217" w:type="pct"/>
            <w:shd w:val="clear" w:color="auto" w:fill="auto"/>
            <w:tcMar>
              <w:top w:w="100" w:type="dxa"/>
              <w:left w:w="100" w:type="dxa"/>
              <w:bottom w:w="100" w:type="dxa"/>
              <w:right w:w="100" w:type="dxa"/>
            </w:tcMar>
          </w:tcPr>
          <w:p w14:paraId="687E00A7" w14:textId="77777777" w:rsidR="00697131" w:rsidRDefault="00697131" w:rsidP="004E786C">
            <w:pPr>
              <w:pStyle w:val="DPCtabletext"/>
              <w:rPr>
                <w:color w:val="333333"/>
              </w:rPr>
            </w:pPr>
            <w:r>
              <w:rPr>
                <w:color w:val="333333"/>
              </w:rPr>
              <w:t>Confidentiality, Integrity and Availability</w:t>
            </w:r>
          </w:p>
        </w:tc>
      </w:tr>
      <w:tr w:rsidR="00697131" w:rsidRPr="00732A41" w14:paraId="62834A82" w14:textId="77777777" w:rsidTr="004E786C">
        <w:trPr>
          <w:cantSplit/>
        </w:trPr>
        <w:tc>
          <w:tcPr>
            <w:tcW w:w="783" w:type="pct"/>
            <w:shd w:val="clear" w:color="auto" w:fill="auto"/>
            <w:tcMar>
              <w:top w:w="100" w:type="dxa"/>
              <w:left w:w="100" w:type="dxa"/>
              <w:bottom w:w="100" w:type="dxa"/>
              <w:right w:w="100" w:type="dxa"/>
            </w:tcMar>
          </w:tcPr>
          <w:p w14:paraId="28C00503" w14:textId="77777777" w:rsidR="00697131" w:rsidRDefault="00697131" w:rsidP="004E786C">
            <w:pPr>
              <w:pStyle w:val="DPCtabletext"/>
              <w:rPr>
                <w:color w:val="333333"/>
              </w:rPr>
            </w:pPr>
            <w:r>
              <w:rPr>
                <w:color w:val="333333"/>
              </w:rPr>
              <w:t>CIO</w:t>
            </w:r>
          </w:p>
        </w:tc>
        <w:tc>
          <w:tcPr>
            <w:tcW w:w="4217" w:type="pct"/>
            <w:shd w:val="clear" w:color="auto" w:fill="auto"/>
            <w:tcMar>
              <w:top w:w="100" w:type="dxa"/>
              <w:left w:w="100" w:type="dxa"/>
              <w:bottom w:w="100" w:type="dxa"/>
              <w:right w:w="100" w:type="dxa"/>
            </w:tcMar>
          </w:tcPr>
          <w:p w14:paraId="698D0846" w14:textId="77777777" w:rsidR="00697131" w:rsidRDefault="00697131" w:rsidP="004E786C">
            <w:pPr>
              <w:pStyle w:val="DPCtabletext"/>
              <w:rPr>
                <w:color w:val="333333"/>
              </w:rPr>
            </w:pPr>
            <w:r>
              <w:rPr>
                <w:color w:val="333333"/>
              </w:rPr>
              <w:t>Chief Information Officer</w:t>
            </w:r>
          </w:p>
        </w:tc>
      </w:tr>
      <w:tr w:rsidR="00697131" w:rsidRPr="00732A41" w14:paraId="1CC15E5D" w14:textId="77777777" w:rsidTr="004E786C">
        <w:trPr>
          <w:cantSplit/>
        </w:trPr>
        <w:tc>
          <w:tcPr>
            <w:tcW w:w="783" w:type="pct"/>
            <w:shd w:val="clear" w:color="auto" w:fill="auto"/>
            <w:tcMar>
              <w:top w:w="100" w:type="dxa"/>
              <w:left w:w="100" w:type="dxa"/>
              <w:bottom w:w="100" w:type="dxa"/>
              <w:right w:w="100" w:type="dxa"/>
            </w:tcMar>
          </w:tcPr>
          <w:p w14:paraId="61CE3856" w14:textId="77777777" w:rsidR="00697131" w:rsidRDefault="00697131" w:rsidP="004E786C">
            <w:pPr>
              <w:pStyle w:val="DPCtabletext"/>
              <w:rPr>
                <w:color w:val="333333"/>
              </w:rPr>
            </w:pPr>
            <w:r>
              <w:rPr>
                <w:color w:val="333333"/>
              </w:rPr>
              <w:t>CMDB</w:t>
            </w:r>
          </w:p>
        </w:tc>
        <w:tc>
          <w:tcPr>
            <w:tcW w:w="4217" w:type="pct"/>
            <w:shd w:val="clear" w:color="auto" w:fill="auto"/>
            <w:tcMar>
              <w:top w:w="100" w:type="dxa"/>
              <w:left w:w="100" w:type="dxa"/>
              <w:bottom w:w="100" w:type="dxa"/>
              <w:right w:w="100" w:type="dxa"/>
            </w:tcMar>
          </w:tcPr>
          <w:p w14:paraId="3F5436A6" w14:textId="77777777" w:rsidR="00697131" w:rsidRDefault="00697131" w:rsidP="004E786C">
            <w:pPr>
              <w:pStyle w:val="DPCtabletext"/>
              <w:rPr>
                <w:color w:val="333333"/>
              </w:rPr>
            </w:pPr>
            <w:r>
              <w:rPr>
                <w:color w:val="333333"/>
              </w:rPr>
              <w:t>Configuration Management Database</w:t>
            </w:r>
          </w:p>
        </w:tc>
      </w:tr>
      <w:tr w:rsidR="00697131" w:rsidRPr="00732A41" w14:paraId="19E9FB89" w14:textId="77777777" w:rsidTr="004E786C">
        <w:trPr>
          <w:cantSplit/>
        </w:trPr>
        <w:tc>
          <w:tcPr>
            <w:tcW w:w="783" w:type="pct"/>
            <w:shd w:val="clear" w:color="auto" w:fill="auto"/>
            <w:tcMar>
              <w:top w:w="100" w:type="dxa"/>
              <w:left w:w="100" w:type="dxa"/>
              <w:bottom w:w="100" w:type="dxa"/>
              <w:right w:w="100" w:type="dxa"/>
            </w:tcMar>
          </w:tcPr>
          <w:p w14:paraId="414DEA61" w14:textId="77777777" w:rsidR="00697131" w:rsidRDefault="00697131" w:rsidP="004E786C">
            <w:pPr>
              <w:pStyle w:val="DPCtabletext"/>
              <w:rPr>
                <w:color w:val="333333"/>
              </w:rPr>
            </w:pPr>
            <w:r>
              <w:rPr>
                <w:color w:val="333333"/>
              </w:rPr>
              <w:t>COBIT</w:t>
            </w:r>
          </w:p>
        </w:tc>
        <w:tc>
          <w:tcPr>
            <w:tcW w:w="4217" w:type="pct"/>
            <w:shd w:val="clear" w:color="auto" w:fill="auto"/>
            <w:tcMar>
              <w:top w:w="100" w:type="dxa"/>
              <w:left w:w="100" w:type="dxa"/>
              <w:bottom w:w="100" w:type="dxa"/>
              <w:right w:w="100" w:type="dxa"/>
            </w:tcMar>
          </w:tcPr>
          <w:p w14:paraId="652567D9" w14:textId="77777777" w:rsidR="00697131" w:rsidRDefault="00697131" w:rsidP="004E786C">
            <w:pPr>
              <w:pStyle w:val="DPCtabletext"/>
              <w:rPr>
                <w:color w:val="333333"/>
              </w:rPr>
            </w:pPr>
            <w:r w:rsidRPr="00790AAF">
              <w:rPr>
                <w:color w:val="333333"/>
              </w:rPr>
              <w:t>Control Objectives for Information and Related Technologies</w:t>
            </w:r>
          </w:p>
          <w:p w14:paraId="670DDD26" w14:textId="77777777" w:rsidR="00697131" w:rsidRDefault="008959EF" w:rsidP="004E786C">
            <w:pPr>
              <w:pStyle w:val="DPCtabletext"/>
              <w:rPr>
                <w:color w:val="333333"/>
              </w:rPr>
            </w:pPr>
            <w:hyperlink r:id="rId30" w:history="1">
              <w:r w:rsidR="00697131" w:rsidRPr="007120C7">
                <w:rPr>
                  <w:rStyle w:val="Hyperlink"/>
                </w:rPr>
                <w:t>https://www.isaca.org/resources/cobit</w:t>
              </w:r>
            </w:hyperlink>
          </w:p>
        </w:tc>
      </w:tr>
      <w:tr w:rsidR="00697131" w:rsidRPr="00732A41" w14:paraId="3594E40F" w14:textId="77777777" w:rsidTr="004E786C">
        <w:trPr>
          <w:cantSplit/>
        </w:trPr>
        <w:tc>
          <w:tcPr>
            <w:tcW w:w="783" w:type="pct"/>
            <w:shd w:val="clear" w:color="auto" w:fill="auto"/>
            <w:tcMar>
              <w:top w:w="100" w:type="dxa"/>
              <w:left w:w="100" w:type="dxa"/>
              <w:bottom w:w="100" w:type="dxa"/>
              <w:right w:w="100" w:type="dxa"/>
            </w:tcMar>
          </w:tcPr>
          <w:p w14:paraId="40636C7E" w14:textId="2CB96DFB" w:rsidR="00697131" w:rsidRDefault="00697131" w:rsidP="004E786C">
            <w:pPr>
              <w:pStyle w:val="DPCtabletext"/>
              <w:rPr>
                <w:color w:val="333333"/>
              </w:rPr>
            </w:pPr>
            <w:r>
              <w:rPr>
                <w:color w:val="333333"/>
              </w:rPr>
              <w:t>DJ</w:t>
            </w:r>
            <w:r w:rsidR="00D9218C">
              <w:rPr>
                <w:color w:val="333333"/>
              </w:rPr>
              <w:t>SIR</w:t>
            </w:r>
          </w:p>
        </w:tc>
        <w:tc>
          <w:tcPr>
            <w:tcW w:w="4217" w:type="pct"/>
            <w:shd w:val="clear" w:color="auto" w:fill="auto"/>
            <w:tcMar>
              <w:top w:w="100" w:type="dxa"/>
              <w:left w:w="100" w:type="dxa"/>
              <w:bottom w:w="100" w:type="dxa"/>
              <w:right w:w="100" w:type="dxa"/>
            </w:tcMar>
          </w:tcPr>
          <w:p w14:paraId="414600AE" w14:textId="5E7DC95B" w:rsidR="00697131" w:rsidRPr="00790AAF" w:rsidRDefault="00697131" w:rsidP="004E786C">
            <w:pPr>
              <w:pStyle w:val="DPCtabletext"/>
              <w:rPr>
                <w:color w:val="333333"/>
              </w:rPr>
            </w:pPr>
            <w:r>
              <w:rPr>
                <w:color w:val="333333"/>
              </w:rPr>
              <w:t>Department of Jobs</w:t>
            </w:r>
            <w:r w:rsidR="00D9218C">
              <w:rPr>
                <w:color w:val="333333"/>
              </w:rPr>
              <w:t>, Skills, Industry and Regions</w:t>
            </w:r>
            <w:r>
              <w:rPr>
                <w:color w:val="333333"/>
              </w:rPr>
              <w:t xml:space="preserve"> </w:t>
            </w:r>
            <w:hyperlink r:id="rId31" w:history="1">
              <w:r w:rsidR="00C14108">
                <w:rPr>
                  <w:rStyle w:val="Hyperlink"/>
                </w:rPr>
                <w:t>https://djsir.vic.gov.au/digital-jobs</w:t>
              </w:r>
            </w:hyperlink>
          </w:p>
        </w:tc>
      </w:tr>
      <w:tr w:rsidR="00697131" w:rsidRPr="00732A41" w14:paraId="2D396C86" w14:textId="77777777" w:rsidTr="004E786C">
        <w:trPr>
          <w:cantSplit/>
        </w:trPr>
        <w:tc>
          <w:tcPr>
            <w:tcW w:w="783" w:type="pct"/>
            <w:shd w:val="clear" w:color="auto" w:fill="auto"/>
            <w:tcMar>
              <w:top w:w="100" w:type="dxa"/>
              <w:left w:w="100" w:type="dxa"/>
              <w:bottom w:w="100" w:type="dxa"/>
              <w:right w:w="100" w:type="dxa"/>
            </w:tcMar>
          </w:tcPr>
          <w:p w14:paraId="2BFDECEA" w14:textId="77777777" w:rsidR="00697131" w:rsidRDefault="00697131" w:rsidP="004E786C">
            <w:pPr>
              <w:pStyle w:val="DPCtabletext"/>
              <w:rPr>
                <w:color w:val="333333"/>
              </w:rPr>
            </w:pPr>
            <w:r>
              <w:rPr>
                <w:color w:val="333333"/>
              </w:rPr>
              <w:t>DTF</w:t>
            </w:r>
          </w:p>
        </w:tc>
        <w:tc>
          <w:tcPr>
            <w:tcW w:w="4217" w:type="pct"/>
            <w:shd w:val="clear" w:color="auto" w:fill="auto"/>
            <w:tcMar>
              <w:top w:w="100" w:type="dxa"/>
              <w:left w:w="100" w:type="dxa"/>
              <w:bottom w:w="100" w:type="dxa"/>
              <w:right w:w="100" w:type="dxa"/>
            </w:tcMar>
          </w:tcPr>
          <w:p w14:paraId="4776A233" w14:textId="77777777" w:rsidR="00697131" w:rsidRDefault="00697131" w:rsidP="004E786C">
            <w:pPr>
              <w:pStyle w:val="DPCtabletext"/>
              <w:rPr>
                <w:color w:val="333333"/>
              </w:rPr>
            </w:pPr>
            <w:r>
              <w:rPr>
                <w:color w:val="333333"/>
              </w:rPr>
              <w:t>Victorian Department of Treasury and Finance</w:t>
            </w:r>
          </w:p>
        </w:tc>
      </w:tr>
      <w:tr w:rsidR="00697131" w:rsidRPr="00732A41" w14:paraId="39FFABFB" w14:textId="77777777" w:rsidTr="004E786C">
        <w:trPr>
          <w:cantSplit/>
        </w:trPr>
        <w:tc>
          <w:tcPr>
            <w:tcW w:w="783" w:type="pct"/>
            <w:shd w:val="clear" w:color="auto" w:fill="auto"/>
            <w:tcMar>
              <w:top w:w="100" w:type="dxa"/>
              <w:left w:w="100" w:type="dxa"/>
              <w:bottom w:w="100" w:type="dxa"/>
              <w:right w:w="100" w:type="dxa"/>
            </w:tcMar>
          </w:tcPr>
          <w:p w14:paraId="0F051D09" w14:textId="77777777" w:rsidR="00697131" w:rsidRDefault="00697131" w:rsidP="004E786C">
            <w:pPr>
              <w:pStyle w:val="DPCtabletext"/>
              <w:rPr>
                <w:color w:val="333333"/>
              </w:rPr>
            </w:pPr>
            <w:r>
              <w:rPr>
                <w:color w:val="333333"/>
              </w:rPr>
              <w:t>DV CSB</w:t>
            </w:r>
          </w:p>
        </w:tc>
        <w:tc>
          <w:tcPr>
            <w:tcW w:w="4217" w:type="pct"/>
            <w:shd w:val="clear" w:color="auto" w:fill="auto"/>
            <w:tcMar>
              <w:top w:w="100" w:type="dxa"/>
              <w:left w:w="100" w:type="dxa"/>
              <w:bottom w:w="100" w:type="dxa"/>
              <w:right w:w="100" w:type="dxa"/>
            </w:tcMar>
          </w:tcPr>
          <w:p w14:paraId="52379944" w14:textId="77777777" w:rsidR="00697131" w:rsidRDefault="00697131" w:rsidP="004E786C">
            <w:pPr>
              <w:pStyle w:val="DPCtabletext"/>
              <w:rPr>
                <w:color w:val="333333"/>
              </w:rPr>
            </w:pPr>
            <w:r>
              <w:rPr>
                <w:color w:val="333333"/>
              </w:rPr>
              <w:t>Digital Victoria’s Cyber Security Branch</w:t>
            </w:r>
            <w:r>
              <w:rPr>
                <w:color w:val="333333"/>
              </w:rPr>
              <w:br/>
            </w:r>
            <w:hyperlink r:id="rId32" w:history="1">
              <w:r w:rsidRPr="00F2657E">
                <w:rPr>
                  <w:rStyle w:val="Hyperlink"/>
                </w:rPr>
                <w:t>https://www.vic.gov.au/cyber-security-victorian-government</w:t>
              </w:r>
            </w:hyperlink>
          </w:p>
        </w:tc>
      </w:tr>
      <w:tr w:rsidR="00697131" w:rsidRPr="00732A41" w14:paraId="53DCF2F9" w14:textId="77777777" w:rsidTr="004E786C">
        <w:trPr>
          <w:cantSplit/>
        </w:trPr>
        <w:tc>
          <w:tcPr>
            <w:tcW w:w="783" w:type="pct"/>
            <w:shd w:val="clear" w:color="auto" w:fill="auto"/>
            <w:tcMar>
              <w:top w:w="100" w:type="dxa"/>
              <w:left w:w="100" w:type="dxa"/>
              <w:bottom w:w="100" w:type="dxa"/>
              <w:right w:w="100" w:type="dxa"/>
            </w:tcMar>
          </w:tcPr>
          <w:p w14:paraId="207593B4" w14:textId="77777777" w:rsidR="00697131" w:rsidRDefault="00697131" w:rsidP="004E786C">
            <w:pPr>
              <w:pStyle w:val="DPCtabletext"/>
              <w:rPr>
                <w:color w:val="333333"/>
              </w:rPr>
            </w:pPr>
            <w:r>
              <w:rPr>
                <w:color w:val="333333"/>
              </w:rPr>
              <w:t>GCP</w:t>
            </w:r>
          </w:p>
        </w:tc>
        <w:tc>
          <w:tcPr>
            <w:tcW w:w="4217" w:type="pct"/>
            <w:shd w:val="clear" w:color="auto" w:fill="auto"/>
            <w:tcMar>
              <w:top w:w="100" w:type="dxa"/>
              <w:left w:w="100" w:type="dxa"/>
              <w:bottom w:w="100" w:type="dxa"/>
              <w:right w:w="100" w:type="dxa"/>
            </w:tcMar>
          </w:tcPr>
          <w:p w14:paraId="59B019DC" w14:textId="77777777" w:rsidR="00697131" w:rsidRDefault="00697131" w:rsidP="004E786C">
            <w:pPr>
              <w:pStyle w:val="DPCtabletext"/>
              <w:rPr>
                <w:color w:val="333333"/>
              </w:rPr>
            </w:pPr>
            <w:r>
              <w:rPr>
                <w:color w:val="333333"/>
              </w:rPr>
              <w:t xml:space="preserve">Google Cloud Platform </w:t>
            </w:r>
            <w:hyperlink r:id="rId33" w:history="1">
              <w:r w:rsidRPr="00146494">
                <w:rPr>
                  <w:rStyle w:val="Hyperlink"/>
                </w:rPr>
                <w:t>https://cloud.google.com</w:t>
              </w:r>
            </w:hyperlink>
          </w:p>
        </w:tc>
      </w:tr>
      <w:tr w:rsidR="00697131" w:rsidRPr="00732A41" w14:paraId="7E162675" w14:textId="77777777" w:rsidTr="004E786C">
        <w:trPr>
          <w:cantSplit/>
        </w:trPr>
        <w:tc>
          <w:tcPr>
            <w:tcW w:w="783" w:type="pct"/>
            <w:shd w:val="clear" w:color="auto" w:fill="auto"/>
            <w:tcMar>
              <w:top w:w="100" w:type="dxa"/>
              <w:left w:w="100" w:type="dxa"/>
              <w:bottom w:w="100" w:type="dxa"/>
              <w:right w:w="100" w:type="dxa"/>
            </w:tcMar>
          </w:tcPr>
          <w:p w14:paraId="5E62236E" w14:textId="77777777" w:rsidR="00697131" w:rsidRDefault="00697131" w:rsidP="004E786C">
            <w:pPr>
              <w:pStyle w:val="DPCtabletext"/>
              <w:rPr>
                <w:color w:val="333333"/>
              </w:rPr>
            </w:pPr>
            <w:r>
              <w:rPr>
                <w:color w:val="333333"/>
              </w:rPr>
              <w:t>IaaS</w:t>
            </w:r>
          </w:p>
        </w:tc>
        <w:tc>
          <w:tcPr>
            <w:tcW w:w="4217" w:type="pct"/>
            <w:shd w:val="clear" w:color="auto" w:fill="auto"/>
            <w:tcMar>
              <w:top w:w="100" w:type="dxa"/>
              <w:left w:w="100" w:type="dxa"/>
              <w:bottom w:w="100" w:type="dxa"/>
              <w:right w:w="100" w:type="dxa"/>
            </w:tcMar>
          </w:tcPr>
          <w:p w14:paraId="75F61F28" w14:textId="77777777" w:rsidR="00697131" w:rsidRDefault="00697131" w:rsidP="004E786C">
            <w:pPr>
              <w:pStyle w:val="DPCtabletext"/>
              <w:rPr>
                <w:color w:val="333333"/>
              </w:rPr>
            </w:pPr>
            <w:r>
              <w:rPr>
                <w:color w:val="333333"/>
              </w:rPr>
              <w:t>Infrastructure as a Service</w:t>
            </w:r>
          </w:p>
        </w:tc>
      </w:tr>
      <w:tr w:rsidR="00697131" w:rsidRPr="00732A41" w14:paraId="6BB2A439" w14:textId="77777777" w:rsidTr="004E786C">
        <w:trPr>
          <w:cantSplit/>
        </w:trPr>
        <w:tc>
          <w:tcPr>
            <w:tcW w:w="783" w:type="pct"/>
            <w:shd w:val="clear" w:color="auto" w:fill="auto"/>
            <w:tcMar>
              <w:top w:w="100" w:type="dxa"/>
              <w:left w:w="100" w:type="dxa"/>
              <w:bottom w:w="100" w:type="dxa"/>
              <w:right w:w="100" w:type="dxa"/>
            </w:tcMar>
          </w:tcPr>
          <w:p w14:paraId="32CE4A1F" w14:textId="77777777" w:rsidR="00697131" w:rsidRDefault="00697131" w:rsidP="004E786C">
            <w:pPr>
              <w:pStyle w:val="DPCtabletext"/>
              <w:rPr>
                <w:color w:val="333333"/>
              </w:rPr>
            </w:pPr>
            <w:r>
              <w:rPr>
                <w:color w:val="333333"/>
              </w:rPr>
              <w:lastRenderedPageBreak/>
              <w:t>ITAM</w:t>
            </w:r>
          </w:p>
        </w:tc>
        <w:tc>
          <w:tcPr>
            <w:tcW w:w="4217" w:type="pct"/>
            <w:shd w:val="clear" w:color="auto" w:fill="auto"/>
            <w:tcMar>
              <w:top w:w="100" w:type="dxa"/>
              <w:left w:w="100" w:type="dxa"/>
              <w:bottom w:w="100" w:type="dxa"/>
              <w:right w:w="100" w:type="dxa"/>
            </w:tcMar>
          </w:tcPr>
          <w:p w14:paraId="2EFE453B" w14:textId="77777777" w:rsidR="00697131" w:rsidRPr="00732A41" w:rsidRDefault="00697131" w:rsidP="004E786C">
            <w:pPr>
              <w:pStyle w:val="DPCtabletext"/>
              <w:rPr>
                <w:color w:val="333333"/>
              </w:rPr>
            </w:pPr>
            <w:r>
              <w:rPr>
                <w:color w:val="333333"/>
              </w:rPr>
              <w:t>Information Technology Asset Management (IT Asset Management)</w:t>
            </w:r>
          </w:p>
        </w:tc>
      </w:tr>
      <w:tr w:rsidR="00697131" w:rsidRPr="00732A41" w14:paraId="559CF587" w14:textId="77777777" w:rsidTr="004E786C">
        <w:trPr>
          <w:cantSplit/>
        </w:trPr>
        <w:tc>
          <w:tcPr>
            <w:tcW w:w="783" w:type="pct"/>
            <w:shd w:val="clear" w:color="auto" w:fill="auto"/>
            <w:tcMar>
              <w:top w:w="100" w:type="dxa"/>
              <w:left w:w="100" w:type="dxa"/>
              <w:bottom w:w="100" w:type="dxa"/>
              <w:right w:w="100" w:type="dxa"/>
            </w:tcMar>
          </w:tcPr>
          <w:p w14:paraId="3F531CF6" w14:textId="77777777" w:rsidR="00697131" w:rsidRDefault="00697131" w:rsidP="004E786C">
            <w:pPr>
              <w:pStyle w:val="DPCtabletext"/>
              <w:rPr>
                <w:color w:val="333333"/>
              </w:rPr>
            </w:pPr>
            <w:r>
              <w:rPr>
                <w:color w:val="333333"/>
              </w:rPr>
              <w:t>IT-CMF</w:t>
            </w:r>
          </w:p>
        </w:tc>
        <w:tc>
          <w:tcPr>
            <w:tcW w:w="4217" w:type="pct"/>
            <w:shd w:val="clear" w:color="auto" w:fill="auto"/>
            <w:tcMar>
              <w:top w:w="100" w:type="dxa"/>
              <w:left w:w="100" w:type="dxa"/>
              <w:bottom w:w="100" w:type="dxa"/>
              <w:right w:w="100" w:type="dxa"/>
            </w:tcMar>
          </w:tcPr>
          <w:p w14:paraId="728AE5C0" w14:textId="77777777" w:rsidR="00697131" w:rsidRDefault="00697131" w:rsidP="004E786C">
            <w:pPr>
              <w:pStyle w:val="DPCtabletext"/>
              <w:rPr>
                <w:color w:val="333333"/>
              </w:rPr>
            </w:pPr>
            <w:r>
              <w:rPr>
                <w:color w:val="333333"/>
              </w:rPr>
              <w:t xml:space="preserve">IT Capability Maturity Framework </w:t>
            </w:r>
            <w:hyperlink r:id="rId34" w:history="1">
              <w:r w:rsidRPr="00146494">
                <w:rPr>
                  <w:rStyle w:val="Hyperlink"/>
                </w:rPr>
                <w:t>https://ivi.ie/it-capability-maturity-framework/</w:t>
              </w:r>
            </w:hyperlink>
          </w:p>
        </w:tc>
      </w:tr>
      <w:tr w:rsidR="00697131" w:rsidRPr="00732A41" w14:paraId="6766275A" w14:textId="77777777" w:rsidTr="004E786C">
        <w:trPr>
          <w:cantSplit/>
        </w:trPr>
        <w:tc>
          <w:tcPr>
            <w:tcW w:w="783" w:type="pct"/>
            <w:shd w:val="clear" w:color="auto" w:fill="auto"/>
            <w:tcMar>
              <w:top w:w="100" w:type="dxa"/>
              <w:left w:w="100" w:type="dxa"/>
              <w:bottom w:w="100" w:type="dxa"/>
              <w:right w:w="100" w:type="dxa"/>
            </w:tcMar>
          </w:tcPr>
          <w:p w14:paraId="018422C6" w14:textId="77777777" w:rsidR="00697131" w:rsidRDefault="00697131" w:rsidP="004E786C">
            <w:pPr>
              <w:pStyle w:val="DPCtabletext"/>
              <w:rPr>
                <w:color w:val="333333"/>
              </w:rPr>
            </w:pPr>
            <w:r>
              <w:rPr>
                <w:color w:val="333333"/>
              </w:rPr>
              <w:t>ITIL</w:t>
            </w:r>
          </w:p>
        </w:tc>
        <w:tc>
          <w:tcPr>
            <w:tcW w:w="4217" w:type="pct"/>
            <w:shd w:val="clear" w:color="auto" w:fill="auto"/>
            <w:tcMar>
              <w:top w:w="100" w:type="dxa"/>
              <w:left w:w="100" w:type="dxa"/>
              <w:bottom w:w="100" w:type="dxa"/>
              <w:right w:w="100" w:type="dxa"/>
            </w:tcMar>
          </w:tcPr>
          <w:p w14:paraId="4536BA88" w14:textId="77777777" w:rsidR="00697131" w:rsidRDefault="00697131" w:rsidP="004E786C">
            <w:pPr>
              <w:pStyle w:val="DPCtabletext"/>
              <w:rPr>
                <w:color w:val="333333"/>
              </w:rPr>
            </w:pPr>
            <w:r>
              <w:rPr>
                <w:color w:val="333333"/>
              </w:rPr>
              <w:t>Information Technology Infrastructure Library</w:t>
            </w:r>
          </w:p>
          <w:p w14:paraId="5F9EBA83" w14:textId="77777777" w:rsidR="00697131" w:rsidRDefault="008959EF" w:rsidP="004E786C">
            <w:pPr>
              <w:pStyle w:val="DPCtabletext"/>
              <w:rPr>
                <w:color w:val="333333"/>
              </w:rPr>
            </w:pPr>
            <w:hyperlink r:id="rId35" w:history="1">
              <w:r w:rsidR="00697131" w:rsidRPr="007120C7">
                <w:rPr>
                  <w:rStyle w:val="Hyperlink"/>
                </w:rPr>
                <w:t>https://www.axelos.com/certifications/itil-service-management</w:t>
              </w:r>
            </w:hyperlink>
          </w:p>
        </w:tc>
      </w:tr>
      <w:tr w:rsidR="00697131" w:rsidRPr="00732A41" w14:paraId="4477D4E8" w14:textId="77777777" w:rsidTr="004E786C">
        <w:trPr>
          <w:cantSplit/>
        </w:trPr>
        <w:tc>
          <w:tcPr>
            <w:tcW w:w="783" w:type="pct"/>
            <w:shd w:val="clear" w:color="auto" w:fill="auto"/>
            <w:tcMar>
              <w:top w:w="100" w:type="dxa"/>
              <w:left w:w="100" w:type="dxa"/>
              <w:bottom w:w="100" w:type="dxa"/>
              <w:right w:w="100" w:type="dxa"/>
            </w:tcMar>
          </w:tcPr>
          <w:p w14:paraId="550099E3" w14:textId="77777777" w:rsidR="00697131" w:rsidRDefault="00697131" w:rsidP="004E786C">
            <w:pPr>
              <w:pStyle w:val="DPCtabletext"/>
              <w:rPr>
                <w:color w:val="333333"/>
              </w:rPr>
            </w:pPr>
            <w:r>
              <w:rPr>
                <w:color w:val="333333"/>
              </w:rPr>
              <w:t>ITSM</w:t>
            </w:r>
          </w:p>
        </w:tc>
        <w:tc>
          <w:tcPr>
            <w:tcW w:w="4217" w:type="pct"/>
            <w:shd w:val="clear" w:color="auto" w:fill="auto"/>
            <w:tcMar>
              <w:top w:w="100" w:type="dxa"/>
              <w:left w:w="100" w:type="dxa"/>
              <w:bottom w:w="100" w:type="dxa"/>
              <w:right w:w="100" w:type="dxa"/>
            </w:tcMar>
          </w:tcPr>
          <w:p w14:paraId="131C6C6A" w14:textId="77777777" w:rsidR="00697131" w:rsidRDefault="00697131" w:rsidP="004E786C">
            <w:pPr>
              <w:pStyle w:val="DPCtabletext"/>
              <w:rPr>
                <w:color w:val="333333"/>
              </w:rPr>
            </w:pPr>
            <w:r>
              <w:rPr>
                <w:color w:val="333333"/>
              </w:rPr>
              <w:t>Information Technology Service Management</w:t>
            </w:r>
          </w:p>
        </w:tc>
      </w:tr>
      <w:tr w:rsidR="00697131" w:rsidRPr="00732A41" w14:paraId="1BA3F0E7" w14:textId="77777777" w:rsidTr="004E786C">
        <w:trPr>
          <w:cantSplit/>
        </w:trPr>
        <w:tc>
          <w:tcPr>
            <w:tcW w:w="783" w:type="pct"/>
            <w:shd w:val="clear" w:color="auto" w:fill="auto"/>
            <w:tcMar>
              <w:top w:w="100" w:type="dxa"/>
              <w:left w:w="100" w:type="dxa"/>
              <w:bottom w:w="100" w:type="dxa"/>
              <w:right w:w="100" w:type="dxa"/>
            </w:tcMar>
          </w:tcPr>
          <w:p w14:paraId="442F9D2D" w14:textId="77777777" w:rsidR="00697131" w:rsidRDefault="00697131" w:rsidP="004E786C">
            <w:pPr>
              <w:pStyle w:val="DPCtabletext"/>
              <w:rPr>
                <w:color w:val="333333"/>
              </w:rPr>
            </w:pPr>
            <w:r>
              <w:rPr>
                <w:color w:val="333333"/>
              </w:rPr>
              <w:t>ISO</w:t>
            </w:r>
          </w:p>
        </w:tc>
        <w:tc>
          <w:tcPr>
            <w:tcW w:w="4217" w:type="pct"/>
            <w:shd w:val="clear" w:color="auto" w:fill="auto"/>
            <w:tcMar>
              <w:top w:w="100" w:type="dxa"/>
              <w:left w:w="100" w:type="dxa"/>
              <w:bottom w:w="100" w:type="dxa"/>
              <w:right w:w="100" w:type="dxa"/>
            </w:tcMar>
          </w:tcPr>
          <w:p w14:paraId="71AD9977" w14:textId="77777777" w:rsidR="00697131" w:rsidRDefault="00697131" w:rsidP="004E786C">
            <w:pPr>
              <w:pStyle w:val="DPCtabletext"/>
              <w:rPr>
                <w:color w:val="333333"/>
              </w:rPr>
            </w:pPr>
            <w:bookmarkStart w:id="38" w:name="_Hlk139273284"/>
            <w:r w:rsidRPr="00A017B2">
              <w:rPr>
                <w:color w:val="333333"/>
              </w:rPr>
              <w:t>International Organization for Standardization</w:t>
            </w:r>
          </w:p>
          <w:p w14:paraId="2BE56D6E" w14:textId="6580DB73" w:rsidR="004A748C" w:rsidRPr="004A748C" w:rsidRDefault="008959EF" w:rsidP="004E786C">
            <w:pPr>
              <w:pStyle w:val="DPCtabletext"/>
            </w:pPr>
            <w:hyperlink r:id="rId36" w:tgtFrame="_blank" w:tooltip="https://www.iso.org/home.html" w:history="1">
              <w:r w:rsidR="004A748C">
                <w:rPr>
                  <w:rStyle w:val="Hyperlink"/>
                </w:rPr>
                <w:t>https://www.iso.org/home.html</w:t>
              </w:r>
            </w:hyperlink>
            <w:bookmarkEnd w:id="38"/>
          </w:p>
        </w:tc>
      </w:tr>
      <w:tr w:rsidR="00697131" w:rsidRPr="00732A41" w14:paraId="3E40D35B" w14:textId="77777777" w:rsidTr="004E786C">
        <w:trPr>
          <w:cantSplit/>
        </w:trPr>
        <w:tc>
          <w:tcPr>
            <w:tcW w:w="783" w:type="pct"/>
            <w:shd w:val="clear" w:color="auto" w:fill="auto"/>
            <w:tcMar>
              <w:top w:w="100" w:type="dxa"/>
              <w:left w:w="100" w:type="dxa"/>
              <w:bottom w:w="100" w:type="dxa"/>
              <w:right w:w="100" w:type="dxa"/>
            </w:tcMar>
          </w:tcPr>
          <w:p w14:paraId="7B5D7C85" w14:textId="77777777" w:rsidR="00697131" w:rsidRDefault="00697131" w:rsidP="004E786C">
            <w:pPr>
              <w:pStyle w:val="DPCtabletext"/>
              <w:rPr>
                <w:color w:val="333333"/>
              </w:rPr>
            </w:pPr>
            <w:r>
              <w:rPr>
                <w:color w:val="333333"/>
              </w:rPr>
              <w:t>KPI</w:t>
            </w:r>
          </w:p>
        </w:tc>
        <w:tc>
          <w:tcPr>
            <w:tcW w:w="4217" w:type="pct"/>
            <w:shd w:val="clear" w:color="auto" w:fill="auto"/>
            <w:tcMar>
              <w:top w:w="100" w:type="dxa"/>
              <w:left w:w="100" w:type="dxa"/>
              <w:bottom w:w="100" w:type="dxa"/>
              <w:right w:w="100" w:type="dxa"/>
            </w:tcMar>
          </w:tcPr>
          <w:p w14:paraId="4C7EF9C5" w14:textId="77777777" w:rsidR="00697131" w:rsidRPr="00A95AF5" w:rsidRDefault="00697131" w:rsidP="004E786C">
            <w:pPr>
              <w:pStyle w:val="DPCtabletext"/>
              <w:rPr>
                <w:color w:val="333333"/>
              </w:rPr>
            </w:pPr>
            <w:r>
              <w:rPr>
                <w:color w:val="333333"/>
              </w:rPr>
              <w:t>Key Performance Indicator</w:t>
            </w:r>
          </w:p>
        </w:tc>
      </w:tr>
      <w:tr w:rsidR="00697131" w:rsidRPr="00732A41" w14:paraId="76EE3ECA" w14:textId="77777777" w:rsidTr="004E786C">
        <w:trPr>
          <w:cantSplit/>
        </w:trPr>
        <w:tc>
          <w:tcPr>
            <w:tcW w:w="783" w:type="pct"/>
            <w:shd w:val="clear" w:color="auto" w:fill="auto"/>
            <w:tcMar>
              <w:top w:w="100" w:type="dxa"/>
              <w:left w:w="100" w:type="dxa"/>
              <w:bottom w:w="100" w:type="dxa"/>
              <w:right w:w="100" w:type="dxa"/>
            </w:tcMar>
          </w:tcPr>
          <w:p w14:paraId="57F92D43" w14:textId="77777777" w:rsidR="00697131" w:rsidRDefault="00697131" w:rsidP="004E786C">
            <w:pPr>
              <w:pStyle w:val="DPCtabletext"/>
              <w:rPr>
                <w:color w:val="333333"/>
              </w:rPr>
            </w:pPr>
            <w:r>
              <w:rPr>
                <w:color w:val="333333"/>
              </w:rPr>
              <w:t>OVIC</w:t>
            </w:r>
          </w:p>
        </w:tc>
        <w:tc>
          <w:tcPr>
            <w:tcW w:w="4217" w:type="pct"/>
            <w:shd w:val="clear" w:color="auto" w:fill="auto"/>
            <w:tcMar>
              <w:top w:w="100" w:type="dxa"/>
              <w:left w:w="100" w:type="dxa"/>
              <w:bottom w:w="100" w:type="dxa"/>
              <w:right w:w="100" w:type="dxa"/>
            </w:tcMar>
          </w:tcPr>
          <w:p w14:paraId="0D4A5010" w14:textId="77777777" w:rsidR="00697131" w:rsidRDefault="00697131" w:rsidP="004E786C">
            <w:pPr>
              <w:pStyle w:val="DPCtabletext"/>
              <w:rPr>
                <w:color w:val="333333"/>
              </w:rPr>
            </w:pPr>
            <w:r>
              <w:rPr>
                <w:color w:val="333333"/>
              </w:rPr>
              <w:t xml:space="preserve">Office of the Victorian Information Commissioner </w:t>
            </w:r>
            <w:hyperlink r:id="rId37" w:history="1">
              <w:r w:rsidRPr="00146494">
                <w:rPr>
                  <w:rStyle w:val="Hyperlink"/>
                  <w:lang w:val="en-AU"/>
                </w:rPr>
                <w:t>https://ovic.vic.gov.au/</w:t>
              </w:r>
            </w:hyperlink>
          </w:p>
        </w:tc>
      </w:tr>
      <w:tr w:rsidR="00697131" w:rsidRPr="00732A41" w14:paraId="6BA4A41C" w14:textId="77777777" w:rsidTr="004E786C">
        <w:trPr>
          <w:cantSplit/>
        </w:trPr>
        <w:tc>
          <w:tcPr>
            <w:tcW w:w="783" w:type="pct"/>
            <w:shd w:val="clear" w:color="auto" w:fill="auto"/>
            <w:tcMar>
              <w:top w:w="100" w:type="dxa"/>
              <w:left w:w="100" w:type="dxa"/>
              <w:bottom w:w="100" w:type="dxa"/>
              <w:right w:w="100" w:type="dxa"/>
            </w:tcMar>
          </w:tcPr>
          <w:p w14:paraId="2CEBC871" w14:textId="77777777" w:rsidR="00697131" w:rsidRDefault="00697131" w:rsidP="004E786C">
            <w:pPr>
              <w:pStyle w:val="DPCtabletext"/>
              <w:rPr>
                <w:color w:val="333333"/>
              </w:rPr>
            </w:pPr>
            <w:r>
              <w:rPr>
                <w:color w:val="333333"/>
              </w:rPr>
              <w:t>PaaS</w:t>
            </w:r>
          </w:p>
        </w:tc>
        <w:tc>
          <w:tcPr>
            <w:tcW w:w="4217" w:type="pct"/>
            <w:shd w:val="clear" w:color="auto" w:fill="auto"/>
            <w:tcMar>
              <w:top w:w="100" w:type="dxa"/>
              <w:left w:w="100" w:type="dxa"/>
              <w:bottom w:w="100" w:type="dxa"/>
              <w:right w:w="100" w:type="dxa"/>
            </w:tcMar>
          </w:tcPr>
          <w:p w14:paraId="6C7550AB" w14:textId="77777777" w:rsidR="00697131" w:rsidRPr="00732A41" w:rsidRDefault="00697131" w:rsidP="004E786C">
            <w:pPr>
              <w:pStyle w:val="DPCtabletext"/>
              <w:rPr>
                <w:color w:val="333333"/>
              </w:rPr>
            </w:pPr>
            <w:r>
              <w:rPr>
                <w:color w:val="333333"/>
              </w:rPr>
              <w:t>Platform as a Service</w:t>
            </w:r>
          </w:p>
        </w:tc>
      </w:tr>
      <w:tr w:rsidR="00697131" w:rsidRPr="00732A41" w14:paraId="38FA540B" w14:textId="77777777" w:rsidTr="004E786C">
        <w:trPr>
          <w:cantSplit/>
        </w:trPr>
        <w:tc>
          <w:tcPr>
            <w:tcW w:w="783" w:type="pct"/>
            <w:shd w:val="clear" w:color="auto" w:fill="auto"/>
            <w:tcMar>
              <w:top w:w="100" w:type="dxa"/>
              <w:left w:w="100" w:type="dxa"/>
              <w:bottom w:w="100" w:type="dxa"/>
              <w:right w:w="100" w:type="dxa"/>
            </w:tcMar>
          </w:tcPr>
          <w:p w14:paraId="2638A6E8" w14:textId="77777777" w:rsidR="00697131" w:rsidRDefault="00697131" w:rsidP="004E786C">
            <w:pPr>
              <w:pStyle w:val="DPCtabletext"/>
              <w:rPr>
                <w:color w:val="333333"/>
              </w:rPr>
            </w:pPr>
            <w:r>
              <w:rPr>
                <w:color w:val="333333"/>
              </w:rPr>
              <w:t>PDP</w:t>
            </w:r>
          </w:p>
        </w:tc>
        <w:tc>
          <w:tcPr>
            <w:tcW w:w="4217" w:type="pct"/>
            <w:shd w:val="clear" w:color="auto" w:fill="auto"/>
            <w:tcMar>
              <w:top w:w="100" w:type="dxa"/>
              <w:left w:w="100" w:type="dxa"/>
              <w:bottom w:w="100" w:type="dxa"/>
              <w:right w:w="100" w:type="dxa"/>
            </w:tcMar>
          </w:tcPr>
          <w:p w14:paraId="6667D8F0" w14:textId="77777777" w:rsidR="00697131" w:rsidRDefault="00697131" w:rsidP="004E786C">
            <w:pPr>
              <w:pStyle w:val="DPCtabletext"/>
              <w:rPr>
                <w:color w:val="333333"/>
              </w:rPr>
            </w:pPr>
            <w:r>
              <w:rPr>
                <w:color w:val="333333"/>
              </w:rPr>
              <w:t>Performance &amp; Development Plan</w:t>
            </w:r>
          </w:p>
        </w:tc>
      </w:tr>
      <w:tr w:rsidR="00697131" w:rsidRPr="00732A41" w14:paraId="65B52E8B" w14:textId="77777777" w:rsidTr="004E786C">
        <w:trPr>
          <w:cantSplit/>
        </w:trPr>
        <w:tc>
          <w:tcPr>
            <w:tcW w:w="783" w:type="pct"/>
            <w:shd w:val="clear" w:color="auto" w:fill="auto"/>
            <w:tcMar>
              <w:top w:w="100" w:type="dxa"/>
              <w:left w:w="100" w:type="dxa"/>
              <w:bottom w:w="100" w:type="dxa"/>
              <w:right w:w="100" w:type="dxa"/>
            </w:tcMar>
          </w:tcPr>
          <w:p w14:paraId="7676F033" w14:textId="77777777" w:rsidR="00697131" w:rsidRDefault="00697131" w:rsidP="004E786C">
            <w:pPr>
              <w:pStyle w:val="DPCtabletext"/>
              <w:rPr>
                <w:color w:val="333333"/>
              </w:rPr>
            </w:pPr>
            <w:r>
              <w:rPr>
                <w:color w:val="333333"/>
              </w:rPr>
              <w:t>SaaS</w:t>
            </w:r>
          </w:p>
        </w:tc>
        <w:tc>
          <w:tcPr>
            <w:tcW w:w="4217" w:type="pct"/>
            <w:shd w:val="clear" w:color="auto" w:fill="auto"/>
            <w:tcMar>
              <w:top w:w="100" w:type="dxa"/>
              <w:left w:w="100" w:type="dxa"/>
              <w:bottom w:w="100" w:type="dxa"/>
              <w:right w:w="100" w:type="dxa"/>
            </w:tcMar>
          </w:tcPr>
          <w:p w14:paraId="4BE9DC4C" w14:textId="77777777" w:rsidR="00697131" w:rsidRDefault="00697131" w:rsidP="004E786C">
            <w:pPr>
              <w:pStyle w:val="DPCtabletext"/>
              <w:rPr>
                <w:color w:val="333333"/>
              </w:rPr>
            </w:pPr>
            <w:r>
              <w:rPr>
                <w:color w:val="333333"/>
              </w:rPr>
              <w:t>Software as a Service</w:t>
            </w:r>
          </w:p>
        </w:tc>
      </w:tr>
      <w:tr w:rsidR="00697131" w:rsidRPr="00732A41" w14:paraId="492730B6" w14:textId="77777777" w:rsidTr="004E786C">
        <w:trPr>
          <w:cantSplit/>
        </w:trPr>
        <w:tc>
          <w:tcPr>
            <w:tcW w:w="783" w:type="pct"/>
            <w:shd w:val="clear" w:color="auto" w:fill="auto"/>
            <w:tcMar>
              <w:top w:w="100" w:type="dxa"/>
              <w:left w:w="100" w:type="dxa"/>
              <w:bottom w:w="100" w:type="dxa"/>
              <w:right w:w="100" w:type="dxa"/>
            </w:tcMar>
          </w:tcPr>
          <w:p w14:paraId="72C769A7" w14:textId="77777777" w:rsidR="00697131" w:rsidRDefault="00697131" w:rsidP="004E786C">
            <w:pPr>
              <w:pStyle w:val="DPCtabletext"/>
              <w:rPr>
                <w:color w:val="333333"/>
              </w:rPr>
            </w:pPr>
            <w:r>
              <w:rPr>
                <w:color w:val="333333"/>
              </w:rPr>
              <w:t>SIEM</w:t>
            </w:r>
          </w:p>
        </w:tc>
        <w:tc>
          <w:tcPr>
            <w:tcW w:w="4217" w:type="pct"/>
            <w:shd w:val="clear" w:color="auto" w:fill="auto"/>
            <w:tcMar>
              <w:top w:w="100" w:type="dxa"/>
              <w:left w:w="100" w:type="dxa"/>
              <w:bottom w:w="100" w:type="dxa"/>
              <w:right w:w="100" w:type="dxa"/>
            </w:tcMar>
          </w:tcPr>
          <w:p w14:paraId="672D1FBB" w14:textId="77777777" w:rsidR="00697131" w:rsidRDefault="00697131" w:rsidP="004E786C">
            <w:pPr>
              <w:pStyle w:val="DPCtabletext"/>
              <w:rPr>
                <w:color w:val="333333"/>
              </w:rPr>
            </w:pPr>
            <w:r>
              <w:rPr>
                <w:color w:val="333333"/>
              </w:rPr>
              <w:t>Security Information and Event Management</w:t>
            </w:r>
          </w:p>
        </w:tc>
      </w:tr>
      <w:tr w:rsidR="00697131" w:rsidRPr="00732A41" w14:paraId="2DBFDF42" w14:textId="77777777" w:rsidTr="004E786C">
        <w:trPr>
          <w:cantSplit/>
        </w:trPr>
        <w:tc>
          <w:tcPr>
            <w:tcW w:w="783" w:type="pct"/>
            <w:shd w:val="clear" w:color="auto" w:fill="auto"/>
            <w:tcMar>
              <w:top w:w="100" w:type="dxa"/>
              <w:left w:w="100" w:type="dxa"/>
              <w:bottom w:w="100" w:type="dxa"/>
              <w:right w:w="100" w:type="dxa"/>
            </w:tcMar>
          </w:tcPr>
          <w:p w14:paraId="7F847F8B" w14:textId="77777777" w:rsidR="00697131" w:rsidRPr="00732A41" w:rsidRDefault="00697131" w:rsidP="004E786C">
            <w:pPr>
              <w:pStyle w:val="DPCtabletext"/>
              <w:rPr>
                <w:color w:val="333333"/>
              </w:rPr>
            </w:pPr>
            <w:r>
              <w:rPr>
                <w:color w:val="333333"/>
              </w:rPr>
              <w:t>SLA</w:t>
            </w:r>
          </w:p>
        </w:tc>
        <w:tc>
          <w:tcPr>
            <w:tcW w:w="4217" w:type="pct"/>
            <w:shd w:val="clear" w:color="auto" w:fill="auto"/>
            <w:tcMar>
              <w:top w:w="100" w:type="dxa"/>
              <w:left w:w="100" w:type="dxa"/>
              <w:bottom w:w="100" w:type="dxa"/>
              <w:right w:w="100" w:type="dxa"/>
            </w:tcMar>
          </w:tcPr>
          <w:p w14:paraId="191DF800" w14:textId="77777777" w:rsidR="00697131" w:rsidRPr="00732A41" w:rsidRDefault="00697131" w:rsidP="004E786C">
            <w:pPr>
              <w:pStyle w:val="DPCtabletext"/>
              <w:rPr>
                <w:color w:val="333333"/>
              </w:rPr>
            </w:pPr>
            <w:r>
              <w:rPr>
                <w:color w:val="333333"/>
              </w:rPr>
              <w:t>Service Level Agreement</w:t>
            </w:r>
          </w:p>
        </w:tc>
      </w:tr>
      <w:tr w:rsidR="00697131" w14:paraId="66243A83" w14:textId="77777777" w:rsidTr="004E786C">
        <w:trPr>
          <w:cantSplit/>
        </w:trPr>
        <w:tc>
          <w:tcPr>
            <w:tcW w:w="783" w:type="pct"/>
            <w:shd w:val="clear" w:color="auto" w:fill="auto"/>
            <w:tcMar>
              <w:top w:w="100" w:type="dxa"/>
              <w:left w:w="100" w:type="dxa"/>
              <w:bottom w:w="100" w:type="dxa"/>
              <w:right w:w="100" w:type="dxa"/>
            </w:tcMar>
          </w:tcPr>
          <w:p w14:paraId="34E4B6DA" w14:textId="77777777" w:rsidR="00697131" w:rsidRDefault="00697131" w:rsidP="004E786C">
            <w:pPr>
              <w:pStyle w:val="DPCtabletext"/>
              <w:rPr>
                <w:color w:val="333333"/>
              </w:rPr>
            </w:pPr>
            <w:r>
              <w:rPr>
                <w:color w:val="333333"/>
              </w:rPr>
              <w:t>Victoria’s Cyber Strategy 2021</w:t>
            </w:r>
          </w:p>
        </w:tc>
        <w:tc>
          <w:tcPr>
            <w:tcW w:w="4217" w:type="pct"/>
            <w:shd w:val="clear" w:color="auto" w:fill="auto"/>
            <w:tcMar>
              <w:top w:w="100" w:type="dxa"/>
              <w:left w:w="100" w:type="dxa"/>
              <w:bottom w:w="100" w:type="dxa"/>
              <w:right w:w="100" w:type="dxa"/>
            </w:tcMar>
          </w:tcPr>
          <w:p w14:paraId="454794CC" w14:textId="77777777" w:rsidR="00697131" w:rsidRDefault="008959EF" w:rsidP="004E786C">
            <w:pPr>
              <w:pStyle w:val="DPCtabletext"/>
              <w:rPr>
                <w:color w:val="333333"/>
              </w:rPr>
            </w:pPr>
            <w:hyperlink r:id="rId38" w:history="1">
              <w:r w:rsidR="00697131" w:rsidRPr="007120C7">
                <w:rPr>
                  <w:rStyle w:val="Hyperlink"/>
                </w:rPr>
                <w:t>https://www.vic.gov.au/victorias-cyber-strategy-2021</w:t>
              </w:r>
            </w:hyperlink>
          </w:p>
        </w:tc>
      </w:tr>
      <w:tr w:rsidR="00697131" w14:paraId="54A92FEF" w14:textId="77777777" w:rsidTr="004E786C">
        <w:trPr>
          <w:cantSplit/>
        </w:trPr>
        <w:tc>
          <w:tcPr>
            <w:tcW w:w="783" w:type="pct"/>
            <w:shd w:val="clear" w:color="auto" w:fill="auto"/>
            <w:tcMar>
              <w:top w:w="100" w:type="dxa"/>
              <w:left w:w="100" w:type="dxa"/>
              <w:bottom w:w="100" w:type="dxa"/>
              <w:right w:w="100" w:type="dxa"/>
            </w:tcMar>
          </w:tcPr>
          <w:p w14:paraId="16E59CB8" w14:textId="77777777" w:rsidR="00697131" w:rsidRDefault="00697131" w:rsidP="004E786C">
            <w:pPr>
              <w:pStyle w:val="DPCtabletext"/>
              <w:rPr>
                <w:color w:val="333333"/>
              </w:rPr>
            </w:pPr>
            <w:r>
              <w:rPr>
                <w:color w:val="333333"/>
              </w:rPr>
              <w:t>VMIA</w:t>
            </w:r>
          </w:p>
        </w:tc>
        <w:tc>
          <w:tcPr>
            <w:tcW w:w="4217" w:type="pct"/>
            <w:shd w:val="clear" w:color="auto" w:fill="auto"/>
            <w:tcMar>
              <w:top w:w="100" w:type="dxa"/>
              <w:left w:w="100" w:type="dxa"/>
              <w:bottom w:w="100" w:type="dxa"/>
              <w:right w:w="100" w:type="dxa"/>
            </w:tcMar>
          </w:tcPr>
          <w:p w14:paraId="01B9EC41" w14:textId="77777777" w:rsidR="00697131" w:rsidRDefault="00697131" w:rsidP="004E786C">
            <w:pPr>
              <w:pStyle w:val="DPCtabletext"/>
              <w:rPr>
                <w:color w:val="333333"/>
              </w:rPr>
            </w:pPr>
            <w:r>
              <w:rPr>
                <w:color w:val="333333"/>
              </w:rPr>
              <w:t xml:space="preserve">Victorian Managed Insurance Authority </w:t>
            </w:r>
            <w:hyperlink r:id="rId39" w:history="1">
              <w:r w:rsidRPr="00146494">
                <w:rPr>
                  <w:rStyle w:val="Hyperlink"/>
                  <w:lang w:val="en-AU"/>
                </w:rPr>
                <w:t>https://www.vmia.vic.gov.au/</w:t>
              </w:r>
            </w:hyperlink>
          </w:p>
        </w:tc>
      </w:tr>
      <w:tr w:rsidR="00697131" w14:paraId="67707533" w14:textId="77777777" w:rsidTr="004E786C">
        <w:trPr>
          <w:cantSplit/>
        </w:trPr>
        <w:tc>
          <w:tcPr>
            <w:tcW w:w="783" w:type="pct"/>
            <w:shd w:val="clear" w:color="auto" w:fill="auto"/>
            <w:tcMar>
              <w:top w:w="100" w:type="dxa"/>
              <w:left w:w="100" w:type="dxa"/>
              <w:bottom w:w="100" w:type="dxa"/>
              <w:right w:w="100" w:type="dxa"/>
            </w:tcMar>
          </w:tcPr>
          <w:p w14:paraId="79A0D81D" w14:textId="77777777" w:rsidR="00697131" w:rsidRDefault="00697131" w:rsidP="004E786C">
            <w:pPr>
              <w:pStyle w:val="DPCtabletext"/>
              <w:rPr>
                <w:color w:val="333333"/>
              </w:rPr>
            </w:pPr>
            <w:r>
              <w:rPr>
                <w:color w:val="333333"/>
              </w:rPr>
              <w:t>VPDSS</w:t>
            </w:r>
          </w:p>
        </w:tc>
        <w:tc>
          <w:tcPr>
            <w:tcW w:w="4217" w:type="pct"/>
            <w:shd w:val="clear" w:color="auto" w:fill="auto"/>
            <w:tcMar>
              <w:top w:w="100" w:type="dxa"/>
              <w:left w:w="100" w:type="dxa"/>
              <w:bottom w:w="100" w:type="dxa"/>
              <w:right w:w="100" w:type="dxa"/>
            </w:tcMar>
          </w:tcPr>
          <w:p w14:paraId="2A8FBDC8" w14:textId="77777777" w:rsidR="00697131" w:rsidRDefault="00697131" w:rsidP="004E786C">
            <w:pPr>
              <w:pStyle w:val="DPCtabletext"/>
              <w:rPr>
                <w:color w:val="333333"/>
              </w:rPr>
            </w:pPr>
            <w:r>
              <w:rPr>
                <w:color w:val="333333"/>
              </w:rPr>
              <w:t>Victorian Protective Data Security Standards</w:t>
            </w:r>
            <w:r>
              <w:rPr>
                <w:color w:val="333333"/>
              </w:rPr>
              <w:br/>
            </w:r>
            <w:hyperlink r:id="rId40" w:history="1">
              <w:r w:rsidRPr="00F2657E">
                <w:rPr>
                  <w:rStyle w:val="Hyperlink"/>
                  <w:lang w:val="en-AU"/>
                </w:rPr>
                <w:t>https://ovic.vic.gov.au/data-protection/standards/</w:t>
              </w:r>
            </w:hyperlink>
          </w:p>
        </w:tc>
      </w:tr>
      <w:tr w:rsidR="00697131" w14:paraId="647D8C0C" w14:textId="77777777" w:rsidTr="004E786C">
        <w:trPr>
          <w:cantSplit/>
        </w:trPr>
        <w:tc>
          <w:tcPr>
            <w:tcW w:w="783" w:type="pct"/>
            <w:shd w:val="clear" w:color="auto" w:fill="auto"/>
            <w:tcMar>
              <w:top w:w="100" w:type="dxa"/>
              <w:left w:w="100" w:type="dxa"/>
              <w:bottom w:w="100" w:type="dxa"/>
              <w:right w:w="100" w:type="dxa"/>
            </w:tcMar>
          </w:tcPr>
          <w:p w14:paraId="604D13AC" w14:textId="2B1D454B" w:rsidR="00697131" w:rsidRDefault="00697131" w:rsidP="004E786C">
            <w:pPr>
              <w:pStyle w:val="DPCtabletext"/>
              <w:rPr>
                <w:color w:val="333333"/>
              </w:rPr>
            </w:pPr>
            <w:r>
              <w:rPr>
                <w:color w:val="333333"/>
              </w:rPr>
              <w:t>WOVG</w:t>
            </w:r>
          </w:p>
        </w:tc>
        <w:tc>
          <w:tcPr>
            <w:tcW w:w="4217" w:type="pct"/>
            <w:shd w:val="clear" w:color="auto" w:fill="auto"/>
            <w:tcMar>
              <w:top w:w="100" w:type="dxa"/>
              <w:left w:w="100" w:type="dxa"/>
              <w:bottom w:w="100" w:type="dxa"/>
              <w:right w:w="100" w:type="dxa"/>
            </w:tcMar>
          </w:tcPr>
          <w:p w14:paraId="07F887C7" w14:textId="77777777" w:rsidR="00697131" w:rsidRDefault="00697131" w:rsidP="004E786C">
            <w:pPr>
              <w:pStyle w:val="DPCtabletext"/>
              <w:rPr>
                <w:color w:val="333333"/>
              </w:rPr>
            </w:pPr>
            <w:r>
              <w:rPr>
                <w:color w:val="333333"/>
              </w:rPr>
              <w:t>Whole of Victorian Government</w:t>
            </w:r>
          </w:p>
        </w:tc>
      </w:tr>
    </w:tbl>
    <w:p w14:paraId="3F728F63" w14:textId="77777777" w:rsidR="00697131" w:rsidRDefault="00697131" w:rsidP="00697131">
      <w:pPr>
        <w:rPr>
          <w:rFonts w:asciiTheme="majorHAnsi" w:eastAsia="MS Gothic" w:hAnsiTheme="majorHAnsi"/>
          <w:b/>
          <w:bCs/>
          <w:color w:val="53565A"/>
          <w:sz w:val="32"/>
          <w:szCs w:val="32"/>
        </w:rPr>
      </w:pPr>
    </w:p>
    <w:p w14:paraId="28F39971" w14:textId="77777777" w:rsidR="00697131" w:rsidRDefault="00697131" w:rsidP="00697131">
      <w:pPr>
        <w:rPr>
          <w:rFonts w:asciiTheme="majorHAnsi" w:eastAsia="MS Gothic" w:hAnsiTheme="majorHAnsi"/>
          <w:b/>
          <w:bCs/>
          <w:color w:val="53565A"/>
          <w:sz w:val="32"/>
          <w:szCs w:val="32"/>
        </w:rPr>
      </w:pPr>
    </w:p>
    <w:p w14:paraId="66B8D77E"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37E6560B"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333ABA0D"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7AB19D92"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3B3AB8A7"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3A90BF57"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213FDEDC"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2A117A56"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362379C4"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33ABD477"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1DD8BCFD"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36C14142"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7989B460"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6527B97F"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7BC0BAA6"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4E513338"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195B6BBC"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4A1F32D8"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3C0FC1E9"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5B928209"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1C3495A9"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41B32A96"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6609B893"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3C417067"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573E3F65"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14C7EB88"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2158EBF8"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0ED8C222"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039F9723"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6FAC52B1"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6A89BE5E"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106B33D9"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4785616A"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362AAFA1"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0D3B8525"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351685DF"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63D3D3C7"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03B2E8AE"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4B592A87" w14:textId="77777777" w:rsidR="00003ECE" w:rsidRDefault="00003ECE"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24523AAD" w14:textId="0194FA76" w:rsidR="00697131" w:rsidRDefault="00697131" w:rsidP="00697131">
      <w:pPr>
        <w:pStyle w:val="paragraph"/>
        <w:spacing w:before="0" w:beforeAutospacing="0" w:after="0" w:afterAutospacing="0"/>
        <w:jc w:val="right"/>
        <w:textAlignment w:val="baseline"/>
        <w:rPr>
          <w:rStyle w:val="eop"/>
          <w:rFonts w:asciiTheme="minorHAnsi" w:hAnsiTheme="minorHAnsi" w:cstheme="minorHAnsi"/>
          <w:color w:val="000000"/>
          <w:sz w:val="20"/>
          <w:szCs w:val="20"/>
          <w:lang w:val="en-US"/>
        </w:rPr>
      </w:pPr>
      <w:r w:rsidRPr="007D3C8B">
        <w:rPr>
          <w:rStyle w:val="normaltextrun"/>
          <w:rFonts w:asciiTheme="minorHAnsi" w:eastAsia="MS Mincho" w:hAnsiTheme="minorHAnsi" w:cstheme="minorHAnsi"/>
          <w:i/>
          <w:iCs/>
          <w:color w:val="000000"/>
          <w:sz w:val="20"/>
          <w:szCs w:val="20"/>
          <w:lang w:val="en-US"/>
        </w:rPr>
        <w:t>© State of Victoria (Digital Victoria) [202</w:t>
      </w:r>
      <w:r>
        <w:rPr>
          <w:rStyle w:val="normaltextrun"/>
          <w:rFonts w:asciiTheme="minorHAnsi" w:eastAsia="MS Mincho" w:hAnsiTheme="minorHAnsi" w:cstheme="minorHAnsi"/>
          <w:i/>
          <w:iCs/>
          <w:color w:val="000000"/>
          <w:sz w:val="20"/>
          <w:szCs w:val="20"/>
          <w:lang w:val="en-US"/>
        </w:rPr>
        <w:t>3</w:t>
      </w:r>
      <w:r w:rsidRPr="007D3C8B">
        <w:rPr>
          <w:rStyle w:val="normaltextrun"/>
          <w:rFonts w:asciiTheme="minorHAnsi" w:eastAsia="MS Mincho" w:hAnsiTheme="minorHAnsi" w:cstheme="minorHAnsi"/>
          <w:i/>
          <w:iCs/>
          <w:color w:val="000000"/>
          <w:sz w:val="20"/>
          <w:szCs w:val="20"/>
          <w:lang w:val="en-US"/>
        </w:rPr>
        <w:t>]</w:t>
      </w:r>
      <w:r w:rsidRPr="007D3C8B">
        <w:rPr>
          <w:rStyle w:val="eop"/>
          <w:rFonts w:asciiTheme="minorHAnsi" w:hAnsiTheme="minorHAnsi" w:cstheme="minorHAnsi"/>
          <w:color w:val="000000"/>
          <w:sz w:val="20"/>
          <w:szCs w:val="20"/>
          <w:lang w:val="en-US"/>
        </w:rPr>
        <w:t> </w:t>
      </w:r>
    </w:p>
    <w:p w14:paraId="01A1C24A" w14:textId="77777777" w:rsidR="00697131" w:rsidRPr="007D3C8B" w:rsidRDefault="00697131" w:rsidP="00697131">
      <w:pPr>
        <w:pStyle w:val="paragraph"/>
        <w:spacing w:before="0" w:beforeAutospacing="0" w:after="0" w:afterAutospacing="0"/>
        <w:jc w:val="right"/>
        <w:textAlignment w:val="baseline"/>
        <w:rPr>
          <w:rFonts w:asciiTheme="minorHAnsi" w:hAnsiTheme="minorHAnsi" w:cstheme="minorHAnsi"/>
          <w:sz w:val="20"/>
          <w:szCs w:val="20"/>
          <w:lang w:val="en-US"/>
        </w:rPr>
      </w:pPr>
    </w:p>
    <w:p w14:paraId="35A73047" w14:textId="77777777" w:rsidR="00697131" w:rsidRDefault="00697131"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r w:rsidRPr="007D3C8B">
        <w:rPr>
          <w:rFonts w:asciiTheme="minorHAnsi" w:eastAsia="MS Gothic" w:hAnsiTheme="minorHAnsi" w:cstheme="minorHAnsi"/>
          <w:b/>
          <w:bCs/>
          <w:noProof/>
          <w:color w:val="53565A"/>
          <w:sz w:val="20"/>
          <w:szCs w:val="20"/>
          <w:shd w:val="clear" w:color="auto" w:fill="E6E6E6"/>
          <w:lang w:eastAsia="en-US"/>
        </w:rPr>
        <w:drawing>
          <wp:inline distT="0" distB="0" distL="0" distR="0" wp14:anchorId="45814745" wp14:editId="0B97F431">
            <wp:extent cx="1199515" cy="4210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9515" cy="421005"/>
                    </a:xfrm>
                    <a:prstGeom prst="rect">
                      <a:avLst/>
                    </a:prstGeom>
                    <a:noFill/>
                    <a:ln>
                      <a:noFill/>
                    </a:ln>
                  </pic:spPr>
                </pic:pic>
              </a:graphicData>
            </a:graphic>
          </wp:inline>
        </w:drawing>
      </w:r>
    </w:p>
    <w:p w14:paraId="69F3F1C1" w14:textId="77777777" w:rsidR="00697131" w:rsidRPr="007D3C8B" w:rsidRDefault="00697131" w:rsidP="00697131">
      <w:pPr>
        <w:pStyle w:val="paragraph"/>
        <w:spacing w:before="0" w:beforeAutospacing="0" w:after="0" w:afterAutospacing="0"/>
        <w:jc w:val="right"/>
        <w:textAlignment w:val="baseline"/>
        <w:rPr>
          <w:rStyle w:val="normaltextrun"/>
          <w:rFonts w:asciiTheme="minorHAnsi" w:eastAsia="MS Mincho" w:hAnsiTheme="minorHAnsi" w:cstheme="minorHAnsi"/>
          <w:i/>
          <w:iCs/>
          <w:color w:val="000000"/>
          <w:sz w:val="20"/>
          <w:szCs w:val="20"/>
          <w:lang w:val="en-US"/>
        </w:rPr>
      </w:pPr>
    </w:p>
    <w:p w14:paraId="4E8E55E0" w14:textId="77777777" w:rsidR="00697131" w:rsidRPr="007D3C8B" w:rsidRDefault="00697131" w:rsidP="00697131">
      <w:pPr>
        <w:pStyle w:val="paragraph"/>
        <w:spacing w:before="0" w:beforeAutospacing="0" w:after="0" w:afterAutospacing="0"/>
        <w:jc w:val="right"/>
        <w:textAlignment w:val="baseline"/>
        <w:rPr>
          <w:rFonts w:asciiTheme="minorHAnsi" w:eastAsia="MS Gothic" w:hAnsiTheme="minorHAnsi" w:cstheme="minorHAnsi"/>
          <w:b/>
          <w:bCs/>
          <w:color w:val="53565A"/>
          <w:sz w:val="20"/>
          <w:szCs w:val="20"/>
        </w:rPr>
      </w:pPr>
      <w:r w:rsidRPr="007D3C8B">
        <w:rPr>
          <w:rStyle w:val="normaltextrun"/>
          <w:rFonts w:asciiTheme="minorHAnsi" w:eastAsia="MS Mincho" w:hAnsiTheme="minorHAnsi" w:cstheme="minorHAnsi"/>
          <w:i/>
          <w:iCs/>
          <w:color w:val="000000"/>
          <w:sz w:val="20"/>
          <w:szCs w:val="20"/>
          <w:lang w:val="en-US"/>
        </w:rPr>
        <w:t xml:space="preserve">This work is licensed under a </w:t>
      </w:r>
      <w:hyperlink r:id="rId42" w:tgtFrame="_blank" w:history="1">
        <w:r w:rsidRPr="007D3C8B">
          <w:rPr>
            <w:rStyle w:val="normaltextrun"/>
            <w:rFonts w:asciiTheme="minorHAnsi" w:eastAsia="MS Mincho" w:hAnsiTheme="minorHAnsi" w:cstheme="minorHAnsi"/>
            <w:i/>
            <w:iCs/>
            <w:color w:val="0563C1"/>
            <w:sz w:val="20"/>
            <w:szCs w:val="20"/>
            <w:u w:val="single"/>
            <w:lang w:val="en-US"/>
          </w:rPr>
          <w:t>Creative Commons Attribution 4.0 licence</w:t>
        </w:r>
      </w:hyperlink>
      <w:r w:rsidRPr="007D3C8B">
        <w:rPr>
          <w:rStyle w:val="normaltextrun"/>
          <w:rFonts w:asciiTheme="minorHAnsi" w:eastAsia="MS Mincho" w:hAnsiTheme="minorHAnsi" w:cstheme="minorHAnsi"/>
          <w:i/>
          <w:iCs/>
          <w:color w:val="000000"/>
          <w:sz w:val="20"/>
          <w:szCs w:val="20"/>
          <w:lang w:val="en-US"/>
        </w:rPr>
        <w:t>. You are free to re</w:t>
      </w:r>
      <w:r w:rsidRPr="007D3C8B">
        <w:rPr>
          <w:rStyle w:val="normaltextrun"/>
          <w:rFonts w:asciiTheme="minorHAnsi" w:eastAsia="MS Mincho" w:hAnsiTheme="minorHAnsi" w:cstheme="minorHAnsi"/>
          <w:i/>
          <w:iCs/>
          <w:color w:val="000000"/>
          <w:sz w:val="20"/>
          <w:szCs w:val="20"/>
          <w:lang w:val="en-US"/>
        </w:rPr>
        <w:noBreakHyphen/>
        <w:t>use the work</w:t>
      </w:r>
      <w:r>
        <w:rPr>
          <w:rStyle w:val="normaltextrun"/>
          <w:rFonts w:asciiTheme="minorHAnsi" w:eastAsia="MS Mincho" w:hAnsiTheme="minorHAnsi" w:cstheme="minorHAnsi"/>
          <w:i/>
          <w:iCs/>
          <w:color w:val="000000"/>
          <w:sz w:val="20"/>
          <w:szCs w:val="20"/>
          <w:lang w:val="en-US"/>
        </w:rPr>
        <w:t xml:space="preserve"> </w:t>
      </w:r>
      <w:r w:rsidRPr="007D3C8B">
        <w:rPr>
          <w:rStyle w:val="normaltextrun"/>
          <w:rFonts w:asciiTheme="minorHAnsi" w:eastAsia="MS Mincho" w:hAnsiTheme="minorHAnsi" w:cstheme="minorHAnsi"/>
          <w:i/>
          <w:iCs/>
          <w:color w:val="000000"/>
          <w:sz w:val="20"/>
          <w:szCs w:val="20"/>
          <w:lang w:val="en-US"/>
        </w:rPr>
        <w:t>under that licence,</w:t>
      </w:r>
      <w:r>
        <w:rPr>
          <w:rStyle w:val="normaltextrun"/>
          <w:rFonts w:asciiTheme="minorHAnsi" w:eastAsia="MS Mincho" w:hAnsiTheme="minorHAnsi" w:cstheme="minorHAnsi"/>
          <w:i/>
          <w:iCs/>
          <w:color w:val="000000"/>
          <w:sz w:val="20"/>
          <w:szCs w:val="20"/>
          <w:lang w:val="en-US"/>
        </w:rPr>
        <w:t xml:space="preserve"> </w:t>
      </w:r>
      <w:r w:rsidRPr="007D3C8B">
        <w:rPr>
          <w:rStyle w:val="normaltextrun"/>
          <w:rFonts w:asciiTheme="minorHAnsi" w:eastAsia="MS Mincho" w:hAnsiTheme="minorHAnsi" w:cstheme="minorHAnsi"/>
          <w:i/>
          <w:iCs/>
          <w:color w:val="000000"/>
          <w:sz w:val="20"/>
          <w:szCs w:val="20"/>
          <w:lang w:val="en-US"/>
        </w:rPr>
        <w:t>on the condition that you credit the State of Victoria (Digital Victoria) as author, indicate if changes were made, and comply with the other licence terms.</w:t>
      </w:r>
    </w:p>
    <w:p w14:paraId="7F9FFD09" w14:textId="77777777" w:rsidR="0012343C" w:rsidRPr="0012343C" w:rsidRDefault="0012343C" w:rsidP="0012343C"/>
    <w:sectPr w:rsidR="0012343C" w:rsidRPr="0012343C" w:rsidSect="004200F4">
      <w:headerReference w:type="even" r:id="rId43"/>
      <w:headerReference w:type="default" r:id="rId44"/>
      <w:footerReference w:type="even" r:id="rId45"/>
      <w:footerReference w:type="default" r:id="rId46"/>
      <w:footerReference w:type="first" r:id="rId47"/>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160A7" w14:textId="77777777" w:rsidR="00723AFC" w:rsidRDefault="00723AFC" w:rsidP="002F6A6E">
      <w:r>
        <w:separator/>
      </w:r>
    </w:p>
    <w:p w14:paraId="7BC5C5D3" w14:textId="77777777" w:rsidR="00723AFC" w:rsidRDefault="00723AFC"/>
    <w:p w14:paraId="6D4323B7" w14:textId="77777777" w:rsidR="00723AFC" w:rsidRDefault="00723AFC"/>
  </w:endnote>
  <w:endnote w:type="continuationSeparator" w:id="0">
    <w:p w14:paraId="6CC2AC7B" w14:textId="77777777" w:rsidR="00723AFC" w:rsidRDefault="00723AFC" w:rsidP="002F6A6E">
      <w:r>
        <w:continuationSeparator/>
      </w:r>
    </w:p>
    <w:p w14:paraId="035FCBCB" w14:textId="77777777" w:rsidR="00723AFC" w:rsidRDefault="00723AFC"/>
    <w:p w14:paraId="0D19EDCF" w14:textId="77777777" w:rsidR="00723AFC" w:rsidRDefault="00723A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A931CA" w:rsidRDefault="00320409" w:rsidP="002F6A6E">
    <w:r>
      <w:rPr>
        <w:noProof/>
      </w:rPr>
      <mc:AlternateContent>
        <mc:Choice Requires="wps">
          <w:drawing>
            <wp:anchor distT="0" distB="0" distL="0" distR="0" simplePos="0" relativeHeight="251649024"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7" type="#_x0000_t202" alt="OFFICIAL" style="position:absolute;margin-left:0;margin-top:0;width:34.95pt;height:34.95pt;z-index:2516490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51FBBA9F" w:rsidR="00144D54" w:rsidRPr="00157BA8" w:rsidRDefault="00B809B3" w:rsidP="000F18C6">
    <w:pPr>
      <w:pStyle w:val="Heading9"/>
      <w:ind w:right="1127"/>
    </w:pPr>
    <w:r>
      <w:rPr>
        <w:noProof/>
      </w:rPr>
      <mc:AlternateContent>
        <mc:Choice Requires="wps">
          <w:drawing>
            <wp:anchor distT="0" distB="0" distL="114300" distR="114300" simplePos="0" relativeHeight="251665408"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MSIPCM24764c1dacf67fa2915e4635"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MSIPCM24764c1dacf67fa2915e4635" o:spid="_x0000_s1028" type="#_x0000_t202" alt="{&quot;HashCode&quot;:-1267603503,&quot;Height&quot;:842.0,&quot;Width&quot;:595.0,&quot;Placement&quot;:&quot;Footer&quot;,&quot;Index&quot;:&quot;Primary&quot;,&quot;Section&quot;:1,&quot;Top&quot;:0.0,&quot;Left&quot;:0.0}" style="position:absolute;margin-left:0;margin-top:805.5pt;width:59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3120"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fldSimple w:instr=" TITLE  \* MERGEFORMAT ">
      <w:r w:rsidR="00D7560D">
        <w:t>DGS Report Template</w:t>
      </w:r>
    </w:fldSimple>
    <w:bookmarkEnd w:id="0"/>
    <w:r w:rsidR="002F6A6E">
      <w:fldChar w:fldCharType="begin"/>
    </w:r>
    <w:r w:rsidR="002F6A6E">
      <w:instrText xml:space="preserve"> TITLE  \* MERGEFORMAT </w:instrText>
    </w:r>
    <w:r w:rsidR="002F6A6E">
      <w:fldChar w:fldCharType="separate"/>
    </w:r>
    <w:r w:rsidR="00D7560D">
      <w:t>DGS Report Template</w:t>
    </w:r>
    <w:r w:rsidR="002F6A6E">
      <w:fldChar w:fldCharType="end"/>
    </w:r>
    <w:fldSimple w:instr=" TITLE  \* MERGEFORMAT ">
      <w:r w:rsidR="00D7560D">
        <w:t>DGS Report Template</w:t>
      </w:r>
    </w:fldSimple>
    <w:r w:rsidR="002F6A6E" w:rsidRPr="00157BA8">
      <w:t xml:space="preserve"> </w:t>
    </w:r>
    <w:r w:rsidR="00D02CC6">
      <w:t>IT Asset Management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4405" w14:textId="4ED486D3" w:rsidR="00B809B3" w:rsidRDefault="00B809B3">
    <w:pPr>
      <w:pStyle w:val="Footer"/>
    </w:pPr>
    <w:r>
      <w:rPr>
        <w:noProof/>
      </w:rPr>
      <mc:AlternateContent>
        <mc:Choice Requires="wps">
          <w:drawing>
            <wp:anchor distT="0" distB="0" distL="114300" distR="114300" simplePos="0" relativeHeight="25166950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MSIPCM36ea4fd7a8dfd409ca9855b5"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MSIPCM36ea4fd7a8dfd409ca9855b5" o:spid="_x0000_s1029" type="#_x0000_t202" alt="{&quot;HashCode&quot;:-1267603503,&quot;Height&quot;:842.0,&quot;Width&quot;:595.0,&quot;Placement&quot;:&quot;Footer&quot;,&quot;Index&quot;:&quot;FirstPage&quot;,&quot;Section&quot;:1,&quot;Top&quot;:0.0,&quot;Left&quot;:0.0}" style="position:absolute;margin-left:0;margin-top:805.5pt;width:595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7222" w14:textId="77777777" w:rsidR="003728B5" w:rsidRPr="00AE3F4B" w:rsidRDefault="003728B5" w:rsidP="00AE3F4B">
    <w:pPr>
      <w:rPr>
        <w:rFonts w:asciiTheme="majorHAnsi" w:hAnsiTheme="majorHAnsi" w:cstheme="majorHAnsi"/>
        <w:color w:val="000000"/>
        <w:szCs w:val="22"/>
      </w:rPr>
    </w:pPr>
    <w:r>
      <w:rPr>
        <w:rFonts w:asciiTheme="majorHAnsi" w:hAnsiTheme="majorHAnsi" w:cstheme="majorHAnsi"/>
        <w:noProof/>
        <w:color w:val="000000"/>
        <w:szCs w:val="22"/>
        <w:shd w:val="clear" w:color="auto" w:fill="E6E6E6"/>
      </w:rPr>
      <mc:AlternateContent>
        <mc:Choice Requires="wps">
          <w:drawing>
            <wp:anchor distT="0" distB="0" distL="114300" distR="114300" simplePos="0" relativeHeight="251674624" behindDoc="0" locked="0" layoutInCell="0" allowOverlap="1" wp14:anchorId="3A683687" wp14:editId="4B00B37B">
              <wp:simplePos x="0" y="0"/>
              <wp:positionH relativeFrom="page">
                <wp:posOffset>0</wp:posOffset>
              </wp:positionH>
              <wp:positionV relativeFrom="page">
                <wp:posOffset>10228580</wp:posOffset>
              </wp:positionV>
              <wp:extent cx="7560310" cy="273050"/>
              <wp:effectExtent l="0" t="0" r="0" b="12700"/>
              <wp:wrapNone/>
              <wp:docPr id="15" name="MSIPCM84034017a3ad48b89d019fff" descr="{&quot;HashCode&quot;:-1267603503,&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C1E7A6" w14:textId="77777777" w:rsidR="003728B5" w:rsidRPr="001F67D3" w:rsidRDefault="003728B5" w:rsidP="00523DCE">
                          <w:pPr>
                            <w:rPr>
                              <w:rFonts w:ascii="Calibri" w:hAnsi="Calibri" w:cs="Calibri"/>
                              <w:color w:val="000000"/>
                            </w:rPr>
                          </w:pPr>
                          <w:r w:rsidRPr="001F67D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683687" id="_x0000_t202" coordsize="21600,21600" o:spt="202" path="m,l,21600r21600,l21600,xe">
              <v:stroke joinstyle="miter"/>
              <v:path gradientshapeok="t" o:connecttype="rect"/>
            </v:shapetype>
            <v:shape id="MSIPCM84034017a3ad48b89d019fff" o:spid="_x0000_s1030" type="#_x0000_t202" alt="{&quot;HashCode&quot;:-1267603503,&quot;Height&quot;:841.0,&quot;Width&quot;:595.0,&quot;Placement&quot;:&quot;Footer&quot;,&quot;Index&quot;:&quot;OddAndEven&quot;,&quot;Section&quot;:2,&quot;Top&quot;:0.0,&quot;Left&quot;:0.0}" style="position:absolute;margin-left:0;margin-top:805.4pt;width:595.3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EGHA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" o:allowincell="f" filled="f" stroked="f" strokeweight=".5pt">
              <v:textbox inset="20pt,0,,0">
                <w:txbxContent>
                  <w:p w14:paraId="71C1E7A6" w14:textId="77777777" w:rsidR="003728B5" w:rsidRPr="001F67D3" w:rsidRDefault="003728B5" w:rsidP="00523DCE">
                    <w:pPr>
                      <w:rPr>
                        <w:rFonts w:ascii="Calibri" w:hAnsi="Calibri" w:cs="Calibri"/>
                        <w:color w:val="000000"/>
                      </w:rPr>
                    </w:pPr>
                    <w:r w:rsidRPr="001F67D3">
                      <w:rPr>
                        <w:rFonts w:ascii="Calibri" w:hAnsi="Calibri" w:cs="Calibri"/>
                        <w:color w:val="000000"/>
                      </w:rPr>
                      <w:t>OFFICIAL</w:t>
                    </w:r>
                  </w:p>
                </w:txbxContent>
              </v:textbox>
              <w10:wrap anchorx="page" anchory="page"/>
            </v:shape>
          </w:pict>
        </mc:Fallback>
      </mc:AlternateContent>
    </w:r>
    <w:r w:rsidRPr="00AE3F4B">
      <w:rPr>
        <w:rFonts w:asciiTheme="majorHAnsi" w:hAnsiTheme="majorHAnsi" w:cstheme="majorHAnsi"/>
        <w:color w:val="000000"/>
        <w:szCs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DCEB" w14:textId="77777777" w:rsidR="003728B5" w:rsidRPr="00AE3F4B" w:rsidRDefault="003728B5" w:rsidP="00AE3F4B">
    <w:pPr>
      <w:rPr>
        <w:rFonts w:asciiTheme="majorHAnsi" w:hAnsiTheme="majorHAnsi" w:cstheme="majorHAnsi"/>
        <w:color w:val="000000"/>
        <w:szCs w:val="22"/>
      </w:rPr>
    </w:pPr>
    <w:r>
      <w:rPr>
        <w:rFonts w:asciiTheme="majorHAnsi" w:hAnsiTheme="majorHAnsi" w:cstheme="majorHAnsi"/>
        <w:noProof/>
        <w:color w:val="000000"/>
        <w:szCs w:val="22"/>
        <w:shd w:val="clear" w:color="auto" w:fill="E6E6E6"/>
      </w:rPr>
      <mc:AlternateContent>
        <mc:Choice Requires="wps">
          <w:drawing>
            <wp:anchor distT="0" distB="0" distL="114300" distR="114300" simplePos="0" relativeHeight="251673600" behindDoc="0" locked="0" layoutInCell="0" allowOverlap="1" wp14:anchorId="74F258BC" wp14:editId="10432973">
              <wp:simplePos x="0" y="0"/>
              <wp:positionH relativeFrom="page">
                <wp:posOffset>0</wp:posOffset>
              </wp:positionH>
              <wp:positionV relativeFrom="page">
                <wp:posOffset>10228580</wp:posOffset>
              </wp:positionV>
              <wp:extent cx="7560310" cy="273050"/>
              <wp:effectExtent l="0" t="0" r="0" b="12700"/>
              <wp:wrapNone/>
              <wp:docPr id="14" name="MSIPCMbdce45b08e57c687ecc81e84"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62122E" w14:textId="77777777" w:rsidR="003728B5" w:rsidRPr="001F67D3" w:rsidRDefault="003728B5" w:rsidP="00C14108">
                          <w:pPr>
                            <w:spacing w:after="0"/>
                            <w:rPr>
                              <w:rFonts w:ascii="Calibri" w:hAnsi="Calibri" w:cs="Calibri"/>
                              <w:color w:val="000000"/>
                            </w:rPr>
                          </w:pPr>
                          <w:r w:rsidRPr="001F67D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4F258BC" id="_x0000_t202" coordsize="21600,21600" o:spt="202" path="m,l,21600r21600,l21600,xe">
              <v:stroke joinstyle="miter"/>
              <v:path gradientshapeok="t" o:connecttype="rect"/>
            </v:shapetype>
            <v:shape id="MSIPCMbdce45b08e57c687ecc81e84" o:spid="_x0000_s1031" type="#_x0000_t202" alt="{&quot;HashCode&quot;:-1267603503,&quot;Height&quot;:841.0,&quot;Width&quot;:595.0,&quot;Placement&quot;:&quot;Footer&quot;,&quot;Index&quot;:&quot;Primary&quot;,&quot;Section&quot;:2,&quot;Top&quot;:0.0,&quot;Left&quot;:0.0}" style="position:absolute;margin-left:0;margin-top:805.4pt;width:595.3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mDHA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" o:allowincell="f" filled="f" stroked="f" strokeweight=".5pt">
              <v:textbox inset="20pt,0,,0">
                <w:txbxContent>
                  <w:p w14:paraId="6862122E" w14:textId="77777777" w:rsidR="003728B5" w:rsidRPr="001F67D3" w:rsidRDefault="003728B5" w:rsidP="00C14108">
                    <w:pPr>
                      <w:spacing w:after="0"/>
                      <w:rPr>
                        <w:rFonts w:ascii="Calibri" w:hAnsi="Calibri" w:cs="Calibri"/>
                        <w:color w:val="000000"/>
                      </w:rPr>
                    </w:pPr>
                    <w:r w:rsidRPr="001F67D3">
                      <w:rPr>
                        <w:rFonts w:ascii="Calibri" w:hAnsi="Calibri" w:cs="Calibri"/>
                        <w:color w:val="000000"/>
                      </w:rPr>
                      <w:t>OFFICIAL</w:t>
                    </w:r>
                  </w:p>
                </w:txbxContent>
              </v:textbox>
              <w10:wrap anchorx="page" anchory="page"/>
            </v:shape>
          </w:pict>
        </mc:Fallback>
      </mc:AlternateContent>
    </w:r>
    <w:r>
      <w:rPr>
        <w:rFonts w:asciiTheme="majorHAnsi" w:hAnsiTheme="majorHAnsi" w:cstheme="majorHAnsi"/>
        <w:color w:val="000000"/>
        <w:szCs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9" w:name="aliashNonProtectiveMarki2FooterFirstPage"/>
  <w:p w14:paraId="6BD2C2B6" w14:textId="01DF17C2" w:rsidR="003728B5" w:rsidRDefault="00C14108" w:rsidP="00997B31">
    <w:pPr>
      <w:pStyle w:val="Footer"/>
      <w:rPr>
        <w:rFonts w:ascii="Arial" w:hAnsi="Arial"/>
        <w:b/>
        <w:color w:val="3F3F3F"/>
      </w:rPr>
    </w:pPr>
    <w:r>
      <w:rPr>
        <w:rFonts w:ascii="Arial" w:hAnsi="Arial"/>
        <w:b/>
        <w:noProof/>
        <w:color w:val="3F3F3F"/>
      </w:rPr>
      <mc:AlternateContent>
        <mc:Choice Requires="wps">
          <w:drawing>
            <wp:anchor distT="0" distB="0" distL="114300" distR="114300" simplePos="1" relativeHeight="251675648" behindDoc="0" locked="0" layoutInCell="0" allowOverlap="1" wp14:anchorId="669F0E5E" wp14:editId="76156ADC">
              <wp:simplePos x="0" y="10229453"/>
              <wp:positionH relativeFrom="page">
                <wp:posOffset>0</wp:posOffset>
              </wp:positionH>
              <wp:positionV relativeFrom="page">
                <wp:posOffset>10229215</wp:posOffset>
              </wp:positionV>
              <wp:extent cx="7556500" cy="273050"/>
              <wp:effectExtent l="0" t="0" r="0" b="12700"/>
              <wp:wrapNone/>
              <wp:docPr id="16" name="MSIPCM0b0d4f5a935e932cdeb70523" descr="{&quot;HashCode&quot;:-1267603503,&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A84661" w14:textId="3AB8C553" w:rsidR="00C14108" w:rsidRPr="00C14108" w:rsidRDefault="00C14108" w:rsidP="00C14108">
                          <w:pPr>
                            <w:spacing w:after="0"/>
                            <w:rPr>
                              <w:rFonts w:ascii="Calibri" w:hAnsi="Calibri" w:cs="Calibri"/>
                              <w:color w:val="000000"/>
                            </w:rPr>
                          </w:pPr>
                          <w:r w:rsidRPr="00C1410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9F0E5E" id="_x0000_t202" coordsize="21600,21600" o:spt="202" path="m,l,21600r21600,l21600,xe">
              <v:stroke joinstyle="miter"/>
              <v:path gradientshapeok="t" o:connecttype="rect"/>
            </v:shapetype>
            <v:shape id="MSIPCM0b0d4f5a935e932cdeb70523" o:spid="_x0000_s1032" type="#_x0000_t202" alt="{&quot;HashCode&quot;:-1267603503,&quot;Height&quot;:842.0,&quot;Width&quot;:595.0,&quot;Placement&quot;:&quot;Footer&quot;,&quot;Index&quot;:&quot;FirstPage&quot;,&quot;Section&quot;:2,&quot;Top&quot;:0.0,&quot;Left&quot;:0.0}" style="position:absolute;margin-left:0;margin-top:805.45pt;width:595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" o:allowincell="f" filled="f" stroked="f" strokeweight=".5pt">
              <v:textbox inset="20pt,0,,0">
                <w:txbxContent>
                  <w:p w14:paraId="13A84661" w14:textId="3AB8C553" w:rsidR="00C14108" w:rsidRPr="00C14108" w:rsidRDefault="00C14108" w:rsidP="00C14108">
                    <w:pPr>
                      <w:spacing w:after="0"/>
                      <w:rPr>
                        <w:rFonts w:ascii="Calibri" w:hAnsi="Calibri" w:cs="Calibri"/>
                        <w:color w:val="000000"/>
                      </w:rPr>
                    </w:pPr>
                    <w:r w:rsidRPr="00C14108">
                      <w:rPr>
                        <w:rFonts w:ascii="Calibri" w:hAnsi="Calibri" w:cs="Calibri"/>
                        <w:color w:val="000000"/>
                      </w:rPr>
                      <w:t>OFFICIAL</w:t>
                    </w:r>
                  </w:p>
                </w:txbxContent>
              </v:textbox>
              <w10:wrap anchorx="page" anchory="page"/>
            </v:shape>
          </w:pict>
        </mc:Fallback>
      </mc:AlternateContent>
    </w:r>
    <w:r w:rsidR="003728B5">
      <w:rPr>
        <w:rFonts w:ascii="Arial" w:hAnsi="Arial"/>
        <w:b/>
        <w:color w:val="3F3F3F"/>
      </w:rPr>
      <w:t>Public</w:t>
    </w:r>
  </w:p>
  <w:bookmarkEnd w:id="39"/>
  <w:p w14:paraId="0F84B23C" w14:textId="77777777" w:rsidR="003728B5" w:rsidRPr="001A7E04" w:rsidRDefault="003728B5" w:rsidP="00996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97A21" w14:textId="77777777" w:rsidR="00723AFC" w:rsidRDefault="00723AFC" w:rsidP="002F6A6E">
      <w:r>
        <w:separator/>
      </w:r>
    </w:p>
    <w:p w14:paraId="6F1F04E0" w14:textId="77777777" w:rsidR="00723AFC" w:rsidRDefault="00723AFC"/>
    <w:p w14:paraId="140AEAC2" w14:textId="77777777" w:rsidR="00723AFC" w:rsidRDefault="00723AFC"/>
  </w:footnote>
  <w:footnote w:type="continuationSeparator" w:id="0">
    <w:p w14:paraId="10009585" w14:textId="77777777" w:rsidR="00723AFC" w:rsidRDefault="00723AFC" w:rsidP="002F6A6E">
      <w:r>
        <w:continuationSeparator/>
      </w:r>
    </w:p>
    <w:p w14:paraId="0174CB57" w14:textId="77777777" w:rsidR="00723AFC" w:rsidRDefault="00723AFC"/>
    <w:p w14:paraId="78A97FAD" w14:textId="77777777" w:rsidR="00723AFC" w:rsidRDefault="00723A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3B8E1F70" w:rsidR="00144D54" w:rsidRDefault="005B5273" w:rsidP="002F6A6E">
    <w:r w:rsidRPr="00490CCD">
      <w:rPr>
        <w:noProof/>
        <w:color w:val="FFFFFF" w:themeColor="background1"/>
        <w:sz w:val="18"/>
        <w:szCs w:val="18"/>
      </w:rPr>
      <w:drawing>
        <wp:anchor distT="0" distB="0" distL="114300" distR="114300" simplePos="0" relativeHeight="25166131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4DDD1095" w:rsidR="008142D6" w:rsidRDefault="008142D6">
    <w:r w:rsidRPr="001C74DF">
      <w:rPr>
        <w:noProof/>
      </w:rPr>
      <w:drawing>
        <wp:anchor distT="0" distB="0" distL="114300" distR="114300" simplePos="0" relativeHeight="251657216"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C254C" w14:textId="77777777" w:rsidR="003728B5" w:rsidRDefault="003728B5">
    <w:pPr>
      <w:pStyle w:val="Header"/>
    </w:pPr>
    <w:r>
      <w:rPr>
        <w:noProof/>
        <w:color w:val="2B579A"/>
        <w:shd w:val="clear" w:color="auto" w:fill="E6E6E6"/>
        <w:lang w:eastAsia="en-AU"/>
      </w:rPr>
      <w:drawing>
        <wp:anchor distT="0" distB="0" distL="114300" distR="114300" simplePos="0" relativeHeight="251672576" behindDoc="0" locked="1" layoutInCell="0" allowOverlap="1" wp14:anchorId="228733AF" wp14:editId="37D6911F">
          <wp:simplePos x="0" y="0"/>
          <wp:positionH relativeFrom="page">
            <wp:posOffset>0</wp:posOffset>
          </wp:positionH>
          <wp:positionV relativeFrom="page">
            <wp:posOffset>202565</wp:posOffset>
          </wp:positionV>
          <wp:extent cx="14425295" cy="502920"/>
          <wp:effectExtent l="0" t="0" r="0" b="0"/>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14425295" cy="502920"/>
                  </a:xfrm>
                  <a:prstGeom prst="rect">
                    <a:avLst/>
                  </a:prstGeom>
                </pic:spPr>
              </pic:pic>
            </a:graphicData>
          </a:graphic>
          <wp14:sizeRelH relativeFrom="margin">
            <wp14:pctWidth>0</wp14:pctWidth>
          </wp14:sizeRelH>
          <wp14:sizeRelV relativeFrom="margin">
            <wp14:pctHeight>0</wp14:pctHeight>
          </wp14:sizeRelV>
        </wp:anchor>
      </w:drawing>
    </w:r>
  </w:p>
  <w:p w14:paraId="061FB053" w14:textId="77777777" w:rsidR="003728B5" w:rsidRDefault="003728B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C36F" w14:textId="77777777" w:rsidR="003728B5" w:rsidRDefault="003728B5">
    <w:pPr>
      <w:pStyle w:val="Header"/>
    </w:pPr>
    <w:r>
      <w:rPr>
        <w:noProof/>
        <w:color w:val="2B579A"/>
        <w:shd w:val="clear" w:color="auto" w:fill="E6E6E6"/>
        <w:lang w:eastAsia="en-AU"/>
      </w:rPr>
      <w:drawing>
        <wp:anchor distT="0" distB="0" distL="114300" distR="114300" simplePos="0" relativeHeight="251671552" behindDoc="0" locked="1" layoutInCell="0" allowOverlap="1" wp14:anchorId="3D8A3637" wp14:editId="7A4EC1A8">
          <wp:simplePos x="0" y="0"/>
          <wp:positionH relativeFrom="page">
            <wp:posOffset>0</wp:posOffset>
          </wp:positionH>
          <wp:positionV relativeFrom="page">
            <wp:posOffset>203200</wp:posOffset>
          </wp:positionV>
          <wp:extent cx="10680700" cy="503555"/>
          <wp:effectExtent l="0" t="0" r="6350" b="0"/>
          <wp:wrapNone/>
          <wp:docPr id="13" name="Picture 13"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10680700" cy="503555"/>
                  </a:xfrm>
                  <a:prstGeom prst="rect">
                    <a:avLst/>
                  </a:prstGeom>
                </pic:spPr>
              </pic:pic>
            </a:graphicData>
          </a:graphic>
          <wp14:sizeRelH relativeFrom="margin">
            <wp14:pctWidth>0</wp14:pctWidth>
          </wp14:sizeRelH>
          <wp14:sizeRelV relativeFrom="margin">
            <wp14:pctHeight>0</wp14:pctHeight>
          </wp14:sizeRelV>
        </wp:anchor>
      </w:drawing>
    </w:r>
  </w:p>
  <w:p w14:paraId="345250EB" w14:textId="77777777" w:rsidR="003728B5" w:rsidRDefault="003728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993763"/>
    <w:multiLevelType w:val="multilevel"/>
    <w:tmpl w:val="E21AABEA"/>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85729D8"/>
    <w:multiLevelType w:val="hybridMultilevel"/>
    <w:tmpl w:val="06E4CD68"/>
    <w:lvl w:ilvl="0" w:tplc="B7D8820A">
      <w:start w:val="1"/>
      <w:numFmt w:val="bullet"/>
      <w:lvlText w:val="•"/>
      <w:lvlJc w:val="left"/>
      <w:pPr>
        <w:tabs>
          <w:tab w:val="num" w:pos="720"/>
        </w:tabs>
        <w:ind w:left="720" w:hanging="360"/>
      </w:pPr>
      <w:rPr>
        <w:rFonts w:ascii="Arial" w:hAnsi="Arial" w:hint="default"/>
      </w:rPr>
    </w:lvl>
    <w:lvl w:ilvl="1" w:tplc="3424BBD4" w:tentative="1">
      <w:start w:val="1"/>
      <w:numFmt w:val="bullet"/>
      <w:lvlText w:val="•"/>
      <w:lvlJc w:val="left"/>
      <w:pPr>
        <w:tabs>
          <w:tab w:val="num" w:pos="1440"/>
        </w:tabs>
        <w:ind w:left="1440" w:hanging="360"/>
      </w:pPr>
      <w:rPr>
        <w:rFonts w:ascii="Arial" w:hAnsi="Arial" w:hint="default"/>
      </w:rPr>
    </w:lvl>
    <w:lvl w:ilvl="2" w:tplc="3B521F90" w:tentative="1">
      <w:start w:val="1"/>
      <w:numFmt w:val="bullet"/>
      <w:lvlText w:val="•"/>
      <w:lvlJc w:val="left"/>
      <w:pPr>
        <w:tabs>
          <w:tab w:val="num" w:pos="2160"/>
        </w:tabs>
        <w:ind w:left="2160" w:hanging="360"/>
      </w:pPr>
      <w:rPr>
        <w:rFonts w:ascii="Arial" w:hAnsi="Arial" w:hint="default"/>
      </w:rPr>
    </w:lvl>
    <w:lvl w:ilvl="3" w:tplc="5246AC8E" w:tentative="1">
      <w:start w:val="1"/>
      <w:numFmt w:val="bullet"/>
      <w:lvlText w:val="•"/>
      <w:lvlJc w:val="left"/>
      <w:pPr>
        <w:tabs>
          <w:tab w:val="num" w:pos="2880"/>
        </w:tabs>
        <w:ind w:left="2880" w:hanging="360"/>
      </w:pPr>
      <w:rPr>
        <w:rFonts w:ascii="Arial" w:hAnsi="Arial" w:hint="default"/>
      </w:rPr>
    </w:lvl>
    <w:lvl w:ilvl="4" w:tplc="33C8F25E" w:tentative="1">
      <w:start w:val="1"/>
      <w:numFmt w:val="bullet"/>
      <w:lvlText w:val="•"/>
      <w:lvlJc w:val="left"/>
      <w:pPr>
        <w:tabs>
          <w:tab w:val="num" w:pos="3600"/>
        </w:tabs>
        <w:ind w:left="3600" w:hanging="360"/>
      </w:pPr>
      <w:rPr>
        <w:rFonts w:ascii="Arial" w:hAnsi="Arial" w:hint="default"/>
      </w:rPr>
    </w:lvl>
    <w:lvl w:ilvl="5" w:tplc="B2C4B572" w:tentative="1">
      <w:start w:val="1"/>
      <w:numFmt w:val="bullet"/>
      <w:lvlText w:val="•"/>
      <w:lvlJc w:val="left"/>
      <w:pPr>
        <w:tabs>
          <w:tab w:val="num" w:pos="4320"/>
        </w:tabs>
        <w:ind w:left="4320" w:hanging="360"/>
      </w:pPr>
      <w:rPr>
        <w:rFonts w:ascii="Arial" w:hAnsi="Arial" w:hint="default"/>
      </w:rPr>
    </w:lvl>
    <w:lvl w:ilvl="6" w:tplc="8C6EC660" w:tentative="1">
      <w:start w:val="1"/>
      <w:numFmt w:val="bullet"/>
      <w:lvlText w:val="•"/>
      <w:lvlJc w:val="left"/>
      <w:pPr>
        <w:tabs>
          <w:tab w:val="num" w:pos="5040"/>
        </w:tabs>
        <w:ind w:left="5040" w:hanging="360"/>
      </w:pPr>
      <w:rPr>
        <w:rFonts w:ascii="Arial" w:hAnsi="Arial" w:hint="default"/>
      </w:rPr>
    </w:lvl>
    <w:lvl w:ilvl="7" w:tplc="0D34FCA8" w:tentative="1">
      <w:start w:val="1"/>
      <w:numFmt w:val="bullet"/>
      <w:lvlText w:val="•"/>
      <w:lvlJc w:val="left"/>
      <w:pPr>
        <w:tabs>
          <w:tab w:val="num" w:pos="5760"/>
        </w:tabs>
        <w:ind w:left="5760" w:hanging="360"/>
      </w:pPr>
      <w:rPr>
        <w:rFonts w:ascii="Arial" w:hAnsi="Arial" w:hint="default"/>
      </w:rPr>
    </w:lvl>
    <w:lvl w:ilvl="8" w:tplc="6EAE7EA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F776E18"/>
    <w:multiLevelType w:val="multilevel"/>
    <w:tmpl w:val="BB542504"/>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219209E6"/>
    <w:multiLevelType w:val="hybridMultilevel"/>
    <w:tmpl w:val="C85C1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65002B"/>
    <w:multiLevelType w:val="hybridMultilevel"/>
    <w:tmpl w:val="56D6E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BD2713"/>
    <w:multiLevelType w:val="hybridMultilevel"/>
    <w:tmpl w:val="9FDC652C"/>
    <w:lvl w:ilvl="0" w:tplc="E6525454">
      <w:start w:val="1"/>
      <w:numFmt w:val="bullet"/>
      <w:lvlText w:val="•"/>
      <w:lvlJc w:val="left"/>
      <w:pPr>
        <w:tabs>
          <w:tab w:val="num" w:pos="720"/>
        </w:tabs>
        <w:ind w:left="720" w:hanging="360"/>
      </w:pPr>
      <w:rPr>
        <w:rFonts w:ascii="Arial" w:hAnsi="Arial" w:hint="default"/>
      </w:rPr>
    </w:lvl>
    <w:lvl w:ilvl="1" w:tplc="6B8EB776" w:tentative="1">
      <w:start w:val="1"/>
      <w:numFmt w:val="bullet"/>
      <w:lvlText w:val="•"/>
      <w:lvlJc w:val="left"/>
      <w:pPr>
        <w:tabs>
          <w:tab w:val="num" w:pos="1440"/>
        </w:tabs>
        <w:ind w:left="1440" w:hanging="360"/>
      </w:pPr>
      <w:rPr>
        <w:rFonts w:ascii="Arial" w:hAnsi="Arial" w:hint="default"/>
      </w:rPr>
    </w:lvl>
    <w:lvl w:ilvl="2" w:tplc="D9DC6EE6" w:tentative="1">
      <w:start w:val="1"/>
      <w:numFmt w:val="bullet"/>
      <w:lvlText w:val="•"/>
      <w:lvlJc w:val="left"/>
      <w:pPr>
        <w:tabs>
          <w:tab w:val="num" w:pos="2160"/>
        </w:tabs>
        <w:ind w:left="2160" w:hanging="360"/>
      </w:pPr>
      <w:rPr>
        <w:rFonts w:ascii="Arial" w:hAnsi="Arial" w:hint="default"/>
      </w:rPr>
    </w:lvl>
    <w:lvl w:ilvl="3" w:tplc="004495BC" w:tentative="1">
      <w:start w:val="1"/>
      <w:numFmt w:val="bullet"/>
      <w:lvlText w:val="•"/>
      <w:lvlJc w:val="left"/>
      <w:pPr>
        <w:tabs>
          <w:tab w:val="num" w:pos="2880"/>
        </w:tabs>
        <w:ind w:left="2880" w:hanging="360"/>
      </w:pPr>
      <w:rPr>
        <w:rFonts w:ascii="Arial" w:hAnsi="Arial" w:hint="default"/>
      </w:rPr>
    </w:lvl>
    <w:lvl w:ilvl="4" w:tplc="D870FEA4" w:tentative="1">
      <w:start w:val="1"/>
      <w:numFmt w:val="bullet"/>
      <w:lvlText w:val="•"/>
      <w:lvlJc w:val="left"/>
      <w:pPr>
        <w:tabs>
          <w:tab w:val="num" w:pos="3600"/>
        </w:tabs>
        <w:ind w:left="3600" w:hanging="360"/>
      </w:pPr>
      <w:rPr>
        <w:rFonts w:ascii="Arial" w:hAnsi="Arial" w:hint="default"/>
      </w:rPr>
    </w:lvl>
    <w:lvl w:ilvl="5" w:tplc="7B62CCE2" w:tentative="1">
      <w:start w:val="1"/>
      <w:numFmt w:val="bullet"/>
      <w:lvlText w:val="•"/>
      <w:lvlJc w:val="left"/>
      <w:pPr>
        <w:tabs>
          <w:tab w:val="num" w:pos="4320"/>
        </w:tabs>
        <w:ind w:left="4320" w:hanging="360"/>
      </w:pPr>
      <w:rPr>
        <w:rFonts w:ascii="Arial" w:hAnsi="Arial" w:hint="default"/>
      </w:rPr>
    </w:lvl>
    <w:lvl w:ilvl="6" w:tplc="B896F4F2" w:tentative="1">
      <w:start w:val="1"/>
      <w:numFmt w:val="bullet"/>
      <w:lvlText w:val="•"/>
      <w:lvlJc w:val="left"/>
      <w:pPr>
        <w:tabs>
          <w:tab w:val="num" w:pos="5040"/>
        </w:tabs>
        <w:ind w:left="5040" w:hanging="360"/>
      </w:pPr>
      <w:rPr>
        <w:rFonts w:ascii="Arial" w:hAnsi="Arial" w:hint="default"/>
      </w:rPr>
    </w:lvl>
    <w:lvl w:ilvl="7" w:tplc="98C42EEC" w:tentative="1">
      <w:start w:val="1"/>
      <w:numFmt w:val="bullet"/>
      <w:lvlText w:val="•"/>
      <w:lvlJc w:val="left"/>
      <w:pPr>
        <w:tabs>
          <w:tab w:val="num" w:pos="5760"/>
        </w:tabs>
        <w:ind w:left="5760" w:hanging="360"/>
      </w:pPr>
      <w:rPr>
        <w:rFonts w:ascii="Arial" w:hAnsi="Arial" w:hint="default"/>
      </w:rPr>
    </w:lvl>
    <w:lvl w:ilvl="8" w:tplc="6CA0940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FB6F97"/>
    <w:multiLevelType w:val="hybridMultilevel"/>
    <w:tmpl w:val="7682DCBA"/>
    <w:lvl w:ilvl="0" w:tplc="59ACAD74">
      <w:start w:val="1"/>
      <w:numFmt w:val="bullet"/>
      <w:lvlText w:val="•"/>
      <w:lvlJc w:val="left"/>
      <w:pPr>
        <w:tabs>
          <w:tab w:val="num" w:pos="720"/>
        </w:tabs>
        <w:ind w:left="720" w:hanging="360"/>
      </w:pPr>
      <w:rPr>
        <w:rFonts w:ascii="Arial" w:hAnsi="Arial" w:hint="default"/>
      </w:rPr>
    </w:lvl>
    <w:lvl w:ilvl="1" w:tplc="E8F47D48" w:tentative="1">
      <w:start w:val="1"/>
      <w:numFmt w:val="bullet"/>
      <w:lvlText w:val="•"/>
      <w:lvlJc w:val="left"/>
      <w:pPr>
        <w:tabs>
          <w:tab w:val="num" w:pos="1440"/>
        </w:tabs>
        <w:ind w:left="1440" w:hanging="360"/>
      </w:pPr>
      <w:rPr>
        <w:rFonts w:ascii="Arial" w:hAnsi="Arial" w:hint="default"/>
      </w:rPr>
    </w:lvl>
    <w:lvl w:ilvl="2" w:tplc="A88A5268" w:tentative="1">
      <w:start w:val="1"/>
      <w:numFmt w:val="bullet"/>
      <w:lvlText w:val="•"/>
      <w:lvlJc w:val="left"/>
      <w:pPr>
        <w:tabs>
          <w:tab w:val="num" w:pos="2160"/>
        </w:tabs>
        <w:ind w:left="2160" w:hanging="360"/>
      </w:pPr>
      <w:rPr>
        <w:rFonts w:ascii="Arial" w:hAnsi="Arial" w:hint="default"/>
      </w:rPr>
    </w:lvl>
    <w:lvl w:ilvl="3" w:tplc="BC6ADBD6" w:tentative="1">
      <w:start w:val="1"/>
      <w:numFmt w:val="bullet"/>
      <w:lvlText w:val="•"/>
      <w:lvlJc w:val="left"/>
      <w:pPr>
        <w:tabs>
          <w:tab w:val="num" w:pos="2880"/>
        </w:tabs>
        <w:ind w:left="2880" w:hanging="360"/>
      </w:pPr>
      <w:rPr>
        <w:rFonts w:ascii="Arial" w:hAnsi="Arial" w:hint="default"/>
      </w:rPr>
    </w:lvl>
    <w:lvl w:ilvl="4" w:tplc="629A3E86" w:tentative="1">
      <w:start w:val="1"/>
      <w:numFmt w:val="bullet"/>
      <w:lvlText w:val="•"/>
      <w:lvlJc w:val="left"/>
      <w:pPr>
        <w:tabs>
          <w:tab w:val="num" w:pos="3600"/>
        </w:tabs>
        <w:ind w:left="3600" w:hanging="360"/>
      </w:pPr>
      <w:rPr>
        <w:rFonts w:ascii="Arial" w:hAnsi="Arial" w:hint="default"/>
      </w:rPr>
    </w:lvl>
    <w:lvl w:ilvl="5" w:tplc="F6F25E76" w:tentative="1">
      <w:start w:val="1"/>
      <w:numFmt w:val="bullet"/>
      <w:lvlText w:val="•"/>
      <w:lvlJc w:val="left"/>
      <w:pPr>
        <w:tabs>
          <w:tab w:val="num" w:pos="4320"/>
        </w:tabs>
        <w:ind w:left="4320" w:hanging="360"/>
      </w:pPr>
      <w:rPr>
        <w:rFonts w:ascii="Arial" w:hAnsi="Arial" w:hint="default"/>
      </w:rPr>
    </w:lvl>
    <w:lvl w:ilvl="6" w:tplc="2F82F540" w:tentative="1">
      <w:start w:val="1"/>
      <w:numFmt w:val="bullet"/>
      <w:lvlText w:val="•"/>
      <w:lvlJc w:val="left"/>
      <w:pPr>
        <w:tabs>
          <w:tab w:val="num" w:pos="5040"/>
        </w:tabs>
        <w:ind w:left="5040" w:hanging="360"/>
      </w:pPr>
      <w:rPr>
        <w:rFonts w:ascii="Arial" w:hAnsi="Arial" w:hint="default"/>
      </w:rPr>
    </w:lvl>
    <w:lvl w:ilvl="7" w:tplc="1D8A823C" w:tentative="1">
      <w:start w:val="1"/>
      <w:numFmt w:val="bullet"/>
      <w:lvlText w:val="•"/>
      <w:lvlJc w:val="left"/>
      <w:pPr>
        <w:tabs>
          <w:tab w:val="num" w:pos="5760"/>
        </w:tabs>
        <w:ind w:left="5760" w:hanging="360"/>
      </w:pPr>
      <w:rPr>
        <w:rFonts w:ascii="Arial" w:hAnsi="Arial" w:hint="default"/>
      </w:rPr>
    </w:lvl>
    <w:lvl w:ilvl="8" w:tplc="CA1E7BB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430412F"/>
    <w:multiLevelType w:val="hybridMultilevel"/>
    <w:tmpl w:val="CE1E0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45686A"/>
    <w:multiLevelType w:val="hybridMultilevel"/>
    <w:tmpl w:val="0DAAB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3C2478D2"/>
    <w:multiLevelType w:val="multilevel"/>
    <w:tmpl w:val="6AE413A0"/>
    <w:styleLink w:val="ZZBullets"/>
    <w:lvl w:ilvl="0">
      <w:start w:val="1"/>
      <w:numFmt w:val="bullet"/>
      <w:pStyle w:val="DPCbullet1"/>
      <w:lvlText w:val="▪"/>
      <w:lvlJc w:val="left"/>
      <w:pPr>
        <w:ind w:left="284" w:hanging="284"/>
      </w:pPr>
      <w:rPr>
        <w:rFonts w:hint="default"/>
        <w:sz w:val="24"/>
      </w:rPr>
    </w:lvl>
    <w:lvl w:ilvl="1">
      <w:start w:val="1"/>
      <w:numFmt w:val="bullet"/>
      <w:lvlRestart w:val="0"/>
      <w:pStyle w:val="DPCbullet2"/>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251277A"/>
    <w:multiLevelType w:val="hybridMultilevel"/>
    <w:tmpl w:val="3CA6F5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406EB3"/>
    <w:multiLevelType w:val="hybridMultilevel"/>
    <w:tmpl w:val="49A6CF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C810E48"/>
    <w:multiLevelType w:val="hybridMultilevel"/>
    <w:tmpl w:val="12522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893B71"/>
    <w:multiLevelType w:val="hybridMultilevel"/>
    <w:tmpl w:val="1E0C2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4B70C4"/>
    <w:multiLevelType w:val="hybridMultilevel"/>
    <w:tmpl w:val="9E1075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749423DA"/>
    <w:multiLevelType w:val="multilevel"/>
    <w:tmpl w:val="0C09001F"/>
    <w:styleLink w:val="ZZNumbersdigit"/>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9B32C41"/>
    <w:multiLevelType w:val="hybridMultilevel"/>
    <w:tmpl w:val="C48CA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7CD07957"/>
    <w:multiLevelType w:val="hybridMultilevel"/>
    <w:tmpl w:val="A014C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882508">
    <w:abstractNumId w:val="11"/>
  </w:num>
  <w:num w:numId="2" w16cid:durableId="607542882">
    <w:abstractNumId w:val="22"/>
  </w:num>
  <w:num w:numId="3" w16cid:durableId="482163217">
    <w:abstractNumId w:val="0"/>
  </w:num>
  <w:num w:numId="4" w16cid:durableId="1696729809">
    <w:abstractNumId w:val="1"/>
  </w:num>
  <w:num w:numId="5" w16cid:durableId="1068259921">
    <w:abstractNumId w:val="4"/>
  </w:num>
  <w:num w:numId="6" w16cid:durableId="220600531">
    <w:abstractNumId w:val="26"/>
  </w:num>
  <w:num w:numId="7" w16cid:durableId="2039886904">
    <w:abstractNumId w:val="23"/>
  </w:num>
  <w:num w:numId="8" w16cid:durableId="647393358">
    <w:abstractNumId w:val="14"/>
  </w:num>
  <w:num w:numId="9" w16cid:durableId="1588732200">
    <w:abstractNumId w:val="8"/>
  </w:num>
  <w:num w:numId="10" w16cid:durableId="644966255">
    <w:abstractNumId w:val="13"/>
  </w:num>
  <w:num w:numId="11" w16cid:durableId="262541868">
    <w:abstractNumId w:val="3"/>
  </w:num>
  <w:num w:numId="12" w16cid:durableId="1440101129">
    <w:abstractNumId w:val="9"/>
  </w:num>
  <w:num w:numId="13" w16cid:durableId="1163280468">
    <w:abstractNumId w:val="7"/>
  </w:num>
  <w:num w:numId="14" w16cid:durableId="2070301485">
    <w:abstractNumId w:val="15"/>
  </w:num>
  <w:num w:numId="15" w16cid:durableId="1108429200">
    <w:abstractNumId w:val="2"/>
  </w:num>
  <w:num w:numId="16" w16cid:durableId="1751149837">
    <w:abstractNumId w:val="6"/>
  </w:num>
  <w:num w:numId="17" w16cid:durableId="1760518553">
    <w:abstractNumId w:val="18"/>
  </w:num>
  <w:num w:numId="18" w16cid:durableId="65423299">
    <w:abstractNumId w:val="24"/>
  </w:num>
  <w:num w:numId="19" w16cid:durableId="1332758140">
    <w:abstractNumId w:val="5"/>
  </w:num>
  <w:num w:numId="20" w16cid:durableId="1096906833">
    <w:abstractNumId w:val="17"/>
  </w:num>
  <w:num w:numId="21" w16cid:durableId="476143245">
    <w:abstractNumId w:val="19"/>
  </w:num>
  <w:num w:numId="22" w16cid:durableId="87241817">
    <w:abstractNumId w:val="27"/>
  </w:num>
  <w:num w:numId="23" w16cid:durableId="2078817279">
    <w:abstractNumId w:val="20"/>
  </w:num>
  <w:num w:numId="24" w16cid:durableId="1514807394">
    <w:abstractNumId w:val="25"/>
  </w:num>
  <w:num w:numId="25" w16cid:durableId="1379933543">
    <w:abstractNumId w:val="21"/>
  </w:num>
  <w:num w:numId="26" w16cid:durableId="772362003">
    <w:abstractNumId w:val="10"/>
  </w:num>
  <w:num w:numId="27" w16cid:durableId="1435439206">
    <w:abstractNumId w:val="12"/>
  </w:num>
  <w:num w:numId="28" w16cid:durableId="1797210136">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3ECE"/>
    <w:rsid w:val="00005D70"/>
    <w:rsid w:val="0001232A"/>
    <w:rsid w:val="00012CB4"/>
    <w:rsid w:val="0001598F"/>
    <w:rsid w:val="0001667E"/>
    <w:rsid w:val="000218D1"/>
    <w:rsid w:val="000312ED"/>
    <w:rsid w:val="000439B3"/>
    <w:rsid w:val="00045959"/>
    <w:rsid w:val="0007383F"/>
    <w:rsid w:val="00093AA8"/>
    <w:rsid w:val="000948B0"/>
    <w:rsid w:val="000C4311"/>
    <w:rsid w:val="000C6C11"/>
    <w:rsid w:val="000D301B"/>
    <w:rsid w:val="000F18C6"/>
    <w:rsid w:val="0012343C"/>
    <w:rsid w:val="00157BA8"/>
    <w:rsid w:val="001603D1"/>
    <w:rsid w:val="001624DD"/>
    <w:rsid w:val="001662A7"/>
    <w:rsid w:val="00190CD8"/>
    <w:rsid w:val="00193CA3"/>
    <w:rsid w:val="001A00AE"/>
    <w:rsid w:val="001A4A8F"/>
    <w:rsid w:val="001C67EF"/>
    <w:rsid w:val="001C74DF"/>
    <w:rsid w:val="001C7B61"/>
    <w:rsid w:val="001E2545"/>
    <w:rsid w:val="001E7717"/>
    <w:rsid w:val="00207A81"/>
    <w:rsid w:val="0024131D"/>
    <w:rsid w:val="00244064"/>
    <w:rsid w:val="00262E24"/>
    <w:rsid w:val="00280C27"/>
    <w:rsid w:val="00294E04"/>
    <w:rsid w:val="002A190B"/>
    <w:rsid w:val="002A6DE5"/>
    <w:rsid w:val="002A79AF"/>
    <w:rsid w:val="002C47B9"/>
    <w:rsid w:val="002E25FF"/>
    <w:rsid w:val="002E5607"/>
    <w:rsid w:val="002F195F"/>
    <w:rsid w:val="002F6A6E"/>
    <w:rsid w:val="002F7453"/>
    <w:rsid w:val="00313947"/>
    <w:rsid w:val="00320409"/>
    <w:rsid w:val="00330B2B"/>
    <w:rsid w:val="00354953"/>
    <w:rsid w:val="00357C09"/>
    <w:rsid w:val="003647A3"/>
    <w:rsid w:val="00365FC8"/>
    <w:rsid w:val="003728B5"/>
    <w:rsid w:val="0039628A"/>
    <w:rsid w:val="003D13B9"/>
    <w:rsid w:val="003D2AA7"/>
    <w:rsid w:val="003E15A1"/>
    <w:rsid w:val="003F0AF3"/>
    <w:rsid w:val="00412BDB"/>
    <w:rsid w:val="00412CB6"/>
    <w:rsid w:val="004200F4"/>
    <w:rsid w:val="00431C60"/>
    <w:rsid w:val="00431F60"/>
    <w:rsid w:val="00443102"/>
    <w:rsid w:val="00451A72"/>
    <w:rsid w:val="004574E6"/>
    <w:rsid w:val="00474562"/>
    <w:rsid w:val="004766BD"/>
    <w:rsid w:val="004805CA"/>
    <w:rsid w:val="004903E0"/>
    <w:rsid w:val="004A439A"/>
    <w:rsid w:val="004A748C"/>
    <w:rsid w:val="004B6279"/>
    <w:rsid w:val="004B678F"/>
    <w:rsid w:val="004C1120"/>
    <w:rsid w:val="004D6EF2"/>
    <w:rsid w:val="004F0943"/>
    <w:rsid w:val="00503BBB"/>
    <w:rsid w:val="005321F3"/>
    <w:rsid w:val="005335AD"/>
    <w:rsid w:val="005355F1"/>
    <w:rsid w:val="00566E72"/>
    <w:rsid w:val="0057453D"/>
    <w:rsid w:val="00574ABF"/>
    <w:rsid w:val="005774BB"/>
    <w:rsid w:val="00595A29"/>
    <w:rsid w:val="005A7958"/>
    <w:rsid w:val="005B28E3"/>
    <w:rsid w:val="005B5273"/>
    <w:rsid w:val="005B7AA4"/>
    <w:rsid w:val="005F5285"/>
    <w:rsid w:val="0060376A"/>
    <w:rsid w:val="00614034"/>
    <w:rsid w:val="006237B1"/>
    <w:rsid w:val="00634417"/>
    <w:rsid w:val="0065233C"/>
    <w:rsid w:val="00656D3E"/>
    <w:rsid w:val="00665065"/>
    <w:rsid w:val="00670F33"/>
    <w:rsid w:val="0067464E"/>
    <w:rsid w:val="00687BA9"/>
    <w:rsid w:val="00697131"/>
    <w:rsid w:val="006C02D1"/>
    <w:rsid w:val="006D2CDF"/>
    <w:rsid w:val="006E2DD9"/>
    <w:rsid w:val="006E4259"/>
    <w:rsid w:val="00711D7C"/>
    <w:rsid w:val="00720905"/>
    <w:rsid w:val="00723AFC"/>
    <w:rsid w:val="007264EE"/>
    <w:rsid w:val="00744157"/>
    <w:rsid w:val="00753087"/>
    <w:rsid w:val="00755EC9"/>
    <w:rsid w:val="007739B2"/>
    <w:rsid w:val="00773DD6"/>
    <w:rsid w:val="007A30E5"/>
    <w:rsid w:val="007A5FF8"/>
    <w:rsid w:val="007B32A4"/>
    <w:rsid w:val="007B52A9"/>
    <w:rsid w:val="007C3135"/>
    <w:rsid w:val="007E187B"/>
    <w:rsid w:val="007E3DCF"/>
    <w:rsid w:val="007F1387"/>
    <w:rsid w:val="007F17C3"/>
    <w:rsid w:val="007F4D5B"/>
    <w:rsid w:val="007F5842"/>
    <w:rsid w:val="00801B34"/>
    <w:rsid w:val="00805E98"/>
    <w:rsid w:val="008142D6"/>
    <w:rsid w:val="00834306"/>
    <w:rsid w:val="008401A6"/>
    <w:rsid w:val="00857D8F"/>
    <w:rsid w:val="008959EF"/>
    <w:rsid w:val="0089608E"/>
    <w:rsid w:val="008B4860"/>
    <w:rsid w:val="008C1A12"/>
    <w:rsid w:val="008C1A44"/>
    <w:rsid w:val="008F16A0"/>
    <w:rsid w:val="009055AE"/>
    <w:rsid w:val="009117F1"/>
    <w:rsid w:val="00933430"/>
    <w:rsid w:val="009369F9"/>
    <w:rsid w:val="0094725B"/>
    <w:rsid w:val="00976AFB"/>
    <w:rsid w:val="009809FD"/>
    <w:rsid w:val="00980BB3"/>
    <w:rsid w:val="009B1C2E"/>
    <w:rsid w:val="009B28D4"/>
    <w:rsid w:val="009D6B08"/>
    <w:rsid w:val="009F4D2D"/>
    <w:rsid w:val="00A00536"/>
    <w:rsid w:val="00A36012"/>
    <w:rsid w:val="00A66E6B"/>
    <w:rsid w:val="00A8093B"/>
    <w:rsid w:val="00A84823"/>
    <w:rsid w:val="00A92F35"/>
    <w:rsid w:val="00A955D6"/>
    <w:rsid w:val="00AB02D5"/>
    <w:rsid w:val="00AC3CA3"/>
    <w:rsid w:val="00AD686E"/>
    <w:rsid w:val="00AE324E"/>
    <w:rsid w:val="00AE5037"/>
    <w:rsid w:val="00B22A1A"/>
    <w:rsid w:val="00B50203"/>
    <w:rsid w:val="00B73FE2"/>
    <w:rsid w:val="00B809B3"/>
    <w:rsid w:val="00B81161"/>
    <w:rsid w:val="00B82EF2"/>
    <w:rsid w:val="00B94E58"/>
    <w:rsid w:val="00B9627C"/>
    <w:rsid w:val="00B96776"/>
    <w:rsid w:val="00B96906"/>
    <w:rsid w:val="00BA722A"/>
    <w:rsid w:val="00BB1A8C"/>
    <w:rsid w:val="00BC3C10"/>
    <w:rsid w:val="00BE16CF"/>
    <w:rsid w:val="00BE7978"/>
    <w:rsid w:val="00C11BA5"/>
    <w:rsid w:val="00C14108"/>
    <w:rsid w:val="00C2419A"/>
    <w:rsid w:val="00C26538"/>
    <w:rsid w:val="00C31FF9"/>
    <w:rsid w:val="00C34FB0"/>
    <w:rsid w:val="00C376AB"/>
    <w:rsid w:val="00C46187"/>
    <w:rsid w:val="00C46EA7"/>
    <w:rsid w:val="00C50032"/>
    <w:rsid w:val="00C833D6"/>
    <w:rsid w:val="00C83B2D"/>
    <w:rsid w:val="00C85A6C"/>
    <w:rsid w:val="00D02CC6"/>
    <w:rsid w:val="00D11DC5"/>
    <w:rsid w:val="00D34F2F"/>
    <w:rsid w:val="00D35655"/>
    <w:rsid w:val="00D457FA"/>
    <w:rsid w:val="00D45C84"/>
    <w:rsid w:val="00D63C13"/>
    <w:rsid w:val="00D72569"/>
    <w:rsid w:val="00D7560D"/>
    <w:rsid w:val="00D814ED"/>
    <w:rsid w:val="00D81745"/>
    <w:rsid w:val="00D9218C"/>
    <w:rsid w:val="00DB7393"/>
    <w:rsid w:val="00DC3D43"/>
    <w:rsid w:val="00DC58AF"/>
    <w:rsid w:val="00DF1025"/>
    <w:rsid w:val="00E048D5"/>
    <w:rsid w:val="00E07873"/>
    <w:rsid w:val="00E12E81"/>
    <w:rsid w:val="00E25FDE"/>
    <w:rsid w:val="00E40EEA"/>
    <w:rsid w:val="00E80490"/>
    <w:rsid w:val="00E82DB0"/>
    <w:rsid w:val="00EA2180"/>
    <w:rsid w:val="00EA7A86"/>
    <w:rsid w:val="00EC0832"/>
    <w:rsid w:val="00EC2E51"/>
    <w:rsid w:val="00F06899"/>
    <w:rsid w:val="00F07155"/>
    <w:rsid w:val="00F07295"/>
    <w:rsid w:val="00F25A07"/>
    <w:rsid w:val="00F34A4C"/>
    <w:rsid w:val="00F55B97"/>
    <w:rsid w:val="00F62EEE"/>
    <w:rsid w:val="00F65BB2"/>
    <w:rsid w:val="00F67D36"/>
    <w:rsid w:val="00F76707"/>
    <w:rsid w:val="00F81355"/>
    <w:rsid w:val="00FA1907"/>
    <w:rsid w:val="00FF38E6"/>
    <w:rsid w:val="00FF48FF"/>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1E7591CE-EDC7-4806-8245-7F2D27151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8"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8"/>
    <w:lsdException w:name="Medium Shading 2 Accent 1" w:uiPriority="64"/>
    <w:lsdException w:name="Medium List 1 Accent 1" w:uiPriority="65"/>
    <w:lsdException w:name="Revision" w:semiHidden="1" w:uiPriority="71"/>
    <w:lsdException w:name="List Paragraph" w:uiPriority="34" w:qFormat="1"/>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29" w:qFormat="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semiHidden/>
    <w:unhideWhenUsed/>
    <w:rsid w:val="001C67EF"/>
    <w:pPr>
      <w:spacing w:after="0" w:line="240" w:lineRule="auto"/>
    </w:pPr>
    <w:rPr>
      <w:sz w:val="20"/>
      <w:szCs w:val="20"/>
    </w:rPr>
  </w:style>
  <w:style w:type="paragraph" w:styleId="Footer">
    <w:name w:val="footer"/>
    <w:basedOn w:val="Normal"/>
    <w:next w:val="Normal"/>
    <w:link w:val="FooterChar"/>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5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2E5607"/>
    <w:pPr>
      <w:pBdr>
        <w:top w:val="single" w:sz="4" w:space="7" w:color="BCC0BC" w:themeColor="background2" w:themeShade="D9"/>
      </w:pBdr>
      <w:tabs>
        <w:tab w:val="right" w:pos="9072"/>
      </w:tabs>
      <w:spacing w:before="120" w:after="80"/>
    </w:pPr>
    <w:rPr>
      <w:rFonts w:asciiTheme="majorHAnsi" w:hAnsiTheme="majorHAnsi"/>
      <w:b/>
      <w:noProof/>
      <w:color w:val="auto"/>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uiPriority w:val="8"/>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8"/>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paragraph" w:customStyle="1" w:styleId="DPCbody">
    <w:name w:val="DPC body"/>
    <w:qFormat/>
    <w:rsid w:val="00670F33"/>
    <w:pPr>
      <w:spacing w:after="160" w:line="300" w:lineRule="atLeast"/>
    </w:pPr>
    <w:rPr>
      <w:rFonts w:asciiTheme="minorHAnsi" w:eastAsia="Times" w:hAnsiTheme="minorHAnsi" w:cs="Arial"/>
      <w:color w:val="000000" w:themeColor="text1"/>
      <w:sz w:val="22"/>
      <w:szCs w:val="22"/>
    </w:rPr>
  </w:style>
  <w:style w:type="character" w:styleId="SubtleEmphasis">
    <w:name w:val="Subtle Emphasis"/>
    <w:basedOn w:val="DefaultParagraphFont"/>
    <w:uiPriority w:val="65"/>
    <w:qFormat/>
    <w:rsid w:val="00D02CC6"/>
    <w:rPr>
      <w:i/>
      <w:iCs/>
      <w:color w:val="404040" w:themeColor="text1" w:themeTint="BF"/>
    </w:rPr>
  </w:style>
  <w:style w:type="character" w:styleId="PageNumber">
    <w:name w:val="page number"/>
    <w:basedOn w:val="DefaultParagraphFont"/>
    <w:semiHidden/>
    <w:rsid w:val="003728B5"/>
  </w:style>
  <w:style w:type="paragraph" w:styleId="TOC3">
    <w:name w:val="toc 3"/>
    <w:basedOn w:val="DPCbodynospace"/>
    <w:next w:val="Normal"/>
    <w:uiPriority w:val="39"/>
    <w:rsid w:val="003728B5"/>
    <w:pPr>
      <w:spacing w:line="240" w:lineRule="auto"/>
      <w:ind w:left="400"/>
    </w:pPr>
    <w:rPr>
      <w:rFonts w:eastAsia="Times New Roman" w:cstheme="minorHAnsi"/>
      <w:color w:val="auto"/>
      <w:szCs w:val="20"/>
    </w:rPr>
  </w:style>
  <w:style w:type="paragraph" w:styleId="TOC4">
    <w:name w:val="toc 4"/>
    <w:basedOn w:val="Normal"/>
    <w:next w:val="Normal"/>
    <w:autoRedefine/>
    <w:uiPriority w:val="39"/>
    <w:rsid w:val="003728B5"/>
    <w:pPr>
      <w:snapToGrid/>
      <w:spacing w:after="0" w:line="240" w:lineRule="auto"/>
      <w:ind w:left="600"/>
    </w:pPr>
    <w:rPr>
      <w:rFonts w:eastAsia="Times New Roman" w:cstheme="minorHAnsi"/>
      <w:color w:val="auto"/>
      <w:sz w:val="20"/>
      <w:szCs w:val="20"/>
    </w:rPr>
  </w:style>
  <w:style w:type="paragraph" w:styleId="TOC5">
    <w:name w:val="toc 5"/>
    <w:basedOn w:val="Normal"/>
    <w:next w:val="Normal"/>
    <w:autoRedefine/>
    <w:semiHidden/>
    <w:rsid w:val="003728B5"/>
    <w:pPr>
      <w:snapToGrid/>
      <w:spacing w:after="0" w:line="240" w:lineRule="auto"/>
      <w:ind w:left="800"/>
    </w:pPr>
    <w:rPr>
      <w:rFonts w:eastAsia="Times New Roman" w:cstheme="minorHAnsi"/>
      <w:color w:val="auto"/>
      <w:sz w:val="20"/>
      <w:szCs w:val="20"/>
    </w:rPr>
  </w:style>
  <w:style w:type="paragraph" w:styleId="TOC6">
    <w:name w:val="toc 6"/>
    <w:basedOn w:val="Normal"/>
    <w:next w:val="Normal"/>
    <w:autoRedefine/>
    <w:semiHidden/>
    <w:rsid w:val="003728B5"/>
    <w:pPr>
      <w:snapToGrid/>
      <w:spacing w:after="0" w:line="240" w:lineRule="auto"/>
      <w:ind w:left="1000"/>
    </w:pPr>
    <w:rPr>
      <w:rFonts w:eastAsia="Times New Roman" w:cstheme="minorHAnsi"/>
      <w:color w:val="auto"/>
      <w:sz w:val="20"/>
      <w:szCs w:val="20"/>
    </w:rPr>
  </w:style>
  <w:style w:type="paragraph" w:styleId="TOC7">
    <w:name w:val="toc 7"/>
    <w:basedOn w:val="Normal"/>
    <w:next w:val="Normal"/>
    <w:autoRedefine/>
    <w:semiHidden/>
    <w:rsid w:val="003728B5"/>
    <w:pPr>
      <w:snapToGrid/>
      <w:spacing w:after="0" w:line="240" w:lineRule="auto"/>
      <w:ind w:left="1200"/>
    </w:pPr>
    <w:rPr>
      <w:rFonts w:eastAsia="Times New Roman" w:cstheme="minorHAnsi"/>
      <w:color w:val="auto"/>
      <w:sz w:val="20"/>
      <w:szCs w:val="20"/>
    </w:rPr>
  </w:style>
  <w:style w:type="paragraph" w:styleId="TOC8">
    <w:name w:val="toc 8"/>
    <w:basedOn w:val="Normal"/>
    <w:next w:val="Normal"/>
    <w:autoRedefine/>
    <w:semiHidden/>
    <w:rsid w:val="003728B5"/>
    <w:pPr>
      <w:snapToGrid/>
      <w:spacing w:after="0" w:line="240" w:lineRule="auto"/>
      <w:ind w:left="1400"/>
    </w:pPr>
    <w:rPr>
      <w:rFonts w:eastAsia="Times New Roman" w:cstheme="minorHAnsi"/>
      <w:color w:val="auto"/>
      <w:sz w:val="20"/>
      <w:szCs w:val="20"/>
    </w:rPr>
  </w:style>
  <w:style w:type="paragraph" w:styleId="TOC9">
    <w:name w:val="toc 9"/>
    <w:basedOn w:val="Normal"/>
    <w:next w:val="Normal"/>
    <w:autoRedefine/>
    <w:semiHidden/>
    <w:rsid w:val="003728B5"/>
    <w:pPr>
      <w:snapToGrid/>
      <w:spacing w:after="0" w:line="240" w:lineRule="auto"/>
      <w:ind w:left="1600"/>
    </w:pPr>
    <w:rPr>
      <w:rFonts w:eastAsia="Times New Roman" w:cstheme="minorHAnsi"/>
      <w:color w:val="auto"/>
      <w:sz w:val="20"/>
      <w:szCs w:val="20"/>
    </w:rPr>
  </w:style>
  <w:style w:type="paragraph" w:customStyle="1" w:styleId="DPCreporttitle">
    <w:name w:val="DPC report title"/>
    <w:uiPriority w:val="4"/>
    <w:rsid w:val="003728B5"/>
    <w:pPr>
      <w:keepLines/>
      <w:spacing w:after="240"/>
    </w:pPr>
    <w:rPr>
      <w:rFonts w:asciiTheme="majorHAnsi" w:hAnsiTheme="majorHAnsi"/>
      <w:bCs/>
      <w:color w:val="53565A"/>
      <w:sz w:val="64"/>
      <w:szCs w:val="64"/>
    </w:rPr>
  </w:style>
  <w:style w:type="paragraph" w:customStyle="1" w:styleId="DPCreportsubtitle">
    <w:name w:val="DPC report subtitle"/>
    <w:uiPriority w:val="4"/>
    <w:rsid w:val="003728B5"/>
    <w:pPr>
      <w:spacing w:after="120"/>
    </w:pPr>
    <w:rPr>
      <w:rFonts w:asciiTheme="majorHAnsi" w:hAnsiTheme="majorHAnsi"/>
      <w:bCs/>
      <w:color w:val="53565A"/>
      <w:sz w:val="40"/>
      <w:szCs w:val="40"/>
    </w:rPr>
  </w:style>
  <w:style w:type="paragraph" w:styleId="DocumentMap">
    <w:name w:val="Document Map"/>
    <w:basedOn w:val="Normal"/>
    <w:link w:val="DocumentMapChar"/>
    <w:uiPriority w:val="99"/>
    <w:semiHidden/>
    <w:unhideWhenUsed/>
    <w:rsid w:val="003728B5"/>
    <w:pPr>
      <w:snapToGrid/>
      <w:spacing w:after="0" w:line="240" w:lineRule="auto"/>
    </w:pPr>
    <w:rPr>
      <w:rFonts w:ascii="Lucida Grande" w:eastAsia="Times New Roman" w:hAnsi="Lucida Grande" w:cs="Lucida Grande"/>
      <w:color w:val="auto"/>
      <w:sz w:val="24"/>
      <w:szCs w:val="24"/>
    </w:rPr>
  </w:style>
  <w:style w:type="character" w:customStyle="1" w:styleId="DocumentMapChar">
    <w:name w:val="Document Map Char"/>
    <w:basedOn w:val="DefaultParagraphFont"/>
    <w:link w:val="DocumentMap"/>
    <w:uiPriority w:val="99"/>
    <w:semiHidden/>
    <w:rsid w:val="003728B5"/>
    <w:rPr>
      <w:rFonts w:ascii="Lucida Grande" w:hAnsi="Lucida Grande" w:cs="Lucida Grande"/>
      <w:sz w:val="24"/>
      <w:szCs w:val="24"/>
    </w:rPr>
  </w:style>
  <w:style w:type="paragraph" w:customStyle="1" w:styleId="DPCTOCheadingreport">
    <w:name w:val="DPC TOC heading report"/>
    <w:basedOn w:val="Heading1"/>
    <w:link w:val="DPCTOCheadingreportChar"/>
    <w:uiPriority w:val="5"/>
    <w:rsid w:val="003728B5"/>
    <w:pPr>
      <w:keepNext/>
      <w:keepLines/>
      <w:snapToGrid/>
      <w:spacing w:before="0" w:after="800" w:line="560" w:lineRule="atLeast"/>
      <w:ind w:right="0"/>
      <w:outlineLvl w:val="9"/>
    </w:pPr>
    <w:rPr>
      <w:rFonts w:eastAsia="MS Gothic"/>
      <w:b w:val="0"/>
      <w:color w:val="0072CE"/>
      <w:kern w:val="32"/>
      <w:sz w:val="52"/>
      <w:szCs w:val="52"/>
    </w:rPr>
  </w:style>
  <w:style w:type="character" w:customStyle="1" w:styleId="DPCTOCheadingreportChar">
    <w:name w:val="DPC TOC heading report Char"/>
    <w:link w:val="DPCTOCheadingreport"/>
    <w:uiPriority w:val="5"/>
    <w:rsid w:val="003728B5"/>
    <w:rPr>
      <w:rFonts w:asciiTheme="majorHAnsi" w:eastAsia="MS Gothic" w:hAnsiTheme="majorHAnsi" w:cs="Arial"/>
      <w:bCs/>
      <w:color w:val="0072CE"/>
      <w:kern w:val="32"/>
      <w:sz w:val="52"/>
      <w:szCs w:val="52"/>
    </w:rPr>
  </w:style>
  <w:style w:type="numbering" w:customStyle="1" w:styleId="ZZBullets">
    <w:name w:val="ZZ Bullets"/>
    <w:rsid w:val="003728B5"/>
    <w:pPr>
      <w:numPr>
        <w:numId w:val="14"/>
      </w:numPr>
    </w:pPr>
  </w:style>
  <w:style w:type="paragraph" w:customStyle="1" w:styleId="DPCaccessibilitypara">
    <w:name w:val="DPC accessibility para"/>
    <w:uiPriority w:val="11"/>
    <w:rsid w:val="003728B5"/>
    <w:pPr>
      <w:spacing w:before="80" w:after="160" w:line="320" w:lineRule="atLeast"/>
    </w:pPr>
    <w:rPr>
      <w:rFonts w:asciiTheme="minorHAnsi" w:eastAsia="Times" w:hAnsiTheme="minorHAnsi"/>
      <w:color w:val="000000" w:themeColor="text1"/>
      <w:sz w:val="26"/>
      <w:szCs w:val="26"/>
    </w:rPr>
  </w:style>
  <w:style w:type="paragraph" w:customStyle="1" w:styleId="DPCbodyaftertablefigure">
    <w:name w:val="DPC body after table/figure"/>
    <w:basedOn w:val="DPCbody"/>
    <w:uiPriority w:val="1"/>
    <w:rsid w:val="003728B5"/>
    <w:pPr>
      <w:spacing w:before="240"/>
    </w:pPr>
  </w:style>
  <w:style w:type="paragraph" w:customStyle="1" w:styleId="DPCbodynospace">
    <w:name w:val="DPC body no space"/>
    <w:basedOn w:val="DPCbody"/>
    <w:uiPriority w:val="1"/>
    <w:rsid w:val="003728B5"/>
    <w:pPr>
      <w:spacing w:after="0"/>
    </w:pPr>
  </w:style>
  <w:style w:type="paragraph" w:customStyle="1" w:styleId="DPCbullet1">
    <w:name w:val="DPC bullet 1"/>
    <w:basedOn w:val="DPCbody"/>
    <w:qFormat/>
    <w:rsid w:val="003728B5"/>
    <w:pPr>
      <w:numPr>
        <w:numId w:val="14"/>
      </w:numPr>
      <w:spacing w:after="60"/>
    </w:pPr>
  </w:style>
  <w:style w:type="paragraph" w:customStyle="1" w:styleId="DPCbullet2">
    <w:name w:val="DPC bullet 2"/>
    <w:basedOn w:val="DPCbody"/>
    <w:uiPriority w:val="2"/>
    <w:qFormat/>
    <w:rsid w:val="003728B5"/>
    <w:pPr>
      <w:numPr>
        <w:ilvl w:val="1"/>
        <w:numId w:val="14"/>
      </w:numPr>
      <w:spacing w:after="60"/>
    </w:pPr>
  </w:style>
  <w:style w:type="paragraph" w:customStyle="1" w:styleId="DPCfigurecaption">
    <w:name w:val="DPC figure caption"/>
    <w:next w:val="DPCbody"/>
    <w:uiPriority w:val="8"/>
    <w:rsid w:val="003728B5"/>
    <w:pPr>
      <w:keepNext/>
      <w:keepLines/>
      <w:spacing w:before="240" w:after="120"/>
    </w:pPr>
    <w:rPr>
      <w:rFonts w:asciiTheme="minorHAnsi" w:hAnsiTheme="minorHAnsi"/>
      <w:b/>
      <w:color w:val="000000" w:themeColor="text1"/>
      <w:sz w:val="22"/>
      <w:szCs w:val="22"/>
    </w:rPr>
  </w:style>
  <w:style w:type="paragraph" w:customStyle="1" w:styleId="DPCnumberdigit">
    <w:name w:val="DPC number digit"/>
    <w:basedOn w:val="DPCbody"/>
    <w:uiPriority w:val="4"/>
    <w:rsid w:val="003728B5"/>
  </w:style>
  <w:style w:type="paragraph" w:customStyle="1" w:styleId="DPCnumberdigitindent">
    <w:name w:val="DPC number digit indent"/>
    <w:basedOn w:val="Normal"/>
    <w:uiPriority w:val="4"/>
    <w:qFormat/>
    <w:rsid w:val="003728B5"/>
    <w:pPr>
      <w:snapToGrid/>
      <w:spacing w:line="300" w:lineRule="atLeast"/>
    </w:pPr>
    <w:rPr>
      <w:szCs w:val="22"/>
    </w:rPr>
  </w:style>
  <w:style w:type="paragraph" w:customStyle="1" w:styleId="DPCnumberlowerroman">
    <w:name w:val="DPC number lower roman"/>
    <w:basedOn w:val="DPCbody"/>
    <w:uiPriority w:val="4"/>
    <w:qFormat/>
    <w:rsid w:val="003728B5"/>
    <w:pPr>
      <w:numPr>
        <w:numId w:val="17"/>
      </w:numPr>
    </w:pPr>
  </w:style>
  <w:style w:type="paragraph" w:customStyle="1" w:styleId="DPCnumberlowerromanindent">
    <w:name w:val="DPC number lower roman indent"/>
    <w:basedOn w:val="DPCbody"/>
    <w:uiPriority w:val="4"/>
    <w:qFormat/>
    <w:rsid w:val="003728B5"/>
    <w:pPr>
      <w:numPr>
        <w:ilvl w:val="1"/>
        <w:numId w:val="17"/>
      </w:numPr>
    </w:pPr>
  </w:style>
  <w:style w:type="paragraph" w:customStyle="1" w:styleId="DPCquote">
    <w:name w:val="DPC quote"/>
    <w:basedOn w:val="DPCbody"/>
    <w:uiPriority w:val="3"/>
    <w:qFormat/>
    <w:rsid w:val="003728B5"/>
    <w:pPr>
      <w:ind w:left="397"/>
    </w:pPr>
    <w:rPr>
      <w:szCs w:val="18"/>
    </w:rPr>
  </w:style>
  <w:style w:type="paragraph" w:customStyle="1" w:styleId="DPCtabletext">
    <w:name w:val="DPC table text"/>
    <w:uiPriority w:val="3"/>
    <w:qFormat/>
    <w:rsid w:val="003728B5"/>
    <w:pPr>
      <w:spacing w:before="60" w:after="40"/>
    </w:pPr>
    <w:rPr>
      <w:rFonts w:asciiTheme="minorHAnsi" w:hAnsiTheme="minorHAnsi"/>
      <w:color w:val="000000" w:themeColor="text1"/>
    </w:rPr>
  </w:style>
  <w:style w:type="paragraph" w:customStyle="1" w:styleId="DPCtablebullet">
    <w:name w:val="DPC table bullet"/>
    <w:basedOn w:val="DPCtabletext"/>
    <w:uiPriority w:val="3"/>
    <w:qFormat/>
    <w:rsid w:val="003728B5"/>
    <w:pPr>
      <w:numPr>
        <w:numId w:val="15"/>
      </w:numPr>
    </w:pPr>
  </w:style>
  <w:style w:type="paragraph" w:customStyle="1" w:styleId="DPCtablecaption">
    <w:name w:val="DPC table caption"/>
    <w:next w:val="DPCbody"/>
    <w:uiPriority w:val="3"/>
    <w:qFormat/>
    <w:rsid w:val="003728B5"/>
    <w:pPr>
      <w:keepNext/>
      <w:keepLines/>
      <w:spacing w:before="240" w:after="120" w:line="270" w:lineRule="exact"/>
    </w:pPr>
    <w:rPr>
      <w:rFonts w:asciiTheme="majorHAnsi" w:hAnsiTheme="majorHAnsi"/>
      <w:b/>
      <w:color w:val="000000" w:themeColor="text1"/>
      <w:sz w:val="22"/>
      <w:szCs w:val="22"/>
    </w:rPr>
  </w:style>
  <w:style w:type="paragraph" w:customStyle="1" w:styleId="DPCtablecolhead">
    <w:name w:val="DPC table col head"/>
    <w:uiPriority w:val="3"/>
    <w:qFormat/>
    <w:rsid w:val="003728B5"/>
    <w:pPr>
      <w:spacing w:before="80" w:after="60"/>
    </w:pPr>
    <w:rPr>
      <w:rFonts w:asciiTheme="majorHAnsi" w:hAnsiTheme="majorHAnsi"/>
      <w:b/>
      <w:color w:val="53565A"/>
    </w:rPr>
  </w:style>
  <w:style w:type="paragraph" w:customStyle="1" w:styleId="DPCtablefigurefootnote">
    <w:name w:val="DPC table/figure footnote"/>
    <w:uiPriority w:val="4"/>
    <w:rsid w:val="003728B5"/>
    <w:pPr>
      <w:spacing w:before="60" w:after="60"/>
    </w:pPr>
    <w:rPr>
      <w:rFonts w:asciiTheme="minorHAnsi" w:hAnsiTheme="minorHAnsi"/>
      <w:color w:val="000000" w:themeColor="text1"/>
      <w:sz w:val="18"/>
      <w:szCs w:val="18"/>
    </w:rPr>
  </w:style>
  <w:style w:type="paragraph" w:customStyle="1" w:styleId="Spacerparatopoffirstpage">
    <w:name w:val="Spacer para top of first page"/>
    <w:basedOn w:val="DPCbodynospace"/>
    <w:semiHidden/>
    <w:rsid w:val="003728B5"/>
    <w:pPr>
      <w:spacing w:line="240" w:lineRule="auto"/>
    </w:pPr>
    <w:rPr>
      <w:noProof/>
      <w:sz w:val="12"/>
    </w:rPr>
  </w:style>
  <w:style w:type="paragraph" w:customStyle="1" w:styleId="DPCbodyafterbullets">
    <w:name w:val="DPC body after bullets"/>
    <w:basedOn w:val="DPCbody"/>
    <w:uiPriority w:val="11"/>
    <w:rsid w:val="003728B5"/>
    <w:pPr>
      <w:spacing w:before="160"/>
    </w:pPr>
  </w:style>
  <w:style w:type="numbering" w:customStyle="1" w:styleId="ZZTablebullets">
    <w:name w:val="ZZ Table bullets"/>
    <w:basedOn w:val="ZZBullets"/>
    <w:uiPriority w:val="99"/>
    <w:rsid w:val="003728B5"/>
    <w:pPr>
      <w:numPr>
        <w:numId w:val="15"/>
      </w:numPr>
    </w:pPr>
  </w:style>
  <w:style w:type="numbering" w:customStyle="1" w:styleId="ZZQuotebullets">
    <w:name w:val="ZZ Quote bullets"/>
    <w:basedOn w:val="NoList"/>
    <w:uiPriority w:val="99"/>
    <w:rsid w:val="003728B5"/>
    <w:pPr>
      <w:numPr>
        <w:numId w:val="16"/>
      </w:numPr>
    </w:pPr>
  </w:style>
  <w:style w:type="paragraph" w:customStyle="1" w:styleId="DPCquotebullet">
    <w:name w:val="DPC quote bullet"/>
    <w:basedOn w:val="DPCquote"/>
    <w:rsid w:val="003728B5"/>
    <w:pPr>
      <w:numPr>
        <w:numId w:val="16"/>
      </w:numPr>
    </w:pPr>
  </w:style>
  <w:style w:type="numbering" w:customStyle="1" w:styleId="ZZNumberslowerroman">
    <w:name w:val="ZZ Numbers lower roman"/>
    <w:basedOn w:val="NoList"/>
    <w:uiPriority w:val="99"/>
    <w:rsid w:val="003728B5"/>
    <w:pPr>
      <w:numPr>
        <w:numId w:val="17"/>
      </w:numPr>
    </w:pPr>
  </w:style>
  <w:style w:type="numbering" w:customStyle="1" w:styleId="ZZNumbersloweralpha">
    <w:name w:val="ZZ Numbers lower alpha"/>
    <w:basedOn w:val="NoList"/>
    <w:rsid w:val="003728B5"/>
    <w:pPr>
      <w:numPr>
        <w:numId w:val="19"/>
      </w:numPr>
    </w:pPr>
  </w:style>
  <w:style w:type="numbering" w:customStyle="1" w:styleId="ZZNumbersdigit">
    <w:name w:val="ZZ Numbers digit"/>
    <w:basedOn w:val="NoList"/>
    <w:uiPriority w:val="99"/>
    <w:rsid w:val="003728B5"/>
    <w:pPr>
      <w:numPr>
        <w:numId w:val="18"/>
      </w:numPr>
    </w:pPr>
  </w:style>
  <w:style w:type="paragraph" w:customStyle="1" w:styleId="DPCbulletafternumbers1">
    <w:name w:val="DPC bullet after numbers 1"/>
    <w:basedOn w:val="DPCbody"/>
    <w:rsid w:val="003728B5"/>
  </w:style>
  <w:style w:type="paragraph" w:customStyle="1" w:styleId="DPCbulletafternumbers2">
    <w:name w:val="DPC bullet after numbers 2"/>
    <w:basedOn w:val="DPCbody"/>
    <w:rsid w:val="003728B5"/>
  </w:style>
  <w:style w:type="paragraph" w:customStyle="1" w:styleId="DPCnumberloweralpha">
    <w:name w:val="DPC number lower alpha"/>
    <w:basedOn w:val="DPCbody"/>
    <w:uiPriority w:val="3"/>
    <w:rsid w:val="003728B5"/>
    <w:pPr>
      <w:numPr>
        <w:numId w:val="19"/>
      </w:numPr>
    </w:pPr>
    <w:rPr>
      <w:rFonts w:ascii="Arial" w:hAnsi="Arial"/>
    </w:rPr>
  </w:style>
  <w:style w:type="paragraph" w:customStyle="1" w:styleId="DPCnumberloweralphaindent">
    <w:name w:val="DPC number lower alpha indent"/>
    <w:basedOn w:val="DPCbody"/>
    <w:uiPriority w:val="3"/>
    <w:rsid w:val="003728B5"/>
    <w:pPr>
      <w:numPr>
        <w:ilvl w:val="1"/>
        <w:numId w:val="19"/>
      </w:numPr>
    </w:pPr>
    <w:rPr>
      <w:rFonts w:ascii="Arial" w:hAnsi="Arial"/>
    </w:rPr>
  </w:style>
  <w:style w:type="paragraph" w:customStyle="1" w:styleId="DPCtabletext6pt">
    <w:name w:val="DPC table text + 6pt"/>
    <w:basedOn w:val="DPCtabletext"/>
    <w:uiPriority w:val="11"/>
    <w:rsid w:val="003728B5"/>
    <w:pPr>
      <w:spacing w:after="120"/>
    </w:pPr>
  </w:style>
  <w:style w:type="paragraph" w:styleId="BalloonText">
    <w:name w:val="Balloon Text"/>
    <w:basedOn w:val="Normal"/>
    <w:link w:val="BalloonTextChar"/>
    <w:uiPriority w:val="99"/>
    <w:semiHidden/>
    <w:unhideWhenUsed/>
    <w:rsid w:val="003728B5"/>
    <w:pPr>
      <w:snapToGrid/>
      <w:spacing w:after="0" w:line="240" w:lineRule="auto"/>
    </w:pPr>
    <w:rPr>
      <w:rFonts w:ascii="Tahoma" w:eastAsia="Times New Roman" w:hAnsi="Tahoma" w:cs="Tahoma"/>
      <w:color w:val="auto"/>
      <w:sz w:val="16"/>
      <w:szCs w:val="16"/>
    </w:rPr>
  </w:style>
  <w:style w:type="character" w:customStyle="1" w:styleId="BalloonTextChar">
    <w:name w:val="Balloon Text Char"/>
    <w:basedOn w:val="DefaultParagraphFont"/>
    <w:link w:val="BalloonText"/>
    <w:uiPriority w:val="99"/>
    <w:semiHidden/>
    <w:rsid w:val="003728B5"/>
    <w:rPr>
      <w:rFonts w:ascii="Tahoma" w:hAnsi="Tahoma" w:cs="Tahoma"/>
      <w:sz w:val="16"/>
      <w:szCs w:val="16"/>
    </w:rPr>
  </w:style>
  <w:style w:type="paragraph" w:styleId="ListParagraph">
    <w:name w:val="List Paragraph"/>
    <w:basedOn w:val="Normal"/>
    <w:uiPriority w:val="34"/>
    <w:qFormat/>
    <w:rsid w:val="003728B5"/>
    <w:pPr>
      <w:pBdr>
        <w:top w:val="nil"/>
        <w:left w:val="nil"/>
        <w:bottom w:val="nil"/>
        <w:right w:val="nil"/>
        <w:between w:val="nil"/>
      </w:pBdr>
      <w:snapToGrid/>
      <w:spacing w:after="0" w:line="276" w:lineRule="auto"/>
      <w:ind w:left="720"/>
      <w:contextualSpacing/>
    </w:pPr>
    <w:rPr>
      <w:rFonts w:ascii="Arial" w:eastAsia="Arial" w:hAnsi="Arial"/>
      <w:color w:val="000000"/>
      <w:szCs w:val="22"/>
      <w:lang w:val="en-GB" w:eastAsia="en-GB"/>
    </w:rPr>
  </w:style>
  <w:style w:type="character" w:styleId="PlaceholderText">
    <w:name w:val="Placeholder Text"/>
    <w:basedOn w:val="DefaultParagraphFont"/>
    <w:uiPriority w:val="99"/>
    <w:unhideWhenUsed/>
    <w:rsid w:val="003728B5"/>
    <w:rPr>
      <w:color w:val="808080"/>
    </w:rPr>
  </w:style>
  <w:style w:type="character" w:styleId="CommentReference">
    <w:name w:val="annotation reference"/>
    <w:basedOn w:val="DefaultParagraphFont"/>
    <w:rsid w:val="003728B5"/>
    <w:rPr>
      <w:sz w:val="16"/>
      <w:szCs w:val="16"/>
    </w:rPr>
  </w:style>
  <w:style w:type="table" w:customStyle="1" w:styleId="Table2">
    <w:name w:val="Table2"/>
    <w:basedOn w:val="TableNormal"/>
    <w:rsid w:val="003728B5"/>
    <w:pPr>
      <w:pBdr>
        <w:top w:val="nil"/>
        <w:left w:val="nil"/>
        <w:bottom w:val="nil"/>
        <w:right w:val="nil"/>
        <w:between w:val="nil"/>
      </w:pBdr>
      <w:spacing w:line="276" w:lineRule="auto"/>
    </w:pPr>
    <w:rPr>
      <w:rFonts w:ascii="Arial" w:eastAsia="Arial" w:hAnsi="Arial" w:cs="Arial"/>
      <w:color w:val="000000"/>
      <w:sz w:val="22"/>
      <w:szCs w:val="22"/>
      <w:lang w:val="en-GB" w:eastAsia="en-GB"/>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3728B5"/>
    <w:pPr>
      <w:snapToGrid/>
      <w:spacing w:after="0" w:line="240" w:lineRule="auto"/>
    </w:pPr>
    <w:rPr>
      <w:rFonts w:ascii="Cambria" w:eastAsia="Times New Roman" w:hAnsi="Cambria" w:cs="Times New Roman"/>
      <w:color w:val="auto"/>
      <w:sz w:val="20"/>
      <w:szCs w:val="20"/>
    </w:rPr>
  </w:style>
  <w:style w:type="character" w:customStyle="1" w:styleId="CommentTextChar">
    <w:name w:val="Comment Text Char"/>
    <w:basedOn w:val="DefaultParagraphFont"/>
    <w:link w:val="CommentText"/>
    <w:uiPriority w:val="99"/>
    <w:semiHidden/>
    <w:rsid w:val="003728B5"/>
    <w:rPr>
      <w:rFonts w:ascii="Cambria" w:hAnsi="Cambria"/>
    </w:rPr>
  </w:style>
  <w:style w:type="table" w:styleId="ColorfulGrid-Accent1">
    <w:name w:val="Colorful Grid Accent 1"/>
    <w:basedOn w:val="TableNormal"/>
    <w:uiPriority w:val="29"/>
    <w:qFormat/>
    <w:rsid w:val="003728B5"/>
    <w:rPr>
      <w:color w:val="000000" w:themeColor="text1"/>
      <w:lang w:eastAsia="en-AU"/>
    </w:rPr>
    <w:tblPr>
      <w:tblStyleRowBandSize w:val="1"/>
      <w:tblStyleColBandSize w:val="1"/>
      <w:tblBorders>
        <w:insideH w:val="single" w:sz="4" w:space="0" w:color="FFFFFF" w:themeColor="background1"/>
      </w:tblBorders>
    </w:tblPr>
    <w:tcPr>
      <w:shd w:val="clear" w:color="auto" w:fill="B8E2FF" w:themeFill="accent1" w:themeFillTint="33"/>
    </w:tcPr>
    <w:tblStylePr w:type="firstRow">
      <w:rPr>
        <w:b/>
        <w:bCs/>
      </w:rPr>
      <w:tblPr/>
      <w:tcPr>
        <w:shd w:val="clear" w:color="auto" w:fill="72C6FF" w:themeFill="accent1" w:themeFillTint="66"/>
      </w:tcPr>
    </w:tblStylePr>
    <w:tblStylePr w:type="lastRow">
      <w:rPr>
        <w:b/>
        <w:bCs/>
        <w:color w:val="000000" w:themeColor="text1"/>
      </w:rPr>
      <w:tblPr/>
      <w:tcPr>
        <w:shd w:val="clear" w:color="auto" w:fill="72C6FF" w:themeFill="accent1" w:themeFillTint="66"/>
      </w:tcPr>
    </w:tblStylePr>
    <w:tblStylePr w:type="firstCol">
      <w:rPr>
        <w:color w:val="FFFFFF" w:themeColor="background1"/>
      </w:rPr>
      <w:tblPr/>
      <w:tcPr>
        <w:shd w:val="clear" w:color="auto" w:fill="004776" w:themeFill="accent1" w:themeFillShade="BF"/>
      </w:tcPr>
    </w:tblStylePr>
    <w:tblStylePr w:type="lastCol">
      <w:rPr>
        <w:color w:val="FFFFFF" w:themeColor="background1"/>
      </w:rPr>
      <w:tblPr/>
      <w:tcPr>
        <w:shd w:val="clear" w:color="auto" w:fill="004776" w:themeFill="accent1" w:themeFillShade="BF"/>
      </w:tc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ColorfulList-Accent1">
    <w:name w:val="Colorful List Accent 1"/>
    <w:basedOn w:val="TableNormal"/>
    <w:uiPriority w:val="34"/>
    <w:qFormat/>
    <w:rsid w:val="003728B5"/>
    <w:rPr>
      <w:color w:val="000000" w:themeColor="text1"/>
      <w:lang w:eastAsia="en-AU"/>
    </w:rPr>
    <w:tblPr>
      <w:tblStyleRowBandSize w:val="1"/>
      <w:tblStyleColBandSize w:val="1"/>
    </w:tblPr>
    <w:tcPr>
      <w:shd w:val="clear" w:color="auto" w:fill="DCF1FF" w:themeFill="accen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CFF" w:themeFill="accent1" w:themeFillTint="3F"/>
      </w:tcPr>
    </w:tblStylePr>
    <w:tblStylePr w:type="band1Horz">
      <w:tblPr/>
      <w:tcPr>
        <w:shd w:val="clear" w:color="auto" w:fill="B8E2FF" w:themeFill="accent1" w:themeFillTint="33"/>
      </w:tcPr>
    </w:tblStylePr>
  </w:style>
  <w:style w:type="table" w:styleId="MediumGrid2">
    <w:name w:val="Medium Grid 2"/>
    <w:basedOn w:val="TableNormal"/>
    <w:uiPriority w:val="1"/>
    <w:qFormat/>
    <w:rsid w:val="003728B5"/>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Accent1">
    <w:name w:val="Medium Shading 1 Accent 1"/>
    <w:basedOn w:val="TableNormal"/>
    <w:uiPriority w:val="68"/>
    <w:rsid w:val="003728B5"/>
    <w:rPr>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tblBorders>
    </w:tblPr>
    <w:tblStylePr w:type="firstRow">
      <w:pPr>
        <w:spacing w:before="0" w:after="0" w:line="240" w:lineRule="auto"/>
      </w:pPr>
      <w:rPr>
        <w:b/>
        <w:bCs/>
        <w:color w:val="FFFFFF" w:themeColor="background1"/>
      </w:rPr>
      <w:tblPr/>
      <w:tcPr>
        <w:tc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shd w:val="clear" w:color="auto" w:fill="005F9E" w:themeFill="accent1"/>
      </w:tcPr>
    </w:tblStylePr>
    <w:tblStylePr w:type="lastRow">
      <w:pPr>
        <w:spacing w:before="0" w:after="0" w:line="240" w:lineRule="auto"/>
      </w:pPr>
      <w:rPr>
        <w:b/>
        <w:bCs/>
      </w:rPr>
      <w:tblPr/>
      <w:tcPr>
        <w:tcBorders>
          <w:top w:val="double" w:sz="6"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DCFF" w:themeFill="accent1" w:themeFillTint="3F"/>
      </w:tcPr>
    </w:tblStylePr>
    <w:tblStylePr w:type="band1Horz">
      <w:tblPr/>
      <w:tcPr>
        <w:tcBorders>
          <w:insideH w:val="nil"/>
          <w:insideV w:val="nil"/>
        </w:tcBorders>
        <w:shd w:val="clear" w:color="auto" w:fill="A8DCFF" w:themeFill="accent1" w:themeFillTint="3F"/>
      </w:tcPr>
    </w:tblStylePr>
    <w:tblStylePr w:type="band2Horz">
      <w:tblPr/>
      <w:tcPr>
        <w:tcBorders>
          <w:insideH w:val="nil"/>
          <w:insideV w:val="nil"/>
        </w:tcBorders>
      </w:tcPr>
    </w:tblStylePr>
  </w:style>
  <w:style w:type="paragraph" w:styleId="CommentSubject">
    <w:name w:val="annotation subject"/>
    <w:basedOn w:val="CommentText"/>
    <w:next w:val="CommentText"/>
    <w:link w:val="CommentSubjectChar"/>
    <w:uiPriority w:val="99"/>
    <w:semiHidden/>
    <w:unhideWhenUsed/>
    <w:rsid w:val="003728B5"/>
    <w:rPr>
      <w:b/>
      <w:bCs/>
    </w:rPr>
  </w:style>
  <w:style w:type="character" w:customStyle="1" w:styleId="CommentSubjectChar">
    <w:name w:val="Comment Subject Char"/>
    <w:basedOn w:val="CommentTextChar"/>
    <w:link w:val="CommentSubject"/>
    <w:uiPriority w:val="99"/>
    <w:semiHidden/>
    <w:rsid w:val="003728B5"/>
    <w:rPr>
      <w:rFonts w:ascii="Cambria" w:hAnsi="Cambria"/>
      <w:b/>
      <w:bCs/>
    </w:rPr>
  </w:style>
  <w:style w:type="character" w:styleId="UnresolvedMention">
    <w:name w:val="Unresolved Mention"/>
    <w:basedOn w:val="DefaultParagraphFont"/>
    <w:uiPriority w:val="99"/>
    <w:semiHidden/>
    <w:unhideWhenUsed/>
    <w:rsid w:val="003728B5"/>
    <w:rPr>
      <w:color w:val="605E5C"/>
      <w:shd w:val="clear" w:color="auto" w:fill="E1DFDD"/>
    </w:rPr>
  </w:style>
  <w:style w:type="paragraph" w:customStyle="1" w:styleId="msonormal0">
    <w:name w:val="msonormal"/>
    <w:basedOn w:val="Normal"/>
    <w:rsid w:val="003728B5"/>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l67">
    <w:name w:val="xl67"/>
    <w:basedOn w:val="Normal"/>
    <w:rsid w:val="003728B5"/>
    <w:pPr>
      <w:pBdr>
        <w:top w:val="single" w:sz="4" w:space="0" w:color="auto"/>
        <w:left w:val="single" w:sz="4" w:space="0" w:color="auto"/>
        <w:bottom w:val="single" w:sz="4" w:space="0" w:color="auto"/>
        <w:right w:val="single" w:sz="4" w:space="0" w:color="auto"/>
      </w:pBdr>
      <w:shd w:val="clear" w:color="000000" w:fill="4472C4"/>
      <w:snapToGrid/>
      <w:spacing w:before="100" w:beforeAutospacing="1" w:after="100" w:afterAutospacing="1" w:line="240" w:lineRule="auto"/>
      <w:textAlignment w:val="top"/>
    </w:pPr>
    <w:rPr>
      <w:rFonts w:ascii="Times New Roman" w:eastAsia="Times New Roman" w:hAnsi="Times New Roman" w:cs="Times New Roman"/>
      <w:b/>
      <w:bCs/>
      <w:color w:val="FFFFFF"/>
      <w:sz w:val="16"/>
      <w:szCs w:val="16"/>
      <w:lang w:eastAsia="en-AU"/>
    </w:rPr>
  </w:style>
  <w:style w:type="paragraph" w:customStyle="1" w:styleId="xl68">
    <w:name w:val="xl68"/>
    <w:basedOn w:val="Normal"/>
    <w:rsid w:val="003728B5"/>
    <w:pPr>
      <w:pBdr>
        <w:top w:val="single" w:sz="4" w:space="0" w:color="auto"/>
        <w:left w:val="single" w:sz="4" w:space="0" w:color="auto"/>
        <w:right w:val="single" w:sz="4" w:space="0" w:color="auto"/>
      </w:pBdr>
      <w:shd w:val="clear" w:color="000000" w:fill="4472C4"/>
      <w:snapToGrid/>
      <w:spacing w:before="100" w:beforeAutospacing="1" w:after="100" w:afterAutospacing="1" w:line="240" w:lineRule="auto"/>
      <w:textAlignment w:val="top"/>
    </w:pPr>
    <w:rPr>
      <w:rFonts w:ascii="Times New Roman" w:eastAsia="Times New Roman" w:hAnsi="Times New Roman" w:cs="Times New Roman"/>
      <w:b/>
      <w:bCs/>
      <w:color w:val="FFFFFF"/>
      <w:sz w:val="16"/>
      <w:szCs w:val="16"/>
      <w:lang w:eastAsia="en-AU"/>
    </w:rPr>
  </w:style>
  <w:style w:type="paragraph" w:customStyle="1" w:styleId="xl69">
    <w:name w:val="xl69"/>
    <w:basedOn w:val="Normal"/>
    <w:rsid w:val="003728B5"/>
    <w:pPr>
      <w:snapToGrid/>
      <w:spacing w:before="100" w:beforeAutospacing="1" w:after="100" w:afterAutospacing="1" w:line="240" w:lineRule="auto"/>
      <w:textAlignment w:val="top"/>
    </w:pPr>
    <w:rPr>
      <w:rFonts w:ascii="Times New Roman" w:eastAsia="Times New Roman" w:hAnsi="Times New Roman" w:cs="Times New Roman"/>
      <w:color w:val="auto"/>
      <w:sz w:val="16"/>
      <w:szCs w:val="16"/>
      <w:lang w:eastAsia="en-AU"/>
    </w:rPr>
  </w:style>
  <w:style w:type="paragraph" w:customStyle="1" w:styleId="xl70">
    <w:name w:val="xl70"/>
    <w:basedOn w:val="Normal"/>
    <w:rsid w:val="003728B5"/>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textAlignment w:val="top"/>
    </w:pPr>
    <w:rPr>
      <w:rFonts w:ascii="Times New Roman" w:eastAsia="Times New Roman" w:hAnsi="Times New Roman" w:cs="Times New Roman"/>
      <w:color w:val="auto"/>
      <w:sz w:val="16"/>
      <w:szCs w:val="16"/>
      <w:lang w:eastAsia="en-AU"/>
    </w:rPr>
  </w:style>
  <w:style w:type="paragraph" w:customStyle="1" w:styleId="xl71">
    <w:name w:val="xl71"/>
    <w:basedOn w:val="Normal"/>
    <w:rsid w:val="003728B5"/>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textAlignment w:val="top"/>
    </w:pPr>
    <w:rPr>
      <w:rFonts w:ascii="Times New Roman" w:eastAsia="Times New Roman" w:hAnsi="Times New Roman" w:cs="Times New Roman"/>
      <w:color w:val="auto"/>
      <w:sz w:val="16"/>
      <w:szCs w:val="16"/>
      <w:lang w:eastAsia="en-AU"/>
    </w:rPr>
  </w:style>
  <w:style w:type="paragraph" w:customStyle="1" w:styleId="xl72">
    <w:name w:val="xl72"/>
    <w:basedOn w:val="Normal"/>
    <w:rsid w:val="003728B5"/>
    <w:pPr>
      <w:pBdr>
        <w:top w:val="single" w:sz="4" w:space="0" w:color="auto"/>
        <w:left w:val="single" w:sz="4" w:space="0" w:color="auto"/>
        <w:bottom w:val="single" w:sz="4" w:space="0" w:color="auto"/>
      </w:pBdr>
      <w:snapToGrid/>
      <w:spacing w:before="100" w:beforeAutospacing="1" w:after="100" w:afterAutospacing="1" w:line="240" w:lineRule="auto"/>
      <w:textAlignment w:val="top"/>
    </w:pPr>
    <w:rPr>
      <w:rFonts w:ascii="Times New Roman" w:eastAsia="Times New Roman" w:hAnsi="Times New Roman" w:cs="Times New Roman"/>
      <w:color w:val="auto"/>
      <w:sz w:val="16"/>
      <w:szCs w:val="16"/>
      <w:lang w:eastAsia="en-AU"/>
    </w:rPr>
  </w:style>
  <w:style w:type="paragraph" w:customStyle="1" w:styleId="xl73">
    <w:name w:val="xl73"/>
    <w:basedOn w:val="Normal"/>
    <w:rsid w:val="003728B5"/>
    <w:pPr>
      <w:pBdr>
        <w:top w:val="single" w:sz="4" w:space="0" w:color="auto"/>
        <w:left w:val="single" w:sz="4" w:space="0" w:color="auto"/>
        <w:right w:val="single" w:sz="4" w:space="0" w:color="auto"/>
      </w:pBdr>
      <w:snapToGrid/>
      <w:spacing w:before="100" w:beforeAutospacing="1" w:after="100" w:afterAutospacing="1" w:line="240" w:lineRule="auto"/>
      <w:textAlignment w:val="top"/>
    </w:pPr>
    <w:rPr>
      <w:rFonts w:ascii="Times New Roman" w:eastAsia="Times New Roman" w:hAnsi="Times New Roman" w:cs="Times New Roman"/>
      <w:color w:val="auto"/>
      <w:sz w:val="16"/>
      <w:szCs w:val="16"/>
      <w:lang w:eastAsia="en-AU"/>
    </w:rPr>
  </w:style>
  <w:style w:type="paragraph" w:customStyle="1" w:styleId="xl74">
    <w:name w:val="xl74"/>
    <w:basedOn w:val="Normal"/>
    <w:rsid w:val="003728B5"/>
    <w:pPr>
      <w:pBdr>
        <w:top w:val="single" w:sz="4" w:space="0" w:color="auto"/>
        <w:left w:val="single" w:sz="4" w:space="0" w:color="auto"/>
      </w:pBdr>
      <w:snapToGrid/>
      <w:spacing w:before="100" w:beforeAutospacing="1" w:after="100" w:afterAutospacing="1" w:line="240" w:lineRule="auto"/>
      <w:textAlignment w:val="top"/>
    </w:pPr>
    <w:rPr>
      <w:rFonts w:ascii="Times New Roman" w:eastAsia="Times New Roman" w:hAnsi="Times New Roman" w:cs="Times New Roman"/>
      <w:color w:val="auto"/>
      <w:sz w:val="16"/>
      <w:szCs w:val="16"/>
      <w:lang w:eastAsia="en-AU"/>
    </w:rPr>
  </w:style>
  <w:style w:type="paragraph" w:customStyle="1" w:styleId="xl75">
    <w:name w:val="xl75"/>
    <w:basedOn w:val="Normal"/>
    <w:rsid w:val="003728B5"/>
    <w:pPr>
      <w:snapToGrid/>
      <w:spacing w:before="100" w:beforeAutospacing="1" w:after="100" w:afterAutospacing="1" w:line="240" w:lineRule="auto"/>
      <w:textAlignment w:val="top"/>
    </w:pPr>
    <w:rPr>
      <w:rFonts w:ascii="Times New Roman" w:eastAsia="Times New Roman" w:hAnsi="Times New Roman" w:cs="Times New Roman"/>
      <w:color w:val="auto"/>
      <w:sz w:val="16"/>
      <w:szCs w:val="16"/>
      <w:lang w:eastAsia="en-AU"/>
    </w:rPr>
  </w:style>
  <w:style w:type="paragraph" w:customStyle="1" w:styleId="xl76">
    <w:name w:val="xl76"/>
    <w:basedOn w:val="Normal"/>
    <w:rsid w:val="003728B5"/>
    <w:pPr>
      <w:pBdr>
        <w:top w:val="single" w:sz="4" w:space="0" w:color="auto"/>
        <w:left w:val="single" w:sz="4" w:space="0" w:color="auto"/>
        <w:bottom w:val="single" w:sz="4" w:space="0" w:color="auto"/>
      </w:pBdr>
      <w:snapToGrid/>
      <w:spacing w:before="100" w:beforeAutospacing="1" w:after="100" w:afterAutospacing="1" w:line="240" w:lineRule="auto"/>
      <w:textAlignment w:val="top"/>
    </w:pPr>
    <w:rPr>
      <w:rFonts w:ascii="Times New Roman" w:eastAsia="Times New Roman" w:hAnsi="Times New Roman" w:cs="Times New Roman"/>
      <w:color w:val="auto"/>
      <w:sz w:val="16"/>
      <w:szCs w:val="16"/>
      <w:lang w:eastAsia="en-AU"/>
    </w:rPr>
  </w:style>
  <w:style w:type="paragraph" w:customStyle="1" w:styleId="xl77">
    <w:name w:val="xl77"/>
    <w:basedOn w:val="Normal"/>
    <w:rsid w:val="003728B5"/>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pPr>
    <w:rPr>
      <w:rFonts w:ascii="Times New Roman" w:eastAsia="Times New Roman" w:hAnsi="Times New Roman" w:cs="Times New Roman"/>
      <w:color w:val="000000"/>
      <w:sz w:val="16"/>
      <w:szCs w:val="16"/>
      <w:lang w:eastAsia="en-AU"/>
    </w:rPr>
  </w:style>
  <w:style w:type="paragraph" w:customStyle="1" w:styleId="xl78">
    <w:name w:val="xl78"/>
    <w:basedOn w:val="Normal"/>
    <w:rsid w:val="003728B5"/>
    <w:pPr>
      <w:snapToGrid/>
      <w:spacing w:before="100" w:beforeAutospacing="1" w:after="100" w:afterAutospacing="1" w:line="240" w:lineRule="auto"/>
    </w:pPr>
    <w:rPr>
      <w:rFonts w:ascii="Times New Roman" w:eastAsia="Times New Roman" w:hAnsi="Times New Roman" w:cs="Times New Roman"/>
      <w:color w:val="000000"/>
      <w:sz w:val="16"/>
      <w:szCs w:val="16"/>
      <w:lang w:eastAsia="en-AU"/>
    </w:rPr>
  </w:style>
  <w:style w:type="paragraph" w:customStyle="1" w:styleId="xl79">
    <w:name w:val="xl79"/>
    <w:basedOn w:val="Normal"/>
    <w:rsid w:val="003728B5"/>
    <w:pPr>
      <w:pBdr>
        <w:top w:val="single" w:sz="4" w:space="0" w:color="auto"/>
        <w:bottom w:val="single" w:sz="4" w:space="0" w:color="auto"/>
      </w:pBdr>
      <w:snapToGrid/>
      <w:spacing w:before="100" w:beforeAutospacing="1" w:after="100" w:afterAutospacing="1" w:line="240" w:lineRule="auto"/>
      <w:textAlignment w:val="top"/>
    </w:pPr>
    <w:rPr>
      <w:rFonts w:ascii="Times New Roman" w:eastAsia="Times New Roman" w:hAnsi="Times New Roman" w:cs="Times New Roman"/>
      <w:color w:val="auto"/>
      <w:sz w:val="16"/>
      <w:szCs w:val="16"/>
      <w:lang w:eastAsia="en-AU"/>
    </w:rPr>
  </w:style>
  <w:style w:type="paragraph" w:customStyle="1" w:styleId="xl80">
    <w:name w:val="xl80"/>
    <w:basedOn w:val="Normal"/>
    <w:rsid w:val="003728B5"/>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textAlignment w:val="top"/>
    </w:pPr>
    <w:rPr>
      <w:rFonts w:ascii="Times New Roman" w:eastAsia="Times New Roman" w:hAnsi="Times New Roman" w:cs="Times New Roman"/>
      <w:color w:val="auto"/>
      <w:sz w:val="16"/>
      <w:szCs w:val="16"/>
      <w:lang w:eastAsia="en-AU"/>
    </w:rPr>
  </w:style>
  <w:style w:type="paragraph" w:customStyle="1" w:styleId="xl81">
    <w:name w:val="xl81"/>
    <w:basedOn w:val="Normal"/>
    <w:rsid w:val="003728B5"/>
    <w:pPr>
      <w:pBdr>
        <w:top w:val="single" w:sz="4" w:space="0" w:color="000000"/>
        <w:bottom w:val="single" w:sz="4" w:space="0" w:color="000000"/>
        <w:right w:val="single" w:sz="4" w:space="0" w:color="000000"/>
      </w:pBdr>
      <w:snapToGrid/>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n-AU"/>
    </w:rPr>
  </w:style>
  <w:style w:type="paragraph" w:customStyle="1" w:styleId="paragraph">
    <w:name w:val="paragraph"/>
    <w:basedOn w:val="Normal"/>
    <w:rsid w:val="003728B5"/>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3728B5"/>
  </w:style>
  <w:style w:type="character" w:customStyle="1" w:styleId="eop">
    <w:name w:val="eop"/>
    <w:basedOn w:val="DefaultParagraphFont"/>
    <w:rsid w:val="003728B5"/>
  </w:style>
  <w:style w:type="character" w:styleId="Mention">
    <w:name w:val="Mention"/>
    <w:basedOn w:val="DefaultParagraphFont"/>
    <w:uiPriority w:val="99"/>
    <w:unhideWhenUsed/>
    <w:rsid w:val="003728B5"/>
    <w:rPr>
      <w:color w:val="2B579A"/>
      <w:shd w:val="clear" w:color="auto" w:fill="E6E6E6"/>
    </w:rPr>
  </w:style>
  <w:style w:type="character" w:customStyle="1" w:styleId="ui-provider">
    <w:name w:val="ui-provider"/>
    <w:basedOn w:val="DefaultParagraphFont"/>
    <w:rsid w:val="004A7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211354884">
          <w:marLeft w:val="346"/>
          <w:marRight w:val="0"/>
          <w:marTop w:val="160"/>
          <w:marBottom w:val="0"/>
          <w:divBdr>
            <w:top w:val="none" w:sz="0" w:space="0" w:color="auto"/>
            <w:left w:val="none" w:sz="0" w:space="0" w:color="auto"/>
            <w:bottom w:val="none" w:sz="0" w:space="0" w:color="auto"/>
            <w:right w:val="none" w:sz="0" w:space="0" w:color="auto"/>
          </w:divBdr>
        </w:div>
        <w:div w:id="69088491">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vicgov.ciso@dpc.vic.gov.au" TargetMode="External"/><Relationship Id="rId26" Type="http://schemas.openxmlformats.org/officeDocument/2006/relationships/hyperlink" Target="https://www.dtf.vic.gov.au/infrastructure-investment/asset-management-accountability-framework" TargetMode="External"/><Relationship Id="rId39" Type="http://schemas.openxmlformats.org/officeDocument/2006/relationships/hyperlink" Target="https://www.vmia.vic.gov.au/"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ivi.ie/it-capability-maturity-framework/" TargetMode="External"/><Relationship Id="rId42" Type="http://schemas.openxmlformats.org/officeDocument/2006/relationships/hyperlink" Target="https://creativecommons.org/licenses/by/4.0/" TargetMode="External"/><Relationship Id="rId47" Type="http://schemas.openxmlformats.org/officeDocument/2006/relationships/footer" Target="foot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vicgov.ciso@dpc.vic.gov.au" TargetMode="External"/><Relationship Id="rId25" Type="http://schemas.openxmlformats.org/officeDocument/2006/relationships/hyperlink" Target="https://www.cyber.gov.au/" TargetMode="External"/><Relationship Id="rId33" Type="http://schemas.openxmlformats.org/officeDocument/2006/relationships/hyperlink" Target="https://cloud.google.com" TargetMode="External"/><Relationship Id="rId38" Type="http://schemas.openxmlformats.org/officeDocument/2006/relationships/hyperlink" Target="https://www.vic.gov.au/victorias-cyber-strategy-2021" TargetMode="Externa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vicgov.ciso@dpc.vic.gov.au" TargetMode="External"/><Relationship Id="rId29" Type="http://schemas.openxmlformats.org/officeDocument/2006/relationships/hyperlink" Target="https://ovic.vic.gov.au/data-protection/standards/"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vicgov.ciso@dpc.vic.gov.au" TargetMode="External"/><Relationship Id="rId32" Type="http://schemas.openxmlformats.org/officeDocument/2006/relationships/hyperlink" Target="https://www.vic.gov.au/cyber-security-victorian-government" TargetMode="External"/><Relationship Id="rId37" Type="http://schemas.openxmlformats.org/officeDocument/2006/relationships/hyperlink" Target="https://ovic.vic.gov.au/" TargetMode="External"/><Relationship Id="rId40" Type="http://schemas.openxmlformats.org/officeDocument/2006/relationships/hyperlink" Target="https://ovic.vic.gov.au/data-protection/standards/" TargetMode="External"/><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s://azure.microsoft.com" TargetMode="External"/><Relationship Id="rId36" Type="http://schemas.openxmlformats.org/officeDocument/2006/relationships/hyperlink" Target="https://www.iso.org/home.html"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djsir.vic.gov.au/digital-jobs"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mailto:vicgov.ciso@dpc.vic.gov.au" TargetMode="External"/><Relationship Id="rId27" Type="http://schemas.openxmlformats.org/officeDocument/2006/relationships/hyperlink" Target="https://aws.amazon.com" TargetMode="External"/><Relationship Id="rId30" Type="http://schemas.openxmlformats.org/officeDocument/2006/relationships/hyperlink" Target="https://www.isaca.org/resources/cobit" TargetMode="External"/><Relationship Id="rId35" Type="http://schemas.openxmlformats.org/officeDocument/2006/relationships/hyperlink" Target="https://www.axelos.com/certifications/itil-service-management" TargetMode="External"/><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367E582BC8D143989A6121D3AECA2B" ma:contentTypeVersion="15" ma:contentTypeDescription="Create a new document." ma:contentTypeScope="" ma:versionID="4b885578b1c44c77ac526277fb758509">
  <xsd:schema xmlns:xsd="http://www.w3.org/2001/XMLSchema" xmlns:xs="http://www.w3.org/2001/XMLSchema" xmlns:p="http://schemas.microsoft.com/office/2006/metadata/properties" xmlns:ns2="c777ee30-21e5-42ef-aa8f-ce918b6f3ae6" xmlns:ns3="91ae7081-25b9-4f07-932d-118a8f306d12" targetNamespace="http://schemas.microsoft.com/office/2006/metadata/properties" ma:root="true" ma:fieldsID="43fcc79df69c9eca8442af2b15ad8ef7" ns2:_="" ns3:_="">
    <xsd:import namespace="c777ee30-21e5-42ef-aa8f-ce918b6f3ae6"/>
    <xsd:import namespace="91ae7081-25b9-4f07-932d-118a8f306d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77ee30-21e5-42ef-aa8f-ce918b6f3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ae7081-25b9-4f07-932d-118a8f306d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a869474-e5a1-42b4-8711-8db8c441c455}" ma:internalName="TaxCatchAll" ma:showField="CatchAllData" ma:web="91ae7081-25b9-4f07-932d-118a8f306d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777ee30-21e5-42ef-aa8f-ce918b6f3ae6">
      <Terms xmlns="http://schemas.microsoft.com/office/infopath/2007/PartnerControls"/>
    </lcf76f155ced4ddcb4097134ff3c332f>
    <TaxCatchAll xmlns="91ae7081-25b9-4f07-932d-118a8f306d1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AF2A811E-11EB-4CC7-BE4F-E40E6074A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77ee30-21e5-42ef-aa8f-ce918b6f3ae6"/>
    <ds:schemaRef ds:uri="91ae7081-25b9-4f07-932d-118a8f306d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3.xml><?xml version="1.0" encoding="utf-8"?>
<ds:datastoreItem xmlns:ds="http://schemas.openxmlformats.org/officeDocument/2006/customXml" ds:itemID="{1DE0E270-F32F-41BD-89F6-29A0C7916211}">
  <ds:schemaRefs>
    <ds:schemaRef ds:uri="http://purl.org/dc/dcmitype/"/>
    <ds:schemaRef ds:uri="http://purl.org/dc/terms/"/>
    <ds:schemaRef ds:uri="93127818-ac1c-49cc-bbf0-d07c6aa78e24"/>
    <ds:schemaRef ds:uri="http://schemas.microsoft.com/office/2006/documentManagement/types"/>
    <ds:schemaRef ds:uri="9b468c4b-c0b4-4915-9869-bfab5e36b819"/>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c777ee30-21e5-42ef-aa8f-ce918b6f3ae6"/>
    <ds:schemaRef ds:uri="91ae7081-25b9-4f07-932d-118a8f306d12"/>
  </ds:schemaRefs>
</ds:datastoreItem>
</file>

<file path=customXml/itemProps4.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5.xml><?xml version="1.0" encoding="utf-8"?>
<ds:datastoreItem xmlns:ds="http://schemas.openxmlformats.org/officeDocument/2006/customXml" ds:itemID="{4605A52F-FBFA-44AC-875C-FFDF0B0B674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4505</Words>
  <Characters>27347</Characters>
  <Application>Microsoft Office Word</Application>
  <DocSecurity>4</DocSecurity>
  <Lines>1139</Lines>
  <Paragraphs>530</Paragraphs>
  <ScaleCrop>false</ScaleCrop>
  <HeadingPairs>
    <vt:vector size="2" baseType="variant">
      <vt:variant>
        <vt:lpstr>Title</vt:lpstr>
      </vt:variant>
      <vt:variant>
        <vt:i4>1</vt:i4>
      </vt:variant>
    </vt:vector>
  </HeadingPairs>
  <TitlesOfParts>
    <vt:vector size="1" baseType="lpstr">
      <vt:lpstr>VG-CISO Guidance V1.5 - IT Asset Management.docx</vt:lpstr>
    </vt:vector>
  </TitlesOfParts>
  <Manager/>
  <Company/>
  <LinksUpToDate>false</LinksUpToDate>
  <CharactersWithSpaces>31322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VG-CISO Guidance V1.5 - IT Asset Management.docx</dc:title>
  <dc:subject/>
  <dc:creator>Dori Angelatos (DPC)</dc:creator>
  <cp:keywords/>
  <dc:description/>
  <cp:lastModifiedBy>Rebekah Billings (DGS)</cp:lastModifiedBy>
  <cp:revision>2</cp:revision>
  <cp:lastPrinted>2023-02-08T22:58:00Z</cp:lastPrinted>
  <dcterms:created xsi:type="dcterms:W3CDTF">2023-07-03T05:16:00Z</dcterms:created>
  <dcterms:modified xsi:type="dcterms:W3CDTF">2023-07-03T05:16:00Z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0x0101004C367E582BC8D143989A6121D3AECA2B</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SetDate">
    <vt:lpwstr>2023-07-03T05:14:09Z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ed6f6c58-ee89-49d0-be7b-6b3456f502ef</vt:lpwstr>
  </property>
  <property fmtid="{D5CDD505-2E9C-101B-9397-08002B2CF9AE}" pid="13" name="MSIP_Label_7158ebbd-6c5e-441f-bfc9-4eb8c11e3978_ContentBits">
    <vt:lpwstr>2</vt:lpwstr>
  </property>
</Properties>
</file>