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1D0E7B72B9694C8B9CC75B9A9CD46727"/>
        </w:placeholder>
        <w:text/>
      </w:sdtPr>
      <w:sdtEndPr/>
      <w:sdtContent>
        <w:p w14:paraId="5CC028D7" w14:textId="5D23C411" w:rsidR="00FB68BD" w:rsidRPr="00AC12A8" w:rsidRDefault="000E492B" w:rsidP="00123BB4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AC12A8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Skills First Quality Charter</w:t>
          </w:r>
        </w:p>
      </w:sdtContent>
    </w:sdt>
    <w:p w14:paraId="42F4FD1A" w14:textId="1CD86D82" w:rsidR="000E492B" w:rsidRPr="00EF486F" w:rsidRDefault="000E492B" w:rsidP="00EF486F">
      <w:pPr>
        <w:pStyle w:val="Heading1"/>
      </w:pPr>
      <w:r w:rsidRPr="00EF486F">
        <w:t>Background</w:t>
      </w:r>
    </w:p>
    <w:p w14:paraId="2010CD3A" w14:textId="77777777" w:rsidR="009A0868" w:rsidRPr="00E5346C" w:rsidRDefault="009A0868" w:rsidP="009A0868">
      <w:pPr>
        <w:spacing w:after="120" w:line="240" w:lineRule="auto"/>
        <w:jc w:val="both"/>
        <w:rPr>
          <w:b/>
          <w:bCs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Pr="00E5346C">
        <w:rPr>
          <w:sz w:val="22"/>
          <w:szCs w:val="22"/>
          <w:lang w:val="en-AU"/>
        </w:rPr>
        <w:t xml:space="preserve">hrough the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program, the Victorian Government is committed to providing high quality training that aligns with industry and community demands and workforce needs. </w:t>
      </w:r>
      <w:r w:rsidRPr="00E5346C">
        <w:rPr>
          <w:bCs/>
          <w:sz w:val="22"/>
          <w:szCs w:val="22"/>
          <w:lang w:val="en-AU"/>
        </w:rPr>
        <w:t>Skills First sets a high benchmark for training quality and aims to support students to do training that is most likely to lead to employment</w:t>
      </w:r>
      <w:r w:rsidRPr="00E5346C">
        <w:rPr>
          <w:b/>
          <w:bCs/>
          <w:sz w:val="22"/>
          <w:szCs w:val="22"/>
          <w:lang w:val="en-AU"/>
        </w:rPr>
        <w:t xml:space="preserve">. </w:t>
      </w:r>
    </w:p>
    <w:p w14:paraId="3F9DF84C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i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is underpinned by rigorous requirements in the VET Funding Contract (the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ontract). The accountability requirements 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 aim to guarantee value for money in taxpayer-funded training. </w:t>
      </w:r>
    </w:p>
    <w:p w14:paraId="2A4B475D" w14:textId="77777777" w:rsidR="009A0868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This </w:t>
      </w:r>
      <w:r w:rsidRPr="00E5346C">
        <w:rPr>
          <w:iCs/>
          <w:sz w:val="22"/>
          <w:szCs w:val="22"/>
          <w:lang w:val="en-AU"/>
        </w:rPr>
        <w:t>Skills First</w:t>
      </w:r>
      <w:r w:rsidRPr="00E5346C">
        <w:rPr>
          <w:sz w:val="22"/>
          <w:szCs w:val="22"/>
          <w:lang w:val="en-AU"/>
        </w:rPr>
        <w:t xml:space="preserve"> Quality Charter</w:t>
      </w:r>
      <w:r>
        <w:rPr>
          <w:sz w:val="22"/>
          <w:szCs w:val="22"/>
          <w:lang w:val="en-AU"/>
        </w:rPr>
        <w:t xml:space="preserve"> (the charter)</w:t>
      </w:r>
      <w:r w:rsidRPr="00E5346C">
        <w:rPr>
          <w:sz w:val="22"/>
          <w:szCs w:val="22"/>
          <w:lang w:val="en-AU"/>
        </w:rPr>
        <w:t xml:space="preserve"> is to help training providers understand how the Department of </w:t>
      </w:r>
      <w:r>
        <w:rPr>
          <w:sz w:val="22"/>
          <w:szCs w:val="22"/>
          <w:lang w:val="en-AU"/>
        </w:rPr>
        <w:t>Jobs, Skills, Industry and Regions</w:t>
      </w:r>
      <w:r w:rsidRPr="00E5346C">
        <w:rPr>
          <w:sz w:val="22"/>
          <w:szCs w:val="22"/>
          <w:lang w:val="en-AU"/>
        </w:rPr>
        <w:t xml:space="preserve"> (the </w:t>
      </w:r>
      <w:r>
        <w:rPr>
          <w:sz w:val="22"/>
          <w:szCs w:val="22"/>
          <w:lang w:val="en-AU"/>
        </w:rPr>
        <w:t>d</w:t>
      </w:r>
      <w:r w:rsidRPr="00E5346C">
        <w:rPr>
          <w:sz w:val="22"/>
          <w:szCs w:val="22"/>
          <w:lang w:val="en-AU"/>
        </w:rPr>
        <w:t>epartment) expects them to deliver key aspects of training services</w:t>
      </w:r>
      <w:r>
        <w:rPr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 xml:space="preserve">in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 xml:space="preserve">ontract. It must be read in conjunction with the </w:t>
      </w:r>
      <w:r>
        <w:rPr>
          <w:sz w:val="22"/>
          <w:szCs w:val="22"/>
          <w:lang w:val="en-AU"/>
        </w:rPr>
        <w:t>co</w:t>
      </w:r>
      <w:r w:rsidRPr="00E5346C">
        <w:rPr>
          <w:sz w:val="22"/>
          <w:szCs w:val="22"/>
          <w:lang w:val="en-AU"/>
        </w:rPr>
        <w:t>ntract</w:t>
      </w:r>
      <w:r>
        <w:rPr>
          <w:sz w:val="22"/>
          <w:szCs w:val="22"/>
          <w:lang w:val="en-AU"/>
        </w:rPr>
        <w:t>.</w:t>
      </w:r>
    </w:p>
    <w:p w14:paraId="24FD86C4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</w:t>
      </w:r>
      <w:r w:rsidRPr="00E5346C">
        <w:rPr>
          <w:sz w:val="22"/>
          <w:szCs w:val="22"/>
          <w:lang w:val="en-AU"/>
        </w:rPr>
        <w:t xml:space="preserve">raining providers must comply with the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harter.</w:t>
      </w:r>
    </w:p>
    <w:p w14:paraId="2D27C7B9" w14:textId="77777777" w:rsidR="009A0868" w:rsidRPr="00E5346C" w:rsidRDefault="009A0868" w:rsidP="009A0868">
      <w:pPr>
        <w:spacing w:after="120" w:line="240" w:lineRule="auto"/>
        <w:jc w:val="both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In this </w:t>
      </w:r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harter:</w:t>
      </w:r>
    </w:p>
    <w:p w14:paraId="6A25D8B9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 xml:space="preserve">terms have the same meaning given to them in the </w:t>
      </w:r>
      <w:proofErr w:type="gramStart"/>
      <w:r>
        <w:rPr>
          <w:sz w:val="22"/>
          <w:szCs w:val="22"/>
          <w:lang w:val="en-AU"/>
        </w:rPr>
        <w:t>c</w:t>
      </w:r>
      <w:r w:rsidRPr="00E5346C">
        <w:rPr>
          <w:sz w:val="22"/>
          <w:szCs w:val="22"/>
          <w:lang w:val="en-AU"/>
        </w:rPr>
        <w:t>ontract</w:t>
      </w:r>
      <w:proofErr w:type="gramEnd"/>
    </w:p>
    <w:p w14:paraId="48F82D37" w14:textId="77777777" w:rsidR="009A0868" w:rsidRPr="00E5346C" w:rsidRDefault="009A0868" w:rsidP="009A0868">
      <w:pPr>
        <w:numPr>
          <w:ilvl w:val="0"/>
          <w:numId w:val="8"/>
        </w:numPr>
        <w:suppressAutoHyphens w:val="0"/>
        <w:autoSpaceDE/>
        <w:autoSpaceDN/>
        <w:adjustRightInd/>
        <w:spacing w:after="120" w:line="240" w:lineRule="auto"/>
        <w:ind w:left="284" w:hanging="284"/>
        <w:jc w:val="both"/>
        <w:textAlignment w:val="auto"/>
        <w:rPr>
          <w:sz w:val="22"/>
          <w:szCs w:val="22"/>
          <w:lang w:val="en-AU"/>
        </w:rPr>
      </w:pPr>
      <w:r w:rsidRPr="00E5346C">
        <w:rPr>
          <w:sz w:val="22"/>
          <w:szCs w:val="22"/>
          <w:lang w:val="en-AU"/>
        </w:rPr>
        <w:t>‘student’ means both prospective students and Skills First</w:t>
      </w:r>
      <w:r w:rsidRPr="00E5346C">
        <w:rPr>
          <w:i/>
          <w:iCs/>
          <w:sz w:val="22"/>
          <w:szCs w:val="22"/>
          <w:lang w:val="en-AU"/>
        </w:rPr>
        <w:t xml:space="preserve"> </w:t>
      </w:r>
      <w:r w:rsidRPr="00E5346C">
        <w:rPr>
          <w:sz w:val="22"/>
          <w:szCs w:val="22"/>
          <w:lang w:val="en-AU"/>
        </w:rPr>
        <w:t>students.</w:t>
      </w:r>
    </w:p>
    <w:p w14:paraId="4C1C4989" w14:textId="77777777" w:rsidR="000E492B" w:rsidRPr="000E492B" w:rsidRDefault="000E492B" w:rsidP="009A0868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sz w:val="22"/>
          <w:szCs w:val="22"/>
          <w:lang w:val="en-AU"/>
        </w:rPr>
        <w:t>The Charter has six principles: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kills First Quality Charter Principles"/>
      </w:tblPr>
      <w:tblGrid>
        <w:gridCol w:w="1838"/>
        <w:gridCol w:w="8222"/>
      </w:tblGrid>
      <w:tr w:rsidR="000E492B" w:rsidRPr="00EF486F" w14:paraId="776A070C" w14:textId="77777777" w:rsidTr="008E0CA3">
        <w:tc>
          <w:tcPr>
            <w:tcW w:w="1838" w:type="dxa"/>
            <w:shd w:val="clear" w:color="auto" w:fill="003868"/>
          </w:tcPr>
          <w:p w14:paraId="743DF751" w14:textId="77777777" w:rsidR="000E492B" w:rsidRPr="00EF486F" w:rsidRDefault="000E492B" w:rsidP="00EF486F">
            <w:pPr>
              <w:pStyle w:val="TableHead"/>
              <w:spacing w:before="120"/>
              <w:rPr>
                <w:rFonts w:cstheme="minorHAnsi"/>
                <w:b w:val="0"/>
                <w:szCs w:val="22"/>
              </w:rPr>
            </w:pPr>
            <w:r w:rsidRPr="00EF486F">
              <w:rPr>
                <w:rFonts w:cstheme="minorHAnsi"/>
                <w:b w:val="0"/>
                <w:szCs w:val="22"/>
              </w:rPr>
              <w:t>Principle 1</w:t>
            </w:r>
          </w:p>
        </w:tc>
        <w:tc>
          <w:tcPr>
            <w:tcW w:w="8222" w:type="dxa"/>
            <w:shd w:val="clear" w:color="auto" w:fill="003868"/>
          </w:tcPr>
          <w:p w14:paraId="0845C382" w14:textId="77777777" w:rsidR="000E492B" w:rsidRPr="00EF486F" w:rsidRDefault="000E492B" w:rsidP="00EF486F">
            <w:pPr>
              <w:spacing w:before="120" w:after="12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F486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Commitment to serving the public interest </w:t>
            </w:r>
          </w:p>
        </w:tc>
      </w:tr>
      <w:tr w:rsidR="000E492B" w:rsidRPr="00EF486F" w14:paraId="5E6D9BC4" w14:textId="77777777" w:rsidTr="008E0CA3">
        <w:tc>
          <w:tcPr>
            <w:tcW w:w="1838" w:type="dxa"/>
            <w:shd w:val="clear" w:color="auto" w:fill="0990FF"/>
          </w:tcPr>
          <w:p w14:paraId="399D59BC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2</w:t>
            </w:r>
          </w:p>
        </w:tc>
        <w:tc>
          <w:tcPr>
            <w:tcW w:w="8222" w:type="dxa"/>
            <w:shd w:val="clear" w:color="auto" w:fill="0990FF"/>
          </w:tcPr>
          <w:p w14:paraId="64885D3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Accountable and effective governance </w:t>
            </w:r>
          </w:p>
        </w:tc>
      </w:tr>
      <w:tr w:rsidR="000E492B" w:rsidRPr="00EF486F" w14:paraId="07C9599C" w14:textId="77777777" w:rsidTr="008E0CA3">
        <w:tc>
          <w:tcPr>
            <w:tcW w:w="1838" w:type="dxa"/>
            <w:shd w:val="clear" w:color="auto" w:fill="43AAFF"/>
          </w:tcPr>
          <w:p w14:paraId="2DFD874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3</w:t>
            </w:r>
          </w:p>
        </w:tc>
        <w:tc>
          <w:tcPr>
            <w:tcW w:w="8222" w:type="dxa"/>
            <w:shd w:val="clear" w:color="auto" w:fill="43AAFF"/>
          </w:tcPr>
          <w:p w14:paraId="723C20F5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Informed choice</w:t>
            </w:r>
          </w:p>
        </w:tc>
      </w:tr>
      <w:tr w:rsidR="000E492B" w:rsidRPr="00EF486F" w14:paraId="7DBCC803" w14:textId="77777777" w:rsidTr="008E0CA3">
        <w:tc>
          <w:tcPr>
            <w:tcW w:w="1838" w:type="dxa"/>
            <w:shd w:val="clear" w:color="auto" w:fill="75C1FF"/>
          </w:tcPr>
          <w:p w14:paraId="527F59DD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>Principle 4</w:t>
            </w:r>
          </w:p>
        </w:tc>
        <w:tc>
          <w:tcPr>
            <w:tcW w:w="8222" w:type="dxa"/>
            <w:shd w:val="clear" w:color="auto" w:fill="75C1FF"/>
          </w:tcPr>
          <w:p w14:paraId="7AA742DB" w14:textId="77777777" w:rsidR="000E492B" w:rsidRPr="00EF486F" w:rsidRDefault="000E492B" w:rsidP="00EF486F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  <w:r w:rsidRPr="00E62B81">
              <w:rPr>
                <w:color w:val="auto"/>
                <w:sz w:val="22"/>
                <w:szCs w:val="22"/>
              </w:rPr>
              <w:t xml:space="preserve">Deliberate planning of training program </w:t>
            </w:r>
          </w:p>
        </w:tc>
      </w:tr>
      <w:tr w:rsidR="000E492B" w:rsidRPr="00EF486F" w14:paraId="29282E09" w14:textId="77777777" w:rsidTr="008E0CA3">
        <w:tc>
          <w:tcPr>
            <w:tcW w:w="1838" w:type="dxa"/>
            <w:shd w:val="clear" w:color="auto" w:fill="ABD9FF"/>
          </w:tcPr>
          <w:p w14:paraId="4E52100D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5</w:t>
            </w:r>
          </w:p>
        </w:tc>
        <w:tc>
          <w:tcPr>
            <w:tcW w:w="8222" w:type="dxa"/>
            <w:shd w:val="clear" w:color="auto" w:fill="ABD9FF"/>
          </w:tcPr>
          <w:p w14:paraId="3D3EB164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High quality training and assessment delivery</w:t>
            </w:r>
          </w:p>
        </w:tc>
      </w:tr>
      <w:tr w:rsidR="000E492B" w:rsidRPr="00EF486F" w14:paraId="5E19F0D7" w14:textId="77777777" w:rsidTr="008E0CA3">
        <w:tc>
          <w:tcPr>
            <w:tcW w:w="1838" w:type="dxa"/>
            <w:shd w:val="clear" w:color="auto" w:fill="D9EEFF"/>
          </w:tcPr>
          <w:p w14:paraId="057AC78B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>Principle 6</w:t>
            </w:r>
          </w:p>
        </w:tc>
        <w:tc>
          <w:tcPr>
            <w:tcW w:w="8222" w:type="dxa"/>
            <w:shd w:val="clear" w:color="auto" w:fill="D9EEFF"/>
          </w:tcPr>
          <w:p w14:paraId="5245E2C8" w14:textId="77777777" w:rsidR="000E492B" w:rsidRPr="00EF486F" w:rsidRDefault="000E492B" w:rsidP="00EF486F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EF486F">
              <w:rPr>
                <w:color w:val="auto"/>
                <w:sz w:val="22"/>
                <w:szCs w:val="22"/>
              </w:rPr>
              <w:t xml:space="preserve">Responsive feedback systems </w:t>
            </w:r>
          </w:p>
        </w:tc>
      </w:tr>
    </w:tbl>
    <w:p w14:paraId="33711125" w14:textId="24394E4F" w:rsidR="0000440C" w:rsidRDefault="0000440C" w:rsidP="000E492B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7AFE4" w14:textId="77777777" w:rsidR="009A0868" w:rsidRDefault="009A0868" w:rsidP="009A0868"/>
    <w:p w14:paraId="187ACF37" w14:textId="77777777" w:rsidR="009A0868" w:rsidRDefault="009A0868" w:rsidP="009A0868"/>
    <w:p w14:paraId="5D1827C5" w14:textId="77777777" w:rsidR="009A0868" w:rsidRDefault="009A0868" w:rsidP="009A0868"/>
    <w:p w14:paraId="1D5AC85E" w14:textId="77777777" w:rsidR="009A0868" w:rsidRDefault="009A0868" w:rsidP="009A0868"/>
    <w:p w14:paraId="4DA2F369" w14:textId="77777777" w:rsidR="009A0868" w:rsidRDefault="009A0868" w:rsidP="009A0868"/>
    <w:p w14:paraId="419DD36B" w14:textId="77777777" w:rsidR="009A0868" w:rsidRDefault="009A0868" w:rsidP="009A0868"/>
    <w:p w14:paraId="7FF94671" w14:textId="77777777" w:rsidR="009A0868" w:rsidRDefault="009A0868" w:rsidP="009A0868"/>
    <w:p w14:paraId="7747F19F" w14:textId="77777777" w:rsidR="009A0868" w:rsidRDefault="009A0868" w:rsidP="009A0868"/>
    <w:p w14:paraId="3CFB5615" w14:textId="77777777" w:rsidR="009A0868" w:rsidRPr="009A0868" w:rsidRDefault="009A0868" w:rsidP="009A0868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1 objectives and obligations"/>
      </w:tblPr>
      <w:tblGrid>
        <w:gridCol w:w="2405"/>
        <w:gridCol w:w="7655"/>
      </w:tblGrid>
      <w:tr w:rsidR="000E492B" w:rsidRPr="000E492B" w14:paraId="12C8A58B" w14:textId="77777777" w:rsidTr="008E0CA3">
        <w:tc>
          <w:tcPr>
            <w:tcW w:w="2405" w:type="dxa"/>
            <w:shd w:val="clear" w:color="auto" w:fill="003868"/>
          </w:tcPr>
          <w:p w14:paraId="657CA2FC" w14:textId="77777777" w:rsidR="000E492B" w:rsidRPr="00084138" w:rsidRDefault="000E492B" w:rsidP="008E0CA3">
            <w:pPr>
              <w:pStyle w:val="TableHead"/>
              <w:spacing w:before="120"/>
              <w:rPr>
                <w:rFonts w:cstheme="minorHAnsi"/>
                <w:bCs/>
                <w:sz w:val="24"/>
              </w:rPr>
            </w:pPr>
            <w:r w:rsidRPr="00084138">
              <w:rPr>
                <w:rFonts w:cstheme="minorHAnsi"/>
                <w:bCs/>
                <w:sz w:val="24"/>
              </w:rPr>
              <w:lastRenderedPageBreak/>
              <w:t>Principle 1</w:t>
            </w:r>
          </w:p>
        </w:tc>
        <w:tc>
          <w:tcPr>
            <w:tcW w:w="7655" w:type="dxa"/>
            <w:shd w:val="clear" w:color="auto" w:fill="003868"/>
          </w:tcPr>
          <w:p w14:paraId="7985883E" w14:textId="77777777" w:rsidR="000E492B" w:rsidRPr="00084138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0841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Commitment to serving the public interest </w:t>
            </w:r>
          </w:p>
        </w:tc>
      </w:tr>
      <w:tr w:rsidR="000E492B" w:rsidRPr="000E492B" w14:paraId="30D74F70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6837214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BBC4606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i/>
                <w:color w:val="000000" w:themeColor="text1"/>
                <w:szCs w:val="22"/>
              </w:rPr>
              <w:t xml:space="preserve"> </w:t>
            </w:r>
            <w:r w:rsidRPr="000E492B">
              <w:rPr>
                <w:rFonts w:cstheme="minorHAnsi"/>
                <w:color w:val="000000" w:themeColor="text1"/>
                <w:szCs w:val="22"/>
              </w:rPr>
              <w:t>training is consistent with the objectives of the Contract and promotes confidence in the training and TAFE system</w:t>
            </w:r>
          </w:p>
        </w:tc>
      </w:tr>
      <w:tr w:rsidR="000E492B" w:rsidRPr="000E492B" w14:paraId="3DAE2E0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4F0F4DE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92BBAE9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Training providers must:</w:t>
            </w:r>
          </w:p>
        </w:tc>
      </w:tr>
      <w:tr w:rsidR="000E492B" w:rsidRPr="000E492B" w14:paraId="76C4E6F2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5E286A8E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Provide relevant training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F8CA34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deliver high quality training relevant to industry and employers that enables students to:</w:t>
            </w:r>
          </w:p>
          <w:p w14:paraId="61609E87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obtain the skills to make them job-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ready</w:t>
            </w:r>
            <w:proofErr w:type="gramEnd"/>
          </w:p>
          <w:p w14:paraId="52AE82AC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undertake further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gramEnd"/>
          </w:p>
          <w:p w14:paraId="0BD7F45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access training if they are disadvantaged learners</w:t>
            </w:r>
          </w:p>
        </w:tc>
      </w:tr>
      <w:tr w:rsidR="000E492B" w:rsidRPr="000E492B" w14:paraId="5C48DE9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ADCC719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Focus on students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CF0D96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provide training in the best interests of students,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taking into account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their individual social, cultural and learning needs</w:t>
            </w:r>
          </w:p>
        </w:tc>
      </w:tr>
      <w:tr w:rsidR="000E492B" w:rsidRPr="000E492B" w14:paraId="2882E00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728F9840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Link to industry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D0C0D8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make all reasonable efforts to work and communicate effectively with all stakeholders, including maintaining their confidence and making strong and regular links to industry</w:t>
            </w:r>
          </w:p>
        </w:tc>
      </w:tr>
      <w:tr w:rsidR="000E492B" w:rsidRPr="000E492B" w14:paraId="392545EB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3FD96A46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ethical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2CED154" w14:textId="77777777" w:rsidR="000E492B" w:rsidRPr="000E492B" w:rsidRDefault="000E492B" w:rsidP="008E0CA3">
            <w:pPr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promote and deliver training in a way that:</w:t>
            </w:r>
          </w:p>
          <w:p w14:paraId="23414B73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demonstrates the highest ethical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standards</w:t>
            </w:r>
            <w:proofErr w:type="gramEnd"/>
          </w:p>
          <w:p w14:paraId="1AF83CA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does not damage or bring into disrepute your organisation, the training and TAFE system, or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  <w:lang w:val="en-AU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program</w:t>
            </w:r>
            <w:proofErr w:type="gramEnd"/>
          </w:p>
          <w:p w14:paraId="403B2C74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is transparent and honest.</w:t>
            </w:r>
          </w:p>
        </w:tc>
      </w:tr>
    </w:tbl>
    <w:p w14:paraId="65F811CD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6F97A67" w14:textId="77777777" w:rsidTr="00D840B8">
        <w:tc>
          <w:tcPr>
            <w:tcW w:w="2405" w:type="dxa"/>
            <w:shd w:val="clear" w:color="auto" w:fill="0990FF"/>
          </w:tcPr>
          <w:p w14:paraId="78CFBF9C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2</w:t>
            </w:r>
          </w:p>
        </w:tc>
        <w:tc>
          <w:tcPr>
            <w:tcW w:w="7655" w:type="dxa"/>
            <w:shd w:val="clear" w:color="auto" w:fill="0990FF"/>
          </w:tcPr>
          <w:p w14:paraId="54F6B137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Accountable and effective governance </w:t>
            </w:r>
          </w:p>
        </w:tc>
      </w:tr>
      <w:tr w:rsidR="000E492B" w:rsidRPr="000E492B" w14:paraId="46C07E2C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BD978B6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0F8E044" w14:textId="77777777" w:rsidR="000E492B" w:rsidRPr="000E492B" w:rsidRDefault="000E492B" w:rsidP="008E0CA3">
            <w:pPr>
              <w:pStyle w:val="TableHead"/>
              <w:spacing w:before="8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Training providers make proper use of the position of trust placed in their expenditure of public money</w:t>
            </w:r>
          </w:p>
        </w:tc>
      </w:tr>
      <w:tr w:rsidR="000E492B" w:rsidRPr="000E492B" w14:paraId="3FD6FD71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1B54648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256325E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Training providers must:</w:t>
            </w:r>
          </w:p>
        </w:tc>
      </w:tr>
      <w:tr w:rsidR="000E492B" w:rsidRPr="000E492B" w14:paraId="04148097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5C5A1DC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accountable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9DF3C2D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comply with the Government’s policies that are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reflected in the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program and at all times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be accountable to the Department for their performance under the Contract</w:t>
            </w:r>
          </w:p>
        </w:tc>
      </w:tr>
      <w:tr w:rsidR="000E492B" w:rsidRPr="000E492B" w14:paraId="6AF0412A" w14:textId="77777777" w:rsidTr="00D840B8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2195C63F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Comply with law and policies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9E32ADE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have appropriate compliance, reporting and auditing systems and co-operate with the Department to verify their compliance with the Contract</w:t>
            </w:r>
          </w:p>
        </w:tc>
      </w:tr>
      <w:tr w:rsidR="000E492B" w:rsidRPr="000E492B" w14:paraId="38ACD149" w14:textId="77777777" w:rsidTr="00D840B8">
        <w:trPr>
          <w:trHeight w:val="721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E00E325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2316B1B9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comply with any applicable state and national laws and act appropriately and promptly when known or suspected breaches of any policies or laws are identified</w:t>
            </w:r>
          </w:p>
        </w:tc>
      </w:tr>
      <w:tr w:rsidR="000E492B" w:rsidRPr="000E492B" w14:paraId="30C143E4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8E5B782" w14:textId="77777777" w:rsidR="000E492B" w:rsidRPr="000E492B" w:rsidRDefault="000E492B" w:rsidP="008E0CA3">
            <w:pPr>
              <w:spacing w:before="8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professional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FBDD5D5" w14:textId="77777777" w:rsidR="000E492B" w:rsidRPr="000E492B" w:rsidRDefault="000E492B" w:rsidP="008E0CA3">
            <w:pPr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8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maintain professional skills and knowledge across their workforce to contribute to a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high quality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and TAFE system.</w:t>
            </w:r>
          </w:p>
        </w:tc>
      </w:tr>
    </w:tbl>
    <w:p w14:paraId="55FEB764" w14:textId="77777777" w:rsidR="009A0868" w:rsidRPr="008E0CA3" w:rsidRDefault="009A0868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0E492B" w:rsidRPr="000E492B" w14:paraId="1FA04621" w14:textId="77777777" w:rsidTr="00D840B8">
        <w:tc>
          <w:tcPr>
            <w:tcW w:w="2405" w:type="dxa"/>
            <w:shd w:val="clear" w:color="auto" w:fill="43AAFF"/>
          </w:tcPr>
          <w:p w14:paraId="121EEA1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lastRenderedPageBreak/>
              <w:t>Principle 3</w:t>
            </w:r>
          </w:p>
        </w:tc>
        <w:tc>
          <w:tcPr>
            <w:tcW w:w="7655" w:type="dxa"/>
            <w:shd w:val="clear" w:color="auto" w:fill="43AAFF"/>
          </w:tcPr>
          <w:p w14:paraId="47082C82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Informed choice</w:t>
            </w:r>
          </w:p>
        </w:tc>
      </w:tr>
      <w:tr w:rsidR="000E492B" w:rsidRPr="000E492B" w14:paraId="6F215B5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2AF1DBA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3145C2F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Students make an active and informed choice of program and training provider</w:t>
            </w:r>
          </w:p>
        </w:tc>
      </w:tr>
      <w:tr w:rsidR="000E492B" w:rsidRPr="000E492B" w14:paraId="58E7E01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6DB980DA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00911539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Training providers must:</w:t>
            </w:r>
          </w:p>
        </w:tc>
      </w:tr>
      <w:tr w:rsidR="000E492B" w:rsidRPr="000E492B" w14:paraId="72480949" w14:textId="77777777" w:rsidTr="00D840B8">
        <w:trPr>
          <w:trHeight w:val="1580"/>
        </w:trPr>
        <w:tc>
          <w:tcPr>
            <w:tcW w:w="2405" w:type="dxa"/>
            <w:shd w:val="clear" w:color="auto" w:fill="F2F2F2" w:themeFill="background1" w:themeFillShade="F2"/>
          </w:tcPr>
          <w:p w14:paraId="528C5E32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Inform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E067DED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provide clear and accurate information to each student, including:</w:t>
            </w:r>
          </w:p>
          <w:p w14:paraId="0A19DE2B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how their programs, pathways and training delivery options will affect the student’s training outcome</w:t>
            </w:r>
          </w:p>
          <w:p w14:paraId="1D6CCED8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fees,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costs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requirements for doing the training, including by issuing a Statement of Fees</w:t>
            </w:r>
          </w:p>
        </w:tc>
      </w:tr>
      <w:tr w:rsidR="000E492B" w:rsidRPr="000E492B" w14:paraId="7EEA1D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50992709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Explain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E7B654E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ensure each student knows how their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will impact their access to further government-</w:t>
            </w:r>
            <w:proofErr w:type="spell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subsidised</w:t>
            </w:r>
            <w:proofErr w:type="spell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training. This includes making each student aware of the effect a dual enrolment has on how much government-</w:t>
            </w:r>
            <w:proofErr w:type="spell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subsidised</w:t>
            </w:r>
            <w:proofErr w:type="spell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training they can access over their lifetime</w:t>
            </w:r>
          </w:p>
        </w:tc>
      </w:tr>
      <w:tr w:rsidR="000E492B" w:rsidRPr="000E492B" w14:paraId="142DF3C9" w14:textId="77777777" w:rsidTr="00D840B8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7677D25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Be transparent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DCE05AF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publish in a prominent place on their website:</w:t>
            </w:r>
          </w:p>
          <w:p w14:paraId="13BD0AE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standard tuition fees and any other fees</w:t>
            </w:r>
          </w:p>
          <w:p w14:paraId="565905C8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list of Brokering Services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proofErr w:type="gramEnd"/>
          </w:p>
          <w:p w14:paraId="303FA1C6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Online service standards (where any training and assessment is delivered online)</w:t>
            </w:r>
          </w:p>
        </w:tc>
      </w:tr>
      <w:tr w:rsidR="000E492B" w:rsidRPr="000E492B" w14:paraId="1DFD88E6" w14:textId="77777777" w:rsidTr="00D840B8">
        <w:tc>
          <w:tcPr>
            <w:tcW w:w="2405" w:type="dxa"/>
            <w:vMerge/>
            <w:shd w:val="clear" w:color="auto" w:fill="F2F2F2" w:themeFill="background1" w:themeFillShade="F2"/>
          </w:tcPr>
          <w:p w14:paraId="41EE2B1B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8F8706A" w14:textId="77777777" w:rsidR="000E492B" w:rsidRPr="000E492B" w:rsidRDefault="000E492B" w:rsidP="008E0CA3">
            <w:pPr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ensure where training and assessment is delivered under a subcontract arrangement that the student knows that they are enrolled with the training provider, not the subcontracted party.</w:t>
            </w:r>
          </w:p>
        </w:tc>
      </w:tr>
    </w:tbl>
    <w:p w14:paraId="227992BC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"/>
          <w:szCs w:val="2"/>
          <w:lang w:val="en-AU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4 objectives and obligations"/>
      </w:tblPr>
      <w:tblGrid>
        <w:gridCol w:w="2405"/>
        <w:gridCol w:w="7655"/>
      </w:tblGrid>
      <w:tr w:rsidR="000E492B" w:rsidRPr="000E492B" w14:paraId="7FD219F1" w14:textId="77777777" w:rsidTr="00D840B8">
        <w:tc>
          <w:tcPr>
            <w:tcW w:w="2405" w:type="dxa"/>
            <w:shd w:val="clear" w:color="auto" w:fill="75C1FF"/>
          </w:tcPr>
          <w:p w14:paraId="2CFEEC19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>Principle 4</w:t>
            </w:r>
          </w:p>
        </w:tc>
        <w:tc>
          <w:tcPr>
            <w:tcW w:w="7655" w:type="dxa"/>
            <w:shd w:val="clear" w:color="auto" w:fill="75C1FF"/>
          </w:tcPr>
          <w:p w14:paraId="4AB43E9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2B81">
              <w:rPr>
                <w:b/>
                <w:bCs/>
                <w:color w:val="auto"/>
                <w:sz w:val="24"/>
                <w:szCs w:val="24"/>
              </w:rPr>
              <w:t xml:space="preserve">Deliberate planning of training program </w:t>
            </w:r>
          </w:p>
        </w:tc>
      </w:tr>
      <w:tr w:rsidR="000E492B" w:rsidRPr="000E492B" w14:paraId="2800C348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3A32C1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5B9E7DC" w14:textId="77777777" w:rsidR="000E492B" w:rsidRPr="000E492B" w:rsidRDefault="000E492B" w:rsidP="008E0CA3">
            <w:pPr>
              <w:pStyle w:val="TableHead"/>
              <w:spacing w:before="60" w:after="10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iCs/>
                <w:color w:val="000000" w:themeColor="text1"/>
                <w:szCs w:val="22"/>
              </w:rPr>
              <w:t>Skills First</w:t>
            </w:r>
            <w:r w:rsidRPr="000E492B">
              <w:rPr>
                <w:rFonts w:cstheme="minorHAnsi"/>
                <w:color w:val="000000" w:themeColor="text1"/>
                <w:szCs w:val="22"/>
              </w:rPr>
              <w:t xml:space="preserve"> training is suitable for each student’s individual needs</w:t>
            </w:r>
          </w:p>
        </w:tc>
      </w:tr>
      <w:tr w:rsidR="000E492B" w:rsidRPr="000E492B" w14:paraId="0951850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0506B43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82FB577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 providers must:</w:t>
            </w:r>
          </w:p>
        </w:tc>
      </w:tr>
      <w:tr w:rsidR="000E492B" w:rsidRPr="000E492B" w14:paraId="7B139AB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176A100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Individualise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AF4A664" w14:textId="77777777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ensure each student’s training and assessment is suitable, meaning that it:</w:t>
            </w:r>
          </w:p>
          <w:p w14:paraId="76A034B9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meets their individual needs</w:t>
            </w:r>
          </w:p>
        </w:tc>
      </w:tr>
      <w:tr w:rsidR="000E492B" w:rsidRPr="000E492B" w14:paraId="31A2591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A231B8C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Link to outcomes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FE4A532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links to likely job outcomes, further study opportunities; and/or enables participation in training for disadvantaged learners</w:t>
            </w:r>
          </w:p>
        </w:tc>
      </w:tr>
      <w:tr w:rsidR="000E492B" w:rsidRPr="000E492B" w14:paraId="70D89FF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3C41816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AU"/>
              </w:rPr>
              <w:t>Add value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80D49E5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is vocationally relevant, for example, reflects industry requirements </w:t>
            </w:r>
          </w:p>
        </w:tc>
      </w:tr>
      <w:tr w:rsidR="000E492B" w:rsidRPr="000E492B" w14:paraId="08BBE05E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17ED041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3908268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minimises duplication of the student’s existing competencies through doing a thorough Pre-Training Review to determine whether they should enrol each student and documenting the decision </w:t>
            </w:r>
          </w:p>
        </w:tc>
      </w:tr>
      <w:tr w:rsidR="000E492B" w:rsidRPr="000E492B" w14:paraId="30D217F9" w14:textId="77777777" w:rsidTr="00D840B8">
        <w:trPr>
          <w:trHeight w:val="714"/>
        </w:trPr>
        <w:tc>
          <w:tcPr>
            <w:tcW w:w="2405" w:type="dxa"/>
            <w:shd w:val="clear" w:color="auto" w:fill="F2F2F2" w:themeFill="background1" w:themeFillShade="F2"/>
          </w:tcPr>
          <w:p w14:paraId="2A9B3444" w14:textId="77777777" w:rsidR="000E492B" w:rsidRPr="000E492B" w:rsidRDefault="000E492B" w:rsidP="008E0CA3">
            <w:pPr>
              <w:spacing w:before="60" w:after="10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30DE6F" w14:textId="77777777" w:rsidR="000E492B" w:rsidRPr="000E492B" w:rsidRDefault="000E492B" w:rsidP="008E0CA3">
            <w:pPr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before="60" w:after="10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provide the student with a Training Plan, so the student can make informed decisions about their training and assessment and understand the obligations of all parties.</w:t>
            </w:r>
          </w:p>
        </w:tc>
      </w:tr>
    </w:tbl>
    <w:p w14:paraId="07F820B9" w14:textId="77777777" w:rsidR="000E492B" w:rsidRPr="008E0CA3" w:rsidRDefault="000E492B" w:rsidP="000E492B">
      <w:pPr>
        <w:spacing w:after="12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5 objectives and obligations"/>
      </w:tblPr>
      <w:tblGrid>
        <w:gridCol w:w="2405"/>
        <w:gridCol w:w="7655"/>
      </w:tblGrid>
      <w:tr w:rsidR="000E492B" w:rsidRPr="000E492B" w14:paraId="4D34E29C" w14:textId="77777777" w:rsidTr="00D840B8">
        <w:tc>
          <w:tcPr>
            <w:tcW w:w="2405" w:type="dxa"/>
            <w:shd w:val="clear" w:color="auto" w:fill="ABD9FF"/>
          </w:tcPr>
          <w:p w14:paraId="550C1AD8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5</w:t>
            </w:r>
          </w:p>
        </w:tc>
        <w:tc>
          <w:tcPr>
            <w:tcW w:w="7655" w:type="dxa"/>
            <w:shd w:val="clear" w:color="auto" w:fill="ABD9FF"/>
          </w:tcPr>
          <w:p w14:paraId="4C6EAECE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>High quality training and assessment delivery</w:t>
            </w:r>
          </w:p>
        </w:tc>
      </w:tr>
      <w:tr w:rsidR="000E492B" w:rsidRPr="000E492B" w14:paraId="74459C55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00E66958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2641350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cstheme="minorHAnsi"/>
                <w:color w:val="000000" w:themeColor="text1"/>
                <w:szCs w:val="22"/>
              </w:rPr>
              <w:t>meets</w:t>
            </w:r>
            <w:proofErr w:type="gramEnd"/>
            <w:r w:rsidRPr="000E492B">
              <w:rPr>
                <w:rFonts w:cstheme="minorHAnsi"/>
                <w:color w:val="000000" w:themeColor="text1"/>
                <w:szCs w:val="22"/>
              </w:rPr>
              <w:t xml:space="preserve"> regulatory standards, is delivered by experts, is appropriate for each individual’s needs and is delivered in a learning environment conducive to student success</w:t>
            </w:r>
          </w:p>
        </w:tc>
      </w:tr>
      <w:tr w:rsidR="000E492B" w:rsidRPr="000E492B" w14:paraId="4AF8FC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2D8B5E0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6A31F6A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Training providers must ensure:</w:t>
            </w:r>
          </w:p>
        </w:tc>
      </w:tr>
      <w:tr w:rsidR="000E492B" w:rsidRPr="000E492B" w14:paraId="7642886D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CF8B00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Meet Regulatory Standards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869D03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meets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standards set by the training provider’s regulator (the Australian Skills Quality Authority or Victorian Registration and Qualifications Authority)</w:t>
            </w:r>
          </w:p>
        </w:tc>
      </w:tr>
      <w:tr w:rsidR="000E492B" w:rsidRPr="000E492B" w14:paraId="3FCAC932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7178C60A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enough</w:t>
            </w:r>
          </w:p>
          <w:p w14:paraId="415264F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Train for long enough</w:t>
            </w:r>
          </w:p>
          <w:p w14:paraId="10F94BC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Use the right resources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6DBD8AB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delivered to each student in an appropriate manner, including that:</w:t>
            </w:r>
          </w:p>
          <w:p w14:paraId="7B1402BE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the student is provided reasonable and accessible support to facilitate participation in training and attainment of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proofErr w:type="gramEnd"/>
          </w:p>
          <w:p w14:paraId="49BA1F12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the Volume of Learning, Amount of Training, Duration, delivery modes, materials,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facilities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equipment are sufficient:</w:t>
            </w:r>
          </w:p>
          <w:p w14:paraId="0446CCAF" w14:textId="7777777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to meet the student’s needs, including as identified through the Pre-Training Review</w:t>
            </w:r>
          </w:p>
          <w:p w14:paraId="2B271291" w14:textId="7777777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for the student to consolidate skills and produce job-ready competencies</w:t>
            </w:r>
          </w:p>
          <w:p w14:paraId="150018F9" w14:textId="77777777" w:rsidR="000E492B" w:rsidRPr="000E492B" w:rsidRDefault="000E492B" w:rsidP="008E0CA3">
            <w:pPr>
              <w:numPr>
                <w:ilvl w:val="1"/>
                <w:numId w:val="16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to meet the requirements and guidance in the Australian Qualifications Framework (AQF), training packages and accredited course curriculum.</w:t>
            </w:r>
          </w:p>
        </w:tc>
      </w:tr>
      <w:tr w:rsidR="000E492B" w:rsidRPr="000E492B" w14:paraId="4835B7B5" w14:textId="77777777" w:rsidTr="00D840B8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61955A9B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Document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9C1C52D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where training is structured to be completed in a shorter time than described in the AQF, that they describe and document in the Training and Assessment Strategy how a specific learner cohort:</w:t>
            </w:r>
          </w:p>
          <w:p w14:paraId="59B61328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to achieve the required </w:t>
            </w: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rigour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and depth of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proofErr w:type="gramEnd"/>
          </w:p>
          <w:p w14:paraId="3909CE22" w14:textId="77777777" w:rsidR="000E492B" w:rsidRPr="000E492B" w:rsidRDefault="000E492B" w:rsidP="008E0CA3">
            <w:pPr>
              <w:numPr>
                <w:ilvl w:val="1"/>
                <w:numId w:val="15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can meet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the competency requirements in a shorter timeframe</w:t>
            </w:r>
          </w:p>
        </w:tc>
      </w:tr>
      <w:tr w:rsidR="000E492B" w:rsidRPr="000E492B" w14:paraId="3A6E7FF3" w14:textId="77777777" w:rsidTr="00D840B8">
        <w:tc>
          <w:tcPr>
            <w:tcW w:w="2405" w:type="dxa"/>
            <w:vMerge/>
            <w:shd w:val="clear" w:color="auto" w:fill="F2F2F2" w:themeFill="background1" w:themeFillShade="F2"/>
          </w:tcPr>
          <w:p w14:paraId="4FD56DE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9E6E866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if the student is doing a Practical Placement, they enter into</w:t>
            </w:r>
            <w:r w:rsidRPr="000E492B" w:rsidDel="00AD2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 written agreement with the student and the employer or host </w:t>
            </w:r>
            <w:proofErr w:type="spell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</w:p>
        </w:tc>
      </w:tr>
      <w:tr w:rsidR="000E492B" w:rsidRPr="000E492B" w14:paraId="335B430D" w14:textId="77777777" w:rsidTr="00D840B8">
        <w:tc>
          <w:tcPr>
            <w:tcW w:w="2405" w:type="dxa"/>
            <w:vMerge/>
            <w:shd w:val="clear" w:color="auto" w:fill="F2F2F2" w:themeFill="background1" w:themeFillShade="F2"/>
          </w:tcPr>
          <w:p w14:paraId="3C2F6086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0096C6F5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for Online Training and Assessment, or workplace-based training, the Training and Assessment Strategy must reflect the unique requirements of that delivery mode</w:t>
            </w:r>
          </w:p>
        </w:tc>
      </w:tr>
      <w:tr w:rsidR="000E492B" w:rsidRPr="000E492B" w14:paraId="37EEB033" w14:textId="77777777" w:rsidTr="00D840B8">
        <w:tc>
          <w:tcPr>
            <w:tcW w:w="2405" w:type="dxa"/>
            <w:shd w:val="clear" w:color="auto" w:fill="F2F2F2" w:themeFill="background1" w:themeFillShade="F2"/>
          </w:tcPr>
          <w:p w14:paraId="4F281D58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expert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0FA9338" w14:textId="77777777" w:rsidR="000E492B" w:rsidRPr="000E492B" w:rsidRDefault="000E492B" w:rsidP="008E0CA3">
            <w:pPr>
              <w:numPr>
                <w:ilvl w:val="0"/>
                <w:numId w:val="13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all training and assessment </w:t>
            </w:r>
            <w:proofErr w:type="gramStart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delivered by a </w:t>
            </w:r>
            <w:r w:rsidRPr="000E492B">
              <w:rPr>
                <w:rFonts w:asciiTheme="minorHAnsi" w:hAnsiTheme="minorHAnsi" w:cstheme="minorHAnsi"/>
                <w:iCs/>
                <w:sz w:val="22"/>
                <w:szCs w:val="22"/>
              </w:rPr>
              <w:t>Skills First</w:t>
            </w: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 xml:space="preserve"> Teacher.</w:t>
            </w:r>
          </w:p>
        </w:tc>
      </w:tr>
    </w:tbl>
    <w:p w14:paraId="5AEA5ABC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6BA7BFB4" w14:textId="77777777" w:rsidR="000E492B" w:rsidRPr="000E492B" w:rsidRDefault="000E492B" w:rsidP="000E492B">
      <w:pPr>
        <w:spacing w:after="120" w:line="240" w:lineRule="auto"/>
        <w:rPr>
          <w:rFonts w:asciiTheme="minorHAnsi" w:hAnsiTheme="minorHAnsi" w:cstheme="minorHAnsi"/>
          <w:b/>
          <w:color w:val="292929"/>
          <w:sz w:val="22"/>
          <w:szCs w:val="22"/>
          <w:lang w:val="en-AU"/>
        </w:rPr>
      </w:pPr>
      <w:r w:rsidRPr="000E492B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br w:type="page"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le 6 objectives and obligations"/>
      </w:tblPr>
      <w:tblGrid>
        <w:gridCol w:w="2405"/>
        <w:gridCol w:w="7655"/>
      </w:tblGrid>
      <w:tr w:rsidR="000E492B" w:rsidRPr="000E492B" w14:paraId="2E46B0A3" w14:textId="77777777" w:rsidTr="008E0CA3">
        <w:tc>
          <w:tcPr>
            <w:tcW w:w="2405" w:type="dxa"/>
            <w:shd w:val="clear" w:color="auto" w:fill="D9EEFF"/>
          </w:tcPr>
          <w:p w14:paraId="1D723B54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lastRenderedPageBreak/>
              <w:t>Principle 6</w:t>
            </w:r>
          </w:p>
        </w:tc>
        <w:tc>
          <w:tcPr>
            <w:tcW w:w="7655" w:type="dxa"/>
            <w:shd w:val="clear" w:color="auto" w:fill="D9EEFF"/>
          </w:tcPr>
          <w:p w14:paraId="425ABE63" w14:textId="77777777" w:rsidR="000E492B" w:rsidRPr="00084138" w:rsidRDefault="000E492B" w:rsidP="009A0868">
            <w:pPr>
              <w:spacing w:before="120"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084138">
              <w:rPr>
                <w:b/>
                <w:bCs/>
                <w:color w:val="auto"/>
                <w:sz w:val="24"/>
                <w:szCs w:val="24"/>
              </w:rPr>
              <w:t xml:space="preserve">Responsive feedback systems </w:t>
            </w:r>
          </w:p>
        </w:tc>
      </w:tr>
      <w:tr w:rsidR="000E492B" w:rsidRPr="000E492B" w14:paraId="18D01AA3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8F31A6E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4C97" w:themeColor="accen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Objective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149D729" w14:textId="77777777" w:rsidR="000E492B" w:rsidRPr="000E492B" w:rsidRDefault="000E492B" w:rsidP="008E0CA3">
            <w:pPr>
              <w:pStyle w:val="TableHead"/>
              <w:spacing w:before="120"/>
              <w:rPr>
                <w:rFonts w:cstheme="minorHAnsi"/>
                <w:color w:val="000000" w:themeColor="text1"/>
                <w:szCs w:val="22"/>
              </w:rPr>
            </w:pPr>
            <w:r w:rsidRPr="000E492B">
              <w:rPr>
                <w:rFonts w:cstheme="minorHAnsi"/>
                <w:color w:val="000000" w:themeColor="text1"/>
                <w:szCs w:val="22"/>
              </w:rPr>
              <w:t>The student can provide feedback on their training experience so that training providers can respond and improve</w:t>
            </w:r>
          </w:p>
        </w:tc>
      </w:tr>
      <w:tr w:rsidR="000E492B" w:rsidRPr="000E492B" w14:paraId="13E05EB6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029A916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Obligations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EC9842B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Training providers must:</w:t>
            </w:r>
          </w:p>
        </w:tc>
      </w:tr>
      <w:tr w:rsidR="000E492B" w:rsidRPr="000E492B" w14:paraId="4D6AB3C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19E24B1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Listen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AF25319" w14:textId="77777777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have and maintain a complaints and appeals process compliant with Regulatory Standards</w:t>
            </w:r>
          </w:p>
        </w:tc>
      </w:tr>
      <w:tr w:rsidR="000E492B" w:rsidRPr="000E492B" w14:paraId="686C9A5C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117FE75C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Be open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2DB76E1" w14:textId="77777777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publish their complaints and appeals process on their website</w:t>
            </w:r>
          </w:p>
        </w:tc>
      </w:tr>
      <w:tr w:rsidR="000E492B" w:rsidRPr="000E492B" w14:paraId="3636C10D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296AA8BE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 xml:space="preserve">Respond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BD85B62" w14:textId="77777777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respond to, and co-operate with the Department in its resolution of student complaints</w:t>
            </w:r>
          </w:p>
        </w:tc>
      </w:tr>
      <w:tr w:rsidR="000E492B" w:rsidRPr="000E492B" w14:paraId="6751B598" w14:textId="77777777" w:rsidTr="008E0CA3">
        <w:tc>
          <w:tcPr>
            <w:tcW w:w="2405" w:type="dxa"/>
            <w:shd w:val="clear" w:color="auto" w:fill="F2F2F2" w:themeFill="background1" w:themeFillShade="F2"/>
          </w:tcPr>
          <w:p w14:paraId="6D98F2B3" w14:textId="77777777" w:rsidR="000E492B" w:rsidRPr="000E492B" w:rsidRDefault="000E492B" w:rsidP="008E0CA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AU"/>
              </w:rPr>
              <w:t>Improve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FA3BB35" w14:textId="77777777" w:rsidR="000E492B" w:rsidRPr="000E492B" w:rsidRDefault="000E492B" w:rsidP="008E0CA3">
            <w:pPr>
              <w:numPr>
                <w:ilvl w:val="0"/>
                <w:numId w:val="14"/>
              </w:numPr>
              <w:suppressAutoHyphens w:val="0"/>
              <w:autoSpaceDE/>
              <w:autoSpaceDN/>
              <w:adjustRightInd/>
              <w:spacing w:before="120" w:after="120" w:line="240" w:lineRule="auto"/>
              <w:ind w:left="357" w:hanging="357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E492B">
              <w:rPr>
                <w:rFonts w:asciiTheme="minorHAnsi" w:hAnsiTheme="minorHAnsi" w:cstheme="minorHAnsi"/>
                <w:sz w:val="22"/>
                <w:szCs w:val="22"/>
              </w:rPr>
              <w:t>participate in any performance improvement initiatives determined by the Department.</w:t>
            </w:r>
          </w:p>
        </w:tc>
      </w:tr>
    </w:tbl>
    <w:p w14:paraId="0D3FC8BE" w14:textId="77777777" w:rsidR="003F152E" w:rsidRPr="000E492B" w:rsidRDefault="003F152E" w:rsidP="000E492B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1B0FF2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AFBEB6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BEF888E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C06430B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00B4B7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2D2992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B6A2CC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AB70BE4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9DC3989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FF07E8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0761FA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8916F8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E25AE1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6C82B0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498947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4C8BDCC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0E74E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460D721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C4149A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31DC576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D9F5A80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655D7B3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3278655" w14:textId="77777777" w:rsidR="00D840B8" w:rsidRDefault="00D840B8" w:rsidP="009A086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9104DF0" w14:textId="77777777" w:rsidR="00483B09" w:rsidRDefault="00483B09" w:rsidP="00D840B8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304EA4D" w14:textId="17BAFAFE" w:rsidR="003F152E" w:rsidRPr="000E492B" w:rsidRDefault="009A0868" w:rsidP="00D840B8">
      <w:pPr>
        <w:pStyle w:val="Copyrighttext"/>
        <w:spacing w:after="120"/>
        <w:rPr>
          <w:rFonts w:cstheme="minorHAnsi"/>
          <w:sz w:val="22"/>
          <w:szCs w:val="22"/>
        </w:rPr>
      </w:pPr>
      <w:r w:rsidRPr="009A0868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9A0868">
        <w:rPr>
          <w:rFonts w:cstheme="minorHAnsi"/>
          <w:sz w:val="16"/>
          <w:szCs w:val="16"/>
        </w:rPr>
        <w:br/>
      </w:r>
      <w:r w:rsidRPr="009A0868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9A0868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9A0868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3F152E" w:rsidRPr="000E492B" w:rsidSect="00066E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361" w:bottom="1701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6927" w14:textId="77777777" w:rsidR="0079727F" w:rsidRDefault="0079727F" w:rsidP="00123BB4">
      <w:r>
        <w:separator/>
      </w:r>
    </w:p>
  </w:endnote>
  <w:endnote w:type="continuationSeparator" w:id="0">
    <w:p w14:paraId="050AE13C" w14:textId="77777777" w:rsidR="0079727F" w:rsidRDefault="0079727F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9E7D5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FFC69E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80311B8" wp14:editId="08CBA035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5BC2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0311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15BC2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ADF8" w14:textId="77777777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066E22" w:rsidRPr="00FB0DEA" w14:paraId="15BA8915" w14:textId="77777777" w:rsidTr="00383BA2">
              <w:tc>
                <w:tcPr>
                  <w:tcW w:w="3402" w:type="dxa"/>
                  <w:vAlign w:val="center"/>
                </w:tcPr>
                <w:p w14:paraId="4F52BB7E" w14:textId="566E34B1" w:rsidR="00483B09" w:rsidRPr="00885018" w:rsidRDefault="00483B09" w:rsidP="00483B09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</w:t>
                  </w:r>
                  <w:r w:rsidRPr="00E62B81">
                    <w:rPr>
                      <w:rFonts w:eastAsia="Arial" w:cs="Times New Roman"/>
                      <w:bCs/>
                      <w:sz w:val="16"/>
                      <w:szCs w:val="16"/>
                    </w:rPr>
                    <w:t>hed July 2023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</w:t>
                  </w:r>
                </w:p>
                <w:p w14:paraId="4DB0CCF9" w14:textId="753601BD" w:rsidR="00066E22" w:rsidRPr="00483B09" w:rsidRDefault="00483B09" w:rsidP="00483B09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2410" w:type="dxa"/>
                  <w:vAlign w:val="center"/>
                </w:tcPr>
                <w:p w14:paraId="12B44A0C" w14:textId="6E4CF62C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7A5763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29895CD1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6CDB500" wp14:editId="1CA566C4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029A539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B2BCB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4BFC1D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7E76DF1" wp14:editId="147195CA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E43D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E76D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3E43D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7833" w14:textId="77777777" w:rsidR="0079727F" w:rsidRDefault="0079727F" w:rsidP="00123BB4">
      <w:r>
        <w:separator/>
      </w:r>
    </w:p>
  </w:footnote>
  <w:footnote w:type="continuationSeparator" w:id="0">
    <w:p w14:paraId="4ED805E4" w14:textId="77777777" w:rsidR="0079727F" w:rsidRDefault="0079727F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3442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AC0AC18" wp14:editId="1C96C13B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14B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C0A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8C14B0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B97D" w14:textId="77777777" w:rsidR="00596E3D" w:rsidRDefault="00596E3D" w:rsidP="00123BB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7FA3DD" wp14:editId="61BE2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62279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23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EAB0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106435A9" wp14:editId="1D9CBD16">
          <wp:extent cx="7560000" cy="10684800"/>
          <wp:effectExtent l="0" t="0" r="3175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05687CE1" wp14:editId="148B87DA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E2D9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687C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42E2D9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902A51"/>
    <w:multiLevelType w:val="hybridMultilevel"/>
    <w:tmpl w:val="49103A5E"/>
    <w:lvl w:ilvl="0" w:tplc="15DCEA4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8EE8BC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D48B0"/>
    <w:multiLevelType w:val="hybridMultilevel"/>
    <w:tmpl w:val="43EC3852"/>
    <w:lvl w:ilvl="0" w:tplc="EB56EBB4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53D8EF7C">
      <w:start w:val="1"/>
      <w:numFmt w:val="lowerRoman"/>
      <w:lvlText w:val="%2.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C54AB"/>
    <w:multiLevelType w:val="hybridMultilevel"/>
    <w:tmpl w:val="D9008F8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3A53"/>
    <w:multiLevelType w:val="hybridMultilevel"/>
    <w:tmpl w:val="A27AD2A2"/>
    <w:lvl w:ilvl="0" w:tplc="49F4A0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24348"/>
    <w:multiLevelType w:val="hybridMultilevel"/>
    <w:tmpl w:val="523AF26E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94C73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A2CAD"/>
    <w:multiLevelType w:val="hybridMultilevel"/>
    <w:tmpl w:val="30A6DE3C"/>
    <w:lvl w:ilvl="0" w:tplc="104EFF0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87CDD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846A7"/>
    <w:multiLevelType w:val="hybridMultilevel"/>
    <w:tmpl w:val="81529596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212164">
    <w:abstractNumId w:val="4"/>
  </w:num>
  <w:num w:numId="2" w16cid:durableId="1345861947">
    <w:abstractNumId w:val="10"/>
  </w:num>
  <w:num w:numId="3" w16cid:durableId="1866089883">
    <w:abstractNumId w:val="9"/>
  </w:num>
  <w:num w:numId="4" w16cid:durableId="1755857157">
    <w:abstractNumId w:val="12"/>
  </w:num>
  <w:num w:numId="5" w16cid:durableId="638539070">
    <w:abstractNumId w:val="8"/>
  </w:num>
  <w:num w:numId="6" w16cid:durableId="10449878">
    <w:abstractNumId w:val="11"/>
  </w:num>
  <w:num w:numId="7" w16cid:durableId="2022276013">
    <w:abstractNumId w:val="0"/>
  </w:num>
  <w:num w:numId="8" w16cid:durableId="2077311839">
    <w:abstractNumId w:val="3"/>
  </w:num>
  <w:num w:numId="9" w16cid:durableId="1155531920">
    <w:abstractNumId w:val="6"/>
  </w:num>
  <w:num w:numId="10" w16cid:durableId="847015236">
    <w:abstractNumId w:val="5"/>
  </w:num>
  <w:num w:numId="11" w16cid:durableId="699666075">
    <w:abstractNumId w:val="7"/>
  </w:num>
  <w:num w:numId="12" w16cid:durableId="1957447860">
    <w:abstractNumId w:val="14"/>
  </w:num>
  <w:num w:numId="13" w16cid:durableId="1942641792">
    <w:abstractNumId w:val="1"/>
  </w:num>
  <w:num w:numId="14" w16cid:durableId="1443918782">
    <w:abstractNumId w:val="2"/>
  </w:num>
  <w:num w:numId="15" w16cid:durableId="522591820">
    <w:abstractNumId w:val="15"/>
  </w:num>
  <w:num w:numId="16" w16cid:durableId="51659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2B"/>
    <w:rsid w:val="0000440C"/>
    <w:rsid w:val="000458D8"/>
    <w:rsid w:val="00066E22"/>
    <w:rsid w:val="00084138"/>
    <w:rsid w:val="000865C3"/>
    <w:rsid w:val="000E492B"/>
    <w:rsid w:val="00123BB4"/>
    <w:rsid w:val="002E5AB6"/>
    <w:rsid w:val="00317644"/>
    <w:rsid w:val="0033764E"/>
    <w:rsid w:val="003E4AB1"/>
    <w:rsid w:val="003F152E"/>
    <w:rsid w:val="00483B09"/>
    <w:rsid w:val="00484ADA"/>
    <w:rsid w:val="004A05A1"/>
    <w:rsid w:val="004E342B"/>
    <w:rsid w:val="0053232B"/>
    <w:rsid w:val="00542B96"/>
    <w:rsid w:val="005736B7"/>
    <w:rsid w:val="00596E3D"/>
    <w:rsid w:val="005F06A5"/>
    <w:rsid w:val="006B1F1B"/>
    <w:rsid w:val="006C61FF"/>
    <w:rsid w:val="006F3ECF"/>
    <w:rsid w:val="0079727F"/>
    <w:rsid w:val="007A3F71"/>
    <w:rsid w:val="007A5763"/>
    <w:rsid w:val="00822532"/>
    <w:rsid w:val="008818C5"/>
    <w:rsid w:val="008E0CA3"/>
    <w:rsid w:val="008F2231"/>
    <w:rsid w:val="0092713C"/>
    <w:rsid w:val="00956EA5"/>
    <w:rsid w:val="009A0868"/>
    <w:rsid w:val="009D7819"/>
    <w:rsid w:val="009F703B"/>
    <w:rsid w:val="00A049A2"/>
    <w:rsid w:val="00A27E6D"/>
    <w:rsid w:val="00A53861"/>
    <w:rsid w:val="00A6306A"/>
    <w:rsid w:val="00AC12A8"/>
    <w:rsid w:val="00B24F19"/>
    <w:rsid w:val="00C73704"/>
    <w:rsid w:val="00CA49DB"/>
    <w:rsid w:val="00D840B8"/>
    <w:rsid w:val="00DB2321"/>
    <w:rsid w:val="00E2522C"/>
    <w:rsid w:val="00E62B81"/>
    <w:rsid w:val="00E6749C"/>
    <w:rsid w:val="00EF486F"/>
    <w:rsid w:val="00F16089"/>
    <w:rsid w:val="00F456E8"/>
    <w:rsid w:val="00F52186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4289"/>
  <w15:chartTrackingRefBased/>
  <w15:docId w15:val="{FCBEF735-A3A9-43AA-B538-A24E344C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">
    <w:name w:val="Table Head"/>
    <w:basedOn w:val="Normal"/>
    <w:qFormat/>
    <w:rsid w:val="000E492B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customStyle="1" w:styleId="Copyrighttext">
    <w:name w:val="Copyright text"/>
    <w:basedOn w:val="Normal"/>
    <w:qFormat/>
    <w:rsid w:val="009A0868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cf01">
    <w:name w:val="cf01"/>
    <w:basedOn w:val="DefaultParagraphFont"/>
    <w:rsid w:val="009A086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A5763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6521\Downloads\DJSIR-FactSheets-A4-Header-Mini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E7B72B9694C8B9CC75B9A9CD4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0E5C-3435-487F-B6E3-49E375C34276}"/>
      </w:docPartPr>
      <w:docPartBody>
        <w:p w:rsidR="0073231A" w:rsidRDefault="0073231A">
          <w:pPr>
            <w:pStyle w:val="1D0E7B72B9694C8B9CC75B9A9CD46727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9"/>
    <w:rsid w:val="00532969"/>
    <w:rsid w:val="007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0E7B72B9694C8B9CC75B9A9CD46727">
    <w:name w:val="1D0E7B72B9694C8B9CC75B9A9CD46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Status xmlns="6e2460a2-3e09-40bc-a665-6e5b313d5e13">Draft</TMQ_x0020_Document_x0020_Status>
    <TaxCatchAll xmlns="6e2460a2-3e09-40bc-a665-6e5b313d5e13">
      <Value>3</Value>
    </TaxCatchAll>
    <TMQ_x0020_Document_x0020_Type xmlns="6e2460a2-3e09-40bc-a665-6e5b313d5e13">Factsheets</TMQ_x0020_Document_x0020_Type>
    <Year xmlns="6e2460a2-3e09-40bc-a665-6e5b313d5e13">2023</Year>
    <TMQ_x0020_Business_x0020_Unit xmlns="6e2460a2-3e09-40bc-a665-6e5b313d5e13">Operations Policy &amp; Standards</TMQ_x0020_Business_x0020_Unit>
    <PublishingContactName xmlns="http://schemas.microsoft.com/sharepoint/v3" xsi:nil="true"/>
    <DET_EDRMS_Description xmlns="http://schemas.microsoft.com/Sharepoint/v3" xsi:nil="true"/>
    <TMQ_x0020_Document_x0020_Sate xmlns="6e2460a2-3e09-40bc-a665-6e5b313d5e13">2023-06-26T14:00:00+00:00</TMQ_x0020_Document_x0020_S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7A3324DF3ACC284DAFDFAC8881E6A8CF" ma:contentTypeVersion="6" ma:contentTypeDescription="Create a new document" ma:contentTypeScope="" ma:versionID="153f7466b5859a860148d087e82ca6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targetNamespace="http://schemas.microsoft.com/office/2006/metadata/properties" ma:root="true" ma:fieldsID="17a0c3e54789997927c2d21dcc5d9feb" ns1:_="" ns2:_="" ns3:_="">
    <xsd:import namespace="http://schemas.microsoft.com/sharepoint/v3"/>
    <xsd:import namespace="http://schemas.microsoft.com/Sharepoint/v3"/>
    <xsd:import namespace="6e2460a2-3e09-40bc-a665-6e5b313d5e13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79C74-DE35-4E57-B582-1F53BF2D1A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2460a2-3e09-40bc-a665-6e5b313d5e13"/>
    <ds:schemaRef ds:uri="http://schemas.microsoft.com/Sharepoint/v3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E7DB2-B54C-4687-AEC4-0D75661D3E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39AB88-E0F5-4CD0-8B71-7B97A99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DJSIR-FactSheets-A4-Header-Mini (4).dotx</Template>
  <TotalTime>35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Justin J</dc:creator>
  <cp:keywords/>
  <dc:description/>
  <cp:lastModifiedBy>Justin Stokes</cp:lastModifiedBy>
  <cp:revision>9</cp:revision>
  <cp:lastPrinted>2022-12-14T22:32:00Z</cp:lastPrinted>
  <dcterms:created xsi:type="dcterms:W3CDTF">2023-06-27T05:00:00Z</dcterms:created>
  <dcterms:modified xsi:type="dcterms:W3CDTF">2023-08-02T23:16:00Z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0x0101002073FC038AB5E84E8557A48A05A512B104007A3324DF3ACC284DAFDFAC8881E6A8CF</vt:lpwstr>
  </property>
  <property fmtid="{D5CDD505-2E9C-101B-9397-08002B2CF9AE}" pid="16" name="DET_EDRMS_RCSTaxHTField0">
    <vt:lpwstr>1.2.2 Project Documentation|a3ce4c3c-7960-4756-834e-8cbbf9028802</vt:lpwstr>
  </property>
  <property fmtid="{D5CDD505-2E9C-101B-9397-08002B2CF9AE}" pid="17" name="DET_EDRMS_RCS">
    <vt:lpwstr>3;#1.2.2 Project Documentation|a3ce4c3c-7960-4756-834e-8cbbf9028802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WebId">
    <vt:lpwstr>{6e2460a2-3e09-40bc-a665-6e5b313d5e13}</vt:lpwstr>
  </property>
  <property fmtid="{D5CDD505-2E9C-101B-9397-08002B2CF9AE}" pid="20" name="RecordPoint_ActiveItemSiteId">
    <vt:lpwstr>{b3cca25b-f07d-4239-8a3c-b7d682f9d566}</vt:lpwstr>
  </property>
  <property fmtid="{D5CDD505-2E9C-101B-9397-08002B2CF9AE}" pid="21" name="RecordPoint_ActiveItemListId">
    <vt:lpwstr>{099e913b-59b7-463a-b199-018130ffc057}</vt:lpwstr>
  </property>
  <property fmtid="{D5CDD505-2E9C-101B-9397-08002B2CF9AE}" pid="22" name="RecordPoint_ActiveItemUniqueId">
    <vt:lpwstr>{3edd2bb5-4261-4cb0-8938-449d657abd41}</vt:lpwstr>
  </property>
  <property fmtid="{D5CDD505-2E9C-101B-9397-08002B2CF9AE}" pid="23" name="RecordPoint_RecordNumberSubmitted">
    <vt:lpwstr>R20230326605</vt:lpwstr>
  </property>
  <property fmtid="{D5CDD505-2E9C-101B-9397-08002B2CF9AE}" pid="24" name="RecordPoint_SubmissionCompleted">
    <vt:lpwstr>2023-08-03T09:17:33.8638393+10:00</vt:lpwstr>
  </property>
</Properties>
</file>