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/>
          <w:bCs/>
          <w:noProof w:val="0"/>
          <w:color w:val="auto"/>
          <w:sz w:val="22"/>
          <w:szCs w:val="22"/>
          <w:lang w:val="en-AU" w:eastAsia="en-US"/>
        </w:rPr>
        <w:id w:val="512418944"/>
        <w:docPartObj>
          <w:docPartGallery w:val="Cover Pages"/>
          <w:docPartUnique/>
        </w:docPartObj>
      </w:sdtPr>
      <w:sdtContent>
        <w:p w14:paraId="1D276028" w14:textId="77777777" w:rsidR="00050A65" w:rsidRDefault="00050A65" w:rsidP="00050A65">
          <w:pPr>
            <w:pStyle w:val="Title"/>
            <w:rPr>
              <w:b/>
              <w:bCs/>
            </w:rPr>
          </w:pPr>
        </w:p>
        <w:p w14:paraId="4E615923" w14:textId="77777777" w:rsidR="00050A65" w:rsidRDefault="00050A65" w:rsidP="00050A65">
          <w:pPr>
            <w:pStyle w:val="Title"/>
            <w:rPr>
              <w:b/>
              <w:bCs/>
            </w:rPr>
          </w:pPr>
        </w:p>
        <w:p w14:paraId="72349D90" w14:textId="77777777" w:rsidR="00050A65" w:rsidRDefault="00050A65" w:rsidP="00050A65">
          <w:pPr>
            <w:pStyle w:val="Title"/>
            <w:rPr>
              <w:b/>
              <w:bCs/>
            </w:rPr>
          </w:pPr>
        </w:p>
        <w:p w14:paraId="3DBB6FE4" w14:textId="77777777" w:rsidR="00050A65" w:rsidRDefault="00050A65" w:rsidP="00050A65">
          <w:pPr>
            <w:pStyle w:val="Title"/>
            <w:rPr>
              <w:b/>
              <w:bCs/>
            </w:rPr>
          </w:pPr>
        </w:p>
        <w:p w14:paraId="20AAE464" w14:textId="77777777" w:rsidR="00050A65" w:rsidRDefault="00050A65" w:rsidP="00050A65">
          <w:pPr>
            <w:pStyle w:val="Title"/>
            <w:rPr>
              <w:b/>
              <w:bCs/>
            </w:rPr>
          </w:pPr>
        </w:p>
        <w:p w14:paraId="7CBDE71E" w14:textId="77777777" w:rsidR="00050A65" w:rsidRDefault="00050A65" w:rsidP="00050A65">
          <w:pPr>
            <w:pStyle w:val="Title"/>
            <w:rPr>
              <w:b/>
              <w:bCs/>
            </w:rPr>
          </w:pPr>
        </w:p>
        <w:p w14:paraId="74224BBE" w14:textId="39ECF21C" w:rsidR="00050A65" w:rsidRPr="005B21A7" w:rsidRDefault="00050A65" w:rsidP="005B21A7">
          <w:pPr>
            <w:pStyle w:val="Title"/>
            <w:ind w:left="720"/>
            <w:rPr>
              <w:sz w:val="40"/>
              <w:szCs w:val="18"/>
            </w:rPr>
          </w:pPr>
          <w:r w:rsidRPr="005B21A7">
            <w:rPr>
              <w:rStyle w:val="TitleChar"/>
              <w:bCs/>
              <w:sz w:val="40"/>
              <w:szCs w:val="18"/>
            </w:rPr>
            <w:t>Depart</w:t>
          </w:r>
          <w:r w:rsidR="005A7EB7">
            <w:rPr>
              <w:rStyle w:val="TitleChar"/>
              <w:bCs/>
              <w:sz w:val="40"/>
              <w:szCs w:val="18"/>
            </w:rPr>
            <w:t>m</w:t>
          </w:r>
          <w:r w:rsidRPr="005B21A7">
            <w:rPr>
              <w:rStyle w:val="TitleChar"/>
              <w:bCs/>
              <w:sz w:val="40"/>
              <w:szCs w:val="18"/>
            </w:rPr>
            <w:t>ent of Jobs,</w:t>
          </w:r>
          <w:r w:rsidRPr="005B21A7">
            <w:rPr>
              <w:rStyle w:val="TitleChar"/>
              <w:bCs/>
              <w:sz w:val="40"/>
              <w:szCs w:val="18"/>
            </w:rPr>
            <w:br/>
            <w:t>Precincts and Regions</w:t>
          </w:r>
        </w:p>
        <w:sdt>
          <w:sdtPr>
            <w:rPr>
              <w:rStyle w:val="TitleChar"/>
              <w:b/>
              <w:bCs w:val="0"/>
            </w:rPr>
            <w:id w:val="2122263188"/>
            <w:placeholder>
              <w:docPart w:val="AB8FA5AC17914C82B5F652C8331FB514"/>
            </w:placeholder>
          </w:sdtPr>
          <w:sdtEndPr>
            <w:rPr>
              <w:rStyle w:val="TitleChar"/>
              <w:bCs/>
            </w:rPr>
          </w:sdtEndPr>
          <w:sdtContent>
            <w:p w14:paraId="1DD2B290" w14:textId="4FC7FF65" w:rsidR="005B21A7" w:rsidRPr="00AC559A" w:rsidRDefault="00AC559A" w:rsidP="005B21A7">
              <w:pPr>
                <w:pStyle w:val="Reporttitle"/>
                <w:ind w:left="720"/>
                <w:rPr>
                  <w:rStyle w:val="TitleChar"/>
                  <w:b/>
                  <w:bCs w:val="0"/>
                  <w:sz w:val="36"/>
                  <w:szCs w:val="16"/>
                </w:rPr>
              </w:pPr>
              <w:r>
                <w:rPr>
                  <w:rStyle w:val="TitleChar"/>
                  <w:b/>
                  <w:bCs w:val="0"/>
                </w:rPr>
                <w:t>Engagement Report</w:t>
              </w:r>
              <w:r>
                <w:rPr>
                  <w:rStyle w:val="TitleChar"/>
                  <w:b/>
                  <w:bCs w:val="0"/>
                </w:rPr>
                <w:br/>
              </w:r>
              <w:r>
                <w:rPr>
                  <w:rStyle w:val="TitleChar"/>
                  <w:b/>
                  <w:bCs w:val="0"/>
                </w:rPr>
                <w:br/>
              </w:r>
              <w:r w:rsidR="005B21A7" w:rsidRPr="00AC559A">
                <w:rPr>
                  <w:rStyle w:val="TitleChar"/>
                  <w:b/>
                  <w:bCs w:val="0"/>
                  <w:sz w:val="36"/>
                  <w:szCs w:val="16"/>
                </w:rPr>
                <w:t xml:space="preserve">Footscray </w:t>
              </w:r>
              <w:r w:rsidR="00382785" w:rsidRPr="00AC559A">
                <w:rPr>
                  <w:rStyle w:val="TitleChar"/>
                  <w:b/>
                  <w:bCs w:val="0"/>
                  <w:sz w:val="36"/>
                  <w:szCs w:val="16"/>
                </w:rPr>
                <w:t>Opportunit</w:t>
              </w:r>
              <w:r w:rsidR="00382785">
                <w:rPr>
                  <w:rStyle w:val="TitleChar"/>
                  <w:b/>
                  <w:bCs w:val="0"/>
                  <w:sz w:val="36"/>
                  <w:szCs w:val="16"/>
                </w:rPr>
                <w:t>y</w:t>
              </w:r>
              <w:r w:rsidR="00382785" w:rsidRPr="00AC559A">
                <w:rPr>
                  <w:rStyle w:val="TitleChar"/>
                  <w:b/>
                  <w:bCs w:val="0"/>
                  <w:sz w:val="36"/>
                  <w:szCs w:val="16"/>
                </w:rPr>
                <w:t xml:space="preserve"> </w:t>
              </w:r>
              <w:r w:rsidR="005B21A7" w:rsidRPr="00AC559A">
                <w:rPr>
                  <w:rStyle w:val="TitleChar"/>
                  <w:b/>
                  <w:bCs w:val="0"/>
                  <w:sz w:val="36"/>
                  <w:szCs w:val="16"/>
                </w:rPr>
                <w:t xml:space="preserve">and </w:t>
              </w:r>
            </w:p>
            <w:p w14:paraId="13B88940" w14:textId="77777777" w:rsidR="00D75DEA" w:rsidRDefault="005B21A7" w:rsidP="00D75DEA">
              <w:pPr>
                <w:pStyle w:val="Reporttitle"/>
                <w:ind w:left="720"/>
                <w:rPr>
                  <w:rStyle w:val="TitleChar"/>
                  <w:b/>
                  <w:bCs w:val="0"/>
                  <w:sz w:val="36"/>
                  <w:szCs w:val="16"/>
                </w:rPr>
              </w:pPr>
              <w:r w:rsidRPr="00AC559A">
                <w:rPr>
                  <w:rStyle w:val="TitleChar"/>
                  <w:b/>
                  <w:bCs w:val="0"/>
                  <w:sz w:val="36"/>
                  <w:szCs w:val="16"/>
                </w:rPr>
                <w:t>Directions Paper</w:t>
              </w:r>
            </w:p>
            <w:p w14:paraId="62C0A6C4" w14:textId="212A040E" w:rsidR="00050A65" w:rsidRPr="00D75DEA" w:rsidRDefault="009C00B4" w:rsidP="00D75DEA">
              <w:pPr>
                <w:pStyle w:val="Reporttitle"/>
                <w:ind w:left="720"/>
                <w:rPr>
                  <w:rStyle w:val="TitleChar"/>
                  <w:b/>
                  <w:bCs w:val="0"/>
                  <w:sz w:val="36"/>
                  <w:szCs w:val="16"/>
                </w:rPr>
              </w:pPr>
              <w:r w:rsidRPr="009C00B4">
                <w:rPr>
                  <w:rStyle w:val="TitleChar"/>
                  <w:b/>
                  <w:bCs w:val="0"/>
                  <w:sz w:val="36"/>
                  <w:szCs w:val="16"/>
                </w:rPr>
                <w:t xml:space="preserve">25 </w:t>
              </w:r>
              <w:r w:rsidR="0003472B">
                <w:rPr>
                  <w:rStyle w:val="TitleChar"/>
                  <w:b/>
                  <w:bCs w:val="0"/>
                  <w:sz w:val="36"/>
                  <w:szCs w:val="16"/>
                </w:rPr>
                <w:t>March</w:t>
              </w:r>
              <w:r w:rsidRPr="009C00B4">
                <w:rPr>
                  <w:rStyle w:val="TitleChar"/>
                  <w:b/>
                  <w:bCs w:val="0"/>
                  <w:sz w:val="36"/>
                  <w:szCs w:val="16"/>
                </w:rPr>
                <w:t xml:space="preserve"> 2022</w:t>
              </w:r>
            </w:p>
          </w:sdtContent>
        </w:sdt>
        <w:p w14:paraId="18ED9660" w14:textId="709501A3" w:rsidR="00050A65" w:rsidRDefault="00050A65" w:rsidP="00050A65">
          <w:pPr>
            <w:rPr>
              <w:b/>
              <w:bCs/>
            </w:rPr>
          </w:pPr>
          <w:r w:rsidRPr="00050A65">
            <w:rPr>
              <w:b/>
              <w:bCs/>
              <w:noProof/>
            </w:rPr>
            <w:t xml:space="preserve"> </w:t>
          </w:r>
          <w:r w:rsidRPr="00050A65">
            <w:rPr>
              <w:b/>
              <w:bCs/>
              <w:noProof/>
            </w:rPr>
            <w:drawing>
              <wp:anchor distT="0" distB="0" distL="114300" distR="114300" simplePos="0" relativeHeight="251658240" behindDoc="1" locked="1" layoutInCell="1" allowOverlap="1" wp14:anchorId="63FE99A4" wp14:editId="613D191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9675" cy="10684510"/>
                <wp:effectExtent l="0" t="0" r="3175" b="2540"/>
                <wp:wrapNone/>
                <wp:docPr id="196" name="Picture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JPR Corporate A4 Reports V3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84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</w:rPr>
            <w:br w:type="page"/>
          </w:r>
        </w:p>
      </w:sdtContent>
    </w:sdt>
    <w:p w14:paraId="2D27E2B4" w14:textId="77777777" w:rsidR="0069096D" w:rsidRDefault="0069096D" w:rsidP="00310B84">
      <w:pPr>
        <w:spacing w:after="0"/>
        <w:rPr>
          <w:b/>
          <w:bCs/>
        </w:rPr>
      </w:pPr>
    </w:p>
    <w:p w14:paraId="6160A59E" w14:textId="77777777" w:rsidR="0069096D" w:rsidRDefault="0069096D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AU"/>
        </w:rPr>
        <w:id w:val="875601961"/>
        <w:docPartObj>
          <w:docPartGallery w:val="Table of Contents"/>
          <w:docPartUnique/>
        </w:docPartObj>
      </w:sdtPr>
      <w:sdtContent>
        <w:p w14:paraId="0AC7727D" w14:textId="1683A894" w:rsidR="008A1382" w:rsidRDefault="008A1382">
          <w:pPr>
            <w:pStyle w:val="TOCHeading"/>
          </w:pPr>
          <w:r>
            <w:t>Contents</w:t>
          </w:r>
        </w:p>
        <w:p w14:paraId="4304DA87" w14:textId="2D1A90F9" w:rsidR="00D63F3C" w:rsidRDefault="00E92641">
          <w:pPr>
            <w:pStyle w:val="TOC1"/>
            <w:tabs>
              <w:tab w:val="right" w:leader="dot" w:pos="10990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 w:rsidR="00892CD0">
            <w:instrText>TOC \o "1-3" \h \z \u</w:instrText>
          </w:r>
          <w:r>
            <w:fldChar w:fldCharType="separate"/>
          </w:r>
          <w:hyperlink w:anchor="_Toc97625041" w:history="1">
            <w:r w:rsidR="00D63F3C" w:rsidRPr="00A8702F">
              <w:rPr>
                <w:rStyle w:val="Hyperlink"/>
                <w:noProof/>
              </w:rPr>
              <w:t>Acknowledgement of Country</w:t>
            </w:r>
            <w:r w:rsidR="00D63F3C">
              <w:rPr>
                <w:noProof/>
                <w:webHidden/>
              </w:rPr>
              <w:tab/>
            </w:r>
            <w:r w:rsidR="00D63F3C">
              <w:rPr>
                <w:noProof/>
                <w:webHidden/>
              </w:rPr>
              <w:fldChar w:fldCharType="begin"/>
            </w:r>
            <w:r w:rsidR="00D63F3C">
              <w:rPr>
                <w:noProof/>
                <w:webHidden/>
              </w:rPr>
              <w:instrText xml:space="preserve"> PAGEREF _Toc97625041 \h </w:instrText>
            </w:r>
            <w:r w:rsidR="00D63F3C">
              <w:rPr>
                <w:noProof/>
                <w:webHidden/>
              </w:rPr>
            </w:r>
            <w:r w:rsidR="00D63F3C">
              <w:rPr>
                <w:noProof/>
                <w:webHidden/>
              </w:rPr>
              <w:fldChar w:fldCharType="separate"/>
            </w:r>
            <w:r w:rsidR="00D63F3C">
              <w:rPr>
                <w:noProof/>
                <w:webHidden/>
              </w:rPr>
              <w:t>3</w:t>
            </w:r>
            <w:r w:rsidR="00D63F3C">
              <w:rPr>
                <w:noProof/>
                <w:webHidden/>
              </w:rPr>
              <w:fldChar w:fldCharType="end"/>
            </w:r>
          </w:hyperlink>
        </w:p>
        <w:p w14:paraId="2C403ECB" w14:textId="6202DD17" w:rsidR="00D63F3C" w:rsidRDefault="00000000">
          <w:pPr>
            <w:pStyle w:val="TOC1"/>
            <w:tabs>
              <w:tab w:val="right" w:leader="dot" w:pos="10990"/>
            </w:tabs>
            <w:rPr>
              <w:rFonts w:eastAsiaTheme="minorEastAsia"/>
              <w:noProof/>
              <w:lang w:eastAsia="en-AU"/>
            </w:rPr>
          </w:pPr>
          <w:hyperlink w:anchor="_Toc97625042" w:history="1">
            <w:r w:rsidR="00D63F3C" w:rsidRPr="00A8702F">
              <w:rPr>
                <w:rStyle w:val="Hyperlink"/>
                <w:noProof/>
              </w:rPr>
              <w:t>Introduction</w:t>
            </w:r>
            <w:r w:rsidR="00D63F3C">
              <w:rPr>
                <w:noProof/>
                <w:webHidden/>
              </w:rPr>
              <w:tab/>
            </w:r>
            <w:r w:rsidR="00D63F3C">
              <w:rPr>
                <w:noProof/>
                <w:webHidden/>
              </w:rPr>
              <w:fldChar w:fldCharType="begin"/>
            </w:r>
            <w:r w:rsidR="00D63F3C">
              <w:rPr>
                <w:noProof/>
                <w:webHidden/>
              </w:rPr>
              <w:instrText xml:space="preserve"> PAGEREF _Toc97625042 \h </w:instrText>
            </w:r>
            <w:r w:rsidR="00D63F3C">
              <w:rPr>
                <w:noProof/>
                <w:webHidden/>
              </w:rPr>
            </w:r>
            <w:r w:rsidR="00D63F3C">
              <w:rPr>
                <w:noProof/>
                <w:webHidden/>
              </w:rPr>
              <w:fldChar w:fldCharType="separate"/>
            </w:r>
            <w:r w:rsidR="00D63F3C">
              <w:rPr>
                <w:noProof/>
                <w:webHidden/>
              </w:rPr>
              <w:t>4</w:t>
            </w:r>
            <w:r w:rsidR="00D63F3C">
              <w:rPr>
                <w:noProof/>
                <w:webHidden/>
              </w:rPr>
              <w:fldChar w:fldCharType="end"/>
            </w:r>
          </w:hyperlink>
        </w:p>
        <w:p w14:paraId="37B5ABBE" w14:textId="501DABEC" w:rsidR="00D63F3C" w:rsidRDefault="00000000">
          <w:pPr>
            <w:pStyle w:val="TOC1"/>
            <w:tabs>
              <w:tab w:val="right" w:leader="dot" w:pos="10990"/>
            </w:tabs>
            <w:rPr>
              <w:rFonts w:eastAsiaTheme="minorEastAsia"/>
              <w:noProof/>
              <w:lang w:eastAsia="en-AU"/>
            </w:rPr>
          </w:pPr>
          <w:hyperlink w:anchor="_Toc97625043" w:history="1">
            <w:r w:rsidR="00D63F3C" w:rsidRPr="00A8702F">
              <w:rPr>
                <w:rStyle w:val="Hyperlink"/>
                <w:noProof/>
              </w:rPr>
              <w:t>Purpose</w:t>
            </w:r>
            <w:r w:rsidR="00D63F3C">
              <w:rPr>
                <w:noProof/>
                <w:webHidden/>
              </w:rPr>
              <w:tab/>
            </w:r>
            <w:r w:rsidR="00D63F3C">
              <w:rPr>
                <w:noProof/>
                <w:webHidden/>
              </w:rPr>
              <w:fldChar w:fldCharType="begin"/>
            </w:r>
            <w:r w:rsidR="00D63F3C">
              <w:rPr>
                <w:noProof/>
                <w:webHidden/>
              </w:rPr>
              <w:instrText xml:space="preserve"> PAGEREF _Toc97625043 \h </w:instrText>
            </w:r>
            <w:r w:rsidR="00D63F3C">
              <w:rPr>
                <w:noProof/>
                <w:webHidden/>
              </w:rPr>
            </w:r>
            <w:r w:rsidR="00D63F3C">
              <w:rPr>
                <w:noProof/>
                <w:webHidden/>
              </w:rPr>
              <w:fldChar w:fldCharType="separate"/>
            </w:r>
            <w:r w:rsidR="00D63F3C">
              <w:rPr>
                <w:noProof/>
                <w:webHidden/>
              </w:rPr>
              <w:t>4</w:t>
            </w:r>
            <w:r w:rsidR="00D63F3C">
              <w:rPr>
                <w:noProof/>
                <w:webHidden/>
              </w:rPr>
              <w:fldChar w:fldCharType="end"/>
            </w:r>
          </w:hyperlink>
        </w:p>
        <w:p w14:paraId="4F8A6220" w14:textId="06D11D49" w:rsidR="00D63F3C" w:rsidRDefault="00000000">
          <w:pPr>
            <w:pStyle w:val="TOC1"/>
            <w:tabs>
              <w:tab w:val="right" w:leader="dot" w:pos="10990"/>
            </w:tabs>
            <w:rPr>
              <w:rFonts w:eastAsiaTheme="minorEastAsia"/>
              <w:noProof/>
              <w:lang w:eastAsia="en-AU"/>
            </w:rPr>
          </w:pPr>
          <w:hyperlink w:anchor="_Toc97625044" w:history="1">
            <w:r w:rsidR="00D63F3C" w:rsidRPr="00A8702F">
              <w:rPr>
                <w:rStyle w:val="Hyperlink"/>
                <w:noProof/>
              </w:rPr>
              <w:t>Engagement</w:t>
            </w:r>
            <w:r w:rsidR="00D63F3C">
              <w:rPr>
                <w:noProof/>
                <w:webHidden/>
              </w:rPr>
              <w:tab/>
            </w:r>
            <w:r w:rsidR="00D63F3C">
              <w:rPr>
                <w:noProof/>
                <w:webHidden/>
              </w:rPr>
              <w:fldChar w:fldCharType="begin"/>
            </w:r>
            <w:r w:rsidR="00D63F3C">
              <w:rPr>
                <w:noProof/>
                <w:webHidden/>
              </w:rPr>
              <w:instrText xml:space="preserve"> PAGEREF _Toc97625044 \h </w:instrText>
            </w:r>
            <w:r w:rsidR="00D63F3C">
              <w:rPr>
                <w:noProof/>
                <w:webHidden/>
              </w:rPr>
            </w:r>
            <w:r w:rsidR="00D63F3C">
              <w:rPr>
                <w:noProof/>
                <w:webHidden/>
              </w:rPr>
              <w:fldChar w:fldCharType="separate"/>
            </w:r>
            <w:r w:rsidR="00D63F3C">
              <w:rPr>
                <w:noProof/>
                <w:webHidden/>
              </w:rPr>
              <w:t>4</w:t>
            </w:r>
            <w:r w:rsidR="00D63F3C">
              <w:rPr>
                <w:noProof/>
                <w:webHidden/>
              </w:rPr>
              <w:fldChar w:fldCharType="end"/>
            </w:r>
          </w:hyperlink>
        </w:p>
        <w:p w14:paraId="0AE3581E" w14:textId="5568BABD" w:rsidR="00D63F3C" w:rsidRDefault="00000000">
          <w:pPr>
            <w:pStyle w:val="TOC1"/>
            <w:tabs>
              <w:tab w:val="right" w:leader="dot" w:pos="10990"/>
            </w:tabs>
            <w:rPr>
              <w:rFonts w:eastAsiaTheme="minorEastAsia"/>
              <w:noProof/>
              <w:lang w:eastAsia="en-AU"/>
            </w:rPr>
          </w:pPr>
          <w:hyperlink w:anchor="_Toc97625045" w:history="1">
            <w:r w:rsidR="00D63F3C" w:rsidRPr="00A8702F">
              <w:rPr>
                <w:rStyle w:val="Hyperlink"/>
                <w:noProof/>
              </w:rPr>
              <w:t>Feedback</w:t>
            </w:r>
            <w:r w:rsidR="00D63F3C">
              <w:rPr>
                <w:noProof/>
                <w:webHidden/>
              </w:rPr>
              <w:tab/>
            </w:r>
            <w:r w:rsidR="00D63F3C">
              <w:rPr>
                <w:noProof/>
                <w:webHidden/>
              </w:rPr>
              <w:fldChar w:fldCharType="begin"/>
            </w:r>
            <w:r w:rsidR="00D63F3C">
              <w:rPr>
                <w:noProof/>
                <w:webHidden/>
              </w:rPr>
              <w:instrText xml:space="preserve"> PAGEREF _Toc97625045 \h </w:instrText>
            </w:r>
            <w:r w:rsidR="00D63F3C">
              <w:rPr>
                <w:noProof/>
                <w:webHidden/>
              </w:rPr>
            </w:r>
            <w:r w:rsidR="00D63F3C">
              <w:rPr>
                <w:noProof/>
                <w:webHidden/>
              </w:rPr>
              <w:fldChar w:fldCharType="separate"/>
            </w:r>
            <w:r w:rsidR="00D63F3C">
              <w:rPr>
                <w:noProof/>
                <w:webHidden/>
              </w:rPr>
              <w:t>5</w:t>
            </w:r>
            <w:r w:rsidR="00D63F3C">
              <w:rPr>
                <w:noProof/>
                <w:webHidden/>
              </w:rPr>
              <w:fldChar w:fldCharType="end"/>
            </w:r>
          </w:hyperlink>
        </w:p>
        <w:p w14:paraId="4EB83F5B" w14:textId="3C628396" w:rsidR="00D63F3C" w:rsidRDefault="00000000">
          <w:pPr>
            <w:pStyle w:val="TOC1"/>
            <w:tabs>
              <w:tab w:val="right" w:leader="dot" w:pos="10990"/>
            </w:tabs>
            <w:rPr>
              <w:rFonts w:eastAsiaTheme="minorEastAsia"/>
              <w:noProof/>
              <w:lang w:eastAsia="en-AU"/>
            </w:rPr>
          </w:pPr>
          <w:hyperlink w:anchor="_Toc97625046" w:history="1">
            <w:r w:rsidR="00D63F3C" w:rsidRPr="00A8702F">
              <w:rPr>
                <w:rStyle w:val="Hyperlink"/>
                <w:noProof/>
              </w:rPr>
              <w:t xml:space="preserve">Footscray Opportunity and Directions Paper </w:t>
            </w:r>
            <w:r w:rsidR="003B5DDF">
              <w:rPr>
                <w:rStyle w:val="Hyperlink"/>
                <w:noProof/>
              </w:rPr>
              <w:t>S</w:t>
            </w:r>
            <w:r w:rsidR="00D63F3C" w:rsidRPr="00A8702F">
              <w:rPr>
                <w:rStyle w:val="Hyperlink"/>
                <w:noProof/>
              </w:rPr>
              <w:t>urvey overview</w:t>
            </w:r>
            <w:r w:rsidR="00D63F3C">
              <w:rPr>
                <w:noProof/>
                <w:webHidden/>
              </w:rPr>
              <w:tab/>
            </w:r>
            <w:r w:rsidR="00D63F3C">
              <w:rPr>
                <w:noProof/>
                <w:webHidden/>
              </w:rPr>
              <w:fldChar w:fldCharType="begin"/>
            </w:r>
            <w:r w:rsidR="00D63F3C">
              <w:rPr>
                <w:noProof/>
                <w:webHidden/>
              </w:rPr>
              <w:instrText xml:space="preserve"> PAGEREF _Toc97625046 \h </w:instrText>
            </w:r>
            <w:r w:rsidR="00D63F3C">
              <w:rPr>
                <w:noProof/>
                <w:webHidden/>
              </w:rPr>
            </w:r>
            <w:r w:rsidR="00D63F3C">
              <w:rPr>
                <w:noProof/>
                <w:webHidden/>
              </w:rPr>
              <w:fldChar w:fldCharType="separate"/>
            </w:r>
            <w:r w:rsidR="00D63F3C">
              <w:rPr>
                <w:noProof/>
                <w:webHidden/>
              </w:rPr>
              <w:t>6</w:t>
            </w:r>
            <w:r w:rsidR="00D63F3C">
              <w:rPr>
                <w:noProof/>
                <w:webHidden/>
              </w:rPr>
              <w:fldChar w:fldCharType="end"/>
            </w:r>
          </w:hyperlink>
        </w:p>
        <w:p w14:paraId="0D635257" w14:textId="158B3829" w:rsidR="00D63F3C" w:rsidRDefault="00000000">
          <w:pPr>
            <w:pStyle w:val="TOC1"/>
            <w:tabs>
              <w:tab w:val="right" w:leader="dot" w:pos="10990"/>
            </w:tabs>
            <w:rPr>
              <w:rFonts w:eastAsiaTheme="minorEastAsia"/>
              <w:noProof/>
              <w:lang w:eastAsia="en-AU"/>
            </w:rPr>
          </w:pPr>
          <w:hyperlink w:anchor="_Toc97625047" w:history="1">
            <w:r w:rsidR="00D63F3C" w:rsidRPr="00A8702F">
              <w:rPr>
                <w:rStyle w:val="Hyperlink"/>
                <w:noProof/>
              </w:rPr>
              <w:t>Next steps</w:t>
            </w:r>
            <w:r w:rsidR="00D63F3C">
              <w:rPr>
                <w:noProof/>
                <w:webHidden/>
              </w:rPr>
              <w:tab/>
            </w:r>
            <w:r w:rsidR="00D63F3C">
              <w:rPr>
                <w:noProof/>
                <w:webHidden/>
              </w:rPr>
              <w:fldChar w:fldCharType="begin"/>
            </w:r>
            <w:r w:rsidR="00D63F3C">
              <w:rPr>
                <w:noProof/>
                <w:webHidden/>
              </w:rPr>
              <w:instrText xml:space="preserve"> PAGEREF _Toc97625047 \h </w:instrText>
            </w:r>
            <w:r w:rsidR="00D63F3C">
              <w:rPr>
                <w:noProof/>
                <w:webHidden/>
              </w:rPr>
            </w:r>
            <w:r w:rsidR="00D63F3C">
              <w:rPr>
                <w:noProof/>
                <w:webHidden/>
              </w:rPr>
              <w:fldChar w:fldCharType="separate"/>
            </w:r>
            <w:r w:rsidR="00D63F3C">
              <w:rPr>
                <w:noProof/>
                <w:webHidden/>
              </w:rPr>
              <w:t>9</w:t>
            </w:r>
            <w:r w:rsidR="00D63F3C">
              <w:rPr>
                <w:noProof/>
                <w:webHidden/>
              </w:rPr>
              <w:fldChar w:fldCharType="end"/>
            </w:r>
          </w:hyperlink>
        </w:p>
        <w:p w14:paraId="38AE707E" w14:textId="02A51ABE" w:rsidR="00853A85" w:rsidRDefault="00E92641" w:rsidP="6C776710">
          <w:pPr>
            <w:pStyle w:val="TOC1"/>
            <w:tabs>
              <w:tab w:val="right" w:leader="dot" w:pos="10995"/>
            </w:tabs>
            <w:rPr>
              <w:noProof/>
              <w:lang w:eastAsia="en-AU"/>
            </w:rPr>
          </w:pPr>
          <w:r>
            <w:fldChar w:fldCharType="end"/>
          </w:r>
        </w:p>
      </w:sdtContent>
    </w:sdt>
    <w:p w14:paraId="207FCD20" w14:textId="512142A3" w:rsidR="008A1382" w:rsidRDefault="008A1382"/>
    <w:p w14:paraId="20F45BF3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75987468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20B66E1F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76AA5B4A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5D5B9E07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5661D4E0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1B323419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19A83FAD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1283418C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68F508B8" w14:textId="77777777" w:rsidR="00505566" w:rsidRDefault="00505566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77EB4CE9" w14:textId="77777777" w:rsidR="008A1382" w:rsidRDefault="008A1382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285A84F7" w14:textId="77777777" w:rsidR="008A1382" w:rsidRDefault="008A1382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614BC2F1" w14:textId="77777777" w:rsidR="008A1382" w:rsidRDefault="008A1382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55248E62" w14:textId="77777777" w:rsidR="008A1382" w:rsidRDefault="008A1382" w:rsidP="00830ACC">
      <w:pPr>
        <w:ind w:left="567" w:right="567"/>
        <w:rPr>
          <w:rFonts w:ascii="Arial" w:hAnsi="Arial" w:cs="Arial"/>
          <w:b/>
          <w:bCs/>
          <w:sz w:val="24"/>
          <w:szCs w:val="24"/>
        </w:rPr>
      </w:pPr>
    </w:p>
    <w:p w14:paraId="31E8D09E" w14:textId="77777777" w:rsidR="005B7F89" w:rsidRDefault="005B7F89" w:rsidP="004312EA">
      <w:pPr>
        <w:pStyle w:val="Heading1"/>
      </w:pPr>
    </w:p>
    <w:p w14:paraId="20428491" w14:textId="77777777" w:rsidR="005B7F89" w:rsidRDefault="005B7F89" w:rsidP="004312EA">
      <w:pPr>
        <w:pStyle w:val="Heading1"/>
      </w:pPr>
    </w:p>
    <w:p w14:paraId="7E5706AE" w14:textId="77777777" w:rsidR="005B7F89" w:rsidRDefault="005B7F89" w:rsidP="004312EA">
      <w:pPr>
        <w:pStyle w:val="Heading1"/>
      </w:pPr>
    </w:p>
    <w:p w14:paraId="32E7B9FA" w14:textId="77777777" w:rsidR="005B7F89" w:rsidRDefault="005B7F89" w:rsidP="004312EA">
      <w:pPr>
        <w:pStyle w:val="Heading1"/>
      </w:pPr>
    </w:p>
    <w:p w14:paraId="05E100EF" w14:textId="77777777" w:rsidR="005B7F89" w:rsidRDefault="005B7F89" w:rsidP="004312EA">
      <w:pPr>
        <w:pStyle w:val="Heading1"/>
      </w:pPr>
    </w:p>
    <w:p w14:paraId="6A104E9C" w14:textId="77777777" w:rsidR="005B7F89" w:rsidRDefault="005B7F89" w:rsidP="004312EA">
      <w:pPr>
        <w:pStyle w:val="Heading1"/>
      </w:pPr>
    </w:p>
    <w:p w14:paraId="5B067ABA" w14:textId="77777777" w:rsidR="005B7F89" w:rsidRDefault="005B7F89" w:rsidP="004312EA">
      <w:pPr>
        <w:pStyle w:val="Heading1"/>
      </w:pPr>
    </w:p>
    <w:p w14:paraId="49F0138B" w14:textId="77777777" w:rsidR="005B7F89" w:rsidRDefault="005B7F89" w:rsidP="004312EA">
      <w:pPr>
        <w:pStyle w:val="Heading1"/>
      </w:pPr>
    </w:p>
    <w:p w14:paraId="6C3D321B" w14:textId="77777777" w:rsidR="005B7F89" w:rsidRDefault="005B7F89" w:rsidP="004312EA">
      <w:pPr>
        <w:pStyle w:val="Heading1"/>
      </w:pPr>
    </w:p>
    <w:p w14:paraId="666F1B16" w14:textId="30E2A96A" w:rsidR="004E37B0" w:rsidRDefault="00AB031B" w:rsidP="004E37B0">
      <w:pPr>
        <w:pStyle w:val="Heading1"/>
        <w:ind w:firstLine="538"/>
      </w:pPr>
      <w:bookmarkStart w:id="0" w:name="_Toc97625041"/>
      <w:r>
        <w:t>Acknowledgement</w:t>
      </w:r>
      <w:r w:rsidR="00F81F8D">
        <w:t xml:space="preserve"> of Country</w:t>
      </w:r>
      <w:bookmarkEnd w:id="0"/>
    </w:p>
    <w:p w14:paraId="0F909AD1" w14:textId="552CB253" w:rsidR="001D4E58" w:rsidRDefault="00F81F8D" w:rsidP="001D4E58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001D4E58">
        <w:rPr>
          <w:rFonts w:ascii="Arial" w:eastAsia="Times New Roman" w:hAnsi="Arial" w:cs="Times New Roman"/>
          <w:color w:val="53565A" w:themeColor="accent2"/>
        </w:rPr>
        <w:t xml:space="preserve">We acknowledge the Traditional Owners of lands and waterways within the City of Maribyrnong being the Bunurong and Wurundjeri peoples and pay our respects to </w:t>
      </w:r>
      <w:r w:rsidR="00747AC2" w:rsidRPr="001D4E58">
        <w:rPr>
          <w:rFonts w:ascii="Arial" w:eastAsia="Times New Roman" w:hAnsi="Arial" w:cs="Times New Roman"/>
          <w:color w:val="53565A" w:themeColor="accent2"/>
        </w:rPr>
        <w:t xml:space="preserve">their Elders past, </w:t>
      </w:r>
      <w:proofErr w:type="gramStart"/>
      <w:r w:rsidR="00747AC2" w:rsidRPr="001D4E58">
        <w:rPr>
          <w:rFonts w:ascii="Arial" w:eastAsia="Times New Roman" w:hAnsi="Arial" w:cs="Times New Roman"/>
          <w:color w:val="53565A" w:themeColor="accent2"/>
        </w:rPr>
        <w:t>present</w:t>
      </w:r>
      <w:proofErr w:type="gramEnd"/>
      <w:r w:rsidR="00747AC2" w:rsidRPr="001D4E58">
        <w:rPr>
          <w:rFonts w:ascii="Arial" w:eastAsia="Times New Roman" w:hAnsi="Arial" w:cs="Times New Roman"/>
          <w:color w:val="53565A" w:themeColor="accent2"/>
        </w:rPr>
        <w:t xml:space="preserve"> and emerging. We recognise and are committed to protecting the continuing </w:t>
      </w:r>
      <w:r w:rsidR="00377E3A" w:rsidRPr="001D4E58">
        <w:rPr>
          <w:rFonts w:ascii="Arial" w:eastAsia="Times New Roman" w:hAnsi="Arial" w:cs="Times New Roman"/>
          <w:color w:val="53565A" w:themeColor="accent2"/>
        </w:rPr>
        <w:t xml:space="preserve">and traditional connection of both the Bunurong and Wurundjeri Traditional Owners and further acknowledge their contribution in the carrying and nurturing of the lands, </w:t>
      </w:r>
      <w:proofErr w:type="gramStart"/>
      <w:r w:rsidR="00377E3A" w:rsidRPr="001D4E58">
        <w:rPr>
          <w:rFonts w:ascii="Arial" w:eastAsia="Times New Roman" w:hAnsi="Arial" w:cs="Times New Roman"/>
          <w:color w:val="53565A" w:themeColor="accent2"/>
        </w:rPr>
        <w:t>waterways</w:t>
      </w:r>
      <w:proofErr w:type="gramEnd"/>
      <w:r w:rsidR="00377E3A" w:rsidRPr="001D4E58">
        <w:rPr>
          <w:rFonts w:ascii="Arial" w:eastAsia="Times New Roman" w:hAnsi="Arial" w:cs="Times New Roman"/>
          <w:color w:val="53565A" w:themeColor="accent2"/>
        </w:rPr>
        <w:t xml:space="preserve"> and resources of their country. </w:t>
      </w:r>
      <w:r w:rsidR="001D4E58">
        <w:rPr>
          <w:rFonts w:ascii="Arial" w:eastAsia="Times New Roman" w:hAnsi="Arial" w:cs="Times New Roman"/>
          <w:color w:val="53565A" w:themeColor="accent2"/>
        </w:rPr>
        <w:br w:type="page"/>
      </w:r>
    </w:p>
    <w:p w14:paraId="2EC1F62A" w14:textId="77777777" w:rsidR="00AD6CC4" w:rsidRPr="001D4E58" w:rsidRDefault="00AD6CC4" w:rsidP="001D4E58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</w:p>
    <w:p w14:paraId="4E3FE2C6" w14:textId="1DA2092B" w:rsidR="005A77B0" w:rsidRPr="0069096D" w:rsidRDefault="00D579F5" w:rsidP="00927EA8">
      <w:pPr>
        <w:pStyle w:val="Heading1"/>
        <w:ind w:firstLine="538"/>
      </w:pPr>
      <w:bookmarkStart w:id="1" w:name="_Toc97625042"/>
      <w:r>
        <w:t>Introduction</w:t>
      </w:r>
      <w:bookmarkEnd w:id="1"/>
    </w:p>
    <w:p w14:paraId="46145E74" w14:textId="20A4AE6D" w:rsidR="00345CEA" w:rsidRDefault="00D579F5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564E778C">
        <w:rPr>
          <w:rFonts w:ascii="Arial" w:eastAsia="Times New Roman" w:hAnsi="Arial" w:cs="Times New Roman"/>
          <w:color w:val="53565A" w:themeColor="accent2"/>
        </w:rPr>
        <w:t xml:space="preserve">The Victorian Government is investing </w:t>
      </w:r>
      <w:r w:rsidR="005E18B5" w:rsidRPr="564E778C">
        <w:rPr>
          <w:rFonts w:ascii="Arial" w:eastAsia="Times New Roman" w:hAnsi="Arial" w:cs="Times New Roman"/>
          <w:color w:val="53565A" w:themeColor="accent2"/>
        </w:rPr>
        <w:t>significantly in</w:t>
      </w:r>
      <w:r w:rsidR="00B463D8" w:rsidRPr="564E778C">
        <w:rPr>
          <w:rFonts w:ascii="Arial" w:eastAsia="Times New Roman" w:hAnsi="Arial" w:cs="Times New Roman"/>
          <w:color w:val="53565A" w:themeColor="accent2"/>
        </w:rPr>
        <w:t xml:space="preserve"> </w:t>
      </w:r>
      <w:r w:rsidR="006611C5">
        <w:rPr>
          <w:rFonts w:ascii="Arial" w:eastAsia="Times New Roman" w:hAnsi="Arial" w:cs="Times New Roman"/>
          <w:color w:val="53565A" w:themeColor="accent2"/>
        </w:rPr>
        <w:t>multiple</w:t>
      </w:r>
      <w:r w:rsidR="005E18B5" w:rsidRPr="564E778C">
        <w:rPr>
          <w:rFonts w:ascii="Arial" w:eastAsia="Times New Roman" w:hAnsi="Arial" w:cs="Times New Roman"/>
          <w:color w:val="53565A" w:themeColor="accent2"/>
        </w:rPr>
        <w:t xml:space="preserve"> projects that will continue to shape the future of Footscray</w:t>
      </w:r>
      <w:r w:rsidR="0078716C" w:rsidRPr="564E778C">
        <w:rPr>
          <w:rFonts w:ascii="Arial" w:eastAsia="Times New Roman" w:hAnsi="Arial" w:cs="Times New Roman"/>
          <w:color w:val="53565A" w:themeColor="accent2"/>
        </w:rPr>
        <w:t>, these projects include</w:t>
      </w:r>
      <w:r w:rsidR="005E18B5" w:rsidRPr="564E778C">
        <w:rPr>
          <w:rFonts w:ascii="Arial" w:eastAsia="Times New Roman" w:hAnsi="Arial" w:cs="Times New Roman"/>
          <w:color w:val="53565A" w:themeColor="accent2"/>
        </w:rPr>
        <w:t>, the new Footscray Hospital, the Footscray Learning Precinct</w:t>
      </w:r>
      <w:r w:rsidR="008C73E3">
        <w:rPr>
          <w:rFonts w:ascii="Arial" w:eastAsia="Times New Roman" w:hAnsi="Arial" w:cs="Times New Roman"/>
          <w:color w:val="53565A" w:themeColor="accent2"/>
        </w:rPr>
        <w:t xml:space="preserve">, Melbourne Metro </w:t>
      </w:r>
      <w:proofErr w:type="gramStart"/>
      <w:r w:rsidR="008C73E3">
        <w:rPr>
          <w:rFonts w:ascii="Arial" w:eastAsia="Times New Roman" w:hAnsi="Arial" w:cs="Times New Roman"/>
          <w:color w:val="53565A" w:themeColor="accent2"/>
        </w:rPr>
        <w:t>Tunnel</w:t>
      </w:r>
      <w:proofErr w:type="gramEnd"/>
      <w:r w:rsidR="005E18B5" w:rsidRPr="564E778C">
        <w:rPr>
          <w:rFonts w:ascii="Arial" w:eastAsia="Times New Roman" w:hAnsi="Arial" w:cs="Times New Roman"/>
          <w:color w:val="53565A" w:themeColor="accent2"/>
        </w:rPr>
        <w:t xml:space="preserve"> and the Melbourne Airport Rail Link. To leverage this investment, the Department of Jobs, Precincts and Regions</w:t>
      </w:r>
      <w:r w:rsidR="00161679">
        <w:rPr>
          <w:rFonts w:ascii="Arial" w:eastAsia="Times New Roman" w:hAnsi="Arial" w:cs="Times New Roman"/>
          <w:color w:val="53565A" w:themeColor="accent2"/>
        </w:rPr>
        <w:t xml:space="preserve"> (DJPR)</w:t>
      </w:r>
      <w:r w:rsidR="005E18B5" w:rsidRPr="564E778C">
        <w:rPr>
          <w:rFonts w:ascii="Arial" w:eastAsia="Times New Roman" w:hAnsi="Arial" w:cs="Times New Roman"/>
          <w:color w:val="53565A" w:themeColor="accent2"/>
        </w:rPr>
        <w:t xml:space="preserve"> developed the </w:t>
      </w:r>
      <w:hyperlink r:id="rId9">
        <w:r w:rsidR="005E18B5" w:rsidRPr="564E778C">
          <w:rPr>
            <w:rStyle w:val="Hyperlink"/>
            <w:rFonts w:ascii="Arial" w:eastAsia="Times New Roman" w:hAnsi="Arial" w:cs="Times New Roman"/>
          </w:rPr>
          <w:t>Footscray Opportunity and Directions Paper (FODP)</w:t>
        </w:r>
      </w:hyperlink>
      <w:r w:rsidR="005E18B5" w:rsidRPr="564E778C">
        <w:rPr>
          <w:rFonts w:ascii="Arial" w:eastAsia="Times New Roman" w:hAnsi="Arial" w:cs="Times New Roman"/>
          <w:color w:val="53565A" w:themeColor="accent2"/>
        </w:rPr>
        <w:t>. This paper</w:t>
      </w:r>
      <w:r w:rsidR="005E18B5" w:rsidRPr="564E778C" w:rsidDel="003F6AB1">
        <w:rPr>
          <w:rFonts w:ascii="Arial" w:eastAsia="Times New Roman" w:hAnsi="Arial" w:cs="Times New Roman"/>
          <w:color w:val="53565A" w:themeColor="accent2"/>
        </w:rPr>
        <w:t xml:space="preserve"> </w:t>
      </w:r>
      <w:r w:rsidR="003F6AB1">
        <w:rPr>
          <w:rFonts w:ascii="Arial" w:eastAsia="Times New Roman" w:hAnsi="Arial" w:cs="Times New Roman"/>
          <w:color w:val="53565A" w:themeColor="accent2"/>
        </w:rPr>
        <w:t>highlights</w:t>
      </w:r>
      <w:r w:rsidR="003F6AB1" w:rsidRPr="564E778C">
        <w:rPr>
          <w:rFonts w:ascii="Arial" w:eastAsia="Times New Roman" w:hAnsi="Arial" w:cs="Times New Roman"/>
          <w:color w:val="53565A" w:themeColor="accent2"/>
        </w:rPr>
        <w:t xml:space="preserve"> </w:t>
      </w:r>
      <w:r w:rsidR="00CE3CB1" w:rsidRPr="564E778C">
        <w:rPr>
          <w:rFonts w:ascii="Arial" w:eastAsia="Times New Roman" w:hAnsi="Arial" w:cs="Times New Roman"/>
          <w:color w:val="53565A" w:themeColor="accent2"/>
        </w:rPr>
        <w:t xml:space="preserve">the </w:t>
      </w:r>
      <w:r w:rsidR="005E18B5" w:rsidRPr="564E778C">
        <w:rPr>
          <w:rFonts w:ascii="Arial" w:eastAsia="Times New Roman" w:hAnsi="Arial" w:cs="Times New Roman"/>
          <w:color w:val="53565A" w:themeColor="accent2"/>
        </w:rPr>
        <w:t xml:space="preserve">economic, land use, transport, social, </w:t>
      </w:r>
      <w:r w:rsidR="00600E24" w:rsidRPr="564E778C">
        <w:rPr>
          <w:rFonts w:ascii="Arial" w:eastAsia="Times New Roman" w:hAnsi="Arial" w:cs="Times New Roman"/>
          <w:color w:val="53565A" w:themeColor="accent2"/>
        </w:rPr>
        <w:t>creative,</w:t>
      </w:r>
      <w:r w:rsidR="005E18B5" w:rsidRPr="564E778C">
        <w:rPr>
          <w:rFonts w:ascii="Arial" w:eastAsia="Times New Roman" w:hAnsi="Arial" w:cs="Times New Roman"/>
          <w:color w:val="53565A" w:themeColor="accent2"/>
        </w:rPr>
        <w:t xml:space="preserve"> and sustainable </w:t>
      </w:r>
      <w:r w:rsidR="003F6AB1" w:rsidRPr="564E778C">
        <w:rPr>
          <w:rFonts w:ascii="Arial" w:eastAsia="Times New Roman" w:hAnsi="Arial" w:cs="Times New Roman"/>
          <w:color w:val="53565A" w:themeColor="accent2"/>
        </w:rPr>
        <w:t>o</w:t>
      </w:r>
      <w:r w:rsidR="003F6AB1">
        <w:rPr>
          <w:rFonts w:ascii="Arial" w:eastAsia="Times New Roman" w:hAnsi="Arial" w:cs="Times New Roman"/>
          <w:color w:val="53565A" w:themeColor="accent2"/>
        </w:rPr>
        <w:t>pportunities</w:t>
      </w:r>
      <w:r w:rsidR="003F6AB1" w:rsidRPr="564E778C">
        <w:rPr>
          <w:rFonts w:ascii="Arial" w:eastAsia="Times New Roman" w:hAnsi="Arial" w:cs="Times New Roman"/>
          <w:color w:val="53565A" w:themeColor="accent2"/>
        </w:rPr>
        <w:t xml:space="preserve"> </w:t>
      </w:r>
      <w:r w:rsidR="005E18B5" w:rsidRPr="564E778C">
        <w:rPr>
          <w:rFonts w:ascii="Arial" w:eastAsia="Times New Roman" w:hAnsi="Arial" w:cs="Times New Roman"/>
          <w:color w:val="53565A" w:themeColor="accent2"/>
        </w:rPr>
        <w:t>that will drive future investment and activity in Footscray.</w:t>
      </w:r>
      <w:r w:rsidR="00917271" w:rsidRPr="564E778C">
        <w:rPr>
          <w:rFonts w:ascii="Arial" w:eastAsia="Times New Roman" w:hAnsi="Arial" w:cs="Times New Roman"/>
          <w:color w:val="53565A" w:themeColor="accent2"/>
        </w:rPr>
        <w:t xml:space="preserve"> </w:t>
      </w:r>
      <w:r>
        <w:br/>
      </w:r>
      <w:r w:rsidR="00345CEA" w:rsidRPr="564E778C">
        <w:rPr>
          <w:rFonts w:ascii="Arial" w:eastAsia="Times New Roman" w:hAnsi="Arial" w:cs="Times New Roman"/>
          <w:color w:val="53565A" w:themeColor="accent2"/>
        </w:rPr>
        <w:t xml:space="preserve">The Victorian Government has welcomed and incorporated key stakeholder comments, feedback and engagement on the working vision, goals and high-level opportunities presented in the draft iteration </w:t>
      </w:r>
      <w:r w:rsidR="00CE3CB1" w:rsidRPr="564E778C">
        <w:rPr>
          <w:rFonts w:ascii="Arial" w:eastAsia="Times New Roman" w:hAnsi="Arial" w:cs="Times New Roman"/>
          <w:color w:val="53565A" w:themeColor="accent2"/>
        </w:rPr>
        <w:t>of the FODP</w:t>
      </w:r>
      <w:r w:rsidR="00345CEA" w:rsidRPr="564E778C">
        <w:rPr>
          <w:rFonts w:ascii="Arial" w:eastAsia="Times New Roman" w:hAnsi="Arial" w:cs="Times New Roman"/>
          <w:color w:val="53565A" w:themeColor="accent2"/>
        </w:rPr>
        <w:t>.</w:t>
      </w:r>
    </w:p>
    <w:p w14:paraId="1AED9E05" w14:textId="67F33F85" w:rsidR="00901F74" w:rsidRDefault="00161679" w:rsidP="3090ADC4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>
        <w:rPr>
          <w:rFonts w:ascii="Arial" w:eastAsia="Times New Roman" w:hAnsi="Arial" w:cs="Times New Roman"/>
          <w:color w:val="53565A" w:themeColor="accent2"/>
        </w:rPr>
        <w:t>DJPR</w:t>
      </w:r>
      <w:r w:rsidR="00345CEA" w:rsidRPr="3090ADC4">
        <w:rPr>
          <w:rFonts w:ascii="Arial" w:eastAsia="Times New Roman" w:hAnsi="Arial" w:cs="Times New Roman"/>
          <w:color w:val="53565A" w:themeColor="accent2"/>
        </w:rPr>
        <w:t xml:space="preserve"> </w:t>
      </w:r>
      <w:r w:rsidR="0021248E">
        <w:rPr>
          <w:rFonts w:ascii="Arial" w:eastAsia="Times New Roman" w:hAnsi="Arial" w:cs="Times New Roman"/>
          <w:color w:val="53565A" w:themeColor="accent2"/>
        </w:rPr>
        <w:t xml:space="preserve">has </w:t>
      </w:r>
      <w:r w:rsidR="00FB1730" w:rsidRPr="3090ADC4">
        <w:rPr>
          <w:rFonts w:ascii="Arial" w:eastAsia="Times New Roman" w:hAnsi="Arial" w:cs="Times New Roman"/>
          <w:color w:val="53565A" w:themeColor="accent2"/>
        </w:rPr>
        <w:t xml:space="preserve">engaged with </w:t>
      </w:r>
      <w:r w:rsidR="006711D1">
        <w:rPr>
          <w:rFonts w:ascii="Arial" w:eastAsia="Times New Roman" w:hAnsi="Arial" w:cs="Times New Roman"/>
          <w:color w:val="53565A" w:themeColor="accent2"/>
        </w:rPr>
        <w:t>a range</w:t>
      </w:r>
      <w:r w:rsidR="5C1A4D18" w:rsidRPr="3090ADC4">
        <w:rPr>
          <w:rFonts w:ascii="Arial" w:eastAsia="Times New Roman" w:hAnsi="Arial" w:cs="Times New Roman"/>
          <w:color w:val="53565A" w:themeColor="accent2"/>
        </w:rPr>
        <w:t xml:space="preserve"> of</w:t>
      </w:r>
      <w:r w:rsidR="00AC559A" w:rsidRPr="3090ADC4">
        <w:rPr>
          <w:rFonts w:ascii="Arial" w:eastAsia="Times New Roman" w:hAnsi="Arial" w:cs="Times New Roman"/>
          <w:color w:val="53565A" w:themeColor="accent2"/>
        </w:rPr>
        <w:t xml:space="preserve"> </w:t>
      </w:r>
      <w:r w:rsidR="00FB1730" w:rsidRPr="3090ADC4">
        <w:rPr>
          <w:rFonts w:ascii="Arial" w:eastAsia="Times New Roman" w:hAnsi="Arial" w:cs="Times New Roman"/>
          <w:color w:val="53565A" w:themeColor="accent2"/>
        </w:rPr>
        <w:t>stakeholders including community groups, businesses</w:t>
      </w:r>
      <w:r w:rsidR="00AC559A" w:rsidRPr="3090ADC4">
        <w:rPr>
          <w:rFonts w:ascii="Arial" w:eastAsia="Times New Roman" w:hAnsi="Arial" w:cs="Times New Roman"/>
          <w:color w:val="53565A" w:themeColor="accent2"/>
        </w:rPr>
        <w:t xml:space="preserve"> associations, </w:t>
      </w:r>
      <w:proofErr w:type="gramStart"/>
      <w:r w:rsidR="00AC559A" w:rsidRPr="3090ADC4">
        <w:rPr>
          <w:rFonts w:ascii="Arial" w:eastAsia="Times New Roman" w:hAnsi="Arial" w:cs="Times New Roman"/>
          <w:color w:val="53565A" w:themeColor="accent2"/>
        </w:rPr>
        <w:t>health</w:t>
      </w:r>
      <w:proofErr w:type="gramEnd"/>
      <w:r w:rsidR="00AC559A" w:rsidRPr="3090ADC4">
        <w:rPr>
          <w:rFonts w:ascii="Arial" w:eastAsia="Times New Roman" w:hAnsi="Arial" w:cs="Times New Roman"/>
          <w:color w:val="53565A" w:themeColor="accent2"/>
        </w:rPr>
        <w:t xml:space="preserve"> and education sectors</w:t>
      </w:r>
      <w:r w:rsidR="00FB1730" w:rsidRPr="3090ADC4">
        <w:rPr>
          <w:rFonts w:ascii="Arial" w:eastAsia="Times New Roman" w:hAnsi="Arial" w:cs="Times New Roman"/>
          <w:color w:val="53565A" w:themeColor="accent2"/>
        </w:rPr>
        <w:t xml:space="preserve"> </w:t>
      </w:r>
      <w:r w:rsidR="00AC559A" w:rsidRPr="3090ADC4">
        <w:rPr>
          <w:rFonts w:ascii="Arial" w:eastAsia="Times New Roman" w:hAnsi="Arial" w:cs="Times New Roman"/>
          <w:color w:val="53565A" w:themeColor="accent2"/>
        </w:rPr>
        <w:t>and</w:t>
      </w:r>
      <w:r w:rsidR="00FB1730" w:rsidRPr="3090ADC4">
        <w:rPr>
          <w:rFonts w:ascii="Arial" w:eastAsia="Times New Roman" w:hAnsi="Arial" w:cs="Times New Roman"/>
          <w:color w:val="53565A" w:themeColor="accent2"/>
        </w:rPr>
        <w:t xml:space="preserve"> </w:t>
      </w:r>
      <w:r w:rsidR="00AC559A" w:rsidRPr="3090ADC4">
        <w:rPr>
          <w:rFonts w:ascii="Arial" w:eastAsia="Times New Roman" w:hAnsi="Arial" w:cs="Times New Roman"/>
          <w:color w:val="53565A" w:themeColor="accent2"/>
        </w:rPr>
        <w:t xml:space="preserve">across </w:t>
      </w:r>
      <w:r w:rsidR="00FB1730" w:rsidRPr="3090ADC4">
        <w:rPr>
          <w:rFonts w:ascii="Arial" w:eastAsia="Times New Roman" w:hAnsi="Arial" w:cs="Times New Roman"/>
          <w:color w:val="53565A" w:themeColor="accent2"/>
        </w:rPr>
        <w:t xml:space="preserve">local and state government </w:t>
      </w:r>
      <w:r w:rsidR="00AC559A" w:rsidRPr="3090ADC4">
        <w:rPr>
          <w:rFonts w:ascii="Arial" w:eastAsia="Times New Roman" w:hAnsi="Arial" w:cs="Times New Roman"/>
          <w:color w:val="53565A" w:themeColor="accent2"/>
        </w:rPr>
        <w:t>departments</w:t>
      </w:r>
      <w:r w:rsidR="00054580">
        <w:rPr>
          <w:rFonts w:ascii="Arial" w:eastAsia="Times New Roman" w:hAnsi="Arial" w:cs="Times New Roman"/>
          <w:color w:val="53565A" w:themeColor="accent2"/>
        </w:rPr>
        <w:t xml:space="preserve"> to ensure the </w:t>
      </w:r>
      <w:r w:rsidR="00A562B7">
        <w:rPr>
          <w:rFonts w:ascii="Arial" w:eastAsia="Times New Roman" w:hAnsi="Arial" w:cs="Times New Roman"/>
          <w:color w:val="53565A" w:themeColor="accent2"/>
        </w:rPr>
        <w:t>FODP</w:t>
      </w:r>
      <w:r w:rsidR="004A0411">
        <w:rPr>
          <w:rFonts w:ascii="Arial" w:eastAsia="Times New Roman" w:hAnsi="Arial" w:cs="Times New Roman"/>
          <w:color w:val="53565A" w:themeColor="accent2"/>
        </w:rPr>
        <w:t xml:space="preserve"> </w:t>
      </w:r>
      <w:r w:rsidR="00054580">
        <w:rPr>
          <w:rFonts w:ascii="Arial" w:eastAsia="Times New Roman" w:hAnsi="Arial" w:cs="Times New Roman"/>
          <w:color w:val="53565A" w:themeColor="accent2"/>
        </w:rPr>
        <w:t>presented an aligned and coordinated vision for the future of Footscray</w:t>
      </w:r>
      <w:r w:rsidR="00FB1730" w:rsidRPr="3090ADC4">
        <w:rPr>
          <w:rFonts w:ascii="Arial" w:eastAsia="Times New Roman" w:hAnsi="Arial" w:cs="Times New Roman"/>
          <w:color w:val="53565A" w:themeColor="accent2"/>
        </w:rPr>
        <w:t>.</w:t>
      </w:r>
      <w:r w:rsidR="00DA6819">
        <w:rPr>
          <w:rFonts w:ascii="Arial" w:eastAsia="Times New Roman" w:hAnsi="Arial" w:cs="Times New Roman"/>
          <w:color w:val="53565A" w:themeColor="accent2"/>
        </w:rPr>
        <w:t xml:space="preserve"> </w:t>
      </w:r>
      <w:r w:rsidR="00566730">
        <w:rPr>
          <w:rFonts w:ascii="Arial" w:eastAsia="Times New Roman" w:hAnsi="Arial" w:cs="Times New Roman"/>
          <w:color w:val="53565A" w:themeColor="accent2"/>
        </w:rPr>
        <w:t>To support</w:t>
      </w:r>
      <w:r w:rsidR="00DA6819" w:rsidDel="00566730">
        <w:rPr>
          <w:rFonts w:ascii="Arial" w:eastAsia="Times New Roman" w:hAnsi="Arial" w:cs="Times New Roman"/>
          <w:color w:val="53565A" w:themeColor="accent2"/>
        </w:rPr>
        <w:t xml:space="preserve"> this, </w:t>
      </w:r>
      <w:r w:rsidR="00DA6819">
        <w:rPr>
          <w:rFonts w:ascii="Arial" w:eastAsia="Times New Roman" w:hAnsi="Arial" w:cs="Times New Roman"/>
          <w:color w:val="53565A" w:themeColor="accent2"/>
        </w:rPr>
        <w:t>DJPR</w:t>
      </w:r>
      <w:r w:rsidR="000105FC">
        <w:rPr>
          <w:rFonts w:ascii="Arial" w:eastAsia="Times New Roman" w:hAnsi="Arial" w:cs="Times New Roman"/>
          <w:color w:val="53565A" w:themeColor="accent2"/>
        </w:rPr>
        <w:t xml:space="preserve"> developed a stakeholder survey</w:t>
      </w:r>
      <w:r w:rsidR="00CB7AFF">
        <w:rPr>
          <w:rFonts w:ascii="Arial" w:eastAsia="Times New Roman" w:hAnsi="Arial" w:cs="Times New Roman"/>
          <w:color w:val="53565A" w:themeColor="accent2"/>
        </w:rPr>
        <w:t xml:space="preserve"> that</w:t>
      </w:r>
      <w:r w:rsidR="000105FC">
        <w:rPr>
          <w:rFonts w:ascii="Arial" w:eastAsia="Times New Roman" w:hAnsi="Arial" w:cs="Times New Roman"/>
          <w:color w:val="53565A" w:themeColor="accent2"/>
        </w:rPr>
        <w:t xml:space="preserve"> </w:t>
      </w:r>
      <w:r w:rsidR="002C34A4">
        <w:rPr>
          <w:rFonts w:ascii="Arial" w:eastAsia="Times New Roman" w:hAnsi="Arial" w:cs="Times New Roman"/>
          <w:color w:val="53565A" w:themeColor="accent2"/>
        </w:rPr>
        <w:t xml:space="preserve">asked </w:t>
      </w:r>
      <w:r w:rsidR="000105FC">
        <w:rPr>
          <w:rFonts w:ascii="Arial" w:eastAsia="Times New Roman" w:hAnsi="Arial" w:cs="Times New Roman"/>
          <w:color w:val="53565A" w:themeColor="accent2"/>
        </w:rPr>
        <w:t>for</w:t>
      </w:r>
      <w:r w:rsidR="001E7ED3">
        <w:rPr>
          <w:rFonts w:ascii="Arial" w:eastAsia="Times New Roman" w:hAnsi="Arial" w:cs="Times New Roman"/>
          <w:color w:val="53565A" w:themeColor="accent2"/>
        </w:rPr>
        <w:t xml:space="preserve"> formalised</w:t>
      </w:r>
      <w:r w:rsidR="000105FC">
        <w:rPr>
          <w:rFonts w:ascii="Arial" w:eastAsia="Times New Roman" w:hAnsi="Arial" w:cs="Times New Roman"/>
          <w:color w:val="53565A" w:themeColor="accent2"/>
        </w:rPr>
        <w:t xml:space="preserve"> </w:t>
      </w:r>
      <w:r w:rsidR="00807B17">
        <w:rPr>
          <w:rFonts w:ascii="Arial" w:eastAsia="Times New Roman" w:hAnsi="Arial" w:cs="Times New Roman"/>
          <w:color w:val="53565A" w:themeColor="accent2"/>
        </w:rPr>
        <w:t>feedback</w:t>
      </w:r>
      <w:r w:rsidR="002C34A4">
        <w:rPr>
          <w:rFonts w:ascii="Arial" w:eastAsia="Times New Roman" w:hAnsi="Arial" w:cs="Times New Roman"/>
          <w:color w:val="53565A" w:themeColor="accent2"/>
        </w:rPr>
        <w:t>. This feedback was then</w:t>
      </w:r>
      <w:r w:rsidR="00807B17">
        <w:rPr>
          <w:rFonts w:ascii="Arial" w:eastAsia="Times New Roman" w:hAnsi="Arial" w:cs="Times New Roman"/>
          <w:color w:val="53565A" w:themeColor="accent2"/>
        </w:rPr>
        <w:t xml:space="preserve"> incorporated into the final version </w:t>
      </w:r>
      <w:r w:rsidR="00CF1EAC">
        <w:rPr>
          <w:rFonts w:ascii="Arial" w:eastAsia="Times New Roman" w:hAnsi="Arial" w:cs="Times New Roman"/>
          <w:color w:val="53565A" w:themeColor="accent2"/>
        </w:rPr>
        <w:t>of the</w:t>
      </w:r>
      <w:r w:rsidR="00124E66" w:rsidRPr="3090ADC4">
        <w:rPr>
          <w:rFonts w:ascii="Arial" w:eastAsia="Times New Roman" w:hAnsi="Arial" w:cs="Times New Roman"/>
          <w:color w:val="53565A" w:themeColor="accent2"/>
        </w:rPr>
        <w:t xml:space="preserve"> </w:t>
      </w:r>
      <w:r w:rsidR="0013085F">
        <w:rPr>
          <w:rFonts w:ascii="Arial" w:eastAsia="Times New Roman" w:hAnsi="Arial" w:cs="Times New Roman"/>
          <w:color w:val="53565A" w:themeColor="accent2"/>
        </w:rPr>
        <w:t>FODP</w:t>
      </w:r>
      <w:r w:rsidR="00807B17">
        <w:rPr>
          <w:rFonts w:ascii="Arial" w:eastAsia="Times New Roman" w:hAnsi="Arial" w:cs="Times New Roman"/>
          <w:color w:val="53565A" w:themeColor="accent2"/>
        </w:rPr>
        <w:t xml:space="preserve">. </w:t>
      </w:r>
    </w:p>
    <w:p w14:paraId="6CF02367" w14:textId="6E70E646" w:rsidR="00901F74" w:rsidRDefault="00901F74" w:rsidP="00927EA8">
      <w:pPr>
        <w:pStyle w:val="Heading1"/>
        <w:ind w:firstLine="538"/>
      </w:pPr>
      <w:bookmarkStart w:id="2" w:name="_Toc97625043"/>
      <w:r>
        <w:t>Purpose</w:t>
      </w:r>
      <w:bookmarkEnd w:id="2"/>
    </w:p>
    <w:p w14:paraId="28E1791D" w14:textId="22E90D44" w:rsidR="00901F74" w:rsidRDefault="0056144E" w:rsidP="00407733">
      <w:pPr>
        <w:spacing w:before="120" w:after="200" w:line="240" w:lineRule="auto"/>
        <w:ind w:left="567"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Times New Roman"/>
          <w:color w:val="53565A" w:themeColor="accent2"/>
        </w:rPr>
        <w:t xml:space="preserve">The purpose of </w:t>
      </w:r>
      <w:r w:rsidR="00800E9C">
        <w:rPr>
          <w:rFonts w:ascii="Arial" w:eastAsia="Times New Roman" w:hAnsi="Arial" w:cs="Times New Roman"/>
          <w:color w:val="53565A" w:themeColor="accent2"/>
        </w:rPr>
        <w:t xml:space="preserve">the </w:t>
      </w:r>
      <w:r w:rsidR="00A50111">
        <w:rPr>
          <w:rFonts w:ascii="Arial" w:eastAsia="Times New Roman" w:hAnsi="Arial" w:cs="Times New Roman"/>
          <w:color w:val="53565A" w:themeColor="accent2"/>
        </w:rPr>
        <w:t>FODP</w:t>
      </w:r>
      <w:r w:rsidR="00346F24">
        <w:rPr>
          <w:rFonts w:ascii="Arial" w:eastAsia="Times New Roman" w:hAnsi="Arial" w:cs="Times New Roman"/>
          <w:color w:val="53565A" w:themeColor="accent2"/>
        </w:rPr>
        <w:t xml:space="preserve"> is </w:t>
      </w:r>
      <w:r>
        <w:rPr>
          <w:rFonts w:ascii="Arial" w:eastAsia="Times New Roman" w:hAnsi="Arial" w:cs="Times New Roman"/>
          <w:color w:val="53565A" w:themeColor="accent2"/>
        </w:rPr>
        <w:t xml:space="preserve">to </w:t>
      </w:r>
      <w:r w:rsidR="001A07BE">
        <w:rPr>
          <w:rFonts w:ascii="Arial" w:eastAsia="Times New Roman" w:hAnsi="Arial" w:cs="Times New Roman"/>
          <w:color w:val="53565A" w:themeColor="accent2"/>
        </w:rPr>
        <w:t>develop</w:t>
      </w:r>
      <w:r w:rsidR="008637D5">
        <w:rPr>
          <w:rFonts w:ascii="Arial" w:eastAsia="Times New Roman" w:hAnsi="Arial" w:cs="Times New Roman"/>
          <w:color w:val="53565A" w:themeColor="accent2"/>
        </w:rPr>
        <w:t xml:space="preserve"> </w:t>
      </w:r>
      <w:r w:rsidR="00D260B2">
        <w:rPr>
          <w:rFonts w:ascii="Arial" w:eastAsia="Times New Roman" w:hAnsi="Arial" w:cs="Times New Roman"/>
          <w:color w:val="53565A" w:themeColor="accent2"/>
        </w:rPr>
        <w:t>a vision for Footscray</w:t>
      </w:r>
      <w:r w:rsidR="002B0D7D">
        <w:rPr>
          <w:rFonts w:ascii="Arial" w:eastAsia="Times New Roman" w:hAnsi="Arial" w:cs="Times New Roman"/>
          <w:color w:val="53565A" w:themeColor="accent2"/>
        </w:rPr>
        <w:t xml:space="preserve"> that respects th</w:t>
      </w:r>
      <w:r w:rsidR="00E4363D">
        <w:rPr>
          <w:rFonts w:ascii="Arial" w:eastAsia="Times New Roman" w:hAnsi="Arial" w:cs="Times New Roman"/>
          <w:color w:val="53565A" w:themeColor="accent2"/>
        </w:rPr>
        <w:t>e</w:t>
      </w:r>
      <w:r w:rsidR="002B0D7D">
        <w:rPr>
          <w:rFonts w:ascii="Arial" w:eastAsia="Times New Roman" w:hAnsi="Arial" w:cs="Times New Roman"/>
          <w:color w:val="53565A" w:themeColor="accent2"/>
        </w:rPr>
        <w:t xml:space="preserve"> needs and wants </w:t>
      </w:r>
      <w:r w:rsidR="00800E9C">
        <w:rPr>
          <w:rFonts w:ascii="Arial" w:eastAsia="Times New Roman" w:hAnsi="Arial" w:cs="Times New Roman"/>
          <w:color w:val="53565A" w:themeColor="accent2"/>
        </w:rPr>
        <w:t>of those</w:t>
      </w:r>
      <w:r w:rsidR="002B0D7D">
        <w:rPr>
          <w:rFonts w:ascii="Arial" w:eastAsia="Times New Roman" w:hAnsi="Arial" w:cs="Times New Roman"/>
          <w:color w:val="53565A" w:themeColor="accent2"/>
        </w:rPr>
        <w:t xml:space="preserve"> who live, </w:t>
      </w:r>
      <w:r w:rsidR="004D3F9E">
        <w:rPr>
          <w:rFonts w:ascii="Arial" w:eastAsia="Times New Roman" w:hAnsi="Arial" w:cs="Times New Roman"/>
          <w:color w:val="53565A" w:themeColor="accent2"/>
        </w:rPr>
        <w:t>work,</w:t>
      </w:r>
      <w:r w:rsidR="002B0D7D">
        <w:rPr>
          <w:rFonts w:ascii="Arial" w:eastAsia="Times New Roman" w:hAnsi="Arial" w:cs="Times New Roman"/>
          <w:color w:val="53565A" w:themeColor="accent2"/>
        </w:rPr>
        <w:t xml:space="preserve"> and play in Footscray. </w:t>
      </w:r>
    </w:p>
    <w:p w14:paraId="28D3EEF3" w14:textId="22C0C9CC" w:rsidR="00901F74" w:rsidRDefault="00E42FAB" w:rsidP="00927EA8">
      <w:pPr>
        <w:pStyle w:val="Heading1"/>
        <w:ind w:firstLine="538"/>
      </w:pPr>
      <w:bookmarkStart w:id="3" w:name="_Toc97625044"/>
      <w:r>
        <w:t>E</w:t>
      </w:r>
      <w:r w:rsidR="00901F74">
        <w:t>ngagement</w:t>
      </w:r>
      <w:bookmarkEnd w:id="3"/>
    </w:p>
    <w:p w14:paraId="3EFC03FE" w14:textId="7F475F86" w:rsidR="00D412D7" w:rsidRDefault="2337FEFC" w:rsidP="00407733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7CFD74FF">
        <w:rPr>
          <w:rFonts w:ascii="Arial" w:eastAsia="Times New Roman" w:hAnsi="Arial" w:cs="Times New Roman"/>
          <w:color w:val="53565A" w:themeColor="accent2"/>
        </w:rPr>
        <w:t xml:space="preserve">To ensure any future investment and projects are coordinated, </w:t>
      </w:r>
      <w:r w:rsidR="33A86EF1" w:rsidRPr="7CFD74FF">
        <w:rPr>
          <w:rFonts w:ascii="Arial" w:eastAsia="Times New Roman" w:hAnsi="Arial" w:cs="Times New Roman"/>
          <w:color w:val="53565A" w:themeColor="accent2"/>
        </w:rPr>
        <w:t xml:space="preserve">DJPR established a </w:t>
      </w:r>
      <w:r w:rsidR="0013085F">
        <w:rPr>
          <w:rFonts w:ascii="Arial" w:eastAsia="Times New Roman" w:hAnsi="Arial" w:cs="Times New Roman"/>
          <w:color w:val="53565A" w:themeColor="accent2"/>
        </w:rPr>
        <w:t>Working</w:t>
      </w:r>
      <w:r w:rsidR="0013085F" w:rsidRPr="7CFD74FF">
        <w:rPr>
          <w:rFonts w:ascii="Arial" w:eastAsia="Times New Roman" w:hAnsi="Arial" w:cs="Times New Roman"/>
          <w:color w:val="53565A" w:themeColor="accent2"/>
        </w:rPr>
        <w:t xml:space="preserve"> </w:t>
      </w:r>
      <w:r w:rsidR="0013085F">
        <w:rPr>
          <w:rFonts w:ascii="Arial" w:eastAsia="Times New Roman" w:hAnsi="Arial" w:cs="Times New Roman"/>
          <w:color w:val="53565A" w:themeColor="accent2"/>
        </w:rPr>
        <w:t>G</w:t>
      </w:r>
      <w:r w:rsidR="33A86EF1" w:rsidRPr="7CFD74FF">
        <w:rPr>
          <w:rFonts w:ascii="Arial" w:eastAsia="Times New Roman" w:hAnsi="Arial" w:cs="Times New Roman"/>
          <w:color w:val="53565A" w:themeColor="accent2"/>
        </w:rPr>
        <w:t>roup</w:t>
      </w:r>
      <w:r w:rsidR="16BA49C5" w:rsidRPr="7CFD74FF">
        <w:rPr>
          <w:rFonts w:ascii="Arial" w:eastAsia="Times New Roman" w:hAnsi="Arial" w:cs="Times New Roman"/>
          <w:color w:val="53565A" w:themeColor="accent2"/>
        </w:rPr>
        <w:t xml:space="preserve"> which</w:t>
      </w:r>
      <w:r w:rsidR="33A86EF1" w:rsidRPr="7CFD74FF">
        <w:rPr>
          <w:rFonts w:ascii="Arial" w:eastAsia="Times New Roman" w:hAnsi="Arial" w:cs="Times New Roman"/>
          <w:color w:val="53565A" w:themeColor="accent2"/>
        </w:rPr>
        <w:t xml:space="preserve"> included a range of stakeholders</w:t>
      </w:r>
      <w:r w:rsidR="4383992F" w:rsidRPr="7CFD74FF">
        <w:rPr>
          <w:rFonts w:ascii="Arial" w:eastAsia="Times New Roman" w:hAnsi="Arial" w:cs="Times New Roman"/>
          <w:color w:val="53565A" w:themeColor="accent2"/>
        </w:rPr>
        <w:t>.</w:t>
      </w:r>
      <w:r w:rsidR="1F517787" w:rsidRPr="7CFD74FF">
        <w:rPr>
          <w:rFonts w:ascii="Arial" w:eastAsia="Times New Roman" w:hAnsi="Arial" w:cs="Times New Roman"/>
          <w:color w:val="53565A" w:themeColor="accent2"/>
        </w:rPr>
        <w:t xml:space="preserve"> </w:t>
      </w:r>
      <w:r w:rsidR="00D14B45">
        <w:rPr>
          <w:rFonts w:ascii="Arial" w:eastAsia="Times New Roman" w:hAnsi="Arial" w:cs="Times New Roman"/>
          <w:color w:val="53565A" w:themeColor="accent2"/>
        </w:rPr>
        <w:t xml:space="preserve">The coordination group included </w:t>
      </w:r>
      <w:r w:rsidR="0E730BF6" w:rsidRPr="7CFD74FF">
        <w:rPr>
          <w:rFonts w:ascii="Arial" w:eastAsia="Times New Roman" w:hAnsi="Arial" w:cs="Times New Roman"/>
          <w:color w:val="53565A" w:themeColor="accent2"/>
        </w:rPr>
        <w:t>state and local government, various transport</w:t>
      </w:r>
      <w:r w:rsidR="0C7391FF" w:rsidRPr="7CFD74FF">
        <w:rPr>
          <w:rFonts w:ascii="Arial" w:eastAsia="Times New Roman" w:hAnsi="Arial" w:cs="Times New Roman"/>
          <w:color w:val="53565A" w:themeColor="accent2"/>
        </w:rPr>
        <w:t xml:space="preserve">, </w:t>
      </w:r>
      <w:proofErr w:type="gramStart"/>
      <w:r w:rsidR="1F517787" w:rsidRPr="7CFD74FF">
        <w:rPr>
          <w:rFonts w:ascii="Arial" w:eastAsia="Times New Roman" w:hAnsi="Arial" w:cs="Times New Roman"/>
          <w:color w:val="53565A" w:themeColor="accent2"/>
        </w:rPr>
        <w:t>health</w:t>
      </w:r>
      <w:proofErr w:type="gramEnd"/>
      <w:r w:rsidR="000866B8">
        <w:rPr>
          <w:rFonts w:ascii="Arial" w:eastAsia="Times New Roman" w:hAnsi="Arial" w:cs="Times New Roman"/>
          <w:color w:val="53565A" w:themeColor="accent2"/>
        </w:rPr>
        <w:t xml:space="preserve"> and</w:t>
      </w:r>
      <w:r w:rsidR="1F517787" w:rsidRPr="7CFD74FF">
        <w:rPr>
          <w:rFonts w:ascii="Arial" w:eastAsia="Times New Roman" w:hAnsi="Arial" w:cs="Times New Roman"/>
          <w:color w:val="53565A" w:themeColor="accent2"/>
        </w:rPr>
        <w:t xml:space="preserve"> </w:t>
      </w:r>
      <w:r w:rsidR="0E730BF6" w:rsidRPr="7CFD74FF">
        <w:rPr>
          <w:rFonts w:ascii="Arial" w:eastAsia="Times New Roman" w:hAnsi="Arial" w:cs="Times New Roman"/>
          <w:color w:val="53565A" w:themeColor="accent2"/>
        </w:rPr>
        <w:t>education</w:t>
      </w:r>
      <w:r w:rsidR="000866B8">
        <w:rPr>
          <w:rFonts w:ascii="Arial" w:eastAsia="Times New Roman" w:hAnsi="Arial" w:cs="Times New Roman"/>
          <w:color w:val="53565A" w:themeColor="accent2"/>
        </w:rPr>
        <w:t xml:space="preserve"> agencies as well as</w:t>
      </w:r>
      <w:r w:rsidR="00402457">
        <w:rPr>
          <w:rFonts w:ascii="Arial" w:eastAsia="Times New Roman" w:hAnsi="Arial" w:cs="Times New Roman"/>
          <w:color w:val="53565A" w:themeColor="accent2"/>
        </w:rPr>
        <w:t xml:space="preserve"> local-based</w:t>
      </w:r>
      <w:r w:rsidR="0C7391FF" w:rsidRPr="7CFD74FF">
        <w:rPr>
          <w:rFonts w:ascii="Arial" w:eastAsia="Times New Roman" w:hAnsi="Arial" w:cs="Times New Roman"/>
          <w:color w:val="53565A" w:themeColor="accent2"/>
        </w:rPr>
        <w:t xml:space="preserve"> advocacy</w:t>
      </w:r>
      <w:r w:rsidR="0E730BF6" w:rsidRPr="7CFD74FF">
        <w:rPr>
          <w:rFonts w:ascii="Arial" w:eastAsia="Times New Roman" w:hAnsi="Arial" w:cs="Times New Roman"/>
          <w:color w:val="53565A" w:themeColor="accent2"/>
        </w:rPr>
        <w:t xml:space="preserve"> and</w:t>
      </w:r>
      <w:r w:rsidR="1F517787" w:rsidRPr="7CFD74FF">
        <w:rPr>
          <w:rFonts w:ascii="Arial" w:eastAsia="Times New Roman" w:hAnsi="Arial" w:cs="Times New Roman"/>
          <w:color w:val="53565A" w:themeColor="accent2"/>
        </w:rPr>
        <w:t xml:space="preserve"> trader</w:t>
      </w:r>
      <w:r w:rsidR="0E730BF6" w:rsidRPr="7CFD74FF">
        <w:rPr>
          <w:rFonts w:ascii="Arial" w:eastAsia="Times New Roman" w:hAnsi="Arial" w:cs="Times New Roman"/>
          <w:color w:val="53565A" w:themeColor="accent2"/>
        </w:rPr>
        <w:t xml:space="preserve"> </w:t>
      </w:r>
      <w:r w:rsidR="0C7391FF" w:rsidRPr="7CFD74FF">
        <w:rPr>
          <w:rFonts w:ascii="Arial" w:eastAsia="Times New Roman" w:hAnsi="Arial" w:cs="Times New Roman"/>
          <w:color w:val="53565A" w:themeColor="accent2"/>
        </w:rPr>
        <w:t>associations</w:t>
      </w:r>
      <w:r w:rsidR="0E730BF6" w:rsidRPr="7CFD74FF">
        <w:rPr>
          <w:rFonts w:ascii="Arial" w:eastAsia="Times New Roman" w:hAnsi="Arial" w:cs="Times New Roman"/>
          <w:color w:val="53565A" w:themeColor="accent2"/>
        </w:rPr>
        <w:t xml:space="preserve">. </w:t>
      </w:r>
    </w:p>
    <w:p w14:paraId="22406835" w14:textId="622935E5" w:rsidR="47481B6C" w:rsidRDefault="0CD7B714" w:rsidP="00407733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7CFD74FF">
        <w:rPr>
          <w:rFonts w:ascii="Arial" w:eastAsia="Times New Roman" w:hAnsi="Arial" w:cs="Times New Roman"/>
          <w:color w:val="53565A" w:themeColor="accent2"/>
        </w:rPr>
        <w:t xml:space="preserve">The </w:t>
      </w:r>
      <w:r w:rsidR="0013085F">
        <w:rPr>
          <w:rFonts w:ascii="Arial" w:eastAsia="Times New Roman" w:hAnsi="Arial" w:cs="Times New Roman"/>
          <w:color w:val="53565A" w:themeColor="accent2"/>
        </w:rPr>
        <w:t>Working Group</w:t>
      </w:r>
      <w:r w:rsidRPr="7CFD74FF">
        <w:rPr>
          <w:rFonts w:ascii="Arial" w:eastAsia="Times New Roman" w:hAnsi="Arial" w:cs="Times New Roman"/>
          <w:color w:val="53565A" w:themeColor="accent2"/>
        </w:rPr>
        <w:t xml:space="preserve"> met monthly, </w:t>
      </w:r>
      <w:proofErr w:type="gramStart"/>
      <w:r w:rsidR="008D1826">
        <w:rPr>
          <w:rFonts w:ascii="Arial" w:eastAsia="Times New Roman" w:hAnsi="Arial" w:cs="Times New Roman"/>
          <w:color w:val="53565A" w:themeColor="accent2"/>
        </w:rPr>
        <w:t>shared</w:t>
      </w:r>
      <w:proofErr w:type="gramEnd"/>
      <w:r w:rsidR="008D1826">
        <w:rPr>
          <w:rFonts w:ascii="Arial" w:eastAsia="Times New Roman" w:hAnsi="Arial" w:cs="Times New Roman"/>
          <w:color w:val="53565A" w:themeColor="accent2"/>
        </w:rPr>
        <w:t xml:space="preserve"> and </w:t>
      </w:r>
      <w:r w:rsidRPr="7CFD74FF">
        <w:rPr>
          <w:rFonts w:ascii="Arial" w:eastAsia="Times New Roman" w:hAnsi="Arial" w:cs="Times New Roman"/>
          <w:color w:val="53565A" w:themeColor="accent2"/>
        </w:rPr>
        <w:t>discussed ongoing projects and events</w:t>
      </w:r>
      <w:r w:rsidR="008D1826">
        <w:rPr>
          <w:rFonts w:ascii="Arial" w:eastAsia="Times New Roman" w:hAnsi="Arial" w:cs="Times New Roman"/>
          <w:color w:val="53565A" w:themeColor="accent2"/>
        </w:rPr>
        <w:t xml:space="preserve"> and worked </w:t>
      </w:r>
      <w:r w:rsidR="00A648B2">
        <w:rPr>
          <w:rFonts w:ascii="Arial" w:eastAsia="Times New Roman" w:hAnsi="Arial" w:cs="Times New Roman"/>
          <w:color w:val="53565A" w:themeColor="accent2"/>
        </w:rPr>
        <w:t>collaboratively</w:t>
      </w:r>
      <w:r w:rsidRPr="7CFD74FF">
        <w:rPr>
          <w:rFonts w:ascii="Arial" w:eastAsia="Times New Roman" w:hAnsi="Arial" w:cs="Times New Roman"/>
          <w:color w:val="53565A" w:themeColor="accent2"/>
        </w:rPr>
        <w:t xml:space="preserve"> </w:t>
      </w:r>
      <w:r w:rsidR="0BD2DD53" w:rsidRPr="7CFD74FF">
        <w:rPr>
          <w:rFonts w:ascii="Arial" w:eastAsia="Times New Roman" w:hAnsi="Arial" w:cs="Times New Roman"/>
          <w:color w:val="53565A" w:themeColor="accent2"/>
        </w:rPr>
        <w:t xml:space="preserve">to provide a coordinated outlook on the future direction of Footscray. </w:t>
      </w:r>
      <w:r w:rsidR="122CE178" w:rsidRPr="7CFD74FF">
        <w:rPr>
          <w:rFonts w:ascii="Arial" w:eastAsia="Times New Roman" w:hAnsi="Arial" w:cs="Times New Roman"/>
          <w:color w:val="53565A" w:themeColor="accent2"/>
        </w:rPr>
        <w:t>T</w:t>
      </w:r>
      <w:r w:rsidR="1C636C8B" w:rsidRPr="7CFD74FF">
        <w:rPr>
          <w:rFonts w:ascii="Arial" w:eastAsia="Times New Roman" w:hAnsi="Arial" w:cs="Times New Roman"/>
          <w:color w:val="53565A" w:themeColor="accent2"/>
        </w:rPr>
        <w:t>his</w:t>
      </w:r>
      <w:r w:rsidR="12CEE9CA" w:rsidRPr="7CFD74FF">
        <w:rPr>
          <w:rFonts w:ascii="Arial" w:eastAsia="Times New Roman" w:hAnsi="Arial" w:cs="Times New Roman"/>
          <w:color w:val="53565A" w:themeColor="accent2"/>
        </w:rPr>
        <w:t xml:space="preserve"> </w:t>
      </w:r>
      <w:r w:rsidR="0513A6E5" w:rsidRPr="7CFD74FF">
        <w:rPr>
          <w:rFonts w:ascii="Arial" w:eastAsia="Times New Roman" w:hAnsi="Arial" w:cs="Times New Roman"/>
          <w:color w:val="53565A" w:themeColor="accent2"/>
        </w:rPr>
        <w:t>coordination</w:t>
      </w:r>
      <w:r w:rsidR="12CEE9CA" w:rsidRPr="7CFD74FF">
        <w:rPr>
          <w:rFonts w:ascii="Arial" w:eastAsia="Times New Roman" w:hAnsi="Arial" w:cs="Times New Roman"/>
          <w:color w:val="53565A" w:themeColor="accent2"/>
        </w:rPr>
        <w:t xml:space="preserve"> group was used to guide the development of the FODP, as well discuss other issues such as the development of the new hospital site, the existing hospital </w:t>
      </w:r>
      <w:proofErr w:type="gramStart"/>
      <w:r w:rsidR="12CEE9CA" w:rsidRPr="7CFD74FF">
        <w:rPr>
          <w:rFonts w:ascii="Arial" w:eastAsia="Times New Roman" w:hAnsi="Arial" w:cs="Times New Roman"/>
          <w:color w:val="53565A" w:themeColor="accent2"/>
        </w:rPr>
        <w:t>site</w:t>
      </w:r>
      <w:proofErr w:type="gramEnd"/>
      <w:r w:rsidR="12CEE9CA" w:rsidRPr="7CFD74FF">
        <w:rPr>
          <w:rFonts w:ascii="Arial" w:eastAsia="Times New Roman" w:hAnsi="Arial" w:cs="Times New Roman"/>
          <w:color w:val="53565A" w:themeColor="accent2"/>
        </w:rPr>
        <w:t xml:space="preserve"> and other on-going </w:t>
      </w:r>
      <w:r w:rsidR="3B898B5B" w:rsidRPr="7CFD74FF">
        <w:rPr>
          <w:rFonts w:ascii="Arial" w:eastAsia="Times New Roman" w:hAnsi="Arial" w:cs="Times New Roman"/>
          <w:color w:val="53565A" w:themeColor="accent2"/>
        </w:rPr>
        <w:t xml:space="preserve">projects in Footscray. </w:t>
      </w:r>
      <w:r w:rsidR="1C636C8B" w:rsidRPr="7CFD74FF">
        <w:rPr>
          <w:rFonts w:ascii="Arial" w:eastAsia="Times New Roman" w:hAnsi="Arial" w:cs="Times New Roman"/>
          <w:color w:val="53565A" w:themeColor="accent2"/>
        </w:rPr>
        <w:t xml:space="preserve"> </w:t>
      </w:r>
    </w:p>
    <w:p w14:paraId="0F1EF6AA" w14:textId="1F06B517" w:rsidR="586A0B9E" w:rsidRDefault="586A0B9E" w:rsidP="176207F7">
      <w:pPr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176207F7">
        <w:rPr>
          <w:rFonts w:ascii="Arial" w:eastAsia="Times New Roman" w:hAnsi="Arial" w:cs="Times New Roman"/>
          <w:color w:val="53565A" w:themeColor="accent2"/>
        </w:rPr>
        <w:t xml:space="preserve">When the draft FODP was developed, </w:t>
      </w:r>
      <w:r w:rsidR="00B25DAE">
        <w:rPr>
          <w:rFonts w:ascii="Arial" w:eastAsia="Times New Roman" w:hAnsi="Arial" w:cs="Times New Roman"/>
          <w:color w:val="53565A" w:themeColor="accent2"/>
        </w:rPr>
        <w:t xml:space="preserve">DJPR established </w:t>
      </w:r>
      <w:r w:rsidR="1730F241" w:rsidRPr="176207F7">
        <w:rPr>
          <w:rFonts w:ascii="Arial" w:eastAsia="Times New Roman" w:hAnsi="Arial" w:cs="Times New Roman"/>
          <w:color w:val="53565A" w:themeColor="accent2"/>
        </w:rPr>
        <w:t>one-on-one meetings with individual stakeholders</w:t>
      </w:r>
      <w:r w:rsidR="000401E9">
        <w:rPr>
          <w:rFonts w:ascii="Arial" w:eastAsia="Times New Roman" w:hAnsi="Arial" w:cs="Times New Roman"/>
          <w:color w:val="53565A" w:themeColor="accent2"/>
        </w:rPr>
        <w:t xml:space="preserve"> to gather</w:t>
      </w:r>
      <w:r w:rsidR="7B205E7C" w:rsidRPr="176207F7">
        <w:rPr>
          <w:rFonts w:ascii="Arial" w:eastAsia="Times New Roman" w:hAnsi="Arial" w:cs="Times New Roman"/>
          <w:color w:val="53565A" w:themeColor="accent2"/>
        </w:rPr>
        <w:t xml:space="preserve"> feedback. </w:t>
      </w:r>
      <w:r w:rsidR="00B94BF2">
        <w:rPr>
          <w:rFonts w:ascii="Arial" w:eastAsia="Times New Roman" w:hAnsi="Arial" w:cs="Times New Roman"/>
          <w:color w:val="53565A" w:themeColor="accent2"/>
        </w:rPr>
        <w:t>This</w:t>
      </w:r>
      <w:r w:rsidR="5E62120B" w:rsidRPr="176207F7">
        <w:rPr>
          <w:rFonts w:ascii="Arial" w:eastAsia="Times New Roman" w:hAnsi="Arial" w:cs="Times New Roman"/>
          <w:color w:val="53565A" w:themeColor="accent2"/>
        </w:rPr>
        <w:t xml:space="preserve"> feedback</w:t>
      </w:r>
      <w:r w:rsidR="00B94BF2">
        <w:rPr>
          <w:rFonts w:ascii="Arial" w:eastAsia="Times New Roman" w:hAnsi="Arial" w:cs="Times New Roman"/>
          <w:color w:val="53565A" w:themeColor="accent2"/>
        </w:rPr>
        <w:t xml:space="preserve"> was then incorporated into the </w:t>
      </w:r>
      <w:r w:rsidR="5E62120B" w:rsidRPr="176207F7">
        <w:rPr>
          <w:rFonts w:ascii="Arial" w:eastAsia="Times New Roman" w:hAnsi="Arial" w:cs="Times New Roman"/>
          <w:color w:val="53565A" w:themeColor="accent2"/>
        </w:rPr>
        <w:t xml:space="preserve">final iteration of the FODP document. </w:t>
      </w:r>
    </w:p>
    <w:p w14:paraId="41BA734A" w14:textId="5F5DF896" w:rsidR="005A2207" w:rsidRDefault="3DD21C81" w:rsidP="176207F7">
      <w:pPr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176207F7">
        <w:rPr>
          <w:rFonts w:ascii="Arial" w:eastAsia="Times New Roman" w:hAnsi="Arial" w:cs="Times New Roman"/>
          <w:color w:val="53565A" w:themeColor="accent2"/>
        </w:rPr>
        <w:t xml:space="preserve">Further to this, </w:t>
      </w:r>
      <w:r w:rsidR="66B590FC" w:rsidRPr="176207F7">
        <w:rPr>
          <w:rFonts w:ascii="Arial" w:eastAsia="Times New Roman" w:hAnsi="Arial" w:cs="Times New Roman"/>
          <w:color w:val="53565A" w:themeColor="accent2"/>
        </w:rPr>
        <w:t xml:space="preserve">DJPR </w:t>
      </w:r>
      <w:r w:rsidR="008325F3">
        <w:rPr>
          <w:rFonts w:ascii="Arial" w:eastAsia="Times New Roman" w:hAnsi="Arial" w:cs="Times New Roman"/>
          <w:color w:val="53565A" w:themeColor="accent2"/>
        </w:rPr>
        <w:t>promoted a</w:t>
      </w:r>
      <w:r w:rsidR="00D64FEB">
        <w:rPr>
          <w:rFonts w:ascii="Arial" w:eastAsia="Times New Roman" w:hAnsi="Arial" w:cs="Times New Roman"/>
          <w:color w:val="53565A" w:themeColor="accent2"/>
        </w:rPr>
        <w:t>n online</w:t>
      </w:r>
      <w:r w:rsidR="008325F3">
        <w:rPr>
          <w:rFonts w:ascii="Arial" w:eastAsia="Times New Roman" w:hAnsi="Arial" w:cs="Times New Roman"/>
          <w:color w:val="53565A" w:themeColor="accent2"/>
        </w:rPr>
        <w:t xml:space="preserve"> survey</w:t>
      </w:r>
      <w:r w:rsidR="00D64FEB">
        <w:rPr>
          <w:rFonts w:ascii="Arial" w:eastAsia="Times New Roman" w:hAnsi="Arial" w:cs="Times New Roman"/>
          <w:color w:val="53565A" w:themeColor="accent2"/>
        </w:rPr>
        <w:t xml:space="preserve"> utilising SurveyMonkey to target students, education leaders, </w:t>
      </w:r>
      <w:r w:rsidR="00DC6DDE">
        <w:rPr>
          <w:rFonts w:ascii="Arial" w:eastAsia="Times New Roman" w:hAnsi="Arial" w:cs="Times New Roman"/>
          <w:color w:val="53565A" w:themeColor="accent2"/>
        </w:rPr>
        <w:t>various business owners</w:t>
      </w:r>
      <w:r w:rsidR="00D64FEB">
        <w:rPr>
          <w:rFonts w:ascii="Arial" w:eastAsia="Times New Roman" w:hAnsi="Arial" w:cs="Times New Roman"/>
          <w:color w:val="53565A" w:themeColor="accent2"/>
        </w:rPr>
        <w:t xml:space="preserve"> and</w:t>
      </w:r>
      <w:r w:rsidR="00DC6DDE">
        <w:rPr>
          <w:rFonts w:ascii="Arial" w:eastAsia="Times New Roman" w:hAnsi="Arial" w:cs="Times New Roman"/>
          <w:color w:val="53565A" w:themeColor="accent2"/>
        </w:rPr>
        <w:t xml:space="preserve"> local and state</w:t>
      </w:r>
      <w:r w:rsidR="00D64FEB">
        <w:rPr>
          <w:rFonts w:ascii="Arial" w:eastAsia="Times New Roman" w:hAnsi="Arial" w:cs="Times New Roman"/>
          <w:color w:val="53565A" w:themeColor="accent2"/>
        </w:rPr>
        <w:t xml:space="preserve"> government stakeholders with</w:t>
      </w:r>
      <w:r w:rsidR="00FD0A08">
        <w:rPr>
          <w:rFonts w:ascii="Arial" w:eastAsia="Times New Roman" w:hAnsi="Arial" w:cs="Times New Roman"/>
          <w:color w:val="53565A" w:themeColor="accent2"/>
        </w:rPr>
        <w:t xml:space="preserve"> a connection to </w:t>
      </w:r>
      <w:r w:rsidR="00D64FEB">
        <w:rPr>
          <w:rFonts w:ascii="Arial" w:eastAsia="Times New Roman" w:hAnsi="Arial" w:cs="Times New Roman"/>
          <w:color w:val="53565A" w:themeColor="accent2"/>
        </w:rPr>
        <w:t>Footscray</w:t>
      </w:r>
      <w:r w:rsidR="00DC6DDE">
        <w:rPr>
          <w:rFonts w:ascii="Arial" w:eastAsia="Times New Roman" w:hAnsi="Arial" w:cs="Times New Roman"/>
          <w:color w:val="53565A" w:themeColor="accent2"/>
        </w:rPr>
        <w:t xml:space="preserve">. </w:t>
      </w:r>
      <w:r w:rsidR="00CB41CB">
        <w:rPr>
          <w:rFonts w:ascii="Arial" w:eastAsia="Times New Roman" w:hAnsi="Arial" w:cs="Times New Roman"/>
          <w:color w:val="53565A" w:themeColor="accent2"/>
        </w:rPr>
        <w:t xml:space="preserve">This survey was developed to refine </w:t>
      </w:r>
      <w:r w:rsidR="005933A8">
        <w:rPr>
          <w:rFonts w:ascii="Arial" w:eastAsia="Times New Roman" w:hAnsi="Arial" w:cs="Times New Roman"/>
          <w:color w:val="53565A" w:themeColor="accent2"/>
        </w:rPr>
        <w:t>the Business Precinct</w:t>
      </w:r>
      <w:r w:rsidR="00BF6A55">
        <w:rPr>
          <w:rFonts w:ascii="Arial" w:eastAsia="Times New Roman" w:hAnsi="Arial" w:cs="Times New Roman"/>
          <w:color w:val="53565A" w:themeColor="accent2"/>
        </w:rPr>
        <w:t>s’</w:t>
      </w:r>
      <w:r w:rsidR="005933A8">
        <w:rPr>
          <w:rFonts w:ascii="Arial" w:eastAsia="Times New Roman" w:hAnsi="Arial" w:cs="Times New Roman"/>
          <w:color w:val="53565A" w:themeColor="accent2"/>
        </w:rPr>
        <w:t xml:space="preserve"> vision for Footscray and to guide the outcomes of the FODP. </w:t>
      </w:r>
      <w:r w:rsidR="32DF208B" w:rsidRPr="176207F7">
        <w:rPr>
          <w:rFonts w:ascii="Arial" w:eastAsia="Times New Roman" w:hAnsi="Arial" w:cs="Times New Roman"/>
          <w:color w:val="53565A" w:themeColor="accent2"/>
        </w:rPr>
        <w:t xml:space="preserve"> </w:t>
      </w:r>
      <w:r w:rsidR="005A2207">
        <w:rPr>
          <w:rFonts w:ascii="Arial" w:eastAsia="Times New Roman" w:hAnsi="Arial" w:cs="Times New Roman"/>
          <w:color w:val="53565A" w:themeColor="accent2"/>
        </w:rPr>
        <w:br w:type="page"/>
      </w:r>
    </w:p>
    <w:p w14:paraId="386A726F" w14:textId="77777777" w:rsidR="3DD21C81" w:rsidRDefault="3DD21C81" w:rsidP="176207F7">
      <w:pPr>
        <w:ind w:left="567" w:right="567"/>
        <w:rPr>
          <w:rFonts w:ascii="Arial" w:eastAsia="Times New Roman" w:hAnsi="Arial" w:cs="Times New Roman"/>
          <w:color w:val="53565A" w:themeColor="accent2"/>
        </w:rPr>
      </w:pPr>
    </w:p>
    <w:p w14:paraId="619D00EC" w14:textId="5A3A9957" w:rsidR="005766B4" w:rsidRDefault="00E42FAB" w:rsidP="00927EA8">
      <w:pPr>
        <w:pStyle w:val="Heading1"/>
        <w:ind w:firstLine="538"/>
      </w:pPr>
      <w:bookmarkStart w:id="4" w:name="_Toc97625045"/>
      <w:r>
        <w:t>Feedback</w:t>
      </w:r>
      <w:bookmarkEnd w:id="4"/>
    </w:p>
    <w:p w14:paraId="7E67E0B8" w14:textId="6E492D9D" w:rsidR="00722277" w:rsidRDefault="00155BF4" w:rsidP="00E53E73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>
        <w:rPr>
          <w:rFonts w:ascii="Arial" w:eastAsia="Times New Roman" w:hAnsi="Arial" w:cs="Times New Roman"/>
          <w:color w:val="53565A" w:themeColor="accent2"/>
        </w:rPr>
        <w:t>Feedback for the Footscray Business Precinct was received through</w:t>
      </w:r>
      <w:r w:rsidR="006E4110">
        <w:rPr>
          <w:rFonts w:ascii="Arial" w:eastAsia="Times New Roman" w:hAnsi="Arial" w:cs="Times New Roman"/>
          <w:color w:val="53565A" w:themeColor="accent2"/>
        </w:rPr>
        <w:t xml:space="preserve"> online</w:t>
      </w:r>
      <w:r w:rsidR="00801F5C">
        <w:rPr>
          <w:rFonts w:ascii="Arial" w:eastAsia="Times New Roman" w:hAnsi="Arial" w:cs="Times New Roman"/>
          <w:color w:val="53565A" w:themeColor="accent2"/>
        </w:rPr>
        <w:t xml:space="preserve"> correspondence and</w:t>
      </w:r>
      <w:r w:rsidR="006E4110">
        <w:rPr>
          <w:rFonts w:ascii="Arial" w:eastAsia="Times New Roman" w:hAnsi="Arial" w:cs="Times New Roman"/>
          <w:color w:val="53565A" w:themeColor="accent2"/>
        </w:rPr>
        <w:t xml:space="preserve"> surveys, </w:t>
      </w:r>
      <w:r w:rsidR="00801F5C">
        <w:rPr>
          <w:rFonts w:ascii="Arial" w:eastAsia="Times New Roman" w:hAnsi="Arial" w:cs="Times New Roman"/>
          <w:color w:val="53565A" w:themeColor="accent2"/>
        </w:rPr>
        <w:t>meetings,</w:t>
      </w:r>
      <w:r w:rsidR="00BC71E0">
        <w:rPr>
          <w:rFonts w:ascii="Arial" w:eastAsia="Times New Roman" w:hAnsi="Arial" w:cs="Times New Roman"/>
          <w:color w:val="53565A" w:themeColor="accent2"/>
        </w:rPr>
        <w:t xml:space="preserve"> and workshops. </w:t>
      </w:r>
    </w:p>
    <w:p w14:paraId="7C831F04" w14:textId="5C40FDC1" w:rsidR="001D667D" w:rsidRDefault="00C376A5" w:rsidP="005A2207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>
        <w:rPr>
          <w:rFonts w:ascii="Arial" w:eastAsia="Times New Roman" w:hAnsi="Arial" w:cs="Times New Roman"/>
          <w:color w:val="53565A" w:themeColor="accent2"/>
        </w:rPr>
        <w:t xml:space="preserve">Consistent themes were received in the feedback, including: </w:t>
      </w:r>
    </w:p>
    <w:p w14:paraId="0CDD8513" w14:textId="619F868E" w:rsidR="00281EE6" w:rsidRPr="00413DE6" w:rsidRDefault="00281EE6" w:rsidP="005A2207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color w:val="53565A" w:themeColor="accent2"/>
        </w:rPr>
      </w:pPr>
      <w:r w:rsidRPr="00413DE6">
        <w:rPr>
          <w:rFonts w:ascii="Arial" w:eastAsia="Times New Roman" w:hAnsi="Arial" w:cs="Times New Roman"/>
          <w:b/>
          <w:color w:val="53565A" w:themeColor="accent2"/>
        </w:rPr>
        <w:t xml:space="preserve">Table 1: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06"/>
        <w:gridCol w:w="2434"/>
        <w:gridCol w:w="7088"/>
      </w:tblGrid>
      <w:tr w:rsidR="001D667D" w14:paraId="64D6527C" w14:textId="77777777" w:rsidTr="003B39C8">
        <w:tc>
          <w:tcPr>
            <w:tcW w:w="344" w:type="dxa"/>
          </w:tcPr>
          <w:p w14:paraId="666FCB8C" w14:textId="53559317" w:rsidR="001D667D" w:rsidRPr="001D667D" w:rsidRDefault="001D667D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>
              <w:rPr>
                <w:rFonts w:eastAsia="Times New Roman" w:cs="Times New Roman"/>
                <w:color w:val="53565A" w:themeColor="accent2"/>
              </w:rPr>
              <w:t>1</w:t>
            </w:r>
          </w:p>
        </w:tc>
        <w:tc>
          <w:tcPr>
            <w:tcW w:w="2491" w:type="dxa"/>
          </w:tcPr>
          <w:p w14:paraId="2B3A85F6" w14:textId="6F9C9E3F" w:rsidR="001D667D" w:rsidRPr="001D667D" w:rsidRDefault="001D667D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1D667D">
              <w:rPr>
                <w:rFonts w:eastAsia="Times New Roman" w:cs="Times New Roman"/>
                <w:color w:val="53565A" w:themeColor="accent2"/>
              </w:rPr>
              <w:t>The need for safe and inclusive active transport connections.</w:t>
            </w:r>
          </w:p>
          <w:p w14:paraId="6B758F61" w14:textId="77777777" w:rsidR="001D667D" w:rsidRDefault="001D667D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</w:p>
        </w:tc>
        <w:tc>
          <w:tcPr>
            <w:tcW w:w="7593" w:type="dxa"/>
          </w:tcPr>
          <w:p w14:paraId="1FA93939" w14:textId="472F4014" w:rsidR="00B82E1C" w:rsidRPr="00F47444" w:rsidRDefault="001D667D" w:rsidP="00F47444">
            <w:pPr>
              <w:pStyle w:val="ListParagraph"/>
              <w:numPr>
                <w:ilvl w:val="0"/>
                <w:numId w:val="11"/>
              </w:num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F47444">
              <w:rPr>
                <w:rFonts w:eastAsia="Times New Roman" w:cs="Times New Roman"/>
                <w:color w:val="53565A" w:themeColor="accent2"/>
              </w:rPr>
              <w:t xml:space="preserve">Many stakeholders raised concerns about unsafe pedestrian and bicycle infrastructure in and around </w:t>
            </w:r>
            <w:proofErr w:type="spellStart"/>
            <w:r w:rsidRPr="00F47444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F47444">
              <w:rPr>
                <w:rFonts w:eastAsia="Times New Roman" w:cs="Times New Roman"/>
                <w:color w:val="53565A" w:themeColor="accent2"/>
              </w:rPr>
              <w:t>.</w:t>
            </w:r>
          </w:p>
          <w:p w14:paraId="2BFC34EE" w14:textId="62F30239" w:rsidR="001D667D" w:rsidRPr="00F47444" w:rsidRDefault="00B82E1C" w:rsidP="00F47444">
            <w:pPr>
              <w:pStyle w:val="ListParagraph"/>
              <w:numPr>
                <w:ilvl w:val="0"/>
                <w:numId w:val="11"/>
              </w:num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F47444">
              <w:rPr>
                <w:rFonts w:eastAsia="Times New Roman" w:cs="Times New Roman"/>
                <w:color w:val="53565A" w:themeColor="accent2"/>
              </w:rPr>
              <w:t>Ke</w:t>
            </w:r>
            <w:r w:rsidR="001D667D" w:rsidRPr="00F47444">
              <w:rPr>
                <w:rFonts w:eastAsia="Times New Roman" w:cs="Times New Roman"/>
                <w:color w:val="53565A" w:themeColor="accent2"/>
              </w:rPr>
              <w:t xml:space="preserve">y areas of concern being: </w:t>
            </w:r>
          </w:p>
          <w:p w14:paraId="058768D4" w14:textId="77777777" w:rsidR="001D667D" w:rsidRPr="00F47444" w:rsidRDefault="001D667D" w:rsidP="003B39C8">
            <w:pPr>
              <w:pStyle w:val="ListParagraph"/>
              <w:numPr>
                <w:ilvl w:val="1"/>
                <w:numId w:val="11"/>
              </w:num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F47444">
              <w:rPr>
                <w:rFonts w:eastAsia="Times New Roman" w:cs="Times New Roman"/>
                <w:color w:val="53565A" w:themeColor="accent2"/>
              </w:rPr>
              <w:t xml:space="preserve">Geelong Road and Barkly Street intersection – many children use this intersection as it is located between </w:t>
            </w:r>
            <w:proofErr w:type="spellStart"/>
            <w:r w:rsidRPr="00F47444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F47444">
              <w:rPr>
                <w:rFonts w:eastAsia="Times New Roman" w:cs="Times New Roman"/>
                <w:color w:val="53565A" w:themeColor="accent2"/>
              </w:rPr>
              <w:t xml:space="preserve"> Primary School and </w:t>
            </w:r>
            <w:proofErr w:type="spellStart"/>
            <w:r w:rsidRPr="00F47444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F47444">
              <w:rPr>
                <w:rFonts w:eastAsia="Times New Roman" w:cs="Times New Roman"/>
                <w:color w:val="53565A" w:themeColor="accent2"/>
              </w:rPr>
              <w:t xml:space="preserve"> High School (Barkly Campus), this intersection is perceived as large, unsafe and does not give enough priority to bicycle riders and pedestrians. </w:t>
            </w:r>
          </w:p>
          <w:p w14:paraId="36CD42BD" w14:textId="7ABA07A5" w:rsidR="001D667D" w:rsidRPr="00F47444" w:rsidRDefault="001D667D" w:rsidP="003B39C8">
            <w:pPr>
              <w:pStyle w:val="ListParagraph"/>
              <w:numPr>
                <w:ilvl w:val="1"/>
                <w:numId w:val="11"/>
              </w:num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F47444">
              <w:rPr>
                <w:rFonts w:eastAsia="Times New Roman" w:cs="Times New Roman"/>
                <w:color w:val="53565A" w:themeColor="accent2"/>
              </w:rPr>
              <w:t xml:space="preserve">Napier Street, Moore Street and Dynon Road – </w:t>
            </w:r>
            <w:r w:rsidR="0060473C">
              <w:rPr>
                <w:rFonts w:eastAsia="Times New Roman" w:cs="Times New Roman"/>
                <w:color w:val="53565A" w:themeColor="accent2"/>
              </w:rPr>
              <w:t>t</w:t>
            </w:r>
            <w:r w:rsidRPr="00F47444">
              <w:rPr>
                <w:rFonts w:eastAsia="Times New Roman" w:cs="Times New Roman"/>
                <w:color w:val="53565A" w:themeColor="accent2"/>
              </w:rPr>
              <w:t xml:space="preserve">hese corridors are perceived as having an unpleasant environment for pedestrians and bicycle riders due to the high volume of trucks and cars. </w:t>
            </w:r>
          </w:p>
          <w:p w14:paraId="180A7926" w14:textId="77777777" w:rsidR="001D667D" w:rsidRDefault="001D667D" w:rsidP="00F47444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</w:p>
        </w:tc>
      </w:tr>
      <w:tr w:rsidR="001D667D" w14:paraId="373CA9EB" w14:textId="77777777" w:rsidTr="003B39C8">
        <w:tc>
          <w:tcPr>
            <w:tcW w:w="344" w:type="dxa"/>
          </w:tcPr>
          <w:p w14:paraId="5E17EAED" w14:textId="14F8CE8C" w:rsidR="001D667D" w:rsidRDefault="001D667D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>
              <w:rPr>
                <w:rFonts w:eastAsia="Times New Roman" w:cs="Times New Roman"/>
                <w:color w:val="53565A" w:themeColor="accent2"/>
              </w:rPr>
              <w:t>2</w:t>
            </w:r>
          </w:p>
        </w:tc>
        <w:tc>
          <w:tcPr>
            <w:tcW w:w="2491" w:type="dxa"/>
          </w:tcPr>
          <w:p w14:paraId="0D275B48" w14:textId="56AEB178" w:rsidR="001D667D" w:rsidRDefault="00625346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>
              <w:rPr>
                <w:rFonts w:eastAsia="Times New Roman" w:cs="Times New Roman"/>
                <w:color w:val="53565A" w:themeColor="accent2"/>
              </w:rPr>
              <w:t>Increased tree coverage</w:t>
            </w:r>
            <w:r w:rsidR="00792FFA">
              <w:rPr>
                <w:rFonts w:eastAsia="Times New Roman" w:cs="Times New Roman"/>
                <w:color w:val="53565A" w:themeColor="accent2"/>
              </w:rPr>
              <w:t>.</w:t>
            </w:r>
          </w:p>
        </w:tc>
        <w:tc>
          <w:tcPr>
            <w:tcW w:w="7593" w:type="dxa"/>
          </w:tcPr>
          <w:p w14:paraId="4A6BD860" w14:textId="4DC4309D" w:rsidR="00625346" w:rsidRPr="00F47444" w:rsidRDefault="00625346" w:rsidP="00F47444">
            <w:pPr>
              <w:pStyle w:val="ListParagraph"/>
              <w:numPr>
                <w:ilvl w:val="0"/>
                <w:numId w:val="11"/>
              </w:numPr>
              <w:spacing w:before="100" w:beforeAutospacing="1"/>
              <w:ind w:right="397"/>
              <w:rPr>
                <w:rFonts w:eastAsia="Times New Roman" w:cs="Times New Roman"/>
                <w:color w:val="53565A" w:themeColor="accent2"/>
              </w:rPr>
            </w:pPr>
            <w:r w:rsidRPr="00F47444">
              <w:rPr>
                <w:rFonts w:eastAsia="Times New Roman" w:cs="Times New Roman"/>
                <w:color w:val="53565A" w:themeColor="accent2"/>
              </w:rPr>
              <w:t xml:space="preserve">The feedback highlighted that the lack of trees and urban heat island effect can influence how people interact with the </w:t>
            </w:r>
            <w:proofErr w:type="spellStart"/>
            <w:r w:rsidRPr="00F47444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F47444">
              <w:rPr>
                <w:rFonts w:eastAsia="Times New Roman" w:cs="Times New Roman"/>
                <w:color w:val="53565A" w:themeColor="accent2"/>
              </w:rPr>
              <w:t xml:space="preserve"> Business Precinct, this was </w:t>
            </w:r>
            <w:r w:rsidR="001A0D52">
              <w:rPr>
                <w:rFonts w:eastAsia="Times New Roman" w:cs="Times New Roman"/>
                <w:color w:val="53565A" w:themeColor="accent2"/>
              </w:rPr>
              <w:t>noted</w:t>
            </w:r>
            <w:r w:rsidR="00EA6F83">
              <w:rPr>
                <w:rFonts w:eastAsia="Times New Roman" w:cs="Times New Roman"/>
                <w:color w:val="53565A" w:themeColor="accent2"/>
              </w:rPr>
              <w:t xml:space="preserve"> as</w:t>
            </w:r>
            <w:r w:rsidRPr="00F47444">
              <w:rPr>
                <w:rFonts w:eastAsia="Times New Roman" w:cs="Times New Roman"/>
                <w:color w:val="53565A" w:themeColor="accent2"/>
              </w:rPr>
              <w:t xml:space="preserve"> prominent in the north-western sections of </w:t>
            </w:r>
            <w:proofErr w:type="spellStart"/>
            <w:r w:rsidRPr="00F47444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F47444">
              <w:rPr>
                <w:rFonts w:eastAsia="Times New Roman" w:cs="Times New Roman"/>
                <w:color w:val="53565A" w:themeColor="accent2"/>
              </w:rPr>
              <w:t>, particularly around the existing hospital site.</w:t>
            </w:r>
          </w:p>
          <w:p w14:paraId="39E592C7" w14:textId="77777777" w:rsidR="001D667D" w:rsidRDefault="001D667D" w:rsidP="00F47444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</w:p>
        </w:tc>
      </w:tr>
      <w:tr w:rsidR="001D667D" w14:paraId="75164936" w14:textId="77777777" w:rsidTr="003B39C8">
        <w:tc>
          <w:tcPr>
            <w:tcW w:w="344" w:type="dxa"/>
          </w:tcPr>
          <w:p w14:paraId="71A9B950" w14:textId="281887A2" w:rsidR="001D667D" w:rsidRDefault="001D667D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>
              <w:rPr>
                <w:rFonts w:eastAsia="Times New Roman" w:cs="Times New Roman"/>
                <w:color w:val="53565A" w:themeColor="accent2"/>
              </w:rPr>
              <w:t>3</w:t>
            </w:r>
          </w:p>
        </w:tc>
        <w:tc>
          <w:tcPr>
            <w:tcW w:w="2491" w:type="dxa"/>
          </w:tcPr>
          <w:p w14:paraId="2D4F7D1B" w14:textId="0722A208" w:rsidR="001D667D" w:rsidRDefault="00792FFA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792FFA">
              <w:rPr>
                <w:rFonts w:eastAsia="Times New Roman" w:cs="Times New Roman"/>
                <w:color w:val="53565A" w:themeColor="accent2"/>
              </w:rPr>
              <w:t>Increased open space.</w:t>
            </w:r>
          </w:p>
        </w:tc>
        <w:tc>
          <w:tcPr>
            <w:tcW w:w="7593" w:type="dxa"/>
          </w:tcPr>
          <w:p w14:paraId="5D7F3B64" w14:textId="512DBD05" w:rsidR="001D667D" w:rsidRPr="00F47444" w:rsidRDefault="00792FFA" w:rsidP="00F47444">
            <w:pPr>
              <w:pStyle w:val="ListParagraph"/>
              <w:numPr>
                <w:ilvl w:val="0"/>
                <w:numId w:val="11"/>
              </w:num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F47444">
              <w:rPr>
                <w:rFonts w:eastAsia="Times New Roman" w:cs="Times New Roman"/>
                <w:color w:val="53565A" w:themeColor="accent2"/>
              </w:rPr>
              <w:t xml:space="preserve">Many stakeholders have highlighted the need for more open space within the </w:t>
            </w:r>
            <w:proofErr w:type="spellStart"/>
            <w:r w:rsidRPr="00F47444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F47444">
              <w:rPr>
                <w:rFonts w:eastAsia="Times New Roman" w:cs="Times New Roman"/>
                <w:color w:val="53565A" w:themeColor="accent2"/>
              </w:rPr>
              <w:t xml:space="preserve"> Business Precinct, especially with the significant growth in apartments and townhouses. </w:t>
            </w:r>
          </w:p>
        </w:tc>
      </w:tr>
      <w:tr w:rsidR="00AB3CAE" w14:paraId="45F4B27A" w14:textId="77777777" w:rsidTr="003B39C8">
        <w:tc>
          <w:tcPr>
            <w:tcW w:w="344" w:type="dxa"/>
          </w:tcPr>
          <w:p w14:paraId="3CD25AC7" w14:textId="4F885A6E" w:rsidR="00AB3CAE" w:rsidRDefault="00EA784C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>
              <w:rPr>
                <w:rFonts w:eastAsia="Times New Roman" w:cs="Times New Roman"/>
                <w:color w:val="53565A" w:themeColor="accent2"/>
              </w:rPr>
              <w:t>4</w:t>
            </w:r>
          </w:p>
        </w:tc>
        <w:tc>
          <w:tcPr>
            <w:tcW w:w="2491" w:type="dxa"/>
          </w:tcPr>
          <w:p w14:paraId="6CF15EE1" w14:textId="576FC44B" w:rsidR="00AB3CAE" w:rsidRPr="00792FFA" w:rsidRDefault="00AB3CAE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176207F7">
              <w:rPr>
                <w:rFonts w:eastAsia="Times New Roman" w:cs="Times New Roman"/>
                <w:color w:val="53565A" w:themeColor="accent2"/>
              </w:rPr>
              <w:t>Interest in the future use of the existing hospital site.</w:t>
            </w:r>
          </w:p>
        </w:tc>
        <w:tc>
          <w:tcPr>
            <w:tcW w:w="7593" w:type="dxa"/>
          </w:tcPr>
          <w:p w14:paraId="7955115F" w14:textId="143BB1C2" w:rsidR="00EA784C" w:rsidRDefault="00AB3CAE" w:rsidP="00AB3CAE">
            <w:pPr>
              <w:pStyle w:val="ListParagraph"/>
              <w:numPr>
                <w:ilvl w:val="0"/>
                <w:numId w:val="11"/>
              </w:numPr>
              <w:rPr>
                <w:rFonts w:eastAsia="Times New Roman" w:cs="Times New Roman"/>
                <w:color w:val="53565A" w:themeColor="accent2"/>
              </w:rPr>
            </w:pPr>
            <w:r w:rsidRPr="00AB3CAE">
              <w:rPr>
                <w:rFonts w:eastAsia="Times New Roman" w:cs="Times New Roman"/>
                <w:color w:val="53565A" w:themeColor="accent2"/>
              </w:rPr>
              <w:t xml:space="preserve">Many stakeholders have </w:t>
            </w:r>
            <w:r w:rsidR="008A0D50">
              <w:rPr>
                <w:rFonts w:eastAsia="Times New Roman" w:cs="Times New Roman"/>
                <w:color w:val="53565A" w:themeColor="accent2"/>
              </w:rPr>
              <w:t>expressed an</w:t>
            </w:r>
            <w:r w:rsidRPr="00AB3CAE">
              <w:rPr>
                <w:rFonts w:eastAsia="Times New Roman" w:cs="Times New Roman"/>
                <w:color w:val="53565A" w:themeColor="accent2"/>
              </w:rPr>
              <w:t xml:space="preserve"> interest in the future policy and land-use opportunities for the existing hospital site after it </w:t>
            </w:r>
            <w:r w:rsidR="000F572A">
              <w:rPr>
                <w:rFonts w:eastAsia="Times New Roman" w:cs="Times New Roman"/>
                <w:color w:val="53565A" w:themeColor="accent2"/>
              </w:rPr>
              <w:t xml:space="preserve">is </w:t>
            </w:r>
            <w:r w:rsidR="00453D6F">
              <w:rPr>
                <w:rFonts w:eastAsia="Times New Roman" w:cs="Times New Roman"/>
                <w:color w:val="53565A" w:themeColor="accent2"/>
              </w:rPr>
              <w:t>superseded</w:t>
            </w:r>
            <w:r w:rsidR="00A12399">
              <w:rPr>
                <w:rFonts w:eastAsia="Times New Roman" w:cs="Times New Roman"/>
                <w:color w:val="53565A" w:themeColor="accent2"/>
              </w:rPr>
              <w:t xml:space="preserve"> by the new hospital</w:t>
            </w:r>
            <w:r w:rsidRPr="00AB3CAE">
              <w:rPr>
                <w:rFonts w:eastAsia="Times New Roman" w:cs="Times New Roman"/>
                <w:color w:val="53565A" w:themeColor="accent2"/>
              </w:rPr>
              <w:t xml:space="preserve"> in 2025. </w:t>
            </w:r>
          </w:p>
          <w:p w14:paraId="02D1CEBC" w14:textId="7A93208F" w:rsidR="00AB3CAE" w:rsidRPr="00AB3CAE" w:rsidRDefault="00EA784C" w:rsidP="00AB3CAE">
            <w:pPr>
              <w:pStyle w:val="ListParagraph"/>
              <w:numPr>
                <w:ilvl w:val="0"/>
                <w:numId w:val="11"/>
              </w:numPr>
              <w:rPr>
                <w:rFonts w:eastAsia="Times New Roman" w:cs="Times New Roman"/>
                <w:color w:val="53565A" w:themeColor="accent2"/>
              </w:rPr>
            </w:pPr>
            <w:r>
              <w:rPr>
                <w:rFonts w:eastAsia="Times New Roman" w:cs="Times New Roman"/>
                <w:color w:val="53565A" w:themeColor="accent2"/>
              </w:rPr>
              <w:t>O</w:t>
            </w:r>
            <w:r w:rsidR="00AB3CAE" w:rsidRPr="00AB3CAE">
              <w:rPr>
                <w:rFonts w:eastAsia="Times New Roman" w:cs="Times New Roman"/>
                <w:color w:val="53565A" w:themeColor="accent2"/>
              </w:rPr>
              <w:t xml:space="preserve">pportunities for future creative industries, affordable housing, open space and sports and recreation facilities. </w:t>
            </w:r>
          </w:p>
        </w:tc>
      </w:tr>
      <w:tr w:rsidR="00AB3CAE" w14:paraId="7444A7B9" w14:textId="77777777" w:rsidTr="003B39C8">
        <w:tc>
          <w:tcPr>
            <w:tcW w:w="344" w:type="dxa"/>
          </w:tcPr>
          <w:p w14:paraId="2BED339F" w14:textId="3D01FD9C" w:rsidR="00AB3CAE" w:rsidRDefault="00EA784C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>
              <w:rPr>
                <w:rFonts w:eastAsia="Times New Roman" w:cs="Times New Roman"/>
                <w:color w:val="53565A" w:themeColor="accent2"/>
              </w:rPr>
              <w:t>5</w:t>
            </w:r>
          </w:p>
        </w:tc>
        <w:tc>
          <w:tcPr>
            <w:tcW w:w="2491" w:type="dxa"/>
          </w:tcPr>
          <w:p w14:paraId="45E231E7" w14:textId="4DD74642" w:rsidR="00AB3CAE" w:rsidRPr="00EA784C" w:rsidRDefault="00EA784C" w:rsidP="00EA784C">
            <w:pPr>
              <w:pStyle w:val="ListParagraph"/>
              <w:ind w:right="567"/>
              <w:rPr>
                <w:color w:val="53565A" w:themeColor="accent2"/>
              </w:rPr>
            </w:pPr>
            <w:r w:rsidRPr="00126750">
              <w:rPr>
                <w:rFonts w:eastAsia="Times New Roman" w:cs="Times New Roman"/>
                <w:color w:val="53565A" w:themeColor="accent2"/>
              </w:rPr>
              <w:t xml:space="preserve">Interest in the land use around the future hospital site. </w:t>
            </w:r>
          </w:p>
        </w:tc>
        <w:tc>
          <w:tcPr>
            <w:tcW w:w="7593" w:type="dxa"/>
          </w:tcPr>
          <w:p w14:paraId="2C259996" w14:textId="77777777" w:rsidR="005A2207" w:rsidRPr="005A2207" w:rsidRDefault="005A2207" w:rsidP="005A2207">
            <w:pPr>
              <w:pStyle w:val="ListParagraph"/>
              <w:numPr>
                <w:ilvl w:val="0"/>
                <w:numId w:val="11"/>
              </w:num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5A2207">
              <w:rPr>
                <w:rFonts w:eastAsia="Times New Roman" w:cs="Times New Roman"/>
                <w:color w:val="53565A" w:themeColor="accent2"/>
              </w:rPr>
              <w:t xml:space="preserve">Interest has been raised on the future built form and zoning along Droop Street, Tiernan Street, Federal Street and Ballarat Road. </w:t>
            </w:r>
          </w:p>
          <w:p w14:paraId="11A14E47" w14:textId="1BCFFC38" w:rsidR="00AB3CAE" w:rsidRPr="005A2207" w:rsidRDefault="005A2207" w:rsidP="005A2207">
            <w:pPr>
              <w:pStyle w:val="ListParagraph"/>
              <w:numPr>
                <w:ilvl w:val="0"/>
                <w:numId w:val="11"/>
              </w:num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5A2207">
              <w:rPr>
                <w:rFonts w:eastAsia="Times New Roman" w:cs="Times New Roman"/>
                <w:color w:val="53565A" w:themeColor="accent2"/>
              </w:rPr>
              <w:t xml:space="preserve">The need for key working housing and zoning that enables allied health facilities to move near the future hospital site. </w:t>
            </w:r>
          </w:p>
        </w:tc>
      </w:tr>
      <w:tr w:rsidR="005A2207" w14:paraId="141428C5" w14:textId="77777777" w:rsidTr="003B39C8">
        <w:tc>
          <w:tcPr>
            <w:tcW w:w="344" w:type="dxa"/>
          </w:tcPr>
          <w:p w14:paraId="47AC7EDA" w14:textId="3933C4A9" w:rsidR="005A2207" w:rsidRDefault="005A2207" w:rsidP="001D667D">
            <w:pPr>
              <w:ind w:right="567"/>
              <w:rPr>
                <w:rFonts w:eastAsia="Times New Roman" w:cs="Times New Roman"/>
                <w:color w:val="53565A" w:themeColor="accent2"/>
              </w:rPr>
            </w:pPr>
            <w:r>
              <w:rPr>
                <w:rFonts w:eastAsia="Times New Roman" w:cs="Times New Roman"/>
                <w:color w:val="53565A" w:themeColor="accent2"/>
              </w:rPr>
              <w:t>6</w:t>
            </w:r>
          </w:p>
        </w:tc>
        <w:tc>
          <w:tcPr>
            <w:tcW w:w="2491" w:type="dxa"/>
          </w:tcPr>
          <w:p w14:paraId="3F8B439E" w14:textId="2258CE60" w:rsidR="005A2207" w:rsidRPr="00126750" w:rsidRDefault="005A2207" w:rsidP="00EA784C">
            <w:pPr>
              <w:pStyle w:val="ListParagraph"/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5A2207">
              <w:rPr>
                <w:rFonts w:eastAsia="Times New Roman" w:cs="Times New Roman"/>
                <w:color w:val="53565A" w:themeColor="accent2"/>
              </w:rPr>
              <w:t xml:space="preserve">Uniquely </w:t>
            </w:r>
            <w:proofErr w:type="spellStart"/>
            <w:r w:rsidRPr="005A2207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5A2207">
              <w:rPr>
                <w:rFonts w:eastAsia="Times New Roman" w:cs="Times New Roman"/>
                <w:color w:val="53565A" w:themeColor="accent2"/>
              </w:rPr>
              <w:t xml:space="preserve"> solutions.</w:t>
            </w:r>
          </w:p>
        </w:tc>
        <w:tc>
          <w:tcPr>
            <w:tcW w:w="7593" w:type="dxa"/>
          </w:tcPr>
          <w:p w14:paraId="4996B289" w14:textId="114155EE" w:rsidR="005A2207" w:rsidRPr="005A2207" w:rsidRDefault="005A2207" w:rsidP="005A2207">
            <w:pPr>
              <w:pStyle w:val="ListParagraph"/>
              <w:numPr>
                <w:ilvl w:val="0"/>
                <w:numId w:val="11"/>
              </w:num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5A2207">
              <w:rPr>
                <w:rFonts w:eastAsia="Times New Roman" w:cs="Times New Roman"/>
                <w:color w:val="53565A" w:themeColor="accent2"/>
              </w:rPr>
              <w:t xml:space="preserve">Feedback addressing the </w:t>
            </w:r>
            <w:r w:rsidR="00620AE2">
              <w:rPr>
                <w:rFonts w:eastAsia="Times New Roman" w:cs="Times New Roman"/>
                <w:color w:val="53565A" w:themeColor="accent2"/>
              </w:rPr>
              <w:t>gritty</w:t>
            </w:r>
            <w:r w:rsidRPr="005A2207">
              <w:rPr>
                <w:rFonts w:eastAsia="Times New Roman" w:cs="Times New Roman"/>
                <w:color w:val="53565A" w:themeColor="accent2"/>
              </w:rPr>
              <w:t xml:space="preserve"> character of </w:t>
            </w:r>
            <w:proofErr w:type="spellStart"/>
            <w:r w:rsidRPr="005A2207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5A2207">
              <w:rPr>
                <w:rFonts w:eastAsia="Times New Roman" w:cs="Times New Roman"/>
                <w:color w:val="53565A" w:themeColor="accent2"/>
              </w:rPr>
              <w:t xml:space="preserve"> was </w:t>
            </w:r>
            <w:r w:rsidR="00620AE2">
              <w:rPr>
                <w:rFonts w:eastAsia="Times New Roman" w:cs="Times New Roman"/>
                <w:color w:val="53565A" w:themeColor="accent2"/>
              </w:rPr>
              <w:t>mixed</w:t>
            </w:r>
            <w:r w:rsidRPr="005A2207">
              <w:rPr>
                <w:rFonts w:eastAsia="Times New Roman" w:cs="Times New Roman"/>
                <w:color w:val="53565A" w:themeColor="accent2"/>
              </w:rPr>
              <w:t>. There was a mix of responses, with some highlighting that the gr</w:t>
            </w:r>
            <w:r w:rsidR="00DA659E">
              <w:rPr>
                <w:rFonts w:eastAsia="Times New Roman" w:cs="Times New Roman"/>
                <w:color w:val="53565A" w:themeColor="accent2"/>
              </w:rPr>
              <w:t>itty</w:t>
            </w:r>
            <w:r w:rsidRPr="005A2207">
              <w:rPr>
                <w:rFonts w:eastAsia="Times New Roman" w:cs="Times New Roman"/>
                <w:color w:val="53565A" w:themeColor="accent2"/>
              </w:rPr>
              <w:t xml:space="preserve"> character adds to what makes </w:t>
            </w:r>
            <w:proofErr w:type="spellStart"/>
            <w:r w:rsidRPr="005A2207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5A2207">
              <w:rPr>
                <w:rFonts w:eastAsia="Times New Roman" w:cs="Times New Roman"/>
                <w:color w:val="53565A" w:themeColor="accent2"/>
              </w:rPr>
              <w:t xml:space="preserve"> special, and others stating that it can make the area feel unsafe and unclean. </w:t>
            </w:r>
          </w:p>
          <w:p w14:paraId="5CADD6BE" w14:textId="76023DA3" w:rsidR="005A2207" w:rsidRPr="005A2207" w:rsidRDefault="005A2207" w:rsidP="005A2207">
            <w:pPr>
              <w:pStyle w:val="ListParagraph"/>
              <w:numPr>
                <w:ilvl w:val="0"/>
                <w:numId w:val="11"/>
              </w:numPr>
              <w:ind w:right="567"/>
              <w:rPr>
                <w:rFonts w:eastAsia="Times New Roman" w:cs="Times New Roman"/>
                <w:color w:val="53565A" w:themeColor="accent2"/>
              </w:rPr>
            </w:pPr>
            <w:r w:rsidRPr="005A2207">
              <w:rPr>
                <w:rFonts w:eastAsia="Times New Roman" w:cs="Times New Roman"/>
                <w:color w:val="53565A" w:themeColor="accent2"/>
              </w:rPr>
              <w:t xml:space="preserve">Much of the feedback highlighted the need for any significant policy or infrastructure changes to respect the local community, </w:t>
            </w:r>
            <w:proofErr w:type="gramStart"/>
            <w:r w:rsidRPr="005A2207">
              <w:rPr>
                <w:rFonts w:eastAsia="Times New Roman" w:cs="Times New Roman"/>
                <w:color w:val="53565A" w:themeColor="accent2"/>
              </w:rPr>
              <w:t>culture</w:t>
            </w:r>
            <w:proofErr w:type="gramEnd"/>
            <w:r w:rsidRPr="005A2207">
              <w:rPr>
                <w:rFonts w:eastAsia="Times New Roman" w:cs="Times New Roman"/>
                <w:color w:val="53565A" w:themeColor="accent2"/>
              </w:rPr>
              <w:t xml:space="preserve"> and history of </w:t>
            </w:r>
            <w:proofErr w:type="spellStart"/>
            <w:r w:rsidRPr="005A2207">
              <w:rPr>
                <w:rFonts w:eastAsia="Times New Roman" w:cs="Times New Roman"/>
                <w:color w:val="53565A" w:themeColor="accent2"/>
              </w:rPr>
              <w:t>Footscray</w:t>
            </w:r>
            <w:proofErr w:type="spellEnd"/>
            <w:r w:rsidRPr="005A2207">
              <w:rPr>
                <w:rFonts w:eastAsia="Times New Roman" w:cs="Times New Roman"/>
                <w:color w:val="53565A" w:themeColor="accent2"/>
              </w:rPr>
              <w:t xml:space="preserve">. </w:t>
            </w:r>
          </w:p>
        </w:tc>
      </w:tr>
    </w:tbl>
    <w:p w14:paraId="383D186E" w14:textId="06583EB7" w:rsidR="00801F5C" w:rsidRDefault="00801F5C" w:rsidP="008E12B1">
      <w:pPr>
        <w:ind w:right="567"/>
        <w:rPr>
          <w:rFonts w:eastAsia="Times New Roman" w:cs="Times New Roman"/>
          <w:color w:val="53565A" w:themeColor="accent2"/>
        </w:rPr>
      </w:pPr>
    </w:p>
    <w:p w14:paraId="4E2FB5DC" w14:textId="77777777" w:rsidR="00122ADF" w:rsidRPr="008E12B1" w:rsidRDefault="00122ADF" w:rsidP="008E12B1">
      <w:pPr>
        <w:ind w:right="567"/>
        <w:rPr>
          <w:rFonts w:eastAsia="Times New Roman" w:cs="Times New Roman"/>
          <w:color w:val="53565A" w:themeColor="accent2"/>
        </w:rPr>
      </w:pPr>
    </w:p>
    <w:p w14:paraId="5D10EC22" w14:textId="09AA1B98" w:rsidR="00124E66" w:rsidRDefault="004D4EE6" w:rsidP="00565D3C">
      <w:pPr>
        <w:pStyle w:val="Heading1"/>
        <w:ind w:left="567"/>
      </w:pPr>
      <w:bookmarkStart w:id="5" w:name="_Toc97625046"/>
      <w:proofErr w:type="spellStart"/>
      <w:r>
        <w:t>Footscray</w:t>
      </w:r>
      <w:proofErr w:type="spellEnd"/>
      <w:r>
        <w:t xml:space="preserve"> Opportunity and Directions Paper s</w:t>
      </w:r>
      <w:r w:rsidR="005766B4">
        <w:t>urvey o</w:t>
      </w:r>
      <w:r w:rsidR="00124E66">
        <w:t>verview</w:t>
      </w:r>
      <w:bookmarkEnd w:id="5"/>
    </w:p>
    <w:p w14:paraId="367F3AF6" w14:textId="0FEDE8D7" w:rsidR="004D4EE6" w:rsidRPr="004D4EE6" w:rsidRDefault="000E25BA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br/>
        <w:t>Key t</w:t>
      </w:r>
      <w:r w:rsidR="00123E5B">
        <w:rPr>
          <w:rFonts w:ascii="Arial" w:eastAsia="Times New Roman" w:hAnsi="Arial" w:cs="Times New Roman"/>
          <w:b/>
          <w:bCs/>
          <w:color w:val="53565A" w:themeColor="accent2"/>
          <w:szCs w:val="24"/>
        </w:rPr>
        <w:t>akeaway</w:t>
      </w:r>
    </w:p>
    <w:p w14:paraId="51244817" w14:textId="6C2A5F43" w:rsidR="00D800A7" w:rsidRDefault="00D800A7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 xml:space="preserve">This survey and </w:t>
      </w:r>
      <w:r w:rsidR="00364BCF">
        <w:rPr>
          <w:rFonts w:ascii="Arial" w:eastAsia="Times New Roman" w:hAnsi="Arial" w:cs="Times New Roman"/>
          <w:color w:val="53565A" w:themeColor="accent2"/>
          <w:szCs w:val="24"/>
        </w:rPr>
        <w:t>DJPR’s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continue</w:t>
      </w:r>
      <w:r w:rsidR="00364BCF">
        <w:rPr>
          <w:rFonts w:ascii="Arial" w:eastAsia="Times New Roman" w:hAnsi="Arial" w:cs="Times New Roman"/>
          <w:color w:val="53565A" w:themeColor="accent2"/>
          <w:szCs w:val="24"/>
        </w:rPr>
        <w:t>d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engagement relating to the Footscray Business Precinct has highlighted how</w:t>
      </w:r>
      <w:r w:rsidR="00364BCF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important culture is to those who work, </w:t>
      </w:r>
      <w:r w:rsidR="00D63902">
        <w:rPr>
          <w:rFonts w:ascii="Arial" w:eastAsia="Times New Roman" w:hAnsi="Arial" w:cs="Times New Roman"/>
          <w:color w:val="53565A" w:themeColor="accent2"/>
          <w:szCs w:val="24"/>
        </w:rPr>
        <w:t>live,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and visit</w:t>
      </w:r>
      <w:r w:rsidR="00C92BDC">
        <w:rPr>
          <w:rFonts w:ascii="Arial" w:eastAsia="Times New Roman" w:hAnsi="Arial" w:cs="Times New Roman"/>
          <w:color w:val="53565A" w:themeColor="accent2"/>
          <w:szCs w:val="24"/>
        </w:rPr>
        <w:t xml:space="preserve"> in and around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Footscray.</w:t>
      </w:r>
      <w:r w:rsidR="003003F4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 w:rsidR="00CE69F1">
        <w:rPr>
          <w:rFonts w:ascii="Arial" w:eastAsia="Times New Roman" w:hAnsi="Arial" w:cs="Times New Roman"/>
          <w:color w:val="53565A" w:themeColor="accent2"/>
          <w:szCs w:val="24"/>
        </w:rPr>
        <w:t xml:space="preserve">Many stakeholders and community members that were engaged, </w:t>
      </w:r>
      <w:r w:rsidR="00F34263">
        <w:rPr>
          <w:rFonts w:ascii="Arial" w:eastAsia="Times New Roman" w:hAnsi="Arial" w:cs="Times New Roman"/>
          <w:color w:val="53565A" w:themeColor="accent2"/>
          <w:szCs w:val="24"/>
        </w:rPr>
        <w:t>have</w:t>
      </w:r>
      <w:r w:rsidR="00CE69F1">
        <w:rPr>
          <w:rFonts w:ascii="Arial" w:eastAsia="Times New Roman" w:hAnsi="Arial" w:cs="Times New Roman"/>
          <w:color w:val="53565A" w:themeColor="accent2"/>
          <w:szCs w:val="24"/>
        </w:rPr>
        <w:t xml:space="preserve"> a strong perception </w:t>
      </w:r>
      <w:r w:rsidR="00F34263">
        <w:rPr>
          <w:rFonts w:ascii="Arial" w:eastAsia="Times New Roman" w:hAnsi="Arial" w:cs="Times New Roman"/>
          <w:color w:val="53565A" w:themeColor="accent2"/>
          <w:szCs w:val="24"/>
        </w:rPr>
        <w:t xml:space="preserve">that </w:t>
      </w:r>
      <w:r w:rsidR="00364BCF">
        <w:rPr>
          <w:rFonts w:ascii="Arial" w:eastAsia="Times New Roman" w:hAnsi="Arial" w:cs="Times New Roman"/>
          <w:color w:val="53565A" w:themeColor="accent2"/>
          <w:szCs w:val="24"/>
        </w:rPr>
        <w:t xml:space="preserve">without </w:t>
      </w:r>
      <w:r w:rsidR="00F34263">
        <w:rPr>
          <w:rFonts w:ascii="Arial" w:eastAsia="Times New Roman" w:hAnsi="Arial" w:cs="Times New Roman"/>
          <w:color w:val="53565A" w:themeColor="accent2"/>
          <w:szCs w:val="24"/>
        </w:rPr>
        <w:t>considerate social and community</w:t>
      </w:r>
      <w:r w:rsidR="00D63902">
        <w:rPr>
          <w:rFonts w:ascii="Arial" w:eastAsia="Times New Roman" w:hAnsi="Arial" w:cs="Times New Roman"/>
          <w:color w:val="53565A" w:themeColor="accent2"/>
          <w:szCs w:val="24"/>
        </w:rPr>
        <w:t xml:space="preserve"> inclusion and</w:t>
      </w:r>
      <w:r w:rsidR="00F34263">
        <w:rPr>
          <w:rFonts w:ascii="Arial" w:eastAsia="Times New Roman" w:hAnsi="Arial" w:cs="Times New Roman"/>
          <w:color w:val="53565A" w:themeColor="accent2"/>
          <w:szCs w:val="24"/>
        </w:rPr>
        <w:t xml:space="preserve"> planning</w:t>
      </w:r>
      <w:r w:rsidR="00364BCF">
        <w:rPr>
          <w:rFonts w:ascii="Arial" w:eastAsia="Times New Roman" w:hAnsi="Arial" w:cs="Times New Roman"/>
          <w:color w:val="53565A" w:themeColor="accent2"/>
          <w:szCs w:val="24"/>
        </w:rPr>
        <w:t xml:space="preserve">, </w:t>
      </w:r>
      <w:r w:rsidR="00A5068A">
        <w:rPr>
          <w:rFonts w:ascii="Arial" w:eastAsia="Times New Roman" w:hAnsi="Arial" w:cs="Times New Roman"/>
          <w:color w:val="53565A" w:themeColor="accent2"/>
          <w:szCs w:val="24"/>
        </w:rPr>
        <w:t xml:space="preserve">what has historically </w:t>
      </w:r>
      <w:r w:rsidR="00D63902">
        <w:rPr>
          <w:rFonts w:ascii="Arial" w:eastAsia="Times New Roman" w:hAnsi="Arial" w:cs="Times New Roman"/>
          <w:color w:val="53565A" w:themeColor="accent2"/>
          <w:szCs w:val="24"/>
        </w:rPr>
        <w:t>made</w:t>
      </w:r>
      <w:r w:rsidR="00364BCF">
        <w:rPr>
          <w:rFonts w:ascii="Arial" w:eastAsia="Times New Roman" w:hAnsi="Arial" w:cs="Times New Roman"/>
          <w:color w:val="53565A" w:themeColor="accent2"/>
          <w:szCs w:val="24"/>
        </w:rPr>
        <w:t xml:space="preserve"> Footscray special could be lost. </w:t>
      </w:r>
      <w:r w:rsidR="00CE69F1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</w:p>
    <w:p w14:paraId="0AE66FBD" w14:textId="14173404" w:rsidR="00152119" w:rsidRPr="00152119" w:rsidRDefault="00152119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  <w:r w:rsidRPr="00152119">
        <w:rPr>
          <w:rFonts w:ascii="Arial" w:eastAsia="Times New Roman" w:hAnsi="Arial" w:cs="Times New Roman"/>
          <w:b/>
          <w:bCs/>
          <w:color w:val="53565A" w:themeColor="accent2"/>
          <w:szCs w:val="24"/>
        </w:rPr>
        <w:t>Overview</w:t>
      </w:r>
    </w:p>
    <w:p w14:paraId="6F245277" w14:textId="702DEFAA" w:rsidR="008F3877" w:rsidRDefault="00E65B2C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 w:rsidRPr="00446F23">
        <w:rPr>
          <w:rFonts w:ascii="Arial" w:eastAsia="Times New Roman" w:hAnsi="Arial" w:cs="Times New Roman"/>
          <w:color w:val="53565A" w:themeColor="accent2"/>
          <w:szCs w:val="24"/>
        </w:rPr>
        <w:t>The survey covered various topics relating to the future of Footscray</w:t>
      </w:r>
      <w:r w:rsidR="0027625A">
        <w:rPr>
          <w:rFonts w:ascii="Arial" w:eastAsia="Times New Roman" w:hAnsi="Arial" w:cs="Times New Roman"/>
          <w:color w:val="53565A" w:themeColor="accent2"/>
          <w:szCs w:val="24"/>
        </w:rPr>
        <w:t>,</w:t>
      </w:r>
      <w:r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proofErr w:type="gramStart"/>
      <w:r w:rsidRPr="00446F23">
        <w:rPr>
          <w:rFonts w:ascii="Arial" w:eastAsia="Times New Roman" w:hAnsi="Arial" w:cs="Times New Roman"/>
          <w:color w:val="53565A" w:themeColor="accent2"/>
          <w:szCs w:val="24"/>
        </w:rPr>
        <w:t>including</w:t>
      </w:r>
      <w:r w:rsidR="00E476AE">
        <w:rPr>
          <w:rFonts w:ascii="Arial" w:eastAsia="Times New Roman" w:hAnsi="Arial" w:cs="Times New Roman"/>
          <w:color w:val="53565A" w:themeColor="accent2"/>
          <w:szCs w:val="24"/>
        </w:rPr>
        <w:t>:</w:t>
      </w:r>
      <w:proofErr w:type="gramEnd"/>
      <w:r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 objectives, strengths, challenges and opportunities. </w:t>
      </w:r>
    </w:p>
    <w:p w14:paraId="3C50515F" w14:textId="0E92B370" w:rsidR="008F3877" w:rsidRPr="004D4EE6" w:rsidRDefault="001879A9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t xml:space="preserve">Positive attributes </w:t>
      </w:r>
    </w:p>
    <w:p w14:paraId="65AC0522" w14:textId="69B8BC7F" w:rsidR="00E670F6" w:rsidRDefault="00867775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The findings of this report </w:t>
      </w:r>
      <w:r w:rsidR="00E65B2C"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highlighted that the respondents found Footscray to be well serviced by public transport and a place with a vibrant and diverse community. </w:t>
      </w:r>
    </w:p>
    <w:p w14:paraId="33110523" w14:textId="6D5D1483" w:rsidR="00E52CC0" w:rsidRPr="00C95F0C" w:rsidRDefault="001879A9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t>Challenges for Footscray</w:t>
      </w:r>
    </w:p>
    <w:p w14:paraId="4F476415" w14:textId="5E91A0B0" w:rsidR="00C95F0C" w:rsidRDefault="002E783D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>Many stated that the</w:t>
      </w:r>
      <w:r w:rsidR="009C1E7E">
        <w:rPr>
          <w:rFonts w:ascii="Arial" w:eastAsia="Times New Roman" w:hAnsi="Arial" w:cs="Times New Roman"/>
          <w:color w:val="53565A" w:themeColor="accent2"/>
          <w:szCs w:val="24"/>
        </w:rPr>
        <w:t xml:space="preserve"> changing face of Footscray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is a major challenge</w:t>
      </w:r>
      <w:r w:rsidR="00814175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 w:rsidR="00FA2F80">
        <w:rPr>
          <w:rFonts w:ascii="Arial" w:eastAsia="Times New Roman" w:hAnsi="Arial" w:cs="Times New Roman"/>
          <w:color w:val="53565A" w:themeColor="accent2"/>
          <w:szCs w:val="24"/>
        </w:rPr>
        <w:t>and</w:t>
      </w:r>
      <w:r w:rsidR="008076A1">
        <w:rPr>
          <w:rFonts w:ascii="Arial" w:eastAsia="Times New Roman" w:hAnsi="Arial" w:cs="Times New Roman"/>
          <w:color w:val="53565A" w:themeColor="accent2"/>
          <w:szCs w:val="24"/>
        </w:rPr>
        <w:t xml:space="preserve"> that there is a</w:t>
      </w:r>
      <w:r w:rsidR="00FA2F80">
        <w:rPr>
          <w:rFonts w:ascii="Arial" w:eastAsia="Times New Roman" w:hAnsi="Arial" w:cs="Times New Roman"/>
          <w:color w:val="53565A" w:themeColor="accent2"/>
          <w:szCs w:val="24"/>
        </w:rPr>
        <w:t xml:space="preserve"> need to </w:t>
      </w:r>
      <w:r w:rsidR="00555D05">
        <w:rPr>
          <w:rFonts w:ascii="Arial" w:eastAsia="Times New Roman" w:hAnsi="Arial" w:cs="Times New Roman"/>
          <w:color w:val="53565A" w:themeColor="accent2"/>
          <w:szCs w:val="24"/>
        </w:rPr>
        <w:t>provide affordable housing</w:t>
      </w:r>
      <w:r w:rsidR="00F263D6">
        <w:rPr>
          <w:rFonts w:ascii="Arial" w:eastAsia="Times New Roman" w:hAnsi="Arial" w:cs="Times New Roman"/>
          <w:color w:val="53565A" w:themeColor="accent2"/>
          <w:szCs w:val="24"/>
        </w:rPr>
        <w:t xml:space="preserve"> and local jobs</w:t>
      </w:r>
      <w:r w:rsidR="00555D05">
        <w:rPr>
          <w:rFonts w:ascii="Arial" w:eastAsia="Times New Roman" w:hAnsi="Arial" w:cs="Times New Roman"/>
          <w:color w:val="53565A" w:themeColor="accent2"/>
          <w:szCs w:val="24"/>
        </w:rPr>
        <w:t>,</w:t>
      </w:r>
      <w:r w:rsidR="00F263D6">
        <w:rPr>
          <w:rFonts w:ascii="Arial" w:eastAsia="Times New Roman" w:hAnsi="Arial" w:cs="Times New Roman"/>
          <w:color w:val="53565A" w:themeColor="accent2"/>
          <w:szCs w:val="24"/>
        </w:rPr>
        <w:t xml:space="preserve"> to ensure that Footscray can remain a</w:t>
      </w:r>
      <w:r w:rsidR="00B26A08">
        <w:rPr>
          <w:rFonts w:ascii="Arial" w:eastAsia="Times New Roman" w:hAnsi="Arial" w:cs="Times New Roman"/>
          <w:color w:val="53565A" w:themeColor="accent2"/>
          <w:szCs w:val="24"/>
        </w:rPr>
        <w:t>n</w:t>
      </w:r>
      <w:r w:rsidR="008076A1">
        <w:rPr>
          <w:rFonts w:ascii="Arial" w:eastAsia="Times New Roman" w:hAnsi="Arial" w:cs="Times New Roman"/>
          <w:color w:val="53565A" w:themeColor="accent2"/>
          <w:szCs w:val="24"/>
        </w:rPr>
        <w:t xml:space="preserve"> accepting</w:t>
      </w:r>
      <w:r w:rsidR="00F263D6">
        <w:rPr>
          <w:rFonts w:ascii="Arial" w:eastAsia="Times New Roman" w:hAnsi="Arial" w:cs="Times New Roman"/>
          <w:color w:val="53565A" w:themeColor="accent2"/>
          <w:szCs w:val="24"/>
        </w:rPr>
        <w:t xml:space="preserve"> culturally</w:t>
      </w:r>
      <w:r w:rsidR="00DE01DF">
        <w:rPr>
          <w:rFonts w:ascii="Arial" w:eastAsia="Times New Roman" w:hAnsi="Arial" w:cs="Times New Roman"/>
          <w:color w:val="53565A" w:themeColor="accent2"/>
          <w:szCs w:val="24"/>
        </w:rPr>
        <w:t xml:space="preserve"> and linguistically diverse community</w:t>
      </w:r>
      <w:r w:rsidR="00B26A08">
        <w:rPr>
          <w:rFonts w:ascii="Arial" w:eastAsia="Times New Roman" w:hAnsi="Arial" w:cs="Times New Roman"/>
          <w:color w:val="53565A" w:themeColor="accent2"/>
          <w:szCs w:val="24"/>
        </w:rPr>
        <w:t xml:space="preserve"> and destination</w:t>
      </w:r>
      <w:r w:rsidR="00DE01DF">
        <w:rPr>
          <w:rFonts w:ascii="Arial" w:eastAsia="Times New Roman" w:hAnsi="Arial" w:cs="Times New Roman"/>
          <w:color w:val="53565A" w:themeColor="accent2"/>
          <w:szCs w:val="24"/>
        </w:rPr>
        <w:t xml:space="preserve">. </w:t>
      </w:r>
    </w:p>
    <w:p w14:paraId="02EFC36A" w14:textId="79FCE4B3" w:rsidR="00446F23" w:rsidRPr="00446F23" w:rsidRDefault="00446F23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The challenges raised that hinder success for Footscray were safety, </w:t>
      </w:r>
      <w:r w:rsidR="000F0A6F">
        <w:rPr>
          <w:rFonts w:ascii="Arial" w:eastAsia="Times New Roman" w:hAnsi="Arial" w:cs="Times New Roman"/>
          <w:color w:val="53565A" w:themeColor="accent2"/>
          <w:szCs w:val="24"/>
        </w:rPr>
        <w:t>post-covid recovery</w:t>
      </w:r>
      <w:r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 and jobs. </w:t>
      </w:r>
    </w:p>
    <w:p w14:paraId="61EADEBA" w14:textId="77777777" w:rsidR="00D419AC" w:rsidRDefault="00C17455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The responses highlighted the need for better use of vacant spaces, </w:t>
      </w:r>
      <w:r w:rsidR="00446F23"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easily accessible public </w:t>
      </w:r>
      <w:proofErr w:type="gramStart"/>
      <w:r w:rsidR="00446F23" w:rsidRPr="00446F23">
        <w:rPr>
          <w:rFonts w:ascii="Arial" w:eastAsia="Times New Roman" w:hAnsi="Arial" w:cs="Times New Roman"/>
          <w:color w:val="53565A" w:themeColor="accent2"/>
          <w:szCs w:val="24"/>
        </w:rPr>
        <w:t>spaces</w:t>
      </w:r>
      <w:proofErr w:type="gramEnd"/>
      <w:r w:rsidR="00446F23"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 and the need for more jobs</w:t>
      </w:r>
      <w:r w:rsidR="0001748B">
        <w:rPr>
          <w:rFonts w:ascii="Arial" w:eastAsia="Times New Roman" w:hAnsi="Arial" w:cs="Times New Roman"/>
          <w:color w:val="53565A" w:themeColor="accent2"/>
          <w:szCs w:val="24"/>
        </w:rPr>
        <w:t xml:space="preserve">. </w:t>
      </w:r>
    </w:p>
    <w:p w14:paraId="25D6099B" w14:textId="77777777" w:rsidR="00D419AC" w:rsidRDefault="0001748B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>More than half of the responses stated Footscray needs a better mix of</w:t>
      </w:r>
      <w:r w:rsidR="00D419AC">
        <w:rPr>
          <w:rFonts w:ascii="Arial" w:eastAsia="Times New Roman" w:hAnsi="Arial" w:cs="Times New Roman"/>
          <w:color w:val="53565A" w:themeColor="accent2"/>
          <w:szCs w:val="24"/>
        </w:rPr>
        <w:t xml:space="preserve"> the following: </w:t>
      </w:r>
    </w:p>
    <w:p w14:paraId="2777ABBE" w14:textId="673BAF2B" w:rsidR="00D419AC" w:rsidRDefault="008A0FCA" w:rsidP="00D419AC">
      <w:pPr>
        <w:pStyle w:val="ListParagraph"/>
        <w:numPr>
          <w:ilvl w:val="0"/>
          <w:numId w:val="12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c</w:t>
      </w:r>
      <w:r w:rsidR="0001748B" w:rsidRPr="00D419AC">
        <w:rPr>
          <w:rFonts w:eastAsia="Times New Roman" w:cs="Times New Roman"/>
          <w:color w:val="53565A" w:themeColor="accent2"/>
          <w:szCs w:val="24"/>
        </w:rPr>
        <w:t>ultural</w:t>
      </w:r>
      <w:r w:rsidR="00756CF1">
        <w:rPr>
          <w:rFonts w:eastAsia="Times New Roman" w:cs="Times New Roman"/>
          <w:color w:val="53565A" w:themeColor="accent2"/>
          <w:szCs w:val="24"/>
        </w:rPr>
        <w:t xml:space="preserve"> </w:t>
      </w:r>
      <w:r w:rsidR="005E2B6F">
        <w:rPr>
          <w:rFonts w:eastAsia="Times New Roman" w:cs="Times New Roman"/>
          <w:color w:val="53565A" w:themeColor="accent2"/>
          <w:szCs w:val="24"/>
        </w:rPr>
        <w:t>institutions</w:t>
      </w:r>
    </w:p>
    <w:p w14:paraId="263C4257" w14:textId="77BBFCA7" w:rsidR="00D419AC" w:rsidRDefault="008A0FCA" w:rsidP="00D419AC">
      <w:pPr>
        <w:pStyle w:val="ListParagraph"/>
        <w:numPr>
          <w:ilvl w:val="0"/>
          <w:numId w:val="12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c</w:t>
      </w:r>
      <w:r w:rsidR="0001748B" w:rsidRPr="00D419AC">
        <w:rPr>
          <w:rFonts w:eastAsia="Times New Roman" w:cs="Times New Roman"/>
          <w:color w:val="53565A" w:themeColor="accent2"/>
          <w:szCs w:val="24"/>
        </w:rPr>
        <w:t>reative</w:t>
      </w:r>
      <w:r w:rsidR="00756CF1">
        <w:rPr>
          <w:rFonts w:eastAsia="Times New Roman" w:cs="Times New Roman"/>
          <w:color w:val="53565A" w:themeColor="accent2"/>
          <w:szCs w:val="24"/>
        </w:rPr>
        <w:t xml:space="preserve"> industries</w:t>
      </w:r>
    </w:p>
    <w:p w14:paraId="46DD8E8E" w14:textId="01D8926D" w:rsidR="00756CF1" w:rsidRDefault="008A0FCA" w:rsidP="00D419AC">
      <w:pPr>
        <w:pStyle w:val="ListParagraph"/>
        <w:numPr>
          <w:ilvl w:val="0"/>
          <w:numId w:val="12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h</w:t>
      </w:r>
      <w:r w:rsidR="0001748B" w:rsidRPr="00D419AC">
        <w:rPr>
          <w:rFonts w:eastAsia="Times New Roman" w:cs="Times New Roman"/>
          <w:color w:val="53565A" w:themeColor="accent2"/>
          <w:szCs w:val="24"/>
        </w:rPr>
        <w:t>ealth</w:t>
      </w:r>
      <w:r w:rsidR="00756CF1">
        <w:rPr>
          <w:rFonts w:eastAsia="Times New Roman" w:cs="Times New Roman"/>
          <w:color w:val="53565A" w:themeColor="accent2"/>
          <w:szCs w:val="24"/>
        </w:rPr>
        <w:t xml:space="preserve"> and</w:t>
      </w:r>
      <w:r w:rsidR="0001748B" w:rsidRPr="00D419AC">
        <w:rPr>
          <w:rFonts w:eastAsia="Times New Roman" w:cs="Times New Roman"/>
          <w:color w:val="53565A" w:themeColor="accent2"/>
          <w:szCs w:val="24"/>
        </w:rPr>
        <w:t xml:space="preserve"> </w:t>
      </w:r>
      <w:r w:rsidR="00463A97" w:rsidRPr="00D419AC">
        <w:rPr>
          <w:rFonts w:eastAsia="Times New Roman" w:cs="Times New Roman"/>
          <w:color w:val="53565A" w:themeColor="accent2"/>
          <w:szCs w:val="24"/>
        </w:rPr>
        <w:t>wellbeing</w:t>
      </w:r>
      <w:r w:rsidR="005E2B6F">
        <w:rPr>
          <w:rFonts w:eastAsia="Times New Roman" w:cs="Times New Roman"/>
          <w:color w:val="53565A" w:themeColor="accent2"/>
          <w:szCs w:val="24"/>
        </w:rPr>
        <w:t xml:space="preserve"> services</w:t>
      </w:r>
    </w:p>
    <w:p w14:paraId="024EC334" w14:textId="6C760788" w:rsidR="00756CF1" w:rsidRDefault="008A0FCA" w:rsidP="00D419AC">
      <w:pPr>
        <w:pStyle w:val="ListParagraph"/>
        <w:numPr>
          <w:ilvl w:val="0"/>
          <w:numId w:val="12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r</w:t>
      </w:r>
      <w:r w:rsidR="0001748B" w:rsidRPr="00D419AC">
        <w:rPr>
          <w:rFonts w:eastAsia="Times New Roman" w:cs="Times New Roman"/>
          <w:color w:val="53565A" w:themeColor="accent2"/>
          <w:szCs w:val="24"/>
        </w:rPr>
        <w:t>etail</w:t>
      </w:r>
      <w:r w:rsidR="00756CF1">
        <w:rPr>
          <w:rFonts w:eastAsia="Times New Roman" w:cs="Times New Roman"/>
          <w:color w:val="53565A" w:themeColor="accent2"/>
          <w:szCs w:val="24"/>
        </w:rPr>
        <w:t xml:space="preserve"> and </w:t>
      </w:r>
      <w:r w:rsidR="00463A97" w:rsidRPr="00D419AC">
        <w:rPr>
          <w:rFonts w:eastAsia="Times New Roman" w:cs="Times New Roman"/>
          <w:color w:val="53565A" w:themeColor="accent2"/>
          <w:szCs w:val="24"/>
        </w:rPr>
        <w:t>supermarkets</w:t>
      </w:r>
    </w:p>
    <w:p w14:paraId="5EA04232" w14:textId="070BE57F" w:rsidR="00756CF1" w:rsidRDefault="008A0FCA" w:rsidP="00D419AC">
      <w:pPr>
        <w:pStyle w:val="ListParagraph"/>
        <w:numPr>
          <w:ilvl w:val="0"/>
          <w:numId w:val="12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r</w:t>
      </w:r>
      <w:r w:rsidR="00463A97" w:rsidRPr="00D419AC">
        <w:rPr>
          <w:rFonts w:eastAsia="Times New Roman" w:cs="Times New Roman"/>
          <w:color w:val="53565A" w:themeColor="accent2"/>
          <w:szCs w:val="24"/>
        </w:rPr>
        <w:t>estaurants</w:t>
      </w:r>
      <w:r w:rsidR="00756CF1">
        <w:rPr>
          <w:rFonts w:eastAsia="Times New Roman" w:cs="Times New Roman"/>
          <w:color w:val="53565A" w:themeColor="accent2"/>
          <w:szCs w:val="24"/>
        </w:rPr>
        <w:t xml:space="preserve"> </w:t>
      </w:r>
    </w:p>
    <w:p w14:paraId="128AFB90" w14:textId="6E6FF1B4" w:rsidR="00756CF1" w:rsidRDefault="008A0FCA" w:rsidP="00756CF1">
      <w:pPr>
        <w:pStyle w:val="ListParagraph"/>
        <w:numPr>
          <w:ilvl w:val="0"/>
          <w:numId w:val="12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b</w:t>
      </w:r>
      <w:r w:rsidR="00463A97" w:rsidRPr="00D419AC">
        <w:rPr>
          <w:rFonts w:eastAsia="Times New Roman" w:cs="Times New Roman"/>
          <w:color w:val="53565A" w:themeColor="accent2"/>
          <w:szCs w:val="24"/>
        </w:rPr>
        <w:t>ars</w:t>
      </w:r>
      <w:r w:rsidR="00756CF1">
        <w:rPr>
          <w:rFonts w:eastAsia="Times New Roman" w:cs="Times New Roman"/>
          <w:color w:val="53565A" w:themeColor="accent2"/>
          <w:szCs w:val="24"/>
        </w:rPr>
        <w:t xml:space="preserve"> </w:t>
      </w:r>
    </w:p>
    <w:p w14:paraId="7F349201" w14:textId="57988BE9" w:rsidR="00756CF1" w:rsidRDefault="008A0FCA" w:rsidP="00756CF1">
      <w:pPr>
        <w:pStyle w:val="ListParagraph"/>
        <w:numPr>
          <w:ilvl w:val="0"/>
          <w:numId w:val="12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p</w:t>
      </w:r>
      <w:r w:rsidR="00463A97" w:rsidRPr="00756CF1">
        <w:rPr>
          <w:rFonts w:eastAsia="Times New Roman" w:cs="Times New Roman"/>
          <w:color w:val="53565A" w:themeColor="accent2"/>
          <w:szCs w:val="24"/>
        </w:rPr>
        <w:t>ersonal and</w:t>
      </w:r>
      <w:r w:rsidR="0001748B" w:rsidRPr="00756CF1">
        <w:rPr>
          <w:rFonts w:eastAsia="Times New Roman" w:cs="Times New Roman"/>
          <w:color w:val="53565A" w:themeColor="accent2"/>
          <w:szCs w:val="24"/>
        </w:rPr>
        <w:t xml:space="preserve"> business services</w:t>
      </w:r>
    </w:p>
    <w:p w14:paraId="4CA72868" w14:textId="123C5DDD" w:rsidR="00124E66" w:rsidRPr="00756CF1" w:rsidRDefault="008A0FCA" w:rsidP="00756CF1">
      <w:pPr>
        <w:pStyle w:val="ListParagraph"/>
        <w:numPr>
          <w:ilvl w:val="0"/>
          <w:numId w:val="12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i</w:t>
      </w:r>
      <w:r w:rsidR="0001748B" w:rsidRPr="00756CF1">
        <w:rPr>
          <w:rFonts w:eastAsia="Times New Roman" w:cs="Times New Roman"/>
          <w:color w:val="53565A" w:themeColor="accent2"/>
          <w:szCs w:val="24"/>
        </w:rPr>
        <w:t>ndustry-based jobs to help the precinct recover and prosper</w:t>
      </w:r>
      <w:r>
        <w:rPr>
          <w:rFonts w:eastAsia="Times New Roman" w:cs="Times New Roman"/>
          <w:color w:val="53565A" w:themeColor="accent2"/>
          <w:szCs w:val="24"/>
        </w:rPr>
        <w:t>.</w:t>
      </w:r>
    </w:p>
    <w:p w14:paraId="6C598BA0" w14:textId="77777777" w:rsidR="005A5504" w:rsidRDefault="005A5504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</w:p>
    <w:p w14:paraId="5532D879" w14:textId="77777777" w:rsidR="005A5504" w:rsidRDefault="005A5504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</w:p>
    <w:p w14:paraId="28D51F75" w14:textId="77777777" w:rsidR="005A5504" w:rsidRDefault="005A5504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</w:p>
    <w:p w14:paraId="7FEAD282" w14:textId="77777777" w:rsidR="005A5504" w:rsidRDefault="005A5504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</w:p>
    <w:p w14:paraId="41E586AC" w14:textId="77777777" w:rsidR="005A5504" w:rsidRDefault="005A5504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</w:p>
    <w:p w14:paraId="47F3DFD7" w14:textId="6E9AC0DB" w:rsidR="00B503D1" w:rsidRPr="00B503D1" w:rsidRDefault="00561729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lastRenderedPageBreak/>
        <w:t xml:space="preserve">Existing Footscray Hospital </w:t>
      </w:r>
    </w:p>
    <w:p w14:paraId="18DDE826" w14:textId="5673B25F" w:rsidR="00E907CA" w:rsidRDefault="00C17455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 w:rsidRPr="00446F23">
        <w:rPr>
          <w:rFonts w:ascii="Arial" w:eastAsia="Times New Roman" w:hAnsi="Arial" w:cs="Times New Roman"/>
          <w:color w:val="53565A" w:themeColor="accent2"/>
          <w:szCs w:val="24"/>
        </w:rPr>
        <w:t>Many stakeholders expressed curiosity and interest in the future of the existing hospital site at 90 Gordon Street, Footscray</w:t>
      </w:r>
      <w:r w:rsidR="005C14CF">
        <w:rPr>
          <w:rFonts w:ascii="Arial" w:eastAsia="Times New Roman" w:hAnsi="Arial" w:cs="Times New Roman"/>
          <w:color w:val="53565A" w:themeColor="accent2"/>
          <w:szCs w:val="24"/>
        </w:rPr>
        <w:t xml:space="preserve">. The </w:t>
      </w:r>
      <w:r w:rsidR="00C6026D">
        <w:rPr>
          <w:rFonts w:ascii="Arial" w:eastAsia="Times New Roman" w:hAnsi="Arial" w:cs="Times New Roman"/>
          <w:color w:val="53565A" w:themeColor="accent2"/>
          <w:szCs w:val="24"/>
        </w:rPr>
        <w:t>hospital will</w:t>
      </w:r>
      <w:r w:rsidRPr="00446F23">
        <w:rPr>
          <w:rFonts w:ascii="Arial" w:eastAsia="Times New Roman" w:hAnsi="Arial" w:cs="Times New Roman"/>
          <w:color w:val="53565A" w:themeColor="accent2"/>
          <w:szCs w:val="24"/>
        </w:rPr>
        <w:t xml:space="preserve"> be decommissioned in 2025, when Western Health moves to the new hospital site on Geelong and Ballarat Roads. </w:t>
      </w:r>
    </w:p>
    <w:p w14:paraId="08428654" w14:textId="549F08FF" w:rsidR="001F5680" w:rsidRDefault="004C1F35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 xml:space="preserve">The existing Footscray Hospital site is currently owned and managed by </w:t>
      </w:r>
      <w:r w:rsidR="00E418DE">
        <w:rPr>
          <w:rFonts w:ascii="Arial" w:eastAsia="Times New Roman" w:hAnsi="Arial" w:cs="Times New Roman"/>
          <w:color w:val="53565A" w:themeColor="accent2"/>
          <w:szCs w:val="24"/>
        </w:rPr>
        <w:t xml:space="preserve">the Department of Health and Western Health. </w:t>
      </w:r>
      <w:r w:rsidR="00327A73">
        <w:rPr>
          <w:rFonts w:ascii="Arial" w:eastAsia="Times New Roman" w:hAnsi="Arial" w:cs="Times New Roman"/>
          <w:color w:val="53565A" w:themeColor="accent2"/>
          <w:szCs w:val="24"/>
        </w:rPr>
        <w:t xml:space="preserve">Early site investigations are currently underway to determine </w:t>
      </w:r>
      <w:r w:rsidR="00A85788">
        <w:rPr>
          <w:rFonts w:ascii="Arial" w:eastAsia="Times New Roman" w:hAnsi="Arial" w:cs="Times New Roman"/>
          <w:color w:val="53565A" w:themeColor="accent2"/>
          <w:szCs w:val="24"/>
        </w:rPr>
        <w:t xml:space="preserve">site suitability for land use transition. </w:t>
      </w:r>
    </w:p>
    <w:p w14:paraId="130F816A" w14:textId="2F8EC034" w:rsidR="00E907CA" w:rsidRDefault="00E907CA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 xml:space="preserve">The future use of </w:t>
      </w:r>
      <w:r w:rsidDel="00B71C5A">
        <w:rPr>
          <w:rFonts w:ascii="Arial" w:eastAsia="Times New Roman" w:hAnsi="Arial" w:cs="Times New Roman"/>
          <w:color w:val="53565A" w:themeColor="accent2"/>
          <w:szCs w:val="24"/>
        </w:rPr>
        <w:t xml:space="preserve">this </w:t>
      </w:r>
      <w:r w:rsidR="00B71C5A">
        <w:rPr>
          <w:rFonts w:ascii="Arial" w:eastAsia="Times New Roman" w:hAnsi="Arial" w:cs="Times New Roman"/>
          <w:color w:val="53565A" w:themeColor="accent2"/>
          <w:szCs w:val="24"/>
        </w:rPr>
        <w:t>site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post</w:t>
      </w:r>
      <w:r w:rsidR="003D4BB8">
        <w:rPr>
          <w:rFonts w:ascii="Arial" w:eastAsia="Times New Roman" w:hAnsi="Arial" w:cs="Times New Roman"/>
          <w:color w:val="53565A" w:themeColor="accent2"/>
          <w:szCs w:val="24"/>
        </w:rPr>
        <w:t xml:space="preserve"> hospital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 w:rsidR="00532D47">
        <w:rPr>
          <w:rFonts w:ascii="Arial" w:eastAsia="Times New Roman" w:hAnsi="Arial" w:cs="Times New Roman"/>
          <w:color w:val="53565A" w:themeColor="accent2"/>
          <w:szCs w:val="24"/>
        </w:rPr>
        <w:t xml:space="preserve">relocation </w:t>
      </w:r>
      <w:r>
        <w:rPr>
          <w:rFonts w:ascii="Arial" w:eastAsia="Times New Roman" w:hAnsi="Arial" w:cs="Times New Roman"/>
          <w:color w:val="53565A" w:themeColor="accent2"/>
          <w:szCs w:val="24"/>
        </w:rPr>
        <w:t>is</w:t>
      </w:r>
      <w:r w:rsidR="00B71C5A">
        <w:rPr>
          <w:rFonts w:ascii="Arial" w:eastAsia="Times New Roman" w:hAnsi="Arial" w:cs="Times New Roman"/>
          <w:color w:val="53565A" w:themeColor="accent2"/>
          <w:szCs w:val="24"/>
        </w:rPr>
        <w:t xml:space="preserve"> currently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unknown</w:t>
      </w:r>
      <w:r w:rsidR="00B71C5A">
        <w:rPr>
          <w:rFonts w:ascii="Arial" w:eastAsia="Times New Roman" w:hAnsi="Arial" w:cs="Times New Roman"/>
          <w:color w:val="53565A" w:themeColor="accent2"/>
          <w:szCs w:val="24"/>
        </w:rPr>
        <w:t>.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 </w:t>
      </w:r>
    </w:p>
    <w:p w14:paraId="723C5DC0" w14:textId="0580B204" w:rsidR="00950850" w:rsidRDefault="0042643F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 xml:space="preserve">There was a strong interest in the former psychiatric building, which is a heritage listed brutalist building with a unique </w:t>
      </w:r>
      <w:r w:rsidR="00941AB2">
        <w:rPr>
          <w:rFonts w:ascii="Arial" w:eastAsia="Times New Roman" w:hAnsi="Arial" w:cs="Times New Roman"/>
          <w:color w:val="53565A" w:themeColor="accent2"/>
          <w:szCs w:val="24"/>
        </w:rPr>
        <w:t xml:space="preserve">style of architecture. </w:t>
      </w:r>
    </w:p>
    <w:p w14:paraId="177E77C2" w14:textId="1D847C55" w:rsidR="00FC713C" w:rsidRDefault="00C17455" w:rsidP="00FC71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21AD7CDB">
        <w:rPr>
          <w:rFonts w:ascii="Arial" w:eastAsia="Times New Roman" w:hAnsi="Arial" w:cs="Times New Roman"/>
          <w:color w:val="53565A" w:themeColor="accent2"/>
        </w:rPr>
        <w:t xml:space="preserve">The Footscray Opportunity and Directions Paper Survey questioned the respondents about what </w:t>
      </w:r>
      <w:r w:rsidR="00E907CA" w:rsidRPr="21AD7CDB">
        <w:rPr>
          <w:rFonts w:ascii="Arial" w:eastAsia="Times New Roman" w:hAnsi="Arial" w:cs="Times New Roman"/>
          <w:color w:val="53565A" w:themeColor="accent2"/>
        </w:rPr>
        <w:t>they would</w:t>
      </w:r>
      <w:r w:rsidRPr="21AD7CDB">
        <w:rPr>
          <w:rFonts w:ascii="Arial" w:eastAsia="Times New Roman" w:hAnsi="Arial" w:cs="Times New Roman"/>
          <w:color w:val="53565A" w:themeColor="accent2"/>
        </w:rPr>
        <w:t xml:space="preserve"> like to see on the existing hospital site, when Western Health vacates.</w:t>
      </w:r>
      <w:r w:rsidR="00E907CA" w:rsidRPr="21AD7CDB">
        <w:rPr>
          <w:rFonts w:ascii="Arial" w:eastAsia="Times New Roman" w:hAnsi="Arial" w:cs="Times New Roman"/>
          <w:color w:val="53565A" w:themeColor="accent2"/>
        </w:rPr>
        <w:t xml:space="preserve"> </w:t>
      </w:r>
    </w:p>
    <w:p w14:paraId="5653E004" w14:textId="77777777" w:rsidR="00FC713C" w:rsidRDefault="00FC713C" w:rsidP="00FC71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>R</w:t>
      </w:r>
      <w:r w:rsidR="00E907CA">
        <w:rPr>
          <w:rFonts w:ascii="Arial" w:eastAsia="Times New Roman" w:hAnsi="Arial" w:cs="Times New Roman"/>
          <w:color w:val="53565A" w:themeColor="accent2"/>
          <w:szCs w:val="24"/>
        </w:rPr>
        <w:t>espondents highlighted the need for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the following: </w:t>
      </w:r>
    </w:p>
    <w:p w14:paraId="33E0444F" w14:textId="67997DDE" w:rsidR="00FC713C" w:rsidRDefault="008A0FCA" w:rsidP="00FC713C">
      <w:pPr>
        <w:pStyle w:val="ListParagraph"/>
        <w:numPr>
          <w:ilvl w:val="0"/>
          <w:numId w:val="13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o</w:t>
      </w:r>
      <w:r w:rsidR="009C18EC" w:rsidRPr="00FC713C">
        <w:rPr>
          <w:rFonts w:eastAsia="Times New Roman" w:cs="Times New Roman"/>
          <w:color w:val="53565A" w:themeColor="accent2"/>
          <w:szCs w:val="24"/>
        </w:rPr>
        <w:t xml:space="preserve">pen space </w:t>
      </w:r>
    </w:p>
    <w:p w14:paraId="25B99CDC" w14:textId="4142BF83" w:rsidR="00FC713C" w:rsidRDefault="008A0FCA" w:rsidP="00FC713C">
      <w:pPr>
        <w:pStyle w:val="ListParagraph"/>
        <w:numPr>
          <w:ilvl w:val="0"/>
          <w:numId w:val="13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c</w:t>
      </w:r>
      <w:r w:rsidR="009C18EC" w:rsidRPr="00FC713C">
        <w:rPr>
          <w:rFonts w:eastAsia="Times New Roman" w:cs="Times New Roman"/>
          <w:color w:val="53565A" w:themeColor="accent2"/>
          <w:szCs w:val="24"/>
        </w:rPr>
        <w:t>ommunity</w:t>
      </w:r>
      <w:r w:rsidR="002E59D5">
        <w:rPr>
          <w:rFonts w:eastAsia="Times New Roman" w:cs="Times New Roman"/>
          <w:color w:val="53565A" w:themeColor="accent2"/>
          <w:szCs w:val="24"/>
        </w:rPr>
        <w:t xml:space="preserve"> infrastructure and services</w:t>
      </w:r>
    </w:p>
    <w:p w14:paraId="4FE8141A" w14:textId="4B2A0F91" w:rsidR="00FC713C" w:rsidRDefault="008A0FCA" w:rsidP="00FC713C">
      <w:pPr>
        <w:pStyle w:val="ListParagraph"/>
        <w:numPr>
          <w:ilvl w:val="0"/>
          <w:numId w:val="13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s</w:t>
      </w:r>
      <w:r w:rsidR="009C18EC" w:rsidRPr="00FC713C">
        <w:rPr>
          <w:rFonts w:eastAsia="Times New Roman" w:cs="Times New Roman"/>
          <w:color w:val="53565A" w:themeColor="accent2"/>
          <w:szCs w:val="24"/>
        </w:rPr>
        <w:t xml:space="preserve">ports and </w:t>
      </w:r>
      <w:r w:rsidR="00E907CA" w:rsidRPr="00FC713C">
        <w:rPr>
          <w:rFonts w:eastAsia="Times New Roman" w:cs="Times New Roman"/>
          <w:color w:val="53565A" w:themeColor="accent2"/>
          <w:szCs w:val="24"/>
        </w:rPr>
        <w:t>recreation facilities</w:t>
      </w:r>
    </w:p>
    <w:p w14:paraId="40D33055" w14:textId="5BDAD7F3" w:rsidR="002E59D5" w:rsidRDefault="008A0FCA" w:rsidP="00FC713C">
      <w:pPr>
        <w:pStyle w:val="ListParagraph"/>
        <w:numPr>
          <w:ilvl w:val="0"/>
          <w:numId w:val="13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t</w:t>
      </w:r>
      <w:r w:rsidR="00E907CA" w:rsidRPr="00FC713C">
        <w:rPr>
          <w:rFonts w:eastAsia="Times New Roman" w:cs="Times New Roman"/>
          <w:color w:val="53565A" w:themeColor="accent2"/>
          <w:szCs w:val="24"/>
        </w:rPr>
        <w:t>rees and landscaping</w:t>
      </w:r>
      <w:r w:rsidR="004202FA" w:rsidRPr="00FC713C">
        <w:rPr>
          <w:rFonts w:eastAsia="Times New Roman" w:cs="Times New Roman"/>
          <w:color w:val="53565A" w:themeColor="accent2"/>
          <w:szCs w:val="24"/>
        </w:rPr>
        <w:t xml:space="preserve"> </w:t>
      </w:r>
    </w:p>
    <w:p w14:paraId="7A9BB230" w14:textId="6743350C" w:rsidR="00561729" w:rsidRDefault="008A0FCA" w:rsidP="00FC713C">
      <w:pPr>
        <w:pStyle w:val="ListParagraph"/>
        <w:numPr>
          <w:ilvl w:val="0"/>
          <w:numId w:val="13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s</w:t>
      </w:r>
      <w:r w:rsidR="00E907CA" w:rsidRPr="00FC713C">
        <w:rPr>
          <w:rFonts w:eastAsia="Times New Roman" w:cs="Times New Roman"/>
          <w:color w:val="53565A" w:themeColor="accent2"/>
          <w:szCs w:val="24"/>
        </w:rPr>
        <w:t xml:space="preserve">mall businesses </w:t>
      </w:r>
      <w:r w:rsidR="004202FA" w:rsidRPr="00FC713C">
        <w:rPr>
          <w:rFonts w:eastAsia="Times New Roman" w:cs="Times New Roman"/>
          <w:color w:val="53565A" w:themeColor="accent2"/>
          <w:szCs w:val="24"/>
        </w:rPr>
        <w:t>that provide local jobs</w:t>
      </w:r>
    </w:p>
    <w:p w14:paraId="20E91542" w14:textId="6305670D" w:rsidR="00D15929" w:rsidRPr="00FC713C" w:rsidRDefault="008A0FCA" w:rsidP="00FC713C">
      <w:pPr>
        <w:pStyle w:val="ListParagraph"/>
        <w:numPr>
          <w:ilvl w:val="0"/>
          <w:numId w:val="13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s</w:t>
      </w:r>
      <w:r w:rsidR="00D4323B">
        <w:rPr>
          <w:rFonts w:eastAsia="Times New Roman" w:cs="Times New Roman"/>
          <w:color w:val="53565A" w:themeColor="accent2"/>
          <w:szCs w:val="24"/>
        </w:rPr>
        <w:t>hops, food, and e</w:t>
      </w:r>
      <w:r w:rsidR="00D15929">
        <w:rPr>
          <w:rFonts w:eastAsia="Times New Roman" w:cs="Times New Roman"/>
          <w:color w:val="53565A" w:themeColor="accent2"/>
          <w:szCs w:val="24"/>
        </w:rPr>
        <w:t>ntertainment</w:t>
      </w:r>
      <w:r>
        <w:rPr>
          <w:rFonts w:eastAsia="Times New Roman" w:cs="Times New Roman"/>
          <w:color w:val="53565A" w:themeColor="accent2"/>
          <w:szCs w:val="24"/>
        </w:rPr>
        <w:t>.</w:t>
      </w:r>
    </w:p>
    <w:p w14:paraId="4271D09A" w14:textId="77777777" w:rsidR="0002426E" w:rsidRDefault="00561729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t xml:space="preserve">Future Footscray Hospital </w:t>
      </w:r>
    </w:p>
    <w:p w14:paraId="11B16D7E" w14:textId="3A7B919A" w:rsidR="00C15259" w:rsidRDefault="0002426E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 xml:space="preserve">The new hospital site </w:t>
      </w:r>
      <w:r w:rsidR="000E562B">
        <w:rPr>
          <w:rFonts w:ascii="Arial" w:eastAsia="Times New Roman" w:hAnsi="Arial" w:cs="Times New Roman"/>
          <w:color w:val="53565A" w:themeColor="accent2"/>
          <w:szCs w:val="24"/>
        </w:rPr>
        <w:t>is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on the corner of Geelong and Ballarat Road</w:t>
      </w:r>
      <w:r w:rsidR="00765997">
        <w:rPr>
          <w:rFonts w:ascii="Arial" w:eastAsia="Times New Roman" w:hAnsi="Arial" w:cs="Times New Roman"/>
          <w:color w:val="53565A" w:themeColor="accent2"/>
          <w:szCs w:val="24"/>
        </w:rPr>
        <w:t>s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in Footscray. This new hospital will be integrated with the local community, providing </w:t>
      </w:r>
      <w:r w:rsidR="00047FFD">
        <w:rPr>
          <w:rFonts w:ascii="Arial" w:eastAsia="Times New Roman" w:hAnsi="Arial" w:cs="Times New Roman"/>
          <w:color w:val="53565A" w:themeColor="accent2"/>
          <w:szCs w:val="24"/>
        </w:rPr>
        <w:t xml:space="preserve">new 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shops and </w:t>
      </w:r>
      <w:proofErr w:type="gramStart"/>
      <w:r>
        <w:rPr>
          <w:rFonts w:ascii="Arial" w:eastAsia="Times New Roman" w:hAnsi="Arial" w:cs="Times New Roman"/>
          <w:color w:val="53565A" w:themeColor="accent2"/>
          <w:szCs w:val="24"/>
        </w:rPr>
        <w:t>services</w:t>
      </w:r>
      <w:proofErr w:type="gramEnd"/>
      <w:r w:rsidR="00047FFD">
        <w:rPr>
          <w:rFonts w:ascii="Arial" w:eastAsia="Times New Roman" w:hAnsi="Arial" w:cs="Times New Roman"/>
          <w:color w:val="53565A" w:themeColor="accent2"/>
          <w:szCs w:val="24"/>
        </w:rPr>
        <w:t xml:space="preserve"> and will be connected </w:t>
      </w:r>
      <w:r w:rsidR="008D153F">
        <w:rPr>
          <w:rFonts w:ascii="Arial" w:eastAsia="Times New Roman" w:hAnsi="Arial" w:cs="Times New Roman"/>
          <w:color w:val="53565A" w:themeColor="accent2"/>
          <w:szCs w:val="24"/>
        </w:rPr>
        <w:t>directly with</w:t>
      </w:r>
      <w:r w:rsidR="00047FFD">
        <w:rPr>
          <w:rFonts w:ascii="Arial" w:eastAsia="Times New Roman" w:hAnsi="Arial" w:cs="Times New Roman"/>
          <w:color w:val="53565A" w:themeColor="accent2"/>
          <w:szCs w:val="24"/>
        </w:rPr>
        <w:t xml:space="preserve"> Victoria University. </w:t>
      </w:r>
      <w:r w:rsidR="00C338CE">
        <w:rPr>
          <w:rFonts w:ascii="Arial" w:eastAsia="Times New Roman" w:hAnsi="Arial" w:cs="Times New Roman"/>
          <w:color w:val="53565A" w:themeColor="accent2"/>
          <w:szCs w:val="24"/>
        </w:rPr>
        <w:t>The new hospital</w:t>
      </w:r>
      <w:r w:rsidR="00B14F91">
        <w:rPr>
          <w:rFonts w:ascii="Arial" w:eastAsia="Times New Roman" w:hAnsi="Arial" w:cs="Times New Roman"/>
          <w:color w:val="53565A" w:themeColor="accent2"/>
          <w:szCs w:val="24"/>
        </w:rPr>
        <w:t xml:space="preserve"> will</w:t>
      </w:r>
      <w:r w:rsidR="00C338CE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 w:rsidR="006C66C8">
        <w:rPr>
          <w:rFonts w:ascii="Arial" w:eastAsia="Times New Roman" w:hAnsi="Arial" w:cs="Times New Roman"/>
          <w:color w:val="53565A" w:themeColor="accent2"/>
          <w:szCs w:val="24"/>
        </w:rPr>
        <w:t>cut wait times and reduce pressure on nearby hospitals,</w:t>
      </w:r>
      <w:r w:rsidR="005846FA">
        <w:rPr>
          <w:rFonts w:ascii="Arial" w:eastAsia="Times New Roman" w:hAnsi="Arial" w:cs="Times New Roman"/>
          <w:color w:val="53565A" w:themeColor="accent2"/>
          <w:szCs w:val="24"/>
        </w:rPr>
        <w:t xml:space="preserve"> providing 200 more beds,</w:t>
      </w:r>
      <w:r w:rsidR="006C66C8">
        <w:rPr>
          <w:rFonts w:ascii="Arial" w:eastAsia="Times New Roman" w:hAnsi="Arial" w:cs="Times New Roman"/>
          <w:color w:val="53565A" w:themeColor="accent2"/>
          <w:szCs w:val="24"/>
        </w:rPr>
        <w:t xml:space="preserve"> treating approximately 15,000 additional patients </w:t>
      </w:r>
      <w:r w:rsidR="00B14F91">
        <w:rPr>
          <w:rFonts w:ascii="Arial" w:eastAsia="Times New Roman" w:hAnsi="Arial" w:cs="Times New Roman"/>
          <w:color w:val="53565A" w:themeColor="accent2"/>
          <w:szCs w:val="24"/>
        </w:rPr>
        <w:t>and enable 20,000 additional people to be seen by the emergency department each year. The new hospital</w:t>
      </w:r>
      <w:r w:rsidR="00A1177D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 w:rsidR="00B14F91">
        <w:rPr>
          <w:rFonts w:ascii="Arial" w:eastAsia="Times New Roman" w:hAnsi="Arial" w:cs="Times New Roman"/>
          <w:color w:val="53565A" w:themeColor="accent2"/>
          <w:szCs w:val="24"/>
        </w:rPr>
        <w:t>is currently under construction</w:t>
      </w:r>
      <w:r w:rsidR="008D153F">
        <w:rPr>
          <w:rFonts w:ascii="Arial" w:eastAsia="Times New Roman" w:hAnsi="Arial" w:cs="Times New Roman"/>
          <w:color w:val="53565A" w:themeColor="accent2"/>
          <w:szCs w:val="24"/>
        </w:rPr>
        <w:t xml:space="preserve"> and</w:t>
      </w:r>
      <w:r w:rsidR="00892490">
        <w:rPr>
          <w:rFonts w:ascii="Arial" w:eastAsia="Times New Roman" w:hAnsi="Arial" w:cs="Times New Roman"/>
          <w:color w:val="53565A" w:themeColor="accent2"/>
          <w:szCs w:val="24"/>
        </w:rPr>
        <w:t xml:space="preserve"> due</w:t>
      </w:r>
      <w:r w:rsidR="008D153F">
        <w:rPr>
          <w:rFonts w:ascii="Arial" w:eastAsia="Times New Roman" w:hAnsi="Arial" w:cs="Times New Roman"/>
          <w:color w:val="53565A" w:themeColor="accent2"/>
          <w:szCs w:val="24"/>
        </w:rPr>
        <w:t xml:space="preserve"> to be completed in 2025. </w:t>
      </w:r>
    </w:p>
    <w:p w14:paraId="2E34A4F6" w14:textId="0A133DE4" w:rsidR="009C0ED0" w:rsidRDefault="00D37B5F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>Vi</w:t>
      </w:r>
      <w:r w:rsidR="005975AC">
        <w:rPr>
          <w:rFonts w:ascii="Arial" w:eastAsia="Times New Roman" w:hAnsi="Arial" w:cs="Times New Roman"/>
          <w:color w:val="53565A" w:themeColor="accent2"/>
          <w:szCs w:val="24"/>
        </w:rPr>
        <w:t xml:space="preserve">sit the </w:t>
      </w:r>
      <w:hyperlink r:id="rId10" w:history="1">
        <w:r w:rsidR="005975AC" w:rsidRPr="005975AC">
          <w:rPr>
            <w:rStyle w:val="Hyperlink"/>
            <w:rFonts w:ascii="Arial" w:eastAsia="Times New Roman" w:hAnsi="Arial" w:cs="Times New Roman"/>
            <w:szCs w:val="24"/>
          </w:rPr>
          <w:t>Victorian Health Building Authority website</w:t>
        </w:r>
      </w:hyperlink>
      <w:r w:rsidR="005975AC">
        <w:rPr>
          <w:rFonts w:ascii="Arial" w:eastAsia="Times New Roman" w:hAnsi="Arial" w:cs="Times New Roman"/>
          <w:color w:val="53565A" w:themeColor="accent2"/>
          <w:szCs w:val="24"/>
        </w:rPr>
        <w:t xml:space="preserve"> for more information on the new Footscray Hospital. </w:t>
      </w:r>
      <w:r w:rsidR="00C51ADA">
        <w:rPr>
          <w:rFonts w:ascii="Arial" w:eastAsia="Times New Roman" w:hAnsi="Arial" w:cs="Times New Roman"/>
          <w:color w:val="53565A" w:themeColor="accent2"/>
          <w:szCs w:val="24"/>
        </w:rPr>
        <w:br/>
      </w:r>
      <w:r w:rsidR="00463A97">
        <w:rPr>
          <w:rFonts w:ascii="Arial" w:eastAsia="Times New Roman" w:hAnsi="Arial" w:cs="Times New Roman"/>
          <w:color w:val="53565A" w:themeColor="accent2"/>
          <w:szCs w:val="24"/>
        </w:rPr>
        <w:br/>
      </w:r>
      <w:r w:rsidR="00C51ADA">
        <w:rPr>
          <w:rFonts w:ascii="Arial" w:eastAsia="Times New Roman" w:hAnsi="Arial" w:cs="Times New Roman"/>
          <w:color w:val="53565A" w:themeColor="accent2"/>
          <w:szCs w:val="24"/>
        </w:rPr>
        <w:t>For the new hospital site</w:t>
      </w:r>
      <w:r w:rsidR="00B8544D">
        <w:rPr>
          <w:rFonts w:ascii="Arial" w:eastAsia="Times New Roman" w:hAnsi="Arial" w:cs="Times New Roman"/>
          <w:color w:val="53565A" w:themeColor="accent2"/>
          <w:szCs w:val="24"/>
        </w:rPr>
        <w:t>, du</w:t>
      </w:r>
      <w:r w:rsidR="002F558A">
        <w:rPr>
          <w:rFonts w:ascii="Arial" w:eastAsia="Times New Roman" w:hAnsi="Arial" w:cs="Times New Roman"/>
          <w:color w:val="53565A" w:themeColor="accent2"/>
          <w:szCs w:val="24"/>
        </w:rPr>
        <w:t>e to open is 2025</w:t>
      </w:r>
      <w:r w:rsidR="00C51ADA">
        <w:rPr>
          <w:rFonts w:ascii="Arial" w:eastAsia="Times New Roman" w:hAnsi="Arial" w:cs="Times New Roman"/>
          <w:color w:val="53565A" w:themeColor="accent2"/>
          <w:szCs w:val="24"/>
        </w:rPr>
        <w:t>, m</w:t>
      </w:r>
      <w:r w:rsidR="00463A97">
        <w:rPr>
          <w:rFonts w:ascii="Arial" w:eastAsia="Times New Roman" w:hAnsi="Arial" w:cs="Times New Roman"/>
          <w:color w:val="53565A" w:themeColor="accent2"/>
          <w:szCs w:val="24"/>
        </w:rPr>
        <w:t xml:space="preserve">ore than half of the respondents told us </w:t>
      </w:r>
      <w:r w:rsidR="009C0ED0">
        <w:rPr>
          <w:rFonts w:ascii="Arial" w:eastAsia="Times New Roman" w:hAnsi="Arial" w:cs="Times New Roman"/>
          <w:color w:val="53565A" w:themeColor="accent2"/>
          <w:szCs w:val="24"/>
        </w:rPr>
        <w:t>the at the following was needed to create a new mixed-use neighbourhood:</w:t>
      </w:r>
    </w:p>
    <w:p w14:paraId="1565F3D7" w14:textId="13226B63" w:rsidR="009C0ED0" w:rsidRPr="003B39C8" w:rsidRDefault="009C0ED0" w:rsidP="003B39C8">
      <w:pPr>
        <w:pStyle w:val="ListParagraph"/>
        <w:numPr>
          <w:ilvl w:val="0"/>
          <w:numId w:val="15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 xml:space="preserve">the creation of </w:t>
      </w:r>
      <w:r w:rsidR="00463A97" w:rsidRPr="003B39C8">
        <w:rPr>
          <w:rFonts w:eastAsia="Times New Roman" w:cs="Times New Roman"/>
          <w:color w:val="53565A" w:themeColor="accent2"/>
          <w:szCs w:val="24"/>
        </w:rPr>
        <w:t xml:space="preserve">new public spaces </w:t>
      </w:r>
    </w:p>
    <w:p w14:paraId="7FD39D63" w14:textId="2A7E6AB1" w:rsidR="009C0ED0" w:rsidRPr="003B39C8" w:rsidRDefault="00463A97" w:rsidP="003B39C8">
      <w:pPr>
        <w:pStyle w:val="ListParagraph"/>
        <w:numPr>
          <w:ilvl w:val="0"/>
          <w:numId w:val="15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 w:rsidRPr="003B39C8">
        <w:rPr>
          <w:rFonts w:eastAsia="Times New Roman" w:cs="Times New Roman"/>
          <w:color w:val="53565A" w:themeColor="accent2"/>
          <w:szCs w:val="24"/>
        </w:rPr>
        <w:t xml:space="preserve">upgrading lighting and streetscapes </w:t>
      </w:r>
    </w:p>
    <w:p w14:paraId="5C56E15D" w14:textId="4ECFC4D8" w:rsidR="009C0ED0" w:rsidRPr="003B39C8" w:rsidRDefault="00463A97" w:rsidP="003B39C8">
      <w:pPr>
        <w:pStyle w:val="ListParagraph"/>
        <w:numPr>
          <w:ilvl w:val="0"/>
          <w:numId w:val="15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 w:rsidRPr="003B39C8">
        <w:rPr>
          <w:rFonts w:eastAsia="Times New Roman" w:cs="Times New Roman"/>
          <w:color w:val="53565A" w:themeColor="accent2"/>
          <w:szCs w:val="24"/>
        </w:rPr>
        <w:t xml:space="preserve">improving public transport services </w:t>
      </w:r>
    </w:p>
    <w:p w14:paraId="3A2CE3B0" w14:textId="53064705" w:rsidR="009C0ED0" w:rsidRPr="003B39C8" w:rsidRDefault="009C0ED0" w:rsidP="003B39C8">
      <w:pPr>
        <w:pStyle w:val="ListParagraph"/>
        <w:numPr>
          <w:ilvl w:val="0"/>
          <w:numId w:val="15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 w:rsidRPr="003B39C8">
        <w:rPr>
          <w:rFonts w:eastAsia="Times New Roman" w:cs="Times New Roman"/>
          <w:color w:val="53565A" w:themeColor="accent2"/>
          <w:szCs w:val="24"/>
        </w:rPr>
        <w:t xml:space="preserve">increased </w:t>
      </w:r>
      <w:r w:rsidR="00463A97" w:rsidRPr="003B39C8">
        <w:rPr>
          <w:rFonts w:eastAsia="Times New Roman" w:cs="Times New Roman"/>
          <w:color w:val="53565A" w:themeColor="accent2"/>
          <w:szCs w:val="24"/>
        </w:rPr>
        <w:t xml:space="preserve">amenity </w:t>
      </w:r>
    </w:p>
    <w:p w14:paraId="194570C7" w14:textId="13C8B018" w:rsidR="00C17455" w:rsidRPr="003B39C8" w:rsidRDefault="009C0ED0" w:rsidP="003B39C8">
      <w:pPr>
        <w:pStyle w:val="ListParagraph"/>
        <w:numPr>
          <w:ilvl w:val="0"/>
          <w:numId w:val="15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 w:rsidRPr="003B39C8">
        <w:rPr>
          <w:rFonts w:eastAsia="Times New Roman" w:cs="Times New Roman"/>
          <w:color w:val="53565A" w:themeColor="accent2"/>
          <w:szCs w:val="24"/>
        </w:rPr>
        <w:t xml:space="preserve">improved </w:t>
      </w:r>
      <w:r w:rsidR="00B8544D" w:rsidRPr="003B39C8">
        <w:rPr>
          <w:rFonts w:eastAsia="Times New Roman" w:cs="Times New Roman"/>
          <w:color w:val="53565A" w:themeColor="accent2"/>
          <w:szCs w:val="24"/>
        </w:rPr>
        <w:t>pedestrian</w:t>
      </w:r>
      <w:r w:rsidR="00463A97" w:rsidRPr="003B39C8">
        <w:rPr>
          <w:rFonts w:eastAsia="Times New Roman" w:cs="Times New Roman"/>
          <w:color w:val="53565A" w:themeColor="accent2"/>
          <w:szCs w:val="24"/>
        </w:rPr>
        <w:t xml:space="preserve"> links between the university and the new hospital</w:t>
      </w:r>
      <w:r w:rsidR="00142DD1">
        <w:rPr>
          <w:rFonts w:eastAsia="Times New Roman" w:cs="Times New Roman"/>
          <w:color w:val="53565A" w:themeColor="accent2"/>
          <w:szCs w:val="24"/>
        </w:rPr>
        <w:t>.</w:t>
      </w:r>
      <w:r w:rsidR="00463A97" w:rsidRPr="003B39C8">
        <w:rPr>
          <w:rFonts w:eastAsia="Times New Roman" w:cs="Times New Roman"/>
          <w:color w:val="53565A" w:themeColor="accent2"/>
          <w:szCs w:val="24"/>
        </w:rPr>
        <w:t xml:space="preserve"> </w:t>
      </w:r>
    </w:p>
    <w:p w14:paraId="5E7B9E08" w14:textId="77777777" w:rsidR="005A5504" w:rsidRDefault="005A5504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</w:p>
    <w:p w14:paraId="5A95917D" w14:textId="77777777" w:rsidR="005A5504" w:rsidRDefault="005A5504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</w:p>
    <w:p w14:paraId="6062E055" w14:textId="77777777" w:rsidR="005A5504" w:rsidRDefault="005A5504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</w:p>
    <w:p w14:paraId="257E0FDF" w14:textId="36FB43C0" w:rsidR="00BE2E56" w:rsidRPr="00BE2E56" w:rsidRDefault="00BE2E56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lastRenderedPageBreak/>
        <w:t>The f</w:t>
      </w:r>
      <w:r w:rsidRPr="00BE2E56">
        <w:rPr>
          <w:rFonts w:ascii="Arial" w:eastAsia="Times New Roman" w:hAnsi="Arial" w:cs="Times New Roman"/>
          <w:b/>
          <w:bCs/>
          <w:color w:val="53565A" w:themeColor="accent2"/>
          <w:szCs w:val="24"/>
        </w:rPr>
        <w:t>uture</w:t>
      </w: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t xml:space="preserve"> of</w:t>
      </w:r>
      <w:r w:rsidRPr="00BE2E56">
        <w:rPr>
          <w:rFonts w:ascii="Arial" w:eastAsia="Times New Roman" w:hAnsi="Arial" w:cs="Times New Roman"/>
          <w:b/>
          <w:bCs/>
          <w:color w:val="53565A" w:themeColor="accent2"/>
          <w:szCs w:val="24"/>
        </w:rPr>
        <w:t xml:space="preserve"> Footscray</w:t>
      </w:r>
    </w:p>
    <w:p w14:paraId="2C0BBC68" w14:textId="65685D19" w:rsidR="00314F68" w:rsidRDefault="00221EB0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>W</w:t>
      </w:r>
      <w:r w:rsidR="00F164E7">
        <w:rPr>
          <w:rFonts w:ascii="Arial" w:eastAsia="Times New Roman" w:hAnsi="Arial" w:cs="Times New Roman"/>
          <w:color w:val="53565A" w:themeColor="accent2"/>
          <w:szCs w:val="24"/>
        </w:rPr>
        <w:t xml:space="preserve">e 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asked how </w:t>
      </w:r>
      <w:r w:rsidR="00AA4268">
        <w:rPr>
          <w:rFonts w:ascii="Arial" w:eastAsia="Times New Roman" w:hAnsi="Arial" w:cs="Times New Roman"/>
          <w:color w:val="53565A" w:themeColor="accent2"/>
          <w:szCs w:val="24"/>
        </w:rPr>
        <w:t>we keep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Footscray’s unique identity and diverse culture strong into the </w:t>
      </w:r>
      <w:r w:rsidR="006F1265">
        <w:rPr>
          <w:rFonts w:ascii="Arial" w:eastAsia="Times New Roman" w:hAnsi="Arial" w:cs="Times New Roman"/>
          <w:color w:val="53565A" w:themeColor="accent2"/>
          <w:szCs w:val="24"/>
        </w:rPr>
        <w:t>future. Respondents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highlight</w:t>
      </w:r>
      <w:r w:rsidR="000C4DF4">
        <w:rPr>
          <w:rFonts w:ascii="Arial" w:eastAsia="Times New Roman" w:hAnsi="Arial" w:cs="Times New Roman"/>
          <w:color w:val="53565A" w:themeColor="accent2"/>
          <w:szCs w:val="24"/>
        </w:rPr>
        <w:t>ed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the need to</w:t>
      </w:r>
      <w:r w:rsidR="00314F68">
        <w:rPr>
          <w:rFonts w:ascii="Arial" w:eastAsia="Times New Roman" w:hAnsi="Arial" w:cs="Times New Roman"/>
          <w:color w:val="53565A" w:themeColor="accent2"/>
          <w:szCs w:val="24"/>
        </w:rPr>
        <w:t>:</w:t>
      </w:r>
    </w:p>
    <w:p w14:paraId="1A13CD56" w14:textId="3B11BF80" w:rsidR="00314F68" w:rsidRPr="003B39C8" w:rsidRDefault="00314F68" w:rsidP="003B39C8">
      <w:pPr>
        <w:pStyle w:val="ListParagraph"/>
        <w:numPr>
          <w:ilvl w:val="0"/>
          <w:numId w:val="16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 xml:space="preserve">retain </w:t>
      </w:r>
      <w:r w:rsidR="00221EB0" w:rsidRPr="003B39C8">
        <w:rPr>
          <w:rFonts w:eastAsia="Times New Roman" w:cs="Times New Roman"/>
          <w:color w:val="53565A" w:themeColor="accent2"/>
          <w:szCs w:val="24"/>
        </w:rPr>
        <w:t xml:space="preserve">the eclectic land use </w:t>
      </w:r>
      <w:proofErr w:type="gramStart"/>
      <w:r w:rsidR="00221EB0" w:rsidRPr="003B39C8">
        <w:rPr>
          <w:rFonts w:eastAsia="Times New Roman" w:cs="Times New Roman"/>
          <w:color w:val="53565A" w:themeColor="accent2"/>
          <w:szCs w:val="24"/>
        </w:rPr>
        <w:t>mix</w:t>
      </w:r>
      <w:proofErr w:type="gramEnd"/>
    </w:p>
    <w:p w14:paraId="449D72B0" w14:textId="3D498BB3" w:rsidR="00314F68" w:rsidRPr="003B39C8" w:rsidRDefault="0002139A" w:rsidP="003B39C8">
      <w:pPr>
        <w:pStyle w:val="ListParagraph"/>
        <w:numPr>
          <w:ilvl w:val="0"/>
          <w:numId w:val="16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 w:rsidRPr="003B39C8">
        <w:rPr>
          <w:rFonts w:eastAsia="Times New Roman" w:cs="Times New Roman"/>
          <w:color w:val="53565A" w:themeColor="accent2"/>
          <w:szCs w:val="24"/>
        </w:rPr>
        <w:t>support</w:t>
      </w:r>
      <w:r w:rsidR="00314F68" w:rsidRPr="003B39C8">
        <w:rPr>
          <w:rFonts w:eastAsia="Times New Roman" w:cs="Times New Roman"/>
          <w:color w:val="53565A" w:themeColor="accent2"/>
          <w:szCs w:val="24"/>
        </w:rPr>
        <w:t xml:space="preserve"> </w:t>
      </w:r>
      <w:r w:rsidRPr="003B39C8">
        <w:rPr>
          <w:rFonts w:eastAsia="Times New Roman" w:cs="Times New Roman"/>
          <w:color w:val="53565A" w:themeColor="accent2"/>
          <w:szCs w:val="24"/>
        </w:rPr>
        <w:t xml:space="preserve">the supply of </w:t>
      </w:r>
      <w:r w:rsidR="00D654B8" w:rsidRPr="003B39C8">
        <w:rPr>
          <w:rFonts w:eastAsia="Times New Roman" w:cs="Times New Roman"/>
          <w:color w:val="53565A" w:themeColor="accent2"/>
          <w:szCs w:val="24"/>
        </w:rPr>
        <w:t xml:space="preserve">affordable and social </w:t>
      </w:r>
      <w:proofErr w:type="gramStart"/>
      <w:r w:rsidR="00D654B8" w:rsidRPr="003B39C8">
        <w:rPr>
          <w:rFonts w:eastAsia="Times New Roman" w:cs="Times New Roman"/>
          <w:color w:val="53565A" w:themeColor="accent2"/>
          <w:szCs w:val="24"/>
        </w:rPr>
        <w:t>housing</w:t>
      </w:r>
      <w:proofErr w:type="gramEnd"/>
    </w:p>
    <w:p w14:paraId="4BED7024" w14:textId="7874983C" w:rsidR="00314F68" w:rsidRPr="003B39C8" w:rsidRDefault="00221EB0" w:rsidP="003B39C8">
      <w:pPr>
        <w:pStyle w:val="ListParagraph"/>
        <w:numPr>
          <w:ilvl w:val="0"/>
          <w:numId w:val="16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 w:rsidRPr="003B39C8">
        <w:rPr>
          <w:rFonts w:eastAsia="Times New Roman" w:cs="Times New Roman"/>
          <w:color w:val="53565A" w:themeColor="accent2"/>
          <w:szCs w:val="24"/>
        </w:rPr>
        <w:t>collabora</w:t>
      </w:r>
      <w:r w:rsidR="00314F68">
        <w:rPr>
          <w:rFonts w:eastAsia="Times New Roman" w:cs="Times New Roman"/>
          <w:color w:val="53565A" w:themeColor="accent2"/>
          <w:szCs w:val="24"/>
        </w:rPr>
        <w:t>te</w:t>
      </w:r>
      <w:r w:rsidRPr="003B39C8">
        <w:rPr>
          <w:rFonts w:eastAsia="Times New Roman" w:cs="Times New Roman"/>
          <w:color w:val="53565A" w:themeColor="accent2"/>
          <w:szCs w:val="24"/>
        </w:rPr>
        <w:t xml:space="preserve"> with local creatives, artists and the </w:t>
      </w:r>
      <w:proofErr w:type="gramStart"/>
      <w:r w:rsidRPr="003B39C8">
        <w:rPr>
          <w:rFonts w:eastAsia="Times New Roman" w:cs="Times New Roman"/>
          <w:color w:val="53565A" w:themeColor="accent2"/>
          <w:szCs w:val="24"/>
        </w:rPr>
        <w:t>community</w:t>
      </w:r>
      <w:proofErr w:type="gramEnd"/>
    </w:p>
    <w:p w14:paraId="194521CA" w14:textId="2C0135B3" w:rsidR="00314F68" w:rsidRPr="003B39C8" w:rsidRDefault="00221EB0" w:rsidP="003B39C8">
      <w:pPr>
        <w:pStyle w:val="ListParagraph"/>
        <w:numPr>
          <w:ilvl w:val="0"/>
          <w:numId w:val="16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 w:rsidRPr="003B39C8">
        <w:rPr>
          <w:rFonts w:eastAsia="Times New Roman" w:cs="Times New Roman"/>
          <w:color w:val="53565A" w:themeColor="accent2"/>
          <w:szCs w:val="24"/>
        </w:rPr>
        <w:t xml:space="preserve">support community-based </w:t>
      </w:r>
      <w:proofErr w:type="spellStart"/>
      <w:r w:rsidRPr="003B39C8">
        <w:rPr>
          <w:rFonts w:eastAsia="Times New Roman" w:cs="Times New Roman"/>
          <w:color w:val="53565A" w:themeColor="accent2"/>
          <w:szCs w:val="24"/>
        </w:rPr>
        <w:t>organisations</w:t>
      </w:r>
      <w:proofErr w:type="spellEnd"/>
      <w:r w:rsidRPr="003B39C8">
        <w:rPr>
          <w:rFonts w:eastAsia="Times New Roman" w:cs="Times New Roman"/>
          <w:color w:val="53565A" w:themeColor="accent2"/>
          <w:szCs w:val="24"/>
        </w:rPr>
        <w:t xml:space="preserve"> </w:t>
      </w:r>
    </w:p>
    <w:p w14:paraId="79CAD53F" w14:textId="174DB6B8" w:rsidR="00D654B8" w:rsidRPr="00887481" w:rsidRDefault="00314F68" w:rsidP="003B39C8">
      <w:pPr>
        <w:pStyle w:val="ListParagraph"/>
        <w:numPr>
          <w:ilvl w:val="0"/>
          <w:numId w:val="16"/>
        </w:numPr>
        <w:spacing w:before="120" w:after="200"/>
        <w:ind w:right="567"/>
        <w:rPr>
          <w:rFonts w:eastAsia="Times New Roman" w:cs="Times New Roman"/>
          <w:color w:val="53565A" w:themeColor="accent2"/>
          <w:szCs w:val="24"/>
        </w:rPr>
      </w:pPr>
      <w:r>
        <w:rPr>
          <w:rFonts w:eastAsia="Times New Roman" w:cs="Times New Roman"/>
          <w:color w:val="53565A" w:themeColor="accent2"/>
          <w:szCs w:val="24"/>
        </w:rPr>
        <w:t>safeguard the</w:t>
      </w:r>
      <w:r w:rsidR="00221EB0" w:rsidRPr="00887481">
        <w:rPr>
          <w:rFonts w:eastAsia="Times New Roman" w:cs="Times New Roman"/>
          <w:color w:val="53565A" w:themeColor="accent2"/>
          <w:szCs w:val="24"/>
        </w:rPr>
        <w:t xml:space="preserve"> iconic parts of </w:t>
      </w:r>
      <w:proofErr w:type="spellStart"/>
      <w:r w:rsidR="00221EB0" w:rsidRPr="00887481">
        <w:rPr>
          <w:rFonts w:eastAsia="Times New Roman" w:cs="Times New Roman"/>
          <w:color w:val="53565A" w:themeColor="accent2"/>
          <w:szCs w:val="24"/>
        </w:rPr>
        <w:t>Footscray’s</w:t>
      </w:r>
      <w:proofErr w:type="spellEnd"/>
      <w:r w:rsidR="00221EB0" w:rsidRPr="00887481">
        <w:rPr>
          <w:rFonts w:eastAsia="Times New Roman" w:cs="Times New Roman"/>
          <w:color w:val="53565A" w:themeColor="accent2"/>
          <w:szCs w:val="24"/>
        </w:rPr>
        <w:t xml:space="preserve"> history, including its </w:t>
      </w:r>
      <w:r w:rsidR="00222B7C">
        <w:rPr>
          <w:rFonts w:eastAsia="Times New Roman" w:cs="Times New Roman"/>
          <w:color w:val="53565A" w:themeColor="accent2"/>
          <w:szCs w:val="24"/>
        </w:rPr>
        <w:t>I</w:t>
      </w:r>
      <w:r w:rsidR="00221EB0" w:rsidRPr="00887481">
        <w:rPr>
          <w:rFonts w:eastAsia="Times New Roman" w:cs="Times New Roman"/>
          <w:color w:val="53565A" w:themeColor="accent2"/>
          <w:szCs w:val="24"/>
        </w:rPr>
        <w:t xml:space="preserve">ndigenous history, diversity, visual </w:t>
      </w:r>
      <w:proofErr w:type="gramStart"/>
      <w:r w:rsidR="00221EB0" w:rsidRPr="00887481">
        <w:rPr>
          <w:rFonts w:eastAsia="Times New Roman" w:cs="Times New Roman"/>
          <w:color w:val="53565A" w:themeColor="accent2"/>
          <w:szCs w:val="24"/>
        </w:rPr>
        <w:t>style</w:t>
      </w:r>
      <w:proofErr w:type="gramEnd"/>
      <w:r w:rsidR="00221EB0" w:rsidRPr="00887481">
        <w:rPr>
          <w:rFonts w:eastAsia="Times New Roman" w:cs="Times New Roman"/>
          <w:color w:val="53565A" w:themeColor="accent2"/>
          <w:szCs w:val="24"/>
        </w:rPr>
        <w:t xml:space="preserve"> and culture. </w:t>
      </w:r>
    </w:p>
    <w:p w14:paraId="72365EF4" w14:textId="1C8FF57B" w:rsidR="001666DD" w:rsidRPr="001666DD" w:rsidRDefault="009825EF" w:rsidP="001666DD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t>Filling in the gap</w:t>
      </w:r>
    </w:p>
    <w:p w14:paraId="4E01203E" w14:textId="3CDA61A5" w:rsidR="00D654B8" w:rsidRDefault="00D654B8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>W</w:t>
      </w:r>
      <w:r w:rsidR="008B0343">
        <w:rPr>
          <w:rFonts w:ascii="Arial" w:eastAsia="Times New Roman" w:hAnsi="Arial" w:cs="Times New Roman"/>
          <w:color w:val="53565A" w:themeColor="accent2"/>
          <w:szCs w:val="24"/>
        </w:rPr>
        <w:t>e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asked</w:t>
      </w:r>
      <w:r w:rsidR="00BE14C1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 w:rsidR="008A212A">
        <w:rPr>
          <w:rFonts w:ascii="Arial" w:eastAsia="Times New Roman" w:hAnsi="Arial" w:cs="Times New Roman"/>
          <w:color w:val="53565A" w:themeColor="accent2"/>
          <w:szCs w:val="24"/>
        </w:rPr>
        <w:t xml:space="preserve">an </w:t>
      </w:r>
      <w:r w:rsidR="00BE14C1">
        <w:rPr>
          <w:rFonts w:ascii="Arial" w:eastAsia="Times New Roman" w:hAnsi="Arial" w:cs="Times New Roman"/>
          <w:color w:val="53565A" w:themeColor="accent2"/>
          <w:szCs w:val="24"/>
        </w:rPr>
        <w:t>open-ended question</w:t>
      </w:r>
      <w:r w:rsidR="008A212A">
        <w:rPr>
          <w:rFonts w:ascii="Arial" w:eastAsia="Times New Roman" w:hAnsi="Arial" w:cs="Times New Roman"/>
          <w:color w:val="53565A" w:themeColor="accent2"/>
          <w:szCs w:val="24"/>
        </w:rPr>
        <w:t>: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“What do you think is missing in the Footscray Opportunity and Directions Paper?”</w:t>
      </w:r>
      <w:r w:rsidR="008A212A">
        <w:rPr>
          <w:rFonts w:ascii="Arial" w:eastAsia="Times New Roman" w:hAnsi="Arial" w:cs="Times New Roman"/>
          <w:color w:val="53565A" w:themeColor="accent2"/>
          <w:szCs w:val="24"/>
        </w:rPr>
        <w:t>.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 w:rsidR="008A212A">
        <w:rPr>
          <w:rFonts w:ascii="Arial" w:eastAsia="Times New Roman" w:hAnsi="Arial" w:cs="Times New Roman"/>
          <w:color w:val="53565A" w:themeColor="accent2"/>
          <w:szCs w:val="24"/>
        </w:rPr>
        <w:t>R</w:t>
      </w:r>
      <w:r>
        <w:rPr>
          <w:rFonts w:ascii="Arial" w:eastAsia="Times New Roman" w:hAnsi="Arial" w:cs="Times New Roman"/>
          <w:color w:val="53565A" w:themeColor="accent2"/>
          <w:szCs w:val="24"/>
        </w:rPr>
        <w:t>espondents stated that they would like to see more emphasis on</w:t>
      </w:r>
      <w:r w:rsidR="00BE14C1">
        <w:rPr>
          <w:rFonts w:ascii="Arial" w:eastAsia="Times New Roman" w:hAnsi="Arial" w:cs="Times New Roman"/>
          <w:color w:val="53565A" w:themeColor="accent2"/>
          <w:szCs w:val="24"/>
        </w:rPr>
        <w:t xml:space="preserve"> safety, </w:t>
      </w:r>
      <w:proofErr w:type="gramStart"/>
      <w:r w:rsidR="00BE14C1">
        <w:rPr>
          <w:rFonts w:ascii="Arial" w:eastAsia="Times New Roman" w:hAnsi="Arial" w:cs="Times New Roman"/>
          <w:color w:val="53565A" w:themeColor="accent2"/>
          <w:szCs w:val="24"/>
        </w:rPr>
        <w:t>development</w:t>
      </w:r>
      <w:proofErr w:type="gramEnd"/>
      <w:r w:rsidR="00BE14C1">
        <w:rPr>
          <w:rFonts w:ascii="Arial" w:eastAsia="Times New Roman" w:hAnsi="Arial" w:cs="Times New Roman"/>
          <w:color w:val="53565A" w:themeColor="accent2"/>
          <w:szCs w:val="24"/>
        </w:rPr>
        <w:t xml:space="preserve"> and the urban realm of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Footscray CBD</w:t>
      </w:r>
      <w:r w:rsidR="009D640B">
        <w:rPr>
          <w:rFonts w:ascii="Arial" w:eastAsia="Times New Roman" w:hAnsi="Arial" w:cs="Times New Roman"/>
          <w:color w:val="53565A" w:themeColor="accent2"/>
          <w:szCs w:val="24"/>
        </w:rPr>
        <w:t>.</w:t>
      </w:r>
      <w:r w:rsidR="00BE14C1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 w:rsidR="009D640B">
        <w:rPr>
          <w:rFonts w:ascii="Arial" w:eastAsia="Times New Roman" w:hAnsi="Arial" w:cs="Times New Roman"/>
          <w:color w:val="53565A" w:themeColor="accent2"/>
          <w:szCs w:val="24"/>
        </w:rPr>
        <w:t xml:space="preserve">More </w:t>
      </w:r>
      <w:r w:rsidR="00BE14C1">
        <w:rPr>
          <w:rFonts w:ascii="Arial" w:eastAsia="Times New Roman" w:hAnsi="Arial" w:cs="Times New Roman"/>
          <w:color w:val="53565A" w:themeColor="accent2"/>
          <w:szCs w:val="24"/>
        </w:rPr>
        <w:t xml:space="preserve">consideration for future uses of the existing hospital site, need for more commerce and retail, demographic considerations, emphasising Footscray as a </w:t>
      </w:r>
      <w:r w:rsidR="00F54DF2">
        <w:rPr>
          <w:rFonts w:ascii="Arial" w:eastAsia="Times New Roman" w:hAnsi="Arial" w:cs="Times New Roman"/>
          <w:color w:val="53565A" w:themeColor="accent2"/>
          <w:szCs w:val="24"/>
        </w:rPr>
        <w:t>‘u</w:t>
      </w:r>
      <w:r w:rsidR="00BE14C1">
        <w:rPr>
          <w:rFonts w:ascii="Arial" w:eastAsia="Times New Roman" w:hAnsi="Arial" w:cs="Times New Roman"/>
          <w:color w:val="53565A" w:themeColor="accent2"/>
          <w:szCs w:val="24"/>
        </w:rPr>
        <w:t xml:space="preserve">niversity </w:t>
      </w:r>
      <w:r w:rsidR="00F54DF2">
        <w:rPr>
          <w:rFonts w:ascii="Arial" w:eastAsia="Times New Roman" w:hAnsi="Arial" w:cs="Times New Roman"/>
          <w:color w:val="53565A" w:themeColor="accent2"/>
          <w:szCs w:val="24"/>
        </w:rPr>
        <w:t>t</w:t>
      </w:r>
      <w:r w:rsidR="00BE14C1">
        <w:rPr>
          <w:rFonts w:ascii="Arial" w:eastAsia="Times New Roman" w:hAnsi="Arial" w:cs="Times New Roman"/>
          <w:color w:val="53565A" w:themeColor="accent2"/>
          <w:szCs w:val="24"/>
        </w:rPr>
        <w:t>own</w:t>
      </w:r>
      <w:r w:rsidR="00F54DF2">
        <w:rPr>
          <w:rFonts w:ascii="Arial" w:eastAsia="Times New Roman" w:hAnsi="Arial" w:cs="Times New Roman"/>
          <w:color w:val="53565A" w:themeColor="accent2"/>
          <w:szCs w:val="24"/>
        </w:rPr>
        <w:t>’</w:t>
      </w:r>
      <w:r w:rsidR="00BE14C1">
        <w:rPr>
          <w:rFonts w:ascii="Arial" w:eastAsia="Times New Roman" w:hAnsi="Arial" w:cs="Times New Roman"/>
          <w:color w:val="53565A" w:themeColor="accent2"/>
          <w:szCs w:val="24"/>
        </w:rPr>
        <w:t xml:space="preserve"> and a more ambitious way to define the hospital and university precinct. </w:t>
      </w:r>
    </w:p>
    <w:p w14:paraId="5A668900" w14:textId="1D4F1527" w:rsidR="009825EF" w:rsidRPr="009825EF" w:rsidRDefault="00B77A3F" w:rsidP="009825EF">
      <w:pPr>
        <w:spacing w:before="120" w:after="200" w:line="240" w:lineRule="auto"/>
        <w:ind w:left="567" w:right="567"/>
        <w:rPr>
          <w:rFonts w:ascii="Arial" w:eastAsia="Times New Roman" w:hAnsi="Arial" w:cs="Times New Roman"/>
          <w:b/>
          <w:bCs/>
          <w:color w:val="53565A" w:themeColor="accent2"/>
          <w:szCs w:val="24"/>
        </w:rPr>
      </w:pP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t>What community groups, associations and businesses are doing for Foot</w:t>
      </w:r>
      <w:r w:rsidR="009D640B">
        <w:rPr>
          <w:rFonts w:ascii="Arial" w:eastAsia="Times New Roman" w:hAnsi="Arial" w:cs="Times New Roman"/>
          <w:b/>
          <w:bCs/>
          <w:color w:val="53565A" w:themeColor="accent2"/>
          <w:szCs w:val="24"/>
        </w:rPr>
        <w:t>s</w:t>
      </w:r>
      <w:r>
        <w:rPr>
          <w:rFonts w:ascii="Arial" w:eastAsia="Times New Roman" w:hAnsi="Arial" w:cs="Times New Roman"/>
          <w:b/>
          <w:bCs/>
          <w:color w:val="53565A" w:themeColor="accent2"/>
          <w:szCs w:val="24"/>
        </w:rPr>
        <w:t>cray</w:t>
      </w:r>
    </w:p>
    <w:p w14:paraId="4956F880" w14:textId="588F2B2E" w:rsidR="006366B7" w:rsidRDefault="006366B7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>
        <w:rPr>
          <w:rFonts w:ascii="Arial" w:eastAsia="Times New Roman" w:hAnsi="Arial" w:cs="Times New Roman"/>
          <w:color w:val="53565A" w:themeColor="accent2"/>
        </w:rPr>
        <w:t xml:space="preserve">Feedback from the diverse ranges of stakeholders involved </w:t>
      </w:r>
      <w:r w:rsidR="00E5523B">
        <w:rPr>
          <w:rFonts w:ascii="Arial" w:eastAsia="Times New Roman" w:hAnsi="Arial" w:cs="Times New Roman"/>
          <w:color w:val="53565A" w:themeColor="accent2"/>
        </w:rPr>
        <w:t xml:space="preserve">was </w:t>
      </w:r>
      <w:r>
        <w:rPr>
          <w:rFonts w:ascii="Arial" w:eastAsia="Times New Roman" w:hAnsi="Arial" w:cs="Times New Roman"/>
          <w:color w:val="53565A" w:themeColor="accent2"/>
        </w:rPr>
        <w:t>that organisations, associations and businesses in Footscray are well connected to the overall community and that it is important that we continue to engage and</w:t>
      </w:r>
      <w:r w:rsidR="0067495C">
        <w:rPr>
          <w:rFonts w:ascii="Arial" w:eastAsia="Times New Roman" w:hAnsi="Arial" w:cs="Times New Roman"/>
          <w:color w:val="53565A" w:themeColor="accent2"/>
        </w:rPr>
        <w:t xml:space="preserve"> work together moving forward. </w:t>
      </w:r>
    </w:p>
    <w:p w14:paraId="3ACE0931" w14:textId="5089635B" w:rsidR="00941AB2" w:rsidRDefault="00BE14C1" w:rsidP="00941AB2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74CFBA71">
        <w:rPr>
          <w:rFonts w:ascii="Arial" w:eastAsia="Times New Roman" w:hAnsi="Arial" w:cs="Times New Roman"/>
          <w:color w:val="53565A" w:themeColor="accent2"/>
        </w:rPr>
        <w:t xml:space="preserve">When asked the open-ended question “What is your organisation doing now, </w:t>
      </w:r>
      <w:r w:rsidR="0002139A" w:rsidRPr="74CFBA71">
        <w:rPr>
          <w:rFonts w:ascii="Arial" w:eastAsia="Times New Roman" w:hAnsi="Arial" w:cs="Times New Roman"/>
          <w:color w:val="53565A" w:themeColor="accent2"/>
        </w:rPr>
        <w:t xml:space="preserve">or </w:t>
      </w:r>
      <w:r w:rsidRPr="74CFBA71">
        <w:rPr>
          <w:rFonts w:ascii="Arial" w:eastAsia="Times New Roman" w:hAnsi="Arial" w:cs="Times New Roman"/>
          <w:color w:val="53565A" w:themeColor="accent2"/>
        </w:rPr>
        <w:t xml:space="preserve">in the short term to foster opportunity and diversity and will help make Footscray the heart of creativity and enterprise in Melbourne’s inner west?” </w:t>
      </w:r>
      <w:r w:rsidR="002F52B1">
        <w:rPr>
          <w:rFonts w:ascii="Arial" w:eastAsia="Times New Roman" w:hAnsi="Arial" w:cs="Times New Roman"/>
          <w:color w:val="53565A" w:themeColor="accent2"/>
        </w:rPr>
        <w:t xml:space="preserve">we </w:t>
      </w:r>
      <w:r w:rsidR="005A5504">
        <w:rPr>
          <w:rFonts w:ascii="Arial" w:eastAsia="Times New Roman" w:hAnsi="Arial" w:cs="Times New Roman"/>
          <w:color w:val="53565A" w:themeColor="accent2"/>
        </w:rPr>
        <w:t>received</w:t>
      </w:r>
      <w:r w:rsidRPr="74CFBA71">
        <w:rPr>
          <w:rFonts w:ascii="Arial" w:eastAsia="Times New Roman" w:hAnsi="Arial" w:cs="Times New Roman"/>
          <w:color w:val="53565A" w:themeColor="accent2"/>
        </w:rPr>
        <w:t xml:space="preserve"> a diverse range of responses</w:t>
      </w:r>
      <w:r w:rsidR="008B0343">
        <w:rPr>
          <w:rFonts w:ascii="Arial" w:eastAsia="Times New Roman" w:hAnsi="Arial" w:cs="Times New Roman"/>
          <w:color w:val="53565A" w:themeColor="accent2"/>
        </w:rPr>
        <w:t xml:space="preserve">. </w:t>
      </w:r>
      <w:r w:rsidR="00941AB2">
        <w:rPr>
          <w:rFonts w:ascii="Arial" w:eastAsia="Times New Roman" w:hAnsi="Arial" w:cs="Times New Roman"/>
          <w:color w:val="53565A" w:themeColor="accent2"/>
        </w:rPr>
        <w:br/>
      </w:r>
      <w:r w:rsidR="00941AB2">
        <w:rPr>
          <w:rFonts w:ascii="Arial" w:eastAsia="Times New Roman" w:hAnsi="Arial" w:cs="Times New Roman"/>
          <w:color w:val="53565A" w:themeColor="accent2"/>
        </w:rPr>
        <w:br/>
      </w:r>
      <w:r w:rsidR="008B0343">
        <w:rPr>
          <w:rFonts w:ascii="Arial" w:eastAsia="Times New Roman" w:hAnsi="Arial" w:cs="Times New Roman"/>
          <w:color w:val="53565A" w:themeColor="accent2"/>
        </w:rPr>
        <w:t>These</w:t>
      </w:r>
      <w:r w:rsidRPr="74CFBA71">
        <w:rPr>
          <w:rFonts w:ascii="Arial" w:eastAsia="Times New Roman" w:hAnsi="Arial" w:cs="Times New Roman"/>
          <w:color w:val="53565A" w:themeColor="accent2"/>
        </w:rPr>
        <w:t xml:space="preserve"> includ</w:t>
      </w:r>
      <w:r w:rsidR="008B0343">
        <w:rPr>
          <w:rFonts w:ascii="Arial" w:eastAsia="Times New Roman" w:hAnsi="Arial" w:cs="Times New Roman"/>
          <w:color w:val="53565A" w:themeColor="accent2"/>
        </w:rPr>
        <w:t>ed</w:t>
      </w:r>
      <w:r w:rsidR="00941AB2">
        <w:rPr>
          <w:rFonts w:ascii="Arial" w:eastAsia="Times New Roman" w:hAnsi="Arial" w:cs="Times New Roman"/>
          <w:color w:val="53565A" w:themeColor="accent2"/>
        </w:rPr>
        <w:t>:</w:t>
      </w:r>
    </w:p>
    <w:p w14:paraId="3932F022" w14:textId="5761AEF1" w:rsidR="00941AB2" w:rsidRDefault="00941AB2" w:rsidP="00941AB2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O</w:t>
      </w:r>
      <w:r w:rsidR="00BE14C1" w:rsidRPr="00413DE6">
        <w:rPr>
          <w:rFonts w:eastAsia="Times New Roman" w:cs="Times New Roman"/>
          <w:color w:val="53565A" w:themeColor="accent2"/>
        </w:rPr>
        <w:t>ffering inclusive education</w:t>
      </w:r>
      <w:r w:rsidR="005369FE" w:rsidRPr="00413DE6">
        <w:rPr>
          <w:rFonts w:eastAsia="Times New Roman" w:cs="Times New Roman"/>
          <w:color w:val="53565A" w:themeColor="accent2"/>
        </w:rPr>
        <w:t xml:space="preserve"> </w:t>
      </w:r>
    </w:p>
    <w:p w14:paraId="2FEFB540" w14:textId="4FB15817" w:rsidR="00941AB2" w:rsidRDefault="00941AB2" w:rsidP="00941AB2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R</w:t>
      </w:r>
      <w:r w:rsidRPr="00413DE6">
        <w:rPr>
          <w:rFonts w:eastAsia="Times New Roman" w:cs="Times New Roman"/>
          <w:color w:val="53565A" w:themeColor="accent2"/>
        </w:rPr>
        <w:t xml:space="preserve">unning </w:t>
      </w:r>
      <w:r w:rsidR="005369FE" w:rsidRPr="00413DE6">
        <w:rPr>
          <w:rFonts w:eastAsia="Times New Roman" w:cs="Times New Roman"/>
          <w:color w:val="53565A" w:themeColor="accent2"/>
        </w:rPr>
        <w:t>not for profit association</w:t>
      </w:r>
      <w:r w:rsidR="00B77A3F" w:rsidRPr="00413DE6">
        <w:rPr>
          <w:rFonts w:eastAsia="Times New Roman" w:cs="Times New Roman"/>
          <w:color w:val="53565A" w:themeColor="accent2"/>
        </w:rPr>
        <w:t xml:space="preserve">s that support those in </w:t>
      </w:r>
      <w:proofErr w:type="gramStart"/>
      <w:r w:rsidR="00B77A3F" w:rsidRPr="00413DE6">
        <w:rPr>
          <w:rFonts w:eastAsia="Times New Roman" w:cs="Times New Roman"/>
          <w:color w:val="53565A" w:themeColor="accent2"/>
        </w:rPr>
        <w:t>need</w:t>
      </w:r>
      <w:proofErr w:type="gramEnd"/>
      <w:r w:rsidR="005369FE" w:rsidRPr="00413DE6">
        <w:rPr>
          <w:rFonts w:eastAsia="Times New Roman" w:cs="Times New Roman"/>
          <w:color w:val="53565A" w:themeColor="accent2"/>
        </w:rPr>
        <w:t xml:space="preserve"> </w:t>
      </w:r>
    </w:p>
    <w:p w14:paraId="6910A4DC" w14:textId="0324E7D9" w:rsidR="00941AB2" w:rsidRDefault="00941AB2" w:rsidP="00941AB2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E</w:t>
      </w:r>
      <w:r w:rsidRPr="00413DE6">
        <w:rPr>
          <w:rFonts w:eastAsia="Times New Roman" w:cs="Times New Roman"/>
          <w:color w:val="53565A" w:themeColor="accent2"/>
        </w:rPr>
        <w:t xml:space="preserve">ncouraging </w:t>
      </w:r>
      <w:r w:rsidR="005369FE" w:rsidRPr="00413DE6">
        <w:rPr>
          <w:rFonts w:eastAsia="Times New Roman" w:cs="Times New Roman"/>
          <w:color w:val="53565A" w:themeColor="accent2"/>
        </w:rPr>
        <w:t xml:space="preserve">active lifestyles </w:t>
      </w:r>
    </w:p>
    <w:p w14:paraId="6E0D5813" w14:textId="422EEA4B" w:rsidR="00941AB2" w:rsidRDefault="00941AB2" w:rsidP="00941AB2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S</w:t>
      </w:r>
      <w:r w:rsidRPr="00413DE6">
        <w:rPr>
          <w:rFonts w:eastAsia="Times New Roman" w:cs="Times New Roman"/>
          <w:color w:val="53565A" w:themeColor="accent2"/>
        </w:rPr>
        <w:t xml:space="preserve">upporting </w:t>
      </w:r>
      <w:r w:rsidR="005369FE" w:rsidRPr="00413DE6">
        <w:rPr>
          <w:rFonts w:eastAsia="Times New Roman" w:cs="Times New Roman"/>
          <w:color w:val="53565A" w:themeColor="accent2"/>
        </w:rPr>
        <w:t xml:space="preserve">women and children in need </w:t>
      </w:r>
    </w:p>
    <w:p w14:paraId="31EB680B" w14:textId="36452D7E" w:rsidR="00941AB2" w:rsidRDefault="00941AB2" w:rsidP="00941AB2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H</w:t>
      </w:r>
      <w:r w:rsidRPr="00413DE6">
        <w:rPr>
          <w:rFonts w:eastAsia="Times New Roman" w:cs="Times New Roman"/>
          <w:color w:val="53565A" w:themeColor="accent2"/>
        </w:rPr>
        <w:t xml:space="preserve">elping </w:t>
      </w:r>
      <w:r w:rsidR="005369FE" w:rsidRPr="00413DE6">
        <w:rPr>
          <w:rFonts w:eastAsia="Times New Roman" w:cs="Times New Roman"/>
          <w:color w:val="53565A" w:themeColor="accent2"/>
        </w:rPr>
        <w:t xml:space="preserve">students find </w:t>
      </w:r>
      <w:proofErr w:type="gramStart"/>
      <w:r w:rsidR="005369FE" w:rsidRPr="00413DE6">
        <w:rPr>
          <w:rFonts w:eastAsia="Times New Roman" w:cs="Times New Roman"/>
          <w:color w:val="53565A" w:themeColor="accent2"/>
        </w:rPr>
        <w:t>jobs</w:t>
      </w:r>
      <w:proofErr w:type="gramEnd"/>
    </w:p>
    <w:p w14:paraId="29F664CA" w14:textId="6B307123" w:rsidR="00941AB2" w:rsidRDefault="00941AB2" w:rsidP="00941AB2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P</w:t>
      </w:r>
      <w:r w:rsidRPr="00413DE6">
        <w:rPr>
          <w:rFonts w:eastAsia="Times New Roman" w:cs="Times New Roman"/>
          <w:color w:val="53565A" w:themeColor="accent2"/>
        </w:rPr>
        <w:t xml:space="preserve">lanning </w:t>
      </w:r>
      <w:r w:rsidR="005369FE" w:rsidRPr="00413DE6">
        <w:rPr>
          <w:rFonts w:eastAsia="Times New Roman" w:cs="Times New Roman"/>
          <w:color w:val="53565A" w:themeColor="accent2"/>
        </w:rPr>
        <w:t xml:space="preserve">for the Vietnamese Museum of Australia </w:t>
      </w:r>
    </w:p>
    <w:p w14:paraId="542C9FB3" w14:textId="6140CAB4" w:rsidR="00941AB2" w:rsidRDefault="00941AB2" w:rsidP="00941AB2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S</w:t>
      </w:r>
      <w:r w:rsidRPr="00413DE6">
        <w:rPr>
          <w:rFonts w:eastAsia="Times New Roman" w:cs="Times New Roman"/>
          <w:color w:val="53565A" w:themeColor="accent2"/>
        </w:rPr>
        <w:t xml:space="preserve">upporting </w:t>
      </w:r>
      <w:r w:rsidR="005369FE" w:rsidRPr="00413DE6">
        <w:rPr>
          <w:rFonts w:eastAsia="Times New Roman" w:cs="Times New Roman"/>
          <w:color w:val="53565A" w:themeColor="accent2"/>
        </w:rPr>
        <w:t xml:space="preserve">social enterprise and community spaces </w:t>
      </w:r>
    </w:p>
    <w:p w14:paraId="0882472F" w14:textId="4AB47506" w:rsidR="00941AB2" w:rsidRDefault="00941AB2" w:rsidP="00941AB2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P</w:t>
      </w:r>
      <w:r w:rsidRPr="00413DE6">
        <w:rPr>
          <w:rFonts w:eastAsia="Times New Roman" w:cs="Times New Roman"/>
          <w:color w:val="53565A" w:themeColor="accent2"/>
        </w:rPr>
        <w:t xml:space="preserve">romoting </w:t>
      </w:r>
      <w:r w:rsidR="005369FE" w:rsidRPr="00413DE6">
        <w:rPr>
          <w:rFonts w:eastAsia="Times New Roman" w:cs="Times New Roman"/>
          <w:color w:val="53565A" w:themeColor="accent2"/>
        </w:rPr>
        <w:t xml:space="preserve">active healthier transport </w:t>
      </w:r>
    </w:p>
    <w:p w14:paraId="33149078" w14:textId="295D6ECE" w:rsidR="00941AB2" w:rsidRDefault="00941AB2" w:rsidP="00941AB2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P</w:t>
      </w:r>
      <w:r w:rsidRPr="00413DE6">
        <w:rPr>
          <w:rFonts w:eastAsia="Times New Roman" w:cs="Times New Roman"/>
          <w:color w:val="53565A" w:themeColor="accent2"/>
        </w:rPr>
        <w:t xml:space="preserve">romoting </w:t>
      </w:r>
      <w:r w:rsidR="005369FE" w:rsidRPr="00413DE6">
        <w:rPr>
          <w:rFonts w:eastAsia="Times New Roman" w:cs="Times New Roman"/>
          <w:color w:val="53565A" w:themeColor="accent2"/>
        </w:rPr>
        <w:t>more jobs</w:t>
      </w:r>
    </w:p>
    <w:p w14:paraId="3B57912A" w14:textId="0070A204" w:rsidR="006D469B" w:rsidRPr="00413DE6" w:rsidRDefault="00941AB2" w:rsidP="00413DE6">
      <w:pPr>
        <w:pStyle w:val="ListParagraph"/>
        <w:numPr>
          <w:ilvl w:val="0"/>
          <w:numId w:val="14"/>
        </w:numPr>
        <w:spacing w:before="120" w:after="200"/>
        <w:ind w:right="567"/>
        <w:rPr>
          <w:rFonts w:eastAsia="Times New Roman" w:cs="Times New Roman"/>
          <w:color w:val="53565A" w:themeColor="accent2"/>
        </w:rPr>
      </w:pPr>
      <w:r>
        <w:rPr>
          <w:rFonts w:eastAsia="Times New Roman" w:cs="Times New Roman"/>
          <w:color w:val="53565A" w:themeColor="accent2"/>
        </w:rPr>
        <w:t>S</w:t>
      </w:r>
      <w:r w:rsidRPr="00413DE6">
        <w:rPr>
          <w:rFonts w:eastAsia="Times New Roman" w:cs="Times New Roman"/>
          <w:color w:val="53565A" w:themeColor="accent2"/>
        </w:rPr>
        <w:t xml:space="preserve">elling </w:t>
      </w:r>
      <w:r w:rsidR="005369FE" w:rsidRPr="00413DE6">
        <w:rPr>
          <w:rFonts w:eastAsia="Times New Roman" w:cs="Times New Roman"/>
          <w:color w:val="53565A" w:themeColor="accent2"/>
        </w:rPr>
        <w:t xml:space="preserve">products and actively marketing </w:t>
      </w:r>
      <w:proofErr w:type="spellStart"/>
      <w:r w:rsidR="005369FE" w:rsidRPr="00413DE6">
        <w:rPr>
          <w:rFonts w:eastAsia="Times New Roman" w:cs="Times New Roman"/>
          <w:color w:val="53565A" w:themeColor="accent2"/>
        </w:rPr>
        <w:t>Footscray</w:t>
      </w:r>
      <w:proofErr w:type="spellEnd"/>
      <w:r w:rsidR="005369FE" w:rsidRPr="00413DE6">
        <w:rPr>
          <w:rFonts w:eastAsia="Times New Roman" w:cs="Times New Roman"/>
          <w:color w:val="53565A" w:themeColor="accent2"/>
        </w:rPr>
        <w:t xml:space="preserve"> as a destination via #lovefootscray. </w:t>
      </w:r>
      <w:r w:rsidR="006D469B" w:rsidRPr="00413DE6">
        <w:rPr>
          <w:rFonts w:eastAsia="Times New Roman" w:cs="Times New Roman"/>
          <w:color w:val="53565A" w:themeColor="accent2"/>
        </w:rPr>
        <w:br w:type="page"/>
      </w:r>
    </w:p>
    <w:p w14:paraId="417C1624" w14:textId="77777777" w:rsidR="00C51ADA" w:rsidRDefault="00C51ADA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</w:p>
    <w:p w14:paraId="06545757" w14:textId="06043794" w:rsidR="000A067E" w:rsidRDefault="000A067E" w:rsidP="00565D3C">
      <w:pPr>
        <w:pStyle w:val="Heading1"/>
        <w:ind w:left="567"/>
      </w:pPr>
      <w:bookmarkStart w:id="6" w:name="_Toc97625047"/>
      <w:r>
        <w:t>Next steps</w:t>
      </w:r>
      <w:bookmarkEnd w:id="6"/>
    </w:p>
    <w:p w14:paraId="5852E704" w14:textId="77777777" w:rsidR="007E04A3" w:rsidRDefault="3E0A5380" w:rsidP="7CFD74FF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7CFD74FF">
        <w:rPr>
          <w:rFonts w:ascii="Arial" w:eastAsia="Times New Roman" w:hAnsi="Arial" w:cs="Times New Roman"/>
          <w:color w:val="53565A" w:themeColor="accent2"/>
        </w:rPr>
        <w:t xml:space="preserve">DJPR’s continued engagement relating to the Footscray Business Precinct has highlighted how important </w:t>
      </w:r>
      <w:r w:rsidR="35807FBB" w:rsidRPr="7CFD74FF">
        <w:rPr>
          <w:rFonts w:ascii="Arial" w:eastAsia="Times New Roman" w:hAnsi="Arial" w:cs="Times New Roman"/>
          <w:color w:val="53565A" w:themeColor="accent2"/>
        </w:rPr>
        <w:t xml:space="preserve">the </w:t>
      </w:r>
      <w:r w:rsidRPr="7CFD74FF">
        <w:rPr>
          <w:rFonts w:ascii="Arial" w:eastAsia="Times New Roman" w:hAnsi="Arial" w:cs="Times New Roman"/>
          <w:color w:val="53565A" w:themeColor="accent2"/>
        </w:rPr>
        <w:t>culture</w:t>
      </w:r>
      <w:r w:rsidR="35807FBB" w:rsidRPr="7CFD74FF">
        <w:rPr>
          <w:rFonts w:ascii="Arial" w:eastAsia="Times New Roman" w:hAnsi="Arial" w:cs="Times New Roman"/>
          <w:color w:val="53565A" w:themeColor="accent2"/>
        </w:rPr>
        <w:t xml:space="preserve"> of Footscray</w:t>
      </w:r>
      <w:r w:rsidRPr="7CFD74FF">
        <w:rPr>
          <w:rFonts w:ascii="Arial" w:eastAsia="Times New Roman" w:hAnsi="Arial" w:cs="Times New Roman"/>
          <w:color w:val="53565A" w:themeColor="accent2"/>
        </w:rPr>
        <w:t xml:space="preserve"> is to those who work, live, and visit. </w:t>
      </w:r>
    </w:p>
    <w:p w14:paraId="4F01617C" w14:textId="32D4576D" w:rsidR="002D7761" w:rsidRDefault="3E0A5380" w:rsidP="7CFD74FF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</w:rPr>
      </w:pPr>
      <w:r w:rsidRPr="7CFD74FF">
        <w:rPr>
          <w:rFonts w:ascii="Arial" w:eastAsia="Times New Roman" w:hAnsi="Arial" w:cs="Times New Roman"/>
          <w:color w:val="53565A" w:themeColor="accent2"/>
        </w:rPr>
        <w:t>Many stakeholders and community members, have a strong perception that without considerate social and community inclusion and planning, the</w:t>
      </w:r>
      <w:r w:rsidR="00993BA3">
        <w:rPr>
          <w:rFonts w:ascii="Arial" w:eastAsia="Times New Roman" w:hAnsi="Arial" w:cs="Times New Roman"/>
          <w:color w:val="53565A" w:themeColor="accent2"/>
        </w:rPr>
        <w:t xml:space="preserve">re is risk that what historically </w:t>
      </w:r>
      <w:r w:rsidRPr="7CFD74FF">
        <w:rPr>
          <w:rFonts w:ascii="Arial" w:eastAsia="Times New Roman" w:hAnsi="Arial" w:cs="Times New Roman"/>
          <w:color w:val="53565A" w:themeColor="accent2"/>
        </w:rPr>
        <w:t xml:space="preserve">made Footscray special could be lost.  </w:t>
      </w:r>
    </w:p>
    <w:p w14:paraId="2B5A3414" w14:textId="4D42A514" w:rsidR="006F1B97" w:rsidRDefault="0007755D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 xml:space="preserve">All stakeholder engagement and feedback will be used to determine the outcomes of the Footscray Precinct </w:t>
      </w:r>
      <w:r w:rsidR="00F84A09">
        <w:rPr>
          <w:rFonts w:ascii="Arial" w:eastAsia="Times New Roman" w:hAnsi="Arial" w:cs="Times New Roman"/>
          <w:color w:val="53565A" w:themeColor="accent2"/>
          <w:szCs w:val="24"/>
        </w:rPr>
        <w:t>Roadmap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which is due to be released </w:t>
      </w:r>
      <w:r w:rsidR="00A02F9D">
        <w:rPr>
          <w:rFonts w:ascii="Arial" w:eastAsia="Times New Roman" w:hAnsi="Arial" w:cs="Times New Roman"/>
          <w:color w:val="53565A" w:themeColor="accent2"/>
          <w:szCs w:val="24"/>
        </w:rPr>
        <w:t xml:space="preserve">in 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2022. </w:t>
      </w:r>
      <w:r w:rsidR="00F3365E">
        <w:rPr>
          <w:rFonts w:ascii="Arial" w:eastAsia="Times New Roman" w:hAnsi="Arial" w:cs="Times New Roman"/>
          <w:color w:val="53565A" w:themeColor="accent2"/>
          <w:szCs w:val="24"/>
        </w:rPr>
        <w:t xml:space="preserve">The </w:t>
      </w:r>
      <w:r w:rsidR="006E2072">
        <w:rPr>
          <w:rFonts w:ascii="Arial" w:eastAsia="Times New Roman" w:hAnsi="Arial" w:cs="Times New Roman"/>
          <w:color w:val="53565A" w:themeColor="accent2"/>
          <w:szCs w:val="24"/>
        </w:rPr>
        <w:t xml:space="preserve">Footscray Precinct Roadmap </w:t>
      </w:r>
      <w:r w:rsidR="00F3365E">
        <w:rPr>
          <w:rFonts w:ascii="Arial" w:eastAsia="Times New Roman" w:hAnsi="Arial" w:cs="Times New Roman"/>
          <w:color w:val="53565A" w:themeColor="accent2"/>
          <w:szCs w:val="24"/>
        </w:rPr>
        <w:t>will be developed with a whole of government approach, bringing together economic, land use, transport social and sustainability objectives</w:t>
      </w:r>
      <w:r w:rsidR="00AD59E6">
        <w:rPr>
          <w:rFonts w:ascii="Arial" w:eastAsia="Times New Roman" w:hAnsi="Arial" w:cs="Times New Roman"/>
          <w:color w:val="53565A" w:themeColor="accent2"/>
          <w:szCs w:val="24"/>
        </w:rPr>
        <w:t xml:space="preserve">, and </w:t>
      </w:r>
      <w:r w:rsidR="00A77EA1">
        <w:rPr>
          <w:rFonts w:ascii="Arial" w:eastAsia="Times New Roman" w:hAnsi="Arial" w:cs="Times New Roman"/>
          <w:color w:val="53565A" w:themeColor="accent2"/>
          <w:szCs w:val="24"/>
        </w:rPr>
        <w:t xml:space="preserve">will </w:t>
      </w:r>
      <w:r w:rsidR="00AD59E6">
        <w:rPr>
          <w:rFonts w:ascii="Arial" w:eastAsia="Times New Roman" w:hAnsi="Arial" w:cs="Times New Roman"/>
          <w:color w:val="53565A" w:themeColor="accent2"/>
          <w:szCs w:val="24"/>
        </w:rPr>
        <w:t>coordinate future investment and activity.</w:t>
      </w:r>
    </w:p>
    <w:p w14:paraId="421EBBCE" w14:textId="49C159C9" w:rsidR="00584CE2" w:rsidRDefault="00584CE2" w:rsidP="00565D3C">
      <w:pPr>
        <w:spacing w:before="120" w:after="200" w:line="240" w:lineRule="auto"/>
        <w:ind w:left="567" w:right="567"/>
        <w:rPr>
          <w:rFonts w:ascii="Arial" w:eastAsia="Times New Roman" w:hAnsi="Arial" w:cs="Times New Roman"/>
          <w:color w:val="53565A" w:themeColor="accent2"/>
          <w:szCs w:val="24"/>
        </w:rPr>
      </w:pPr>
      <w:r>
        <w:rPr>
          <w:rFonts w:ascii="Arial" w:eastAsia="Times New Roman" w:hAnsi="Arial" w:cs="Times New Roman"/>
          <w:color w:val="53565A" w:themeColor="accent2"/>
          <w:szCs w:val="24"/>
        </w:rPr>
        <w:t>Over the next 12 months</w:t>
      </w:r>
      <w:r w:rsidR="000E1311">
        <w:rPr>
          <w:rFonts w:ascii="Arial" w:eastAsia="Times New Roman" w:hAnsi="Arial" w:cs="Times New Roman"/>
          <w:color w:val="53565A" w:themeColor="accent2"/>
          <w:szCs w:val="24"/>
        </w:rPr>
        <w:t>,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 we will</w:t>
      </w:r>
      <w:r w:rsidDel="007738E8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>
        <w:rPr>
          <w:rFonts w:ascii="Arial" w:eastAsia="Times New Roman" w:hAnsi="Arial" w:cs="Times New Roman"/>
          <w:color w:val="53565A" w:themeColor="accent2"/>
          <w:szCs w:val="24"/>
        </w:rPr>
        <w:t xml:space="preserve">work with key stakeholders to deliver local projects and programs that enliven public spaces and bring further benefits to the community. </w:t>
      </w:r>
      <w:r w:rsidR="0058715E">
        <w:rPr>
          <w:rFonts w:ascii="Arial" w:eastAsia="Times New Roman" w:hAnsi="Arial" w:cs="Times New Roman"/>
          <w:color w:val="53565A" w:themeColor="accent2"/>
          <w:szCs w:val="24"/>
        </w:rPr>
        <w:t>We will continue to engage with the</w:t>
      </w:r>
      <w:r w:rsidR="002659CF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proofErr w:type="gramStart"/>
      <w:r w:rsidR="002659CF">
        <w:rPr>
          <w:rFonts w:ascii="Arial" w:eastAsia="Times New Roman" w:hAnsi="Arial" w:cs="Times New Roman"/>
          <w:color w:val="53565A" w:themeColor="accent2"/>
          <w:szCs w:val="24"/>
        </w:rPr>
        <w:t>local</w:t>
      </w:r>
      <w:r w:rsidR="00A67F3C">
        <w:rPr>
          <w:rFonts w:ascii="Arial" w:eastAsia="Times New Roman" w:hAnsi="Arial" w:cs="Times New Roman"/>
          <w:color w:val="53565A" w:themeColor="accent2"/>
          <w:szCs w:val="24"/>
        </w:rPr>
        <w:t xml:space="preserve"> residents</w:t>
      </w:r>
      <w:proofErr w:type="gramEnd"/>
      <w:r w:rsidR="002659CF">
        <w:rPr>
          <w:rFonts w:ascii="Arial" w:eastAsia="Times New Roman" w:hAnsi="Arial" w:cs="Times New Roman"/>
          <w:color w:val="53565A" w:themeColor="accent2"/>
          <w:szCs w:val="24"/>
        </w:rPr>
        <w:t xml:space="preserve"> and business</w:t>
      </w:r>
      <w:r w:rsidR="0058715E">
        <w:rPr>
          <w:rFonts w:ascii="Arial" w:eastAsia="Times New Roman" w:hAnsi="Arial" w:cs="Times New Roman"/>
          <w:color w:val="53565A" w:themeColor="accent2"/>
          <w:szCs w:val="24"/>
        </w:rPr>
        <w:t xml:space="preserve"> communit</w:t>
      </w:r>
      <w:r w:rsidR="002659CF">
        <w:rPr>
          <w:rFonts w:ascii="Arial" w:eastAsia="Times New Roman" w:hAnsi="Arial" w:cs="Times New Roman"/>
          <w:color w:val="53565A" w:themeColor="accent2"/>
          <w:szCs w:val="24"/>
        </w:rPr>
        <w:t>ies</w:t>
      </w:r>
      <w:r w:rsidR="0058715E">
        <w:rPr>
          <w:rFonts w:ascii="Arial" w:eastAsia="Times New Roman" w:hAnsi="Arial" w:cs="Times New Roman"/>
          <w:color w:val="53565A" w:themeColor="accent2"/>
          <w:szCs w:val="24"/>
        </w:rPr>
        <w:t xml:space="preserve"> to </w:t>
      </w:r>
      <w:r w:rsidR="002659CF">
        <w:rPr>
          <w:rFonts w:ascii="Arial" w:eastAsia="Times New Roman" w:hAnsi="Arial" w:cs="Times New Roman"/>
          <w:color w:val="53565A" w:themeColor="accent2"/>
          <w:szCs w:val="24"/>
        </w:rPr>
        <w:t>ensure</w:t>
      </w:r>
      <w:r w:rsidR="000E1311">
        <w:rPr>
          <w:rFonts w:ascii="Arial" w:eastAsia="Times New Roman" w:hAnsi="Arial" w:cs="Times New Roman"/>
          <w:color w:val="53565A" w:themeColor="accent2"/>
          <w:szCs w:val="24"/>
        </w:rPr>
        <w:t xml:space="preserve"> that</w:t>
      </w:r>
      <w:r w:rsidR="002659CF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  <w:r w:rsidR="00504A53">
        <w:rPr>
          <w:rFonts w:ascii="Arial" w:eastAsia="Times New Roman" w:hAnsi="Arial" w:cs="Times New Roman"/>
          <w:color w:val="53565A" w:themeColor="accent2"/>
          <w:szCs w:val="24"/>
        </w:rPr>
        <w:t xml:space="preserve">the voices of Footscray </w:t>
      </w:r>
      <w:r w:rsidR="0058715E">
        <w:rPr>
          <w:rFonts w:ascii="Arial" w:eastAsia="Times New Roman" w:hAnsi="Arial" w:cs="Times New Roman"/>
          <w:color w:val="53565A" w:themeColor="accent2"/>
          <w:szCs w:val="24"/>
        </w:rPr>
        <w:t xml:space="preserve">are considered </w:t>
      </w:r>
      <w:r w:rsidR="00504A53">
        <w:rPr>
          <w:rFonts w:ascii="Arial" w:eastAsia="Times New Roman" w:hAnsi="Arial" w:cs="Times New Roman"/>
          <w:color w:val="53565A" w:themeColor="accent2"/>
          <w:szCs w:val="24"/>
        </w:rPr>
        <w:t>and guide business precinct outcomes</w:t>
      </w:r>
      <w:r w:rsidR="0058715E" w:rsidDel="00504A53">
        <w:rPr>
          <w:rFonts w:ascii="Arial" w:eastAsia="Times New Roman" w:hAnsi="Arial" w:cs="Times New Roman"/>
          <w:color w:val="53565A" w:themeColor="accent2"/>
          <w:szCs w:val="24"/>
        </w:rPr>
        <w:t>.</w:t>
      </w:r>
      <w:r w:rsidR="0058715E">
        <w:rPr>
          <w:rFonts w:ascii="Arial" w:eastAsia="Times New Roman" w:hAnsi="Arial" w:cs="Times New Roman"/>
          <w:color w:val="53565A" w:themeColor="accent2"/>
          <w:szCs w:val="24"/>
        </w:rPr>
        <w:t xml:space="preserve"> </w:t>
      </w:r>
    </w:p>
    <w:sectPr w:rsidR="00584CE2" w:rsidSect="00123E5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20" w:right="440" w:bottom="500" w:left="460" w:header="294" w:footer="8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0EF0" w14:textId="77777777" w:rsidR="00643153" w:rsidRDefault="00643153" w:rsidP="00353FF6">
      <w:pPr>
        <w:spacing w:after="0" w:line="240" w:lineRule="auto"/>
      </w:pPr>
      <w:r>
        <w:separator/>
      </w:r>
    </w:p>
  </w:endnote>
  <w:endnote w:type="continuationSeparator" w:id="0">
    <w:p w14:paraId="4581609B" w14:textId="77777777" w:rsidR="00643153" w:rsidRDefault="00643153" w:rsidP="00353FF6">
      <w:pPr>
        <w:spacing w:after="0" w:line="240" w:lineRule="auto"/>
      </w:pPr>
      <w:r>
        <w:continuationSeparator/>
      </w:r>
    </w:p>
  </w:endnote>
  <w:endnote w:type="continuationNotice" w:id="1">
    <w:p w14:paraId="0A159669" w14:textId="77777777" w:rsidR="00643153" w:rsidRDefault="00643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0360" w14:textId="7F91FFCD" w:rsidR="00123E5B" w:rsidRDefault="00CC15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0F48A5" wp14:editId="556BB0D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05cc4408a2c9c3b5c35af8ad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97627E" w14:textId="257CF1C6" w:rsidR="00CC1508" w:rsidRPr="00CC1508" w:rsidRDefault="00CC1508" w:rsidP="00CC150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C15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F48A5" id="_x0000_t202" coordsize="21600,21600" o:spt="202" path="m,l,21600r21600,l21600,xe">
              <v:stroke joinstyle="miter"/>
              <v:path gradientshapeok="t" o:connecttype="rect"/>
            </v:shapetype>
            <v:shape id="MSIPCM05cc4408a2c9c3b5c35af8ad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" o:allowincell="f" filled="f" stroked="f" strokeweight=".5pt">
              <v:textbox inset=",0,,0">
                <w:txbxContent>
                  <w:p w14:paraId="1D97627E" w14:textId="257CF1C6" w:rsidR="00CC1508" w:rsidRPr="00CC1508" w:rsidRDefault="00CC1508" w:rsidP="00CC150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C15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83970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23E5B">
          <w:fldChar w:fldCharType="begin"/>
        </w:r>
        <w:r w:rsidR="00123E5B">
          <w:instrText xml:space="preserve"> PAGE   \* MERGEFORMAT </w:instrText>
        </w:r>
        <w:r w:rsidR="00123E5B">
          <w:fldChar w:fldCharType="separate"/>
        </w:r>
        <w:r w:rsidR="00123E5B">
          <w:rPr>
            <w:noProof/>
          </w:rPr>
          <w:t>2</w:t>
        </w:r>
        <w:r w:rsidR="00123E5B">
          <w:rPr>
            <w:noProof/>
          </w:rPr>
          <w:fldChar w:fldCharType="end"/>
        </w:r>
      </w:sdtContent>
    </w:sdt>
  </w:p>
  <w:p w14:paraId="7B949813" w14:textId="35A0C681" w:rsidR="00704558" w:rsidRDefault="00704558" w:rsidP="00704558">
    <w:pPr>
      <w:pStyle w:val="Footer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05C5" w14:textId="7144D89D" w:rsidR="00947953" w:rsidRDefault="00CC15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936F784" wp14:editId="20FD471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8a4e4204a0b42bfcbda39667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D7AC8" w14:textId="4264F805" w:rsidR="00CC1508" w:rsidRPr="00CC1508" w:rsidRDefault="00CC1508" w:rsidP="00CC150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C15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6F784" id="_x0000_t202" coordsize="21600,21600" o:spt="202" path="m,l,21600r21600,l21600,xe">
              <v:stroke joinstyle="miter"/>
              <v:path gradientshapeok="t" o:connecttype="rect"/>
            </v:shapetype>
            <v:shape id="MSIPCM8a4e4204a0b42bfcbda39667" o:spid="_x0000_s1029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" o:allowincell="f" filled="f" stroked="f" strokeweight=".5pt">
              <v:textbox inset=",0,,0">
                <w:txbxContent>
                  <w:p w14:paraId="133D7AC8" w14:textId="4264F805" w:rsidR="00CC1508" w:rsidRPr="00CC1508" w:rsidRDefault="00CC1508" w:rsidP="00CC150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C15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5472" w14:textId="77777777" w:rsidR="00643153" w:rsidRDefault="00643153" w:rsidP="00353FF6">
      <w:pPr>
        <w:spacing w:after="0" w:line="240" w:lineRule="auto"/>
      </w:pPr>
      <w:r>
        <w:separator/>
      </w:r>
    </w:p>
  </w:footnote>
  <w:footnote w:type="continuationSeparator" w:id="0">
    <w:p w14:paraId="778964F9" w14:textId="77777777" w:rsidR="00643153" w:rsidRDefault="00643153" w:rsidP="00353FF6">
      <w:pPr>
        <w:spacing w:after="0" w:line="240" w:lineRule="auto"/>
      </w:pPr>
      <w:r>
        <w:continuationSeparator/>
      </w:r>
    </w:p>
  </w:footnote>
  <w:footnote w:type="continuationNotice" w:id="1">
    <w:p w14:paraId="5923632C" w14:textId="77777777" w:rsidR="00643153" w:rsidRDefault="00643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0E7D" w14:textId="3BD14555" w:rsidR="00947953" w:rsidRDefault="00CC15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65DA16C" wp14:editId="542DCED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3" name="MSIPCMc8044d75ba0ca52ab92df156" descr="{&quot;HashCode&quot;:-128881783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A6F129" w14:textId="7FA788F0" w:rsidR="00CC1508" w:rsidRPr="00CC1508" w:rsidRDefault="00CC1508" w:rsidP="00CC150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C15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DA16C" id="_x0000_t202" coordsize="21600,21600" o:spt="202" path="m,l,21600r21600,l21600,xe">
              <v:stroke joinstyle="miter"/>
              <v:path gradientshapeok="t" o:connecttype="rect"/>
            </v:shapetype>
            <v:shape id="MSIPCMc8044d75ba0ca52ab92df156" o:spid="_x0000_s1026" type="#_x0000_t202" alt="{&quot;HashCode&quot;:-1288817837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" o:allowincell="f" filled="f" stroked="f" strokeweight=".5pt">
              <v:textbox inset=",0,,0">
                <w:txbxContent>
                  <w:p w14:paraId="48A6F129" w14:textId="7FA788F0" w:rsidR="00CC1508" w:rsidRPr="00CC1508" w:rsidRDefault="00CC1508" w:rsidP="00CC150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C15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7EBA" w14:textId="2AEE19F2" w:rsidR="00947953" w:rsidRDefault="00CC15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B6616E2" wp14:editId="54EE0E9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827b4d6fa11aec6c4e3ccdc4" descr="{&quot;HashCode&quot;:-1288817837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0175F0" w14:textId="771C3BB1" w:rsidR="00CC1508" w:rsidRPr="00CC1508" w:rsidRDefault="00CC1508" w:rsidP="00CC150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C15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616E2" id="_x0000_t202" coordsize="21600,21600" o:spt="202" path="m,l,21600r21600,l21600,xe">
              <v:stroke joinstyle="miter"/>
              <v:path gradientshapeok="t" o:connecttype="rect"/>
            </v:shapetype>
            <v:shape id="MSIPCM827b4d6fa11aec6c4e3ccdc4" o:spid="_x0000_s1028" type="#_x0000_t202" alt="{&quot;HashCode&quot;:-1288817837,&quot;Height&quot;:842.0,&quot;Width&quot;:595.0,&quot;Placement&quot;:&quot;Header&quot;,&quot;Index&quot;:&quot;FirstPage&quot;,&quot;Section&quot;:1,&quot;Top&quot;:0.0,&quot;Left&quot;:0.0}" style="position:absolute;margin-left:0;margin-top:1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" o:allowincell="f" filled="f" stroked="f" strokeweight=".5pt">
              <v:textbox inset=",0,,0">
                <w:txbxContent>
                  <w:p w14:paraId="7D0175F0" w14:textId="771C3BB1" w:rsidR="00CC1508" w:rsidRPr="00CC1508" w:rsidRDefault="00CC1508" w:rsidP="00CC150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C15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BDB"/>
    <w:multiLevelType w:val="hybridMultilevel"/>
    <w:tmpl w:val="C484A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13D5"/>
    <w:multiLevelType w:val="hybridMultilevel"/>
    <w:tmpl w:val="F1D0487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DF62EB"/>
    <w:multiLevelType w:val="hybridMultilevel"/>
    <w:tmpl w:val="5DB8F926"/>
    <w:lvl w:ilvl="0" w:tplc="AE70A8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A6AB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93EC8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A283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36F0C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EC606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4A56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885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DE55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36DDD"/>
    <w:multiLevelType w:val="hybridMultilevel"/>
    <w:tmpl w:val="F0B8447C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1D96C28"/>
    <w:multiLevelType w:val="hybridMultilevel"/>
    <w:tmpl w:val="F064F14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67024F"/>
    <w:multiLevelType w:val="hybridMultilevel"/>
    <w:tmpl w:val="9110AEB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8394C87"/>
    <w:multiLevelType w:val="hybridMultilevel"/>
    <w:tmpl w:val="3648B92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6405A2"/>
    <w:multiLevelType w:val="hybridMultilevel"/>
    <w:tmpl w:val="86A046D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5A2B2D"/>
    <w:multiLevelType w:val="hybridMultilevel"/>
    <w:tmpl w:val="2326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A223F"/>
    <w:multiLevelType w:val="hybridMultilevel"/>
    <w:tmpl w:val="E9982AF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483C46"/>
    <w:multiLevelType w:val="hybridMultilevel"/>
    <w:tmpl w:val="0D280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30C14"/>
    <w:multiLevelType w:val="hybridMultilevel"/>
    <w:tmpl w:val="29D2D42A"/>
    <w:lvl w:ilvl="0" w:tplc="0C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 w15:restartNumberingAfterBreak="0">
    <w:nsid w:val="5A025946"/>
    <w:multiLevelType w:val="hybridMultilevel"/>
    <w:tmpl w:val="1FB846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5B6C48"/>
    <w:multiLevelType w:val="hybridMultilevel"/>
    <w:tmpl w:val="BB08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41821"/>
    <w:multiLevelType w:val="hybridMultilevel"/>
    <w:tmpl w:val="AACCC0DA"/>
    <w:lvl w:ilvl="0" w:tplc="0C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E05AE"/>
    <w:multiLevelType w:val="hybridMultilevel"/>
    <w:tmpl w:val="24F667C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1948547">
    <w:abstractNumId w:val="12"/>
  </w:num>
  <w:num w:numId="2" w16cid:durableId="421876718">
    <w:abstractNumId w:val="15"/>
  </w:num>
  <w:num w:numId="3" w16cid:durableId="1784035220">
    <w:abstractNumId w:val="1"/>
  </w:num>
  <w:num w:numId="4" w16cid:durableId="230772877">
    <w:abstractNumId w:val="2"/>
  </w:num>
  <w:num w:numId="5" w16cid:durableId="1474441495">
    <w:abstractNumId w:val="5"/>
  </w:num>
  <w:num w:numId="6" w16cid:durableId="1996184762">
    <w:abstractNumId w:val="14"/>
  </w:num>
  <w:num w:numId="7" w16cid:durableId="1737972307">
    <w:abstractNumId w:val="11"/>
  </w:num>
  <w:num w:numId="8" w16cid:durableId="1525244589">
    <w:abstractNumId w:val="10"/>
  </w:num>
  <w:num w:numId="9" w16cid:durableId="1081607630">
    <w:abstractNumId w:val="0"/>
  </w:num>
  <w:num w:numId="10" w16cid:durableId="989212981">
    <w:abstractNumId w:val="13"/>
  </w:num>
  <w:num w:numId="11" w16cid:durableId="412239058">
    <w:abstractNumId w:val="8"/>
  </w:num>
  <w:num w:numId="12" w16cid:durableId="1171677852">
    <w:abstractNumId w:val="7"/>
  </w:num>
  <w:num w:numId="13" w16cid:durableId="1119957263">
    <w:abstractNumId w:val="9"/>
  </w:num>
  <w:num w:numId="14" w16cid:durableId="983705475">
    <w:abstractNumId w:val="3"/>
  </w:num>
  <w:num w:numId="15" w16cid:durableId="1615205746">
    <w:abstractNumId w:val="4"/>
  </w:num>
  <w:num w:numId="16" w16cid:durableId="382412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F6"/>
    <w:rsid w:val="00003721"/>
    <w:rsid w:val="00006375"/>
    <w:rsid w:val="000105FC"/>
    <w:rsid w:val="00011733"/>
    <w:rsid w:val="0001667B"/>
    <w:rsid w:val="0001748B"/>
    <w:rsid w:val="0002139A"/>
    <w:rsid w:val="0002426E"/>
    <w:rsid w:val="00033294"/>
    <w:rsid w:val="0003472B"/>
    <w:rsid w:val="000377BB"/>
    <w:rsid w:val="00037BB9"/>
    <w:rsid w:val="000401E9"/>
    <w:rsid w:val="000419DA"/>
    <w:rsid w:val="00047FFD"/>
    <w:rsid w:val="00050A65"/>
    <w:rsid w:val="00052623"/>
    <w:rsid w:val="00054580"/>
    <w:rsid w:val="0005786D"/>
    <w:rsid w:val="00060854"/>
    <w:rsid w:val="00065891"/>
    <w:rsid w:val="0007131F"/>
    <w:rsid w:val="000740FF"/>
    <w:rsid w:val="0007755D"/>
    <w:rsid w:val="00082808"/>
    <w:rsid w:val="00082A51"/>
    <w:rsid w:val="00084627"/>
    <w:rsid w:val="000849F5"/>
    <w:rsid w:val="000852EB"/>
    <w:rsid w:val="000866B8"/>
    <w:rsid w:val="00091F3A"/>
    <w:rsid w:val="000A067E"/>
    <w:rsid w:val="000A2D55"/>
    <w:rsid w:val="000A5B5C"/>
    <w:rsid w:val="000A733E"/>
    <w:rsid w:val="000B6311"/>
    <w:rsid w:val="000B6506"/>
    <w:rsid w:val="000B7D8E"/>
    <w:rsid w:val="000C4DF4"/>
    <w:rsid w:val="000D3E83"/>
    <w:rsid w:val="000D691D"/>
    <w:rsid w:val="000E1311"/>
    <w:rsid w:val="000E25BA"/>
    <w:rsid w:val="000E562B"/>
    <w:rsid w:val="000E737C"/>
    <w:rsid w:val="000F02D2"/>
    <w:rsid w:val="000F0566"/>
    <w:rsid w:val="000F07A4"/>
    <w:rsid w:val="000F0A22"/>
    <w:rsid w:val="000F0A6F"/>
    <w:rsid w:val="000F137D"/>
    <w:rsid w:val="000F5469"/>
    <w:rsid w:val="000F572A"/>
    <w:rsid w:val="001007A2"/>
    <w:rsid w:val="00100993"/>
    <w:rsid w:val="00100F78"/>
    <w:rsid w:val="001056F6"/>
    <w:rsid w:val="00107551"/>
    <w:rsid w:val="00113E40"/>
    <w:rsid w:val="00114761"/>
    <w:rsid w:val="001171AA"/>
    <w:rsid w:val="00122ADF"/>
    <w:rsid w:val="00123E5B"/>
    <w:rsid w:val="00124E66"/>
    <w:rsid w:val="00126750"/>
    <w:rsid w:val="00130312"/>
    <w:rsid w:val="0013085F"/>
    <w:rsid w:val="00141C1B"/>
    <w:rsid w:val="00142418"/>
    <w:rsid w:val="00142DD1"/>
    <w:rsid w:val="0014497C"/>
    <w:rsid w:val="00144EA1"/>
    <w:rsid w:val="00152119"/>
    <w:rsid w:val="001539B1"/>
    <w:rsid w:val="00155966"/>
    <w:rsid w:val="00155BF4"/>
    <w:rsid w:val="00161679"/>
    <w:rsid w:val="001617A4"/>
    <w:rsid w:val="001666DD"/>
    <w:rsid w:val="0017041E"/>
    <w:rsid w:val="00174D32"/>
    <w:rsid w:val="0018112A"/>
    <w:rsid w:val="001817A7"/>
    <w:rsid w:val="00183380"/>
    <w:rsid w:val="001843FA"/>
    <w:rsid w:val="00185E76"/>
    <w:rsid w:val="001879A9"/>
    <w:rsid w:val="00192645"/>
    <w:rsid w:val="001956CE"/>
    <w:rsid w:val="00195CEA"/>
    <w:rsid w:val="001A0385"/>
    <w:rsid w:val="001A07BE"/>
    <w:rsid w:val="001A0D52"/>
    <w:rsid w:val="001A1F18"/>
    <w:rsid w:val="001A2598"/>
    <w:rsid w:val="001A461F"/>
    <w:rsid w:val="001B4C3E"/>
    <w:rsid w:val="001C10EC"/>
    <w:rsid w:val="001C4C89"/>
    <w:rsid w:val="001C61F3"/>
    <w:rsid w:val="001C69C1"/>
    <w:rsid w:val="001D407E"/>
    <w:rsid w:val="001D4E58"/>
    <w:rsid w:val="001D667D"/>
    <w:rsid w:val="001E01E3"/>
    <w:rsid w:val="001E26C1"/>
    <w:rsid w:val="001E3EBF"/>
    <w:rsid w:val="001E5C13"/>
    <w:rsid w:val="001E7ED3"/>
    <w:rsid w:val="001F369E"/>
    <w:rsid w:val="001F4A6F"/>
    <w:rsid w:val="001F5680"/>
    <w:rsid w:val="0020139C"/>
    <w:rsid w:val="00201EB9"/>
    <w:rsid w:val="00201F5C"/>
    <w:rsid w:val="0020267D"/>
    <w:rsid w:val="00203EAB"/>
    <w:rsid w:val="00206EBE"/>
    <w:rsid w:val="0021248E"/>
    <w:rsid w:val="00215B52"/>
    <w:rsid w:val="00217B1F"/>
    <w:rsid w:val="00220EA2"/>
    <w:rsid w:val="00221EB0"/>
    <w:rsid w:val="002228EE"/>
    <w:rsid w:val="00222B7C"/>
    <w:rsid w:val="00230EC3"/>
    <w:rsid w:val="0023726A"/>
    <w:rsid w:val="00240622"/>
    <w:rsid w:val="00246589"/>
    <w:rsid w:val="00257BBC"/>
    <w:rsid w:val="002659CF"/>
    <w:rsid w:val="00271224"/>
    <w:rsid w:val="002712A1"/>
    <w:rsid w:val="002715B9"/>
    <w:rsid w:val="002735B9"/>
    <w:rsid w:val="0027625A"/>
    <w:rsid w:val="0028111D"/>
    <w:rsid w:val="00281EE6"/>
    <w:rsid w:val="002827D6"/>
    <w:rsid w:val="00285F70"/>
    <w:rsid w:val="0029065A"/>
    <w:rsid w:val="002950D0"/>
    <w:rsid w:val="002A2727"/>
    <w:rsid w:val="002A6EC4"/>
    <w:rsid w:val="002B0D7D"/>
    <w:rsid w:val="002B0D95"/>
    <w:rsid w:val="002B5B64"/>
    <w:rsid w:val="002B6DB5"/>
    <w:rsid w:val="002C34A4"/>
    <w:rsid w:val="002D46DD"/>
    <w:rsid w:val="002D7761"/>
    <w:rsid w:val="002D776F"/>
    <w:rsid w:val="002E3ACD"/>
    <w:rsid w:val="002E46A8"/>
    <w:rsid w:val="002E593C"/>
    <w:rsid w:val="002E5997"/>
    <w:rsid w:val="002E59D5"/>
    <w:rsid w:val="002E783D"/>
    <w:rsid w:val="002F12D4"/>
    <w:rsid w:val="002F2ACE"/>
    <w:rsid w:val="002F3769"/>
    <w:rsid w:val="002F4CEB"/>
    <w:rsid w:val="002F52B1"/>
    <w:rsid w:val="002F558A"/>
    <w:rsid w:val="002F55BD"/>
    <w:rsid w:val="003003F4"/>
    <w:rsid w:val="003014FD"/>
    <w:rsid w:val="0030506C"/>
    <w:rsid w:val="003065DA"/>
    <w:rsid w:val="00310B84"/>
    <w:rsid w:val="003127BA"/>
    <w:rsid w:val="00314D05"/>
    <w:rsid w:val="00314F68"/>
    <w:rsid w:val="00316287"/>
    <w:rsid w:val="00316737"/>
    <w:rsid w:val="0032052A"/>
    <w:rsid w:val="003219E7"/>
    <w:rsid w:val="00321A32"/>
    <w:rsid w:val="00326D95"/>
    <w:rsid w:val="00327A73"/>
    <w:rsid w:val="00331AC9"/>
    <w:rsid w:val="00342136"/>
    <w:rsid w:val="00345CEA"/>
    <w:rsid w:val="00346F24"/>
    <w:rsid w:val="00353C4A"/>
    <w:rsid w:val="00353FF6"/>
    <w:rsid w:val="00354031"/>
    <w:rsid w:val="00354786"/>
    <w:rsid w:val="00355756"/>
    <w:rsid w:val="00357556"/>
    <w:rsid w:val="003644DD"/>
    <w:rsid w:val="00364BCF"/>
    <w:rsid w:val="00370797"/>
    <w:rsid w:val="003707CA"/>
    <w:rsid w:val="00377E3A"/>
    <w:rsid w:val="00382785"/>
    <w:rsid w:val="00384CC9"/>
    <w:rsid w:val="0039119F"/>
    <w:rsid w:val="00391673"/>
    <w:rsid w:val="00393F7B"/>
    <w:rsid w:val="003A0F3B"/>
    <w:rsid w:val="003B39C8"/>
    <w:rsid w:val="003B5DDF"/>
    <w:rsid w:val="003C2F4B"/>
    <w:rsid w:val="003C62BB"/>
    <w:rsid w:val="003C6879"/>
    <w:rsid w:val="003D3BE8"/>
    <w:rsid w:val="003D4BB8"/>
    <w:rsid w:val="003E08DE"/>
    <w:rsid w:val="003E7211"/>
    <w:rsid w:val="003F6AB1"/>
    <w:rsid w:val="00402457"/>
    <w:rsid w:val="004041C3"/>
    <w:rsid w:val="00404990"/>
    <w:rsid w:val="00406DD5"/>
    <w:rsid w:val="00407733"/>
    <w:rsid w:val="00407AAD"/>
    <w:rsid w:val="004130EE"/>
    <w:rsid w:val="00413DE6"/>
    <w:rsid w:val="004142BF"/>
    <w:rsid w:val="004202FA"/>
    <w:rsid w:val="00423D27"/>
    <w:rsid w:val="0042643F"/>
    <w:rsid w:val="004312EA"/>
    <w:rsid w:val="00431B79"/>
    <w:rsid w:val="00435917"/>
    <w:rsid w:val="00442A90"/>
    <w:rsid w:val="00442B82"/>
    <w:rsid w:val="00444AE1"/>
    <w:rsid w:val="0044637A"/>
    <w:rsid w:val="00446F23"/>
    <w:rsid w:val="0045284D"/>
    <w:rsid w:val="00453D6F"/>
    <w:rsid w:val="00457E81"/>
    <w:rsid w:val="00462D8A"/>
    <w:rsid w:val="00463A97"/>
    <w:rsid w:val="0046642E"/>
    <w:rsid w:val="0047400F"/>
    <w:rsid w:val="00490023"/>
    <w:rsid w:val="00494E79"/>
    <w:rsid w:val="004959B7"/>
    <w:rsid w:val="004A0411"/>
    <w:rsid w:val="004A1BEC"/>
    <w:rsid w:val="004A6621"/>
    <w:rsid w:val="004B6346"/>
    <w:rsid w:val="004B76D3"/>
    <w:rsid w:val="004C1F35"/>
    <w:rsid w:val="004C4136"/>
    <w:rsid w:val="004D2472"/>
    <w:rsid w:val="004D3403"/>
    <w:rsid w:val="004D3F9E"/>
    <w:rsid w:val="004D4EE6"/>
    <w:rsid w:val="004D757A"/>
    <w:rsid w:val="004E37B0"/>
    <w:rsid w:val="004E42CC"/>
    <w:rsid w:val="004E477D"/>
    <w:rsid w:val="004F2FE8"/>
    <w:rsid w:val="00500657"/>
    <w:rsid w:val="00500BA1"/>
    <w:rsid w:val="00501539"/>
    <w:rsid w:val="00504A53"/>
    <w:rsid w:val="00504CA1"/>
    <w:rsid w:val="00505566"/>
    <w:rsid w:val="00507EF8"/>
    <w:rsid w:val="00510B2A"/>
    <w:rsid w:val="0051242B"/>
    <w:rsid w:val="00513FDC"/>
    <w:rsid w:val="00525843"/>
    <w:rsid w:val="00532D47"/>
    <w:rsid w:val="005369FE"/>
    <w:rsid w:val="00540575"/>
    <w:rsid w:val="00544300"/>
    <w:rsid w:val="00547A65"/>
    <w:rsid w:val="00555D05"/>
    <w:rsid w:val="0056144E"/>
    <w:rsid w:val="00561729"/>
    <w:rsid w:val="005631D4"/>
    <w:rsid w:val="0056342D"/>
    <w:rsid w:val="00565D3C"/>
    <w:rsid w:val="0056603A"/>
    <w:rsid w:val="00566730"/>
    <w:rsid w:val="005706DA"/>
    <w:rsid w:val="00571F07"/>
    <w:rsid w:val="0057278E"/>
    <w:rsid w:val="005766B4"/>
    <w:rsid w:val="005769AB"/>
    <w:rsid w:val="005846FA"/>
    <w:rsid w:val="00584CE2"/>
    <w:rsid w:val="0058715E"/>
    <w:rsid w:val="00590D38"/>
    <w:rsid w:val="00591359"/>
    <w:rsid w:val="00591FE7"/>
    <w:rsid w:val="005933A8"/>
    <w:rsid w:val="00593ABB"/>
    <w:rsid w:val="005975AC"/>
    <w:rsid w:val="005A1C72"/>
    <w:rsid w:val="005A2207"/>
    <w:rsid w:val="005A4E35"/>
    <w:rsid w:val="005A5504"/>
    <w:rsid w:val="005A77B0"/>
    <w:rsid w:val="005A7EB7"/>
    <w:rsid w:val="005B14F4"/>
    <w:rsid w:val="005B1959"/>
    <w:rsid w:val="005B21A7"/>
    <w:rsid w:val="005B3F75"/>
    <w:rsid w:val="005B7CEB"/>
    <w:rsid w:val="005B7F89"/>
    <w:rsid w:val="005C0F55"/>
    <w:rsid w:val="005C14CF"/>
    <w:rsid w:val="005C70CC"/>
    <w:rsid w:val="005D017E"/>
    <w:rsid w:val="005D6AEB"/>
    <w:rsid w:val="005D704B"/>
    <w:rsid w:val="005E18B5"/>
    <w:rsid w:val="005E2B6F"/>
    <w:rsid w:val="005E34AD"/>
    <w:rsid w:val="005E4DC8"/>
    <w:rsid w:val="005E50CC"/>
    <w:rsid w:val="005F45C5"/>
    <w:rsid w:val="005F61B7"/>
    <w:rsid w:val="005F7999"/>
    <w:rsid w:val="00600CAD"/>
    <w:rsid w:val="00600E24"/>
    <w:rsid w:val="00600FA9"/>
    <w:rsid w:val="0060473C"/>
    <w:rsid w:val="00606BB3"/>
    <w:rsid w:val="00607E7B"/>
    <w:rsid w:val="00610814"/>
    <w:rsid w:val="006121F2"/>
    <w:rsid w:val="00616F98"/>
    <w:rsid w:val="00620AE2"/>
    <w:rsid w:val="006234C0"/>
    <w:rsid w:val="00623B1D"/>
    <w:rsid w:val="00624C28"/>
    <w:rsid w:val="00625346"/>
    <w:rsid w:val="006254C8"/>
    <w:rsid w:val="006366B7"/>
    <w:rsid w:val="00636E2F"/>
    <w:rsid w:val="00643153"/>
    <w:rsid w:val="0064705D"/>
    <w:rsid w:val="00653D3E"/>
    <w:rsid w:val="006611C5"/>
    <w:rsid w:val="00664806"/>
    <w:rsid w:val="0066501B"/>
    <w:rsid w:val="00665508"/>
    <w:rsid w:val="0066612F"/>
    <w:rsid w:val="006711D1"/>
    <w:rsid w:val="00671867"/>
    <w:rsid w:val="00671BC1"/>
    <w:rsid w:val="0067380D"/>
    <w:rsid w:val="0067495C"/>
    <w:rsid w:val="00683310"/>
    <w:rsid w:val="0068644F"/>
    <w:rsid w:val="0069096D"/>
    <w:rsid w:val="00694629"/>
    <w:rsid w:val="006A42E2"/>
    <w:rsid w:val="006A4528"/>
    <w:rsid w:val="006B5BAA"/>
    <w:rsid w:val="006B6E38"/>
    <w:rsid w:val="006C0E1D"/>
    <w:rsid w:val="006C66C8"/>
    <w:rsid w:val="006C7624"/>
    <w:rsid w:val="006D469B"/>
    <w:rsid w:val="006D70EB"/>
    <w:rsid w:val="006E2072"/>
    <w:rsid w:val="006E4110"/>
    <w:rsid w:val="006E6455"/>
    <w:rsid w:val="006F0B29"/>
    <w:rsid w:val="006F1265"/>
    <w:rsid w:val="006F1B97"/>
    <w:rsid w:val="00702046"/>
    <w:rsid w:val="00703EF5"/>
    <w:rsid w:val="00704558"/>
    <w:rsid w:val="007071CF"/>
    <w:rsid w:val="00711DC1"/>
    <w:rsid w:val="00722277"/>
    <w:rsid w:val="0073090A"/>
    <w:rsid w:val="00730E4A"/>
    <w:rsid w:val="00733756"/>
    <w:rsid w:val="00733C2E"/>
    <w:rsid w:val="00733DA0"/>
    <w:rsid w:val="00735C66"/>
    <w:rsid w:val="00737E34"/>
    <w:rsid w:val="0074021C"/>
    <w:rsid w:val="007420A4"/>
    <w:rsid w:val="00745B07"/>
    <w:rsid w:val="00747AC2"/>
    <w:rsid w:val="00754838"/>
    <w:rsid w:val="00756CF1"/>
    <w:rsid w:val="00757184"/>
    <w:rsid w:val="00765997"/>
    <w:rsid w:val="00770C39"/>
    <w:rsid w:val="0077187B"/>
    <w:rsid w:val="00772C44"/>
    <w:rsid w:val="0077384E"/>
    <w:rsid w:val="007738E8"/>
    <w:rsid w:val="00776736"/>
    <w:rsid w:val="00776AE8"/>
    <w:rsid w:val="00781B25"/>
    <w:rsid w:val="00786F81"/>
    <w:rsid w:val="0078716C"/>
    <w:rsid w:val="00791D28"/>
    <w:rsid w:val="0079272B"/>
    <w:rsid w:val="00792FFA"/>
    <w:rsid w:val="007A015B"/>
    <w:rsid w:val="007A13CA"/>
    <w:rsid w:val="007A19CE"/>
    <w:rsid w:val="007A3C52"/>
    <w:rsid w:val="007A639B"/>
    <w:rsid w:val="007A7845"/>
    <w:rsid w:val="007B1548"/>
    <w:rsid w:val="007B6409"/>
    <w:rsid w:val="007C28A0"/>
    <w:rsid w:val="007C4D45"/>
    <w:rsid w:val="007C6BD6"/>
    <w:rsid w:val="007D2834"/>
    <w:rsid w:val="007E04A3"/>
    <w:rsid w:val="007E739E"/>
    <w:rsid w:val="007F32DD"/>
    <w:rsid w:val="007F4E16"/>
    <w:rsid w:val="007F6854"/>
    <w:rsid w:val="00800E9C"/>
    <w:rsid w:val="00801F5C"/>
    <w:rsid w:val="00804F3D"/>
    <w:rsid w:val="00806E4C"/>
    <w:rsid w:val="008076A1"/>
    <w:rsid w:val="00807B17"/>
    <w:rsid w:val="00812CFD"/>
    <w:rsid w:val="00814175"/>
    <w:rsid w:val="00817C5D"/>
    <w:rsid w:val="00821D9A"/>
    <w:rsid w:val="008257B9"/>
    <w:rsid w:val="0082670B"/>
    <w:rsid w:val="00830ACC"/>
    <w:rsid w:val="00831232"/>
    <w:rsid w:val="008325F3"/>
    <w:rsid w:val="008440E2"/>
    <w:rsid w:val="00853A85"/>
    <w:rsid w:val="00861B6B"/>
    <w:rsid w:val="008637D5"/>
    <w:rsid w:val="00863F78"/>
    <w:rsid w:val="00867775"/>
    <w:rsid w:val="008753D1"/>
    <w:rsid w:val="0088001B"/>
    <w:rsid w:val="0088575F"/>
    <w:rsid w:val="00887481"/>
    <w:rsid w:val="0089228D"/>
    <w:rsid w:val="00892490"/>
    <w:rsid w:val="00892CD0"/>
    <w:rsid w:val="00897CB0"/>
    <w:rsid w:val="008A0D50"/>
    <w:rsid w:val="008A0FCA"/>
    <w:rsid w:val="008A1382"/>
    <w:rsid w:val="008A212A"/>
    <w:rsid w:val="008A47F6"/>
    <w:rsid w:val="008B0343"/>
    <w:rsid w:val="008B5428"/>
    <w:rsid w:val="008B6F23"/>
    <w:rsid w:val="008C3AD2"/>
    <w:rsid w:val="008C5C6A"/>
    <w:rsid w:val="008C5C6F"/>
    <w:rsid w:val="008C73E3"/>
    <w:rsid w:val="008C7530"/>
    <w:rsid w:val="008D153F"/>
    <w:rsid w:val="008D1826"/>
    <w:rsid w:val="008D3B99"/>
    <w:rsid w:val="008E0AD5"/>
    <w:rsid w:val="008E12B1"/>
    <w:rsid w:val="008E2155"/>
    <w:rsid w:val="008E2569"/>
    <w:rsid w:val="008F2E53"/>
    <w:rsid w:val="008F3877"/>
    <w:rsid w:val="008F5CEF"/>
    <w:rsid w:val="0090038E"/>
    <w:rsid w:val="00901F74"/>
    <w:rsid w:val="00904403"/>
    <w:rsid w:val="00905C78"/>
    <w:rsid w:val="00906E78"/>
    <w:rsid w:val="0091325B"/>
    <w:rsid w:val="00917271"/>
    <w:rsid w:val="00921E84"/>
    <w:rsid w:val="00924A1F"/>
    <w:rsid w:val="00927EA8"/>
    <w:rsid w:val="0093642B"/>
    <w:rsid w:val="00937177"/>
    <w:rsid w:val="009372AA"/>
    <w:rsid w:val="00940EE9"/>
    <w:rsid w:val="00941AB2"/>
    <w:rsid w:val="00941E66"/>
    <w:rsid w:val="009433A7"/>
    <w:rsid w:val="00947953"/>
    <w:rsid w:val="00950850"/>
    <w:rsid w:val="009516FA"/>
    <w:rsid w:val="009538B5"/>
    <w:rsid w:val="00954337"/>
    <w:rsid w:val="009546D2"/>
    <w:rsid w:val="00954FB3"/>
    <w:rsid w:val="00957C1D"/>
    <w:rsid w:val="00964564"/>
    <w:rsid w:val="009648AF"/>
    <w:rsid w:val="00971FE0"/>
    <w:rsid w:val="009804D4"/>
    <w:rsid w:val="009825EF"/>
    <w:rsid w:val="00985534"/>
    <w:rsid w:val="0099112B"/>
    <w:rsid w:val="009911D8"/>
    <w:rsid w:val="00993BA3"/>
    <w:rsid w:val="009A320F"/>
    <w:rsid w:val="009B477B"/>
    <w:rsid w:val="009C00B4"/>
    <w:rsid w:val="009C0ED0"/>
    <w:rsid w:val="009C18EC"/>
    <w:rsid w:val="009C1E7E"/>
    <w:rsid w:val="009C4D43"/>
    <w:rsid w:val="009D0080"/>
    <w:rsid w:val="009D5606"/>
    <w:rsid w:val="009D56C6"/>
    <w:rsid w:val="009D640B"/>
    <w:rsid w:val="009E3839"/>
    <w:rsid w:val="009E4E08"/>
    <w:rsid w:val="009E5C6F"/>
    <w:rsid w:val="009F0A64"/>
    <w:rsid w:val="009F3FFA"/>
    <w:rsid w:val="009F4C9F"/>
    <w:rsid w:val="009F518D"/>
    <w:rsid w:val="009F6B95"/>
    <w:rsid w:val="009F6CB6"/>
    <w:rsid w:val="009F6FFA"/>
    <w:rsid w:val="009F7B94"/>
    <w:rsid w:val="00A02F9D"/>
    <w:rsid w:val="00A1177D"/>
    <w:rsid w:val="00A12399"/>
    <w:rsid w:val="00A12D25"/>
    <w:rsid w:val="00A14469"/>
    <w:rsid w:val="00A15281"/>
    <w:rsid w:val="00A176A2"/>
    <w:rsid w:val="00A24225"/>
    <w:rsid w:val="00A3096C"/>
    <w:rsid w:val="00A33E2B"/>
    <w:rsid w:val="00A37A02"/>
    <w:rsid w:val="00A41B1B"/>
    <w:rsid w:val="00A4482D"/>
    <w:rsid w:val="00A449D9"/>
    <w:rsid w:val="00A44AEF"/>
    <w:rsid w:val="00A47045"/>
    <w:rsid w:val="00A50111"/>
    <w:rsid w:val="00A5068A"/>
    <w:rsid w:val="00A50CA9"/>
    <w:rsid w:val="00A562B7"/>
    <w:rsid w:val="00A57A1F"/>
    <w:rsid w:val="00A603E0"/>
    <w:rsid w:val="00A621C8"/>
    <w:rsid w:val="00A648B2"/>
    <w:rsid w:val="00A658BD"/>
    <w:rsid w:val="00A67F3C"/>
    <w:rsid w:val="00A71BF8"/>
    <w:rsid w:val="00A722FB"/>
    <w:rsid w:val="00A74E52"/>
    <w:rsid w:val="00A768B1"/>
    <w:rsid w:val="00A77429"/>
    <w:rsid w:val="00A77EA1"/>
    <w:rsid w:val="00A822C3"/>
    <w:rsid w:val="00A85788"/>
    <w:rsid w:val="00A94320"/>
    <w:rsid w:val="00A9539F"/>
    <w:rsid w:val="00A96AB2"/>
    <w:rsid w:val="00A9761B"/>
    <w:rsid w:val="00AA0B2A"/>
    <w:rsid w:val="00AA1C54"/>
    <w:rsid w:val="00AA4268"/>
    <w:rsid w:val="00AA4F3A"/>
    <w:rsid w:val="00AB031B"/>
    <w:rsid w:val="00AB0742"/>
    <w:rsid w:val="00AB3CAE"/>
    <w:rsid w:val="00AB4761"/>
    <w:rsid w:val="00AB66EF"/>
    <w:rsid w:val="00AC34BE"/>
    <w:rsid w:val="00AC47BA"/>
    <w:rsid w:val="00AC559A"/>
    <w:rsid w:val="00AC5B42"/>
    <w:rsid w:val="00AD59E6"/>
    <w:rsid w:val="00AD6CC4"/>
    <w:rsid w:val="00AE4A2A"/>
    <w:rsid w:val="00AE4D89"/>
    <w:rsid w:val="00AE5B84"/>
    <w:rsid w:val="00AF0C6C"/>
    <w:rsid w:val="00AF0F48"/>
    <w:rsid w:val="00AF2A71"/>
    <w:rsid w:val="00AF6AB1"/>
    <w:rsid w:val="00B018F9"/>
    <w:rsid w:val="00B14F91"/>
    <w:rsid w:val="00B22DE1"/>
    <w:rsid w:val="00B25DAE"/>
    <w:rsid w:val="00B26A08"/>
    <w:rsid w:val="00B30125"/>
    <w:rsid w:val="00B3620F"/>
    <w:rsid w:val="00B36E9B"/>
    <w:rsid w:val="00B43EFC"/>
    <w:rsid w:val="00B463D8"/>
    <w:rsid w:val="00B46C29"/>
    <w:rsid w:val="00B503D1"/>
    <w:rsid w:val="00B602A4"/>
    <w:rsid w:val="00B6111A"/>
    <w:rsid w:val="00B64634"/>
    <w:rsid w:val="00B64668"/>
    <w:rsid w:val="00B64FC7"/>
    <w:rsid w:val="00B71C5A"/>
    <w:rsid w:val="00B74D4C"/>
    <w:rsid w:val="00B7567C"/>
    <w:rsid w:val="00B75F26"/>
    <w:rsid w:val="00B77A3F"/>
    <w:rsid w:val="00B82E1C"/>
    <w:rsid w:val="00B8544D"/>
    <w:rsid w:val="00B879F9"/>
    <w:rsid w:val="00B94BF2"/>
    <w:rsid w:val="00B96E27"/>
    <w:rsid w:val="00BA0252"/>
    <w:rsid w:val="00BA0879"/>
    <w:rsid w:val="00BA3BB9"/>
    <w:rsid w:val="00BA4780"/>
    <w:rsid w:val="00BA5907"/>
    <w:rsid w:val="00BA6E41"/>
    <w:rsid w:val="00BB5039"/>
    <w:rsid w:val="00BB70E4"/>
    <w:rsid w:val="00BB7CE4"/>
    <w:rsid w:val="00BC0E91"/>
    <w:rsid w:val="00BC10F5"/>
    <w:rsid w:val="00BC1401"/>
    <w:rsid w:val="00BC2919"/>
    <w:rsid w:val="00BC71E0"/>
    <w:rsid w:val="00BD0A92"/>
    <w:rsid w:val="00BD1F44"/>
    <w:rsid w:val="00BD247B"/>
    <w:rsid w:val="00BD68C9"/>
    <w:rsid w:val="00BE14C1"/>
    <w:rsid w:val="00BE1620"/>
    <w:rsid w:val="00BE2039"/>
    <w:rsid w:val="00BE2948"/>
    <w:rsid w:val="00BE2A7F"/>
    <w:rsid w:val="00BE2E56"/>
    <w:rsid w:val="00BE432B"/>
    <w:rsid w:val="00BE4B43"/>
    <w:rsid w:val="00BF4602"/>
    <w:rsid w:val="00BF6A55"/>
    <w:rsid w:val="00C00FAC"/>
    <w:rsid w:val="00C027FC"/>
    <w:rsid w:val="00C03290"/>
    <w:rsid w:val="00C04063"/>
    <w:rsid w:val="00C11C52"/>
    <w:rsid w:val="00C15259"/>
    <w:rsid w:val="00C17455"/>
    <w:rsid w:val="00C21398"/>
    <w:rsid w:val="00C218AD"/>
    <w:rsid w:val="00C22302"/>
    <w:rsid w:val="00C24700"/>
    <w:rsid w:val="00C31E4A"/>
    <w:rsid w:val="00C338CE"/>
    <w:rsid w:val="00C376A5"/>
    <w:rsid w:val="00C37F3B"/>
    <w:rsid w:val="00C410C8"/>
    <w:rsid w:val="00C42989"/>
    <w:rsid w:val="00C51ADA"/>
    <w:rsid w:val="00C51CC9"/>
    <w:rsid w:val="00C54C65"/>
    <w:rsid w:val="00C57B41"/>
    <w:rsid w:val="00C6026D"/>
    <w:rsid w:val="00C621E8"/>
    <w:rsid w:val="00C6633F"/>
    <w:rsid w:val="00C66693"/>
    <w:rsid w:val="00C66F1F"/>
    <w:rsid w:val="00C71752"/>
    <w:rsid w:val="00C76758"/>
    <w:rsid w:val="00C767CC"/>
    <w:rsid w:val="00C77988"/>
    <w:rsid w:val="00C77BD7"/>
    <w:rsid w:val="00C90939"/>
    <w:rsid w:val="00C91792"/>
    <w:rsid w:val="00C924D6"/>
    <w:rsid w:val="00C92BDC"/>
    <w:rsid w:val="00C93D14"/>
    <w:rsid w:val="00C95F0C"/>
    <w:rsid w:val="00C9616A"/>
    <w:rsid w:val="00C977D6"/>
    <w:rsid w:val="00C979A0"/>
    <w:rsid w:val="00CA627D"/>
    <w:rsid w:val="00CB0D99"/>
    <w:rsid w:val="00CB41CB"/>
    <w:rsid w:val="00CB4D0C"/>
    <w:rsid w:val="00CB72F4"/>
    <w:rsid w:val="00CB7AFF"/>
    <w:rsid w:val="00CC1508"/>
    <w:rsid w:val="00CC1C1D"/>
    <w:rsid w:val="00CC3EC2"/>
    <w:rsid w:val="00CD1D68"/>
    <w:rsid w:val="00CD2A48"/>
    <w:rsid w:val="00CE1E13"/>
    <w:rsid w:val="00CE2DBF"/>
    <w:rsid w:val="00CE3CB1"/>
    <w:rsid w:val="00CE41F5"/>
    <w:rsid w:val="00CE67D1"/>
    <w:rsid w:val="00CE69F1"/>
    <w:rsid w:val="00CF0BCD"/>
    <w:rsid w:val="00CF155D"/>
    <w:rsid w:val="00CF1EAC"/>
    <w:rsid w:val="00CF215D"/>
    <w:rsid w:val="00CF6462"/>
    <w:rsid w:val="00D007BA"/>
    <w:rsid w:val="00D027CD"/>
    <w:rsid w:val="00D04BA8"/>
    <w:rsid w:val="00D04CFC"/>
    <w:rsid w:val="00D06E36"/>
    <w:rsid w:val="00D10FD5"/>
    <w:rsid w:val="00D14B45"/>
    <w:rsid w:val="00D15929"/>
    <w:rsid w:val="00D24D1C"/>
    <w:rsid w:val="00D252EC"/>
    <w:rsid w:val="00D260B2"/>
    <w:rsid w:val="00D2673E"/>
    <w:rsid w:val="00D37B5F"/>
    <w:rsid w:val="00D412D7"/>
    <w:rsid w:val="00D419AC"/>
    <w:rsid w:val="00D4323B"/>
    <w:rsid w:val="00D445E1"/>
    <w:rsid w:val="00D47E00"/>
    <w:rsid w:val="00D539D2"/>
    <w:rsid w:val="00D579F5"/>
    <w:rsid w:val="00D60ACE"/>
    <w:rsid w:val="00D63902"/>
    <w:rsid w:val="00D63F3C"/>
    <w:rsid w:val="00D64FEB"/>
    <w:rsid w:val="00D654B8"/>
    <w:rsid w:val="00D75DEA"/>
    <w:rsid w:val="00D76C43"/>
    <w:rsid w:val="00D800A7"/>
    <w:rsid w:val="00D8261F"/>
    <w:rsid w:val="00D840B2"/>
    <w:rsid w:val="00D85229"/>
    <w:rsid w:val="00D855F0"/>
    <w:rsid w:val="00D8575F"/>
    <w:rsid w:val="00D878B4"/>
    <w:rsid w:val="00D911FD"/>
    <w:rsid w:val="00D94B51"/>
    <w:rsid w:val="00D95768"/>
    <w:rsid w:val="00D95A57"/>
    <w:rsid w:val="00D9647D"/>
    <w:rsid w:val="00DA659E"/>
    <w:rsid w:val="00DA6819"/>
    <w:rsid w:val="00DB6C3C"/>
    <w:rsid w:val="00DC0032"/>
    <w:rsid w:val="00DC3865"/>
    <w:rsid w:val="00DC693A"/>
    <w:rsid w:val="00DC6DDE"/>
    <w:rsid w:val="00DD0F94"/>
    <w:rsid w:val="00DD12C6"/>
    <w:rsid w:val="00DD150D"/>
    <w:rsid w:val="00DD62F4"/>
    <w:rsid w:val="00DE01DF"/>
    <w:rsid w:val="00DE42C6"/>
    <w:rsid w:val="00DF498D"/>
    <w:rsid w:val="00E0005F"/>
    <w:rsid w:val="00E038D8"/>
    <w:rsid w:val="00E0407A"/>
    <w:rsid w:val="00E05636"/>
    <w:rsid w:val="00E12F1B"/>
    <w:rsid w:val="00E15E25"/>
    <w:rsid w:val="00E202D4"/>
    <w:rsid w:val="00E21443"/>
    <w:rsid w:val="00E22872"/>
    <w:rsid w:val="00E23D48"/>
    <w:rsid w:val="00E31EC0"/>
    <w:rsid w:val="00E345FC"/>
    <w:rsid w:val="00E40722"/>
    <w:rsid w:val="00E418DE"/>
    <w:rsid w:val="00E42FAB"/>
    <w:rsid w:val="00E4363D"/>
    <w:rsid w:val="00E43FB9"/>
    <w:rsid w:val="00E450E1"/>
    <w:rsid w:val="00E453B2"/>
    <w:rsid w:val="00E476AE"/>
    <w:rsid w:val="00E50289"/>
    <w:rsid w:val="00E52CC0"/>
    <w:rsid w:val="00E53E73"/>
    <w:rsid w:val="00E5523B"/>
    <w:rsid w:val="00E64089"/>
    <w:rsid w:val="00E65A30"/>
    <w:rsid w:val="00E65B2C"/>
    <w:rsid w:val="00E670F6"/>
    <w:rsid w:val="00E7140C"/>
    <w:rsid w:val="00E72AF2"/>
    <w:rsid w:val="00E907CA"/>
    <w:rsid w:val="00E910DA"/>
    <w:rsid w:val="00E92641"/>
    <w:rsid w:val="00E9706B"/>
    <w:rsid w:val="00EA5A23"/>
    <w:rsid w:val="00EA6F83"/>
    <w:rsid w:val="00EA784C"/>
    <w:rsid w:val="00EB0521"/>
    <w:rsid w:val="00EB1549"/>
    <w:rsid w:val="00EC5936"/>
    <w:rsid w:val="00ED006C"/>
    <w:rsid w:val="00ED1707"/>
    <w:rsid w:val="00EE2005"/>
    <w:rsid w:val="00EE2BE0"/>
    <w:rsid w:val="00EE5B2A"/>
    <w:rsid w:val="00EE64D6"/>
    <w:rsid w:val="00F0235A"/>
    <w:rsid w:val="00F02C72"/>
    <w:rsid w:val="00F07A13"/>
    <w:rsid w:val="00F106B2"/>
    <w:rsid w:val="00F108EF"/>
    <w:rsid w:val="00F12736"/>
    <w:rsid w:val="00F164E7"/>
    <w:rsid w:val="00F223E6"/>
    <w:rsid w:val="00F2386C"/>
    <w:rsid w:val="00F2415F"/>
    <w:rsid w:val="00F252B6"/>
    <w:rsid w:val="00F25A16"/>
    <w:rsid w:val="00F263D6"/>
    <w:rsid w:val="00F3365E"/>
    <w:rsid w:val="00F33F07"/>
    <w:rsid w:val="00F34263"/>
    <w:rsid w:val="00F40AFA"/>
    <w:rsid w:val="00F43C51"/>
    <w:rsid w:val="00F47444"/>
    <w:rsid w:val="00F50374"/>
    <w:rsid w:val="00F51877"/>
    <w:rsid w:val="00F54DF2"/>
    <w:rsid w:val="00F56BA1"/>
    <w:rsid w:val="00F62B7E"/>
    <w:rsid w:val="00F65E2F"/>
    <w:rsid w:val="00F71B8D"/>
    <w:rsid w:val="00F80890"/>
    <w:rsid w:val="00F81F8D"/>
    <w:rsid w:val="00F84A09"/>
    <w:rsid w:val="00FA217A"/>
    <w:rsid w:val="00FA2F80"/>
    <w:rsid w:val="00FB1730"/>
    <w:rsid w:val="00FC713C"/>
    <w:rsid w:val="00FD03AE"/>
    <w:rsid w:val="00FD0687"/>
    <w:rsid w:val="00FD0A08"/>
    <w:rsid w:val="00FD44F1"/>
    <w:rsid w:val="00FD5756"/>
    <w:rsid w:val="00FF02BF"/>
    <w:rsid w:val="00FF0404"/>
    <w:rsid w:val="02BC56E9"/>
    <w:rsid w:val="04D8D932"/>
    <w:rsid w:val="0513A6E5"/>
    <w:rsid w:val="05DD9570"/>
    <w:rsid w:val="0BD2DD53"/>
    <w:rsid w:val="0BD4C333"/>
    <w:rsid w:val="0C07E46B"/>
    <w:rsid w:val="0C7391FF"/>
    <w:rsid w:val="0CD7B714"/>
    <w:rsid w:val="0E730BF6"/>
    <w:rsid w:val="11255C30"/>
    <w:rsid w:val="114E8DFF"/>
    <w:rsid w:val="122CE178"/>
    <w:rsid w:val="12CEE9CA"/>
    <w:rsid w:val="1316B1C7"/>
    <w:rsid w:val="15762256"/>
    <w:rsid w:val="16BA49C5"/>
    <w:rsid w:val="1730F241"/>
    <w:rsid w:val="176207F7"/>
    <w:rsid w:val="177B9DE0"/>
    <w:rsid w:val="17B52463"/>
    <w:rsid w:val="18CEA349"/>
    <w:rsid w:val="1949A9BD"/>
    <w:rsid w:val="1B7930E5"/>
    <w:rsid w:val="1C636C8B"/>
    <w:rsid w:val="1F517787"/>
    <w:rsid w:val="21AD7CDB"/>
    <w:rsid w:val="2337FEFC"/>
    <w:rsid w:val="23944055"/>
    <w:rsid w:val="23D74D62"/>
    <w:rsid w:val="25594039"/>
    <w:rsid w:val="3090ADC4"/>
    <w:rsid w:val="32DF208B"/>
    <w:rsid w:val="334563BE"/>
    <w:rsid w:val="33A86EF1"/>
    <w:rsid w:val="34FF183C"/>
    <w:rsid w:val="35807FBB"/>
    <w:rsid w:val="363E34AF"/>
    <w:rsid w:val="37F8B7FE"/>
    <w:rsid w:val="3B898B5B"/>
    <w:rsid w:val="3BB36E15"/>
    <w:rsid w:val="3C165997"/>
    <w:rsid w:val="3C4192DF"/>
    <w:rsid w:val="3DD21C81"/>
    <w:rsid w:val="3E0A5380"/>
    <w:rsid w:val="3F68341E"/>
    <w:rsid w:val="3F71CFC2"/>
    <w:rsid w:val="4383992F"/>
    <w:rsid w:val="47481B6C"/>
    <w:rsid w:val="47C6791E"/>
    <w:rsid w:val="48C9CD2A"/>
    <w:rsid w:val="48E3EBCD"/>
    <w:rsid w:val="49BF1158"/>
    <w:rsid w:val="49D45B59"/>
    <w:rsid w:val="49EBFD4F"/>
    <w:rsid w:val="4C3AC65A"/>
    <w:rsid w:val="5028CFB9"/>
    <w:rsid w:val="512B7FC7"/>
    <w:rsid w:val="52444BB9"/>
    <w:rsid w:val="55ACA5A3"/>
    <w:rsid w:val="564E778C"/>
    <w:rsid w:val="586A0B9E"/>
    <w:rsid w:val="5956B5EE"/>
    <w:rsid w:val="5A7202A7"/>
    <w:rsid w:val="5C1A4D18"/>
    <w:rsid w:val="5CC882F0"/>
    <w:rsid w:val="5DAFFEBA"/>
    <w:rsid w:val="5E62120B"/>
    <w:rsid w:val="60E262EC"/>
    <w:rsid w:val="669A04D8"/>
    <w:rsid w:val="66B590FC"/>
    <w:rsid w:val="6C776710"/>
    <w:rsid w:val="6E9466DB"/>
    <w:rsid w:val="6FA6EDD1"/>
    <w:rsid w:val="6FDE42F2"/>
    <w:rsid w:val="74CFBA71"/>
    <w:rsid w:val="7925D21F"/>
    <w:rsid w:val="7B205E7C"/>
    <w:rsid w:val="7CFD74FF"/>
    <w:rsid w:val="7EC3280D"/>
    <w:rsid w:val="7F8B8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F8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27"/>
  </w:style>
  <w:style w:type="paragraph" w:styleId="Heading1">
    <w:name w:val="heading 1"/>
    <w:basedOn w:val="Normal"/>
    <w:link w:val="Heading1Char"/>
    <w:uiPriority w:val="9"/>
    <w:qFormat/>
    <w:rsid w:val="008A1382"/>
    <w:pPr>
      <w:widowControl w:val="0"/>
      <w:autoSpaceDE w:val="0"/>
      <w:autoSpaceDN w:val="0"/>
      <w:spacing w:before="96" w:after="0" w:line="240" w:lineRule="auto"/>
      <w:ind w:left="29"/>
      <w:outlineLvl w:val="0"/>
    </w:pPr>
    <w:rPr>
      <w:rFonts w:ascii="Arial" w:eastAsia="Arial" w:hAnsi="Arial" w:cs="Arial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3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70F3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382"/>
    <w:rPr>
      <w:rFonts w:ascii="Arial" w:eastAsia="Arial" w:hAnsi="Arial" w:cs="Arial"/>
      <w:b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53F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3FF6"/>
    <w:rPr>
      <w:rFonts w:ascii="Trebuchet MS" w:eastAsia="Trebuchet MS" w:hAnsi="Trebuchet MS" w:cs="Trebuchet MS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353F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353FF6"/>
    <w:pPr>
      <w:widowControl w:val="0"/>
      <w:autoSpaceDE w:val="0"/>
      <w:autoSpaceDN w:val="0"/>
      <w:spacing w:before="71"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3FF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3FF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FF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53FF6"/>
    <w:rPr>
      <w:rFonts w:ascii="Arial" w:eastAsia="Arial" w:hAnsi="Arial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353FF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50A65"/>
    <w:pPr>
      <w:spacing w:after="200" w:line="420" w:lineRule="exact"/>
    </w:pPr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50A65"/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paragraph" w:customStyle="1" w:styleId="Reporttitle">
    <w:name w:val="Report title"/>
    <w:basedOn w:val="Normal"/>
    <w:qFormat/>
    <w:rsid w:val="00050A65"/>
    <w:pPr>
      <w:spacing w:before="120" w:after="200" w:line="240" w:lineRule="auto"/>
    </w:pPr>
    <w:rPr>
      <w:rFonts w:ascii="Arial" w:eastAsia="Times New Roman" w:hAnsi="Arial" w:cs="Times New Roman"/>
      <w:bCs/>
      <w:color w:val="FFFFFF" w:themeColor="background1"/>
      <w:sz w:val="4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A138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170F34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A138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A13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1382"/>
    <w:rPr>
      <w:rFonts w:asciiTheme="majorHAnsi" w:eastAsiaTheme="majorEastAsia" w:hAnsiTheme="majorHAnsi" w:cstheme="majorBidi"/>
      <w:b/>
      <w:color w:val="170F34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A1382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7659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4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3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D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7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hba.vic.gov.au/health/hospitals/new-footscray-hospi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jpr.vic.gov.au/__data/assets/pdf_file/0004/2041798/Footscray-Opportunity-Directions-Paper.pdf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FA5AC17914C82B5F652C8331F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D6E98-ACDD-45E8-98FD-AE911CF12ED6}"/>
      </w:docPartPr>
      <w:docPartBody>
        <w:p w:rsidR="006F7D36" w:rsidRDefault="00941E66" w:rsidP="00941E66">
          <w:pPr>
            <w:pStyle w:val="AB8FA5AC17914C82B5F652C8331FB514"/>
          </w:pPr>
          <w:r w:rsidRPr="00DF7534">
            <w:rPr>
              <w:rStyle w:val="TitleChar"/>
              <w:rFonts w:eastAsiaTheme="minorEastAsia"/>
              <w:color w:val="FFFFFF" w:themeColor="background1"/>
              <w:lang w:eastAsia="en-US"/>
            </w:rPr>
            <w:t>Place heading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66"/>
    <w:rsid w:val="000A7AD4"/>
    <w:rsid w:val="00137D84"/>
    <w:rsid w:val="00163131"/>
    <w:rsid w:val="001A7B70"/>
    <w:rsid w:val="00281B9C"/>
    <w:rsid w:val="0030514E"/>
    <w:rsid w:val="0037353F"/>
    <w:rsid w:val="005A22C1"/>
    <w:rsid w:val="0068398D"/>
    <w:rsid w:val="006A7A94"/>
    <w:rsid w:val="006F7D36"/>
    <w:rsid w:val="00794252"/>
    <w:rsid w:val="00897AD8"/>
    <w:rsid w:val="00941E66"/>
    <w:rsid w:val="009D310F"/>
    <w:rsid w:val="00A032E2"/>
    <w:rsid w:val="00EB4FFD"/>
    <w:rsid w:val="00F1060D"/>
    <w:rsid w:val="00F167CD"/>
    <w:rsid w:val="00F5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E6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41E66"/>
    <w:pPr>
      <w:spacing w:after="200" w:line="420" w:lineRule="exact"/>
    </w:pPr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941E66"/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paragraph" w:customStyle="1" w:styleId="AB8FA5AC17914C82B5F652C8331FB514">
    <w:name w:val="AB8FA5AC17914C82B5F652C8331FB514"/>
    <w:rsid w:val="00941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JPR theme">
  <a:themeElements>
    <a:clrScheme name="DJPR 1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201547"/>
      </a:accent1>
      <a:accent2>
        <a:srgbClr val="53565A"/>
      </a:accent2>
      <a:accent3>
        <a:srgbClr val="62BB46"/>
      </a:accent3>
      <a:accent4>
        <a:srgbClr val="100249"/>
      </a:accent4>
      <a:accent5>
        <a:srgbClr val="0090DA"/>
      </a:accent5>
      <a:accent6>
        <a:srgbClr val="E35205"/>
      </a:accent6>
      <a:hlink>
        <a:srgbClr val="0563C1"/>
      </a:hlink>
      <a:folHlink>
        <a:srgbClr val="954F72"/>
      </a:folHlink>
    </a:clrScheme>
    <a:fontScheme name="DJP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BC14-4FFE-453A-AAF2-1C0DB121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Links>
    <vt:vector size="54" baseType="variant">
      <vt:variant>
        <vt:i4>7405668</vt:i4>
      </vt:variant>
      <vt:variant>
        <vt:i4>48</vt:i4>
      </vt:variant>
      <vt:variant>
        <vt:i4>0</vt:i4>
      </vt:variant>
      <vt:variant>
        <vt:i4>5</vt:i4>
      </vt:variant>
      <vt:variant>
        <vt:lpwstr>https://www.vhba.vic.gov.au/health/hospitals/new-footscray-hospital</vt:lpwstr>
      </vt:variant>
      <vt:variant>
        <vt:lpwstr/>
      </vt:variant>
      <vt:variant>
        <vt:i4>3276890</vt:i4>
      </vt:variant>
      <vt:variant>
        <vt:i4>45</vt:i4>
      </vt:variant>
      <vt:variant>
        <vt:i4>0</vt:i4>
      </vt:variant>
      <vt:variant>
        <vt:i4>5</vt:i4>
      </vt:variant>
      <vt:variant>
        <vt:lpwstr>https://djpr.vic.gov.au/__data/assets/pdf_file/0004/2041798/Footscray-Opportunity-Directions-Paper.pdf</vt:lpwstr>
      </vt:variant>
      <vt:variant>
        <vt:lpwstr/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_Toc97625047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_Toc97625046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_Toc97625045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_Toc97625044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_Toc97625043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_Toc97625042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_Toc97625041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2023-09-13T05:17:00Z</dcterms:created>
  <dcterms:modified xsi:type="dcterms:W3CDTF">2023-09-13T05:17:00Z</dcterms:modified>
</cp:coreProperties>
</file>