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AE10" w14:textId="4C7F78A9" w:rsidR="00F74068" w:rsidRPr="00F74068" w:rsidRDefault="00F74068" w:rsidP="68258F59">
      <w:pPr>
        <w:pStyle w:val="Subtitle"/>
        <w:ind w:right="-1"/>
        <w:rPr>
          <w:b/>
          <w:bCs/>
          <w:szCs w:val="32"/>
        </w:rPr>
      </w:pPr>
      <w:r w:rsidRPr="00F74068">
        <w:rPr>
          <w:b/>
          <w:bCs/>
          <w:szCs w:val="32"/>
        </w:rPr>
        <w:t>Attachment 4</w:t>
      </w:r>
    </w:p>
    <w:p w14:paraId="5FF2BDB6" w14:textId="6B66797D" w:rsidR="003E0AE3" w:rsidRDefault="003E0AE3" w:rsidP="68258F59">
      <w:pPr>
        <w:pStyle w:val="Subtitle"/>
        <w:ind w:right="-1"/>
        <w:rPr>
          <w:b/>
          <w:iCs w:val="0"/>
          <w:sz w:val="40"/>
          <w:szCs w:val="52"/>
        </w:rPr>
      </w:pPr>
      <w:r w:rsidRPr="68258F59">
        <w:rPr>
          <w:b/>
          <w:bCs/>
          <w:sz w:val="40"/>
          <w:szCs w:val="40"/>
        </w:rPr>
        <w:t>Recovered plastic packaging</w:t>
      </w:r>
    </w:p>
    <w:p w14:paraId="414B034A" w14:textId="398AAAAA" w:rsidR="4BB53688" w:rsidRDefault="4BB53688" w:rsidP="68258F59">
      <w:pPr>
        <w:pStyle w:val="IntroFeatureText"/>
      </w:pPr>
      <w:r w:rsidRPr="68258F59">
        <w:rPr>
          <w:rFonts w:asciiTheme="majorHAnsi" w:eastAsiaTheme="majorEastAsia" w:hAnsiTheme="majorHAnsi" w:cstheme="majorBidi"/>
          <w:color w:val="004C97" w:themeColor="accent3"/>
          <w:lang w:val="en-US"/>
        </w:rPr>
        <w:t>Market insights report</w:t>
      </w:r>
      <w:r w:rsidR="002876B7">
        <w:rPr>
          <w:rFonts w:asciiTheme="majorHAnsi" w:eastAsiaTheme="majorEastAsia" w:hAnsiTheme="majorHAnsi" w:cstheme="majorBidi"/>
          <w:color w:val="004C97" w:themeColor="accent3"/>
          <w:lang w:val="en-US"/>
        </w:rPr>
        <w:t xml:space="preserve"> – July 2023</w:t>
      </w:r>
    </w:p>
    <w:p w14:paraId="2D3ABF4C" w14:textId="26203507" w:rsidR="007F57BA" w:rsidRDefault="007F57BA" w:rsidP="002876B7">
      <w:pPr>
        <w:pStyle w:val="IntroFeatureText"/>
        <w:ind w:left="720"/>
        <w:sectPr w:rsidR="007F57BA" w:rsidSect="00AF174F">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1985" w:left="851" w:header="567" w:footer="907" w:gutter="0"/>
          <w:cols w:space="284"/>
          <w:titlePg/>
          <w:docGrid w:linePitch="360"/>
        </w:sectPr>
      </w:pPr>
    </w:p>
    <w:p w14:paraId="53BD8C13" w14:textId="72E40B89" w:rsidR="003E0AE3" w:rsidRDefault="2E53261E" w:rsidP="003E0AE3">
      <w:pPr>
        <w:pStyle w:val="Heading3"/>
      </w:pPr>
      <w:r>
        <w:t xml:space="preserve">Notable </w:t>
      </w:r>
      <w:r w:rsidR="007A2DE1">
        <w:t>m</w:t>
      </w:r>
      <w:r w:rsidR="003E0AE3">
        <w:t>arket developments</w:t>
      </w:r>
    </w:p>
    <w:p w14:paraId="3A9517F7" w14:textId="5C835CBA" w:rsidR="00891C66" w:rsidRDefault="00891C66" w:rsidP="00891C66">
      <w:pPr>
        <w:pStyle w:val="ListBullet"/>
      </w:pPr>
      <w:r w:rsidRPr="003E0AE3">
        <w:rPr>
          <w:b/>
          <w:bCs/>
        </w:rPr>
        <w:t xml:space="preserve">Prices for recovered PET bottles have come off the highs of the middle of 2022 and </w:t>
      </w:r>
      <w:r w:rsidR="004A5B67">
        <w:rPr>
          <w:b/>
          <w:bCs/>
        </w:rPr>
        <w:t>have been steady across the first quarter of 2023 at around the longer term average</w:t>
      </w:r>
      <w:r w:rsidRPr="003E0AE3">
        <w:rPr>
          <w:b/>
          <w:bCs/>
        </w:rPr>
        <w:t>.</w:t>
      </w:r>
      <w:r>
        <w:t xml:space="preserve"> PET packaging scrap prices have </w:t>
      </w:r>
      <w:r w:rsidR="004A5B67">
        <w:t>been</w:t>
      </w:r>
      <w:r>
        <w:t xml:space="preserve"> around $5</w:t>
      </w:r>
      <w:r w:rsidR="004A5B67">
        <w:t>0</w:t>
      </w:r>
      <w:r>
        <w:t>0–$</w:t>
      </w:r>
      <w:r w:rsidR="004A5B67">
        <w:t>5</w:t>
      </w:r>
      <w:r>
        <w:t xml:space="preserve">50 per tonne </w:t>
      </w:r>
      <w:r w:rsidR="004A5B67">
        <w:t>across the January–March 2023 period</w:t>
      </w:r>
      <w:r>
        <w:t>. Since 1 July 2022 the rPET must be flaked and washed to be exported, which is putting downwards pressure on unprocessed bale prices as local reprocessing capacity catches up with the available local supply.</w:t>
      </w:r>
    </w:p>
    <w:p w14:paraId="29B391D1" w14:textId="2B06D6DC" w:rsidR="003E0AE3" w:rsidRDefault="003E0AE3" w:rsidP="003E0AE3">
      <w:pPr>
        <w:pStyle w:val="ListBullet"/>
      </w:pPr>
      <w:r w:rsidRPr="003E0AE3">
        <w:rPr>
          <w:b/>
          <w:bCs/>
        </w:rPr>
        <w:t xml:space="preserve">Prices for recovered HDPE bottles have </w:t>
      </w:r>
      <w:r w:rsidR="00B0234B">
        <w:rPr>
          <w:b/>
          <w:bCs/>
        </w:rPr>
        <w:t>increased across the first quarter of 2023, recovering to a degree from a gradual decline over 2022</w:t>
      </w:r>
      <w:r w:rsidRPr="003E0AE3">
        <w:rPr>
          <w:b/>
          <w:bCs/>
        </w:rPr>
        <w:t xml:space="preserve">. </w:t>
      </w:r>
      <w:r>
        <w:t>HDPE</w:t>
      </w:r>
      <w:r w:rsidR="00B0234B">
        <w:t xml:space="preserve"> rigid packaging, and in particular natural HPDE (</w:t>
      </w:r>
      <w:r w:rsidR="00791037">
        <w:t>e.g.,</w:t>
      </w:r>
      <w:r>
        <w:t xml:space="preserve"> milk bottles</w:t>
      </w:r>
      <w:r w:rsidR="00B0234B">
        <w:t>)</w:t>
      </w:r>
      <w:r>
        <w:t xml:space="preserve"> is highly sought after locally and overseas. </w:t>
      </w:r>
      <w:r w:rsidR="00B0234B" w:rsidRPr="00B0234B">
        <w:t>Since 1 July 2022 the r</w:t>
      </w:r>
      <w:r w:rsidR="00B0234B">
        <w:t>HDPE</w:t>
      </w:r>
      <w:r w:rsidR="00B0234B" w:rsidRPr="00B0234B">
        <w:t xml:space="preserve"> must be flaked and washed to be exported, which </w:t>
      </w:r>
      <w:r w:rsidR="00B0234B">
        <w:t>could theoretically be</w:t>
      </w:r>
      <w:r w:rsidR="00B0234B" w:rsidRPr="00B0234B">
        <w:t xml:space="preserve"> putting downwards pressure on unprocessed bale prices as local reprocessing capacity catches up with the available local supply.</w:t>
      </w:r>
      <w:r w:rsidR="00B0234B">
        <w:t xml:space="preserve"> However, prices for rHDPE have remained resilient, reflecting the adequate scale of local reprocessing capacity and many end-market applications for this material.</w:t>
      </w:r>
    </w:p>
    <w:p w14:paraId="2278ED1B" w14:textId="7BAF8ECD" w:rsidR="00B0234B" w:rsidRDefault="00B0234B" w:rsidP="00B0234B">
      <w:pPr>
        <w:pStyle w:val="ListBullet"/>
      </w:pPr>
      <w:r>
        <w:rPr>
          <w:b/>
          <w:bCs/>
        </w:rPr>
        <w:t>In general, m</w:t>
      </w:r>
      <w:r w:rsidRPr="00D74705">
        <w:rPr>
          <w:b/>
          <w:bCs/>
        </w:rPr>
        <w:t xml:space="preserve">any reprocessors reported steady to somewhat increasing prices </w:t>
      </w:r>
      <w:r>
        <w:rPr>
          <w:b/>
          <w:bCs/>
        </w:rPr>
        <w:t>for reprocessed PET, HDPE and PP rigid plastic packaging</w:t>
      </w:r>
      <w:r w:rsidRPr="00D74705">
        <w:rPr>
          <w:b/>
          <w:bCs/>
        </w:rPr>
        <w:t>. However, this is against a backdrop of sharply increasing costs</w:t>
      </w:r>
      <w:r w:rsidR="0041726D">
        <w:rPr>
          <w:b/>
          <w:bCs/>
        </w:rPr>
        <w:t>.</w:t>
      </w:r>
      <w:r w:rsidR="0041726D" w:rsidRPr="0041726D">
        <w:t xml:space="preserve"> There is benefit in increased local manufacturing to enable local end-markets to match increasing supply, across both packaging and non-packaging plastics recovery</w:t>
      </w:r>
    </w:p>
    <w:p w14:paraId="01F1894B" w14:textId="0B948040" w:rsidR="009B09FF" w:rsidRPr="00F079DB" w:rsidRDefault="009B09FF" w:rsidP="009B09FF">
      <w:pPr>
        <w:pStyle w:val="ListBullet"/>
      </w:pPr>
      <w:r w:rsidRPr="009B09FF">
        <w:rPr>
          <w:b/>
          <w:bCs/>
        </w:rPr>
        <w:t>Freight costs to overseas markets increased markedly in 2022, and while they have fallen significantly, they are still relatively high.</w:t>
      </w:r>
      <w:r>
        <w:t xml:space="preserve"> </w:t>
      </w:r>
      <w:r w:rsidRPr="00744B51">
        <w:t xml:space="preserve">Over the last couple of years, the impact of increased freight costs has been exacerbated by increases in export licence fees for reprocessed scrap plastics. In addition, the introduction of the Australian Government export licencing rules may have </w:t>
      </w:r>
      <w:r w:rsidR="00D26323">
        <w:t>changed</w:t>
      </w:r>
      <w:r w:rsidRPr="00744B51">
        <w:t xml:space="preserve"> end-markets for some forms of reprocessed material. Due to local processing costs, export licence fees, and transport costs,</w:t>
      </w:r>
      <w:r w:rsidRPr="00F079DB">
        <w:t xml:space="preserve"> </w:t>
      </w:r>
      <w:r w:rsidRPr="00744B51">
        <w:t xml:space="preserve">local reprocessors may </w:t>
      </w:r>
      <w:r w:rsidR="00D26323">
        <w:t>have needed to change their business models</w:t>
      </w:r>
      <w:r w:rsidRPr="00744B51">
        <w:t xml:space="preserve"> to competitively sell recovered plastics into international markets</w:t>
      </w:r>
      <w:r w:rsidRPr="00F079DB">
        <w:t>.</w:t>
      </w:r>
    </w:p>
    <w:p w14:paraId="530DF991" w14:textId="2542CD72" w:rsidR="00D74705" w:rsidRDefault="00E21B91" w:rsidP="003E0AE3">
      <w:pPr>
        <w:pStyle w:val="ListBullet"/>
      </w:pPr>
      <w:r w:rsidRPr="00E21B91">
        <w:rPr>
          <w:b/>
          <w:bCs/>
        </w:rPr>
        <w:t>A number of M</w:t>
      </w:r>
      <w:r w:rsidR="001A4DAE">
        <w:rPr>
          <w:b/>
          <w:bCs/>
        </w:rPr>
        <w:t xml:space="preserve">aterial </w:t>
      </w:r>
      <w:r w:rsidRPr="00E21B91">
        <w:rPr>
          <w:b/>
          <w:bCs/>
        </w:rPr>
        <w:t>R</w:t>
      </w:r>
      <w:r w:rsidR="001A4DAE">
        <w:rPr>
          <w:b/>
          <w:bCs/>
        </w:rPr>
        <w:t xml:space="preserve">ecovery </w:t>
      </w:r>
      <w:r w:rsidRPr="00E21B91">
        <w:rPr>
          <w:b/>
          <w:bCs/>
        </w:rPr>
        <w:t>F</w:t>
      </w:r>
      <w:r w:rsidR="001A4DAE">
        <w:rPr>
          <w:b/>
          <w:bCs/>
        </w:rPr>
        <w:t>acilities (MFRs)</w:t>
      </w:r>
      <w:r w:rsidRPr="00E21B91">
        <w:rPr>
          <w:b/>
          <w:bCs/>
        </w:rPr>
        <w:t xml:space="preserve"> and reprocessors reported sending increased quantities of packaging plastics to landfill.</w:t>
      </w:r>
      <w:r>
        <w:t xml:space="preserve"> This particularly relates to PVC and PS based packaging, and to a lesser extent to lower value grades of PET, HDPE and PP packaging.</w:t>
      </w:r>
      <w:r w:rsidR="00F64915">
        <w:t xml:space="preserve"> Over the next few years, this issue </w:t>
      </w:r>
      <w:r w:rsidR="00B0234B">
        <w:t>should</w:t>
      </w:r>
      <w:r w:rsidR="00F64915">
        <w:t xml:space="preserve"> be </w:t>
      </w:r>
      <w:r w:rsidR="00B0234B">
        <w:t>alleviated by the</w:t>
      </w:r>
      <w:r w:rsidR="00F64915">
        <w:t xml:space="preserve"> ongoing phase-out by many brand-owners of PVC and PS packaging, and the redesign of PET, HDPE and PP packaging to improve recyclability</w:t>
      </w:r>
      <w:r w:rsidR="00B0234B">
        <w:t xml:space="preserve"> and increase the value of the recovered material</w:t>
      </w:r>
      <w:r w:rsidR="00F64915">
        <w:t>.</w:t>
      </w:r>
    </w:p>
    <w:p w14:paraId="7EC41079" w14:textId="1561F8A2" w:rsidR="00033517" w:rsidRPr="00AE159D" w:rsidRDefault="00033517" w:rsidP="00033517">
      <w:pPr>
        <w:pStyle w:val="ListBullet"/>
      </w:pPr>
      <w:r w:rsidRPr="00A1088D">
        <w:rPr>
          <w:b/>
          <w:bCs/>
        </w:rPr>
        <w:t xml:space="preserve">There is </w:t>
      </w:r>
      <w:r>
        <w:rPr>
          <w:b/>
          <w:bCs/>
        </w:rPr>
        <w:t xml:space="preserve">likely to be a market concentration of large scale </w:t>
      </w:r>
      <w:r w:rsidRPr="00A1088D">
        <w:rPr>
          <w:b/>
          <w:bCs/>
        </w:rPr>
        <w:t xml:space="preserve">PET packaging reprocessors </w:t>
      </w:r>
      <w:r>
        <w:rPr>
          <w:b/>
          <w:bCs/>
        </w:rPr>
        <w:t>moving forward.</w:t>
      </w:r>
      <w:r w:rsidRPr="00AE159D">
        <w:rPr>
          <w:b/>
          <w:bCs/>
        </w:rPr>
        <w:t xml:space="preserve"> </w:t>
      </w:r>
      <w:r w:rsidRPr="00AE159D">
        <w:t>From July 2022 export markets were no longer available for unprocessed bales of PET packaging. As a result</w:t>
      </w:r>
      <w:r>
        <w:t>,</w:t>
      </w:r>
      <w:r w:rsidRPr="00AE159D">
        <w:t xml:space="preserve"> the limited number of local reprocessors have greatly increased market purchasing power. </w:t>
      </w:r>
      <w:r w:rsidR="00D26323">
        <w:t>There remains a</w:t>
      </w:r>
      <w:r w:rsidRPr="00AE159D">
        <w:t xml:space="preserve"> local reprocessing gap for PET packaging until </w:t>
      </w:r>
      <w:r w:rsidR="00D26323">
        <w:t>mid-end</w:t>
      </w:r>
      <w:r w:rsidRPr="00AE159D">
        <w:t xml:space="preserve"> 2024.</w:t>
      </w:r>
    </w:p>
    <w:p w14:paraId="2990E0EA" w14:textId="77777777" w:rsidR="003E0AE3" w:rsidRDefault="003E0AE3" w:rsidP="003E0AE3">
      <w:pPr>
        <w:pStyle w:val="Heading3"/>
      </w:pPr>
      <w:r>
        <w:t>Material overview and market summary</w:t>
      </w:r>
    </w:p>
    <w:p w14:paraId="36114D3F" w14:textId="3611596D" w:rsidR="003E0AE3" w:rsidRDefault="003E0AE3" w:rsidP="003E0AE3">
      <w:pPr>
        <w:pStyle w:val="BodyText"/>
      </w:pPr>
      <w:r>
        <w:t>Plastics collected through kerbside collections are generally sent MRFs and sorted from commingled recycling into a single mixed plastics grade (1–7 plastic-polymer mix), or more commonly</w:t>
      </w:r>
      <w:r w:rsidR="00EC517D">
        <w:t>,</w:t>
      </w:r>
      <w:r>
        <w:t xml:space="preserve"> three or four grades, which are PET, HDPE</w:t>
      </w:r>
      <w:r w:rsidR="0027667E">
        <w:t xml:space="preserve"> and PP,</w:t>
      </w:r>
      <w:r>
        <w:t xml:space="preserve"> and </w:t>
      </w:r>
      <w:r w:rsidR="0027667E">
        <w:t>a</w:t>
      </w:r>
      <w:r>
        <w:t xml:space="preserve"> residual mixed plastics grade (a 3–7 plastic-polymer mix, but with some residual quantities of PET</w:t>
      </w:r>
      <w:r w:rsidR="0027667E">
        <w:t>,</w:t>
      </w:r>
      <w:r>
        <w:t xml:space="preserve"> HDPE</w:t>
      </w:r>
      <w:r w:rsidR="0027667E">
        <w:t xml:space="preserve"> and PP</w:t>
      </w:r>
      <w:r>
        <w:t xml:space="preserve"> still present).</w:t>
      </w:r>
    </w:p>
    <w:p w14:paraId="50CD345D" w14:textId="2DDFDC60" w:rsidR="003E0AE3" w:rsidRDefault="0027667E" w:rsidP="003E0AE3">
      <w:pPr>
        <w:pStyle w:val="BodyText"/>
      </w:pPr>
      <w:r>
        <w:t>It is understood that all</w:t>
      </w:r>
      <w:r w:rsidR="003E0AE3">
        <w:t xml:space="preserve"> three </w:t>
      </w:r>
      <w:r>
        <w:t xml:space="preserve">of the </w:t>
      </w:r>
      <w:r w:rsidR="003E0AE3">
        <w:t xml:space="preserve">major Victorian MRF operators are </w:t>
      </w:r>
      <w:r>
        <w:t>now</w:t>
      </w:r>
      <w:r w:rsidR="003E0AE3">
        <w:t xml:space="preserve"> positively sorting a PP stream, which is a highly sought-after product, and nationally all the major MRF operators are understood to be moving </w:t>
      </w:r>
      <w:r w:rsidR="00B255FF">
        <w:t>towards sorting</w:t>
      </w:r>
      <w:r w:rsidR="003E0AE3">
        <w:t xml:space="preserve"> a PP stream. Typically, the recovered PP is not reused in consumer packaging, but is incorporated into more durable goods such as plant pots.</w:t>
      </w:r>
    </w:p>
    <w:p w14:paraId="6B5EC2C0" w14:textId="78F6D28D" w:rsidR="003E0AE3" w:rsidRDefault="003E0AE3" w:rsidP="003E0AE3">
      <w:pPr>
        <w:pStyle w:val="BodyText"/>
      </w:pPr>
      <w:r>
        <w:lastRenderedPageBreak/>
        <w:t xml:space="preserve">PVC and PS </w:t>
      </w:r>
      <w:r w:rsidR="003A00F0">
        <w:t>continue to be</w:t>
      </w:r>
      <w:r>
        <w:t xml:space="preserve"> proactively phased out from use in packaging by many brand</w:t>
      </w:r>
      <w:r w:rsidR="003A00F0">
        <w:t>-</w:t>
      </w:r>
      <w:r>
        <w:t>owners, and the quantities of these polymers in kerbside collections are low and continue to fall.</w:t>
      </w:r>
    </w:p>
    <w:p w14:paraId="2D624054" w14:textId="67B6B544" w:rsidR="003E0AE3" w:rsidRDefault="003E0AE3" w:rsidP="003E0AE3">
      <w:pPr>
        <w:pStyle w:val="BodyText"/>
      </w:pPr>
      <w:r>
        <w:t xml:space="preserve">Figure 1 provides data on the change in exports of kerbside recovered plastic packaging since the beginning of 2015. Across the April–June </w:t>
      </w:r>
      <w:r w:rsidR="0052450E">
        <w:t xml:space="preserve">2022 </w:t>
      </w:r>
      <w:r>
        <w:t xml:space="preserve">period there was a significant jump in exports, </w:t>
      </w:r>
      <w:r w:rsidR="0027667E">
        <w:t>leading up to</w:t>
      </w:r>
      <w:r>
        <w:t xml:space="preserve"> the 1 July </w:t>
      </w:r>
      <w:r w:rsidR="009A0360">
        <w:t xml:space="preserve">2022 </w:t>
      </w:r>
      <w:r>
        <w:t>export ban on unprocessed single-polymer scrap plastics.</w:t>
      </w:r>
      <w:r w:rsidR="0027667E">
        <w:t xml:space="preserve"> From July 2022 there has been a dramatic fall in </w:t>
      </w:r>
      <w:r w:rsidR="003A00F0">
        <w:t>exports</w:t>
      </w:r>
      <w:r w:rsidR="00C86709">
        <w:t xml:space="preserve"> </w:t>
      </w:r>
      <w:r w:rsidR="003A00F0">
        <w:t xml:space="preserve">of unprocessed (kerbside sourced) rigid </w:t>
      </w:r>
      <w:r w:rsidR="00C86709">
        <w:t>plastic packaging (sorted into single polymer grades).</w:t>
      </w:r>
    </w:p>
    <w:p w14:paraId="3D30ACBA" w14:textId="114E31EC" w:rsidR="00C86709" w:rsidRDefault="00C86709" w:rsidP="003E0AE3">
      <w:pPr>
        <w:pStyle w:val="BodyText"/>
      </w:pPr>
      <w:r>
        <w:t xml:space="preserve">It is important to highlight that </w:t>
      </w:r>
      <w:r w:rsidR="00395A07">
        <w:t>anecdotally it is known that there has been a</w:t>
      </w:r>
      <w:r>
        <w:t xml:space="preserve"> significant increase in the export of reprocessed (single polymer) plastic packaging.</w:t>
      </w:r>
      <w:r w:rsidR="00395A07">
        <w:t xml:space="preserve"> This material is exported under 'primary' plastics codes, and it is not currently possible to separately quantify these exports, and they are not shown in Figure 1. However, further research and analysis is in progress, and it is anticipated that this export flow, potentially by polymer grade, will be available in the next quarterly update of this report.</w:t>
      </w:r>
    </w:p>
    <w:p w14:paraId="2B84AEFD" w14:textId="4506F00A" w:rsidR="003E0AE3" w:rsidRDefault="0027667E" w:rsidP="003E0AE3">
      <w:pPr>
        <w:pStyle w:val="BodyText"/>
      </w:pPr>
      <w:r>
        <w:rPr>
          <w:noProof/>
        </w:rPr>
        <w:drawing>
          <wp:inline distT="0" distB="0" distL="0" distR="0" wp14:anchorId="1CE6F4A4" wp14:editId="1D3CEAC3">
            <wp:extent cx="5773420" cy="3615055"/>
            <wp:effectExtent l="0" t="0" r="0" b="4445"/>
            <wp:docPr id="1186781442" name="Picture 118678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14:paraId="7F47DBAB" w14:textId="2BB6064D" w:rsidR="003E0AE3" w:rsidRDefault="003E0AE3" w:rsidP="003E0AE3">
      <w:pPr>
        <w:pStyle w:val="CaptionImageorFigure"/>
      </w:pPr>
      <w:r>
        <w:t>Figure 1: Destination of Victorian MRF outputs (tonnes per month) – kerbside plastic packaging</w:t>
      </w:r>
      <w:r w:rsidR="00BB7DE8">
        <w:t>.</w:t>
      </w:r>
    </w:p>
    <w:p w14:paraId="6CD47C67" w14:textId="6030C713" w:rsidR="003E0AE3" w:rsidRPr="007F1AF5" w:rsidRDefault="003E0AE3" w:rsidP="003E0AE3">
      <w:pPr>
        <w:pStyle w:val="PhotoCredit"/>
        <w:rPr>
          <w:sz w:val="18"/>
          <w:szCs w:val="18"/>
        </w:rPr>
      </w:pPr>
      <w:r w:rsidRPr="007F1AF5">
        <w:rPr>
          <w:sz w:val="18"/>
          <w:szCs w:val="18"/>
        </w:rPr>
        <w:t xml:space="preserve">Source: Australian Bureau of Statistics (ABS) and </w:t>
      </w:r>
      <w:r w:rsidR="00171234" w:rsidRPr="007F1AF5">
        <w:rPr>
          <w:sz w:val="18"/>
          <w:szCs w:val="18"/>
        </w:rPr>
        <w:t>IndustryEdge (</w:t>
      </w:r>
      <w:r w:rsidRPr="007F1AF5">
        <w:rPr>
          <w:sz w:val="18"/>
          <w:szCs w:val="18"/>
        </w:rPr>
        <w:t>IE</w:t>
      </w:r>
      <w:r w:rsidR="00171234" w:rsidRPr="007F1AF5">
        <w:rPr>
          <w:sz w:val="18"/>
          <w:szCs w:val="18"/>
        </w:rPr>
        <w:t>)</w:t>
      </w:r>
      <w:r w:rsidRPr="007F1AF5">
        <w:rPr>
          <w:sz w:val="18"/>
          <w:szCs w:val="18"/>
        </w:rPr>
        <w:t xml:space="preserve"> (Australian Harmonized Export Commodity Classification (AHECC) data by month, classification and destination country, 202</w:t>
      </w:r>
      <w:r w:rsidR="007F1AF5">
        <w:rPr>
          <w:sz w:val="18"/>
          <w:szCs w:val="18"/>
        </w:rPr>
        <w:t>3</w:t>
      </w:r>
      <w:r w:rsidRPr="007F1AF5">
        <w:rPr>
          <w:sz w:val="18"/>
          <w:szCs w:val="18"/>
        </w:rPr>
        <w:t>) and Blue Environment</w:t>
      </w:r>
      <w:r w:rsidR="00171234" w:rsidRPr="007F1AF5">
        <w:rPr>
          <w:sz w:val="18"/>
          <w:szCs w:val="18"/>
        </w:rPr>
        <w:t>.</w:t>
      </w:r>
    </w:p>
    <w:p w14:paraId="360F217F" w14:textId="77777777" w:rsidR="003E0AE3" w:rsidRPr="007F1AF5" w:rsidRDefault="003E0AE3" w:rsidP="003E0AE3">
      <w:pPr>
        <w:pStyle w:val="SmallBodyText"/>
        <w:rPr>
          <w:sz w:val="18"/>
          <w:szCs w:val="18"/>
        </w:rPr>
      </w:pPr>
      <w:r w:rsidRPr="007F1AF5">
        <w:rPr>
          <w:sz w:val="18"/>
          <w:szCs w:val="18"/>
        </w:rPr>
        <w:t>Note 1: Historical total monthly MRF outputs have been approximated in the figure above to enable comparison with monthly ABS customs export data. The overall trends are the key aspect of the figure.</w:t>
      </w:r>
    </w:p>
    <w:p w14:paraId="7D84C7AB" w14:textId="6C490B22" w:rsidR="003E0AE3" w:rsidRPr="007F1AF5" w:rsidRDefault="003E0AE3" w:rsidP="003E0AE3">
      <w:pPr>
        <w:pStyle w:val="SmallBodyText"/>
        <w:rPr>
          <w:sz w:val="18"/>
          <w:szCs w:val="18"/>
        </w:rPr>
      </w:pPr>
      <w:r w:rsidRPr="007F1AF5">
        <w:rPr>
          <w:sz w:val="18"/>
          <w:szCs w:val="18"/>
        </w:rPr>
        <w:t xml:space="preserve">Note 2: The combined ‘Local reprocessing or storage’ estimate is indicative only, and these fates </w:t>
      </w:r>
      <w:r w:rsidR="007F1AF5">
        <w:rPr>
          <w:sz w:val="18"/>
          <w:szCs w:val="18"/>
        </w:rPr>
        <w:t>can't be presented separately due to the lack of sufficiently detailed time-series data</w:t>
      </w:r>
      <w:r w:rsidRPr="007F1AF5">
        <w:rPr>
          <w:sz w:val="18"/>
          <w:szCs w:val="18"/>
        </w:rPr>
        <w:t>. Landfill excludes disposal from storage and is an approximation based on annual waste to landfill rates.</w:t>
      </w:r>
    </w:p>
    <w:p w14:paraId="42C18D3E" w14:textId="77777777" w:rsidR="003E0AE3" w:rsidRDefault="003E0AE3" w:rsidP="003E0AE3">
      <w:pPr>
        <w:pStyle w:val="Heading3"/>
      </w:pPr>
      <w:r>
        <w:t>Prices, demand and supply</w:t>
      </w:r>
    </w:p>
    <w:p w14:paraId="1654574C" w14:textId="2BEEA289" w:rsidR="003E0AE3" w:rsidRDefault="003E0AE3" w:rsidP="003E0AE3">
      <w:pPr>
        <w:pStyle w:val="BodyText"/>
      </w:pPr>
      <w:r>
        <w:t>There continues to be strong local and export markets for clean PET bales that are collected</w:t>
      </w:r>
      <w:r w:rsidR="000B2BFC">
        <w:t>,</w:t>
      </w:r>
      <w:r>
        <w:t xml:space="preserve"> sorted </w:t>
      </w:r>
      <w:r w:rsidR="000B2BFC">
        <w:t xml:space="preserve">and reprocessed </w:t>
      </w:r>
      <w:r>
        <w:t xml:space="preserve">to specification. Prices had fallen to around $230 </w:t>
      </w:r>
      <w:r w:rsidR="00D4337B">
        <w:t xml:space="preserve">per </w:t>
      </w:r>
      <w:r>
        <w:t xml:space="preserve">tonne in October 2020, the lowest price </w:t>
      </w:r>
      <w:r w:rsidR="000B2BFC">
        <w:t>in the available data (from mid-2017)</w:t>
      </w:r>
      <w:r>
        <w:t xml:space="preserve">. However, prices increased steadily from this low to around $1,200–$1,300 </w:t>
      </w:r>
      <w:r w:rsidR="00171234">
        <w:t xml:space="preserve">per </w:t>
      </w:r>
      <w:r>
        <w:t xml:space="preserve">tonne by May 2022. Since May </w:t>
      </w:r>
      <w:r w:rsidR="009A0360">
        <w:t xml:space="preserve">2022 </w:t>
      </w:r>
      <w:r>
        <w:t>prices have again softened to around $5</w:t>
      </w:r>
      <w:r w:rsidR="000B2BFC">
        <w:t>0</w:t>
      </w:r>
      <w:r>
        <w:t>0–$</w:t>
      </w:r>
      <w:r w:rsidR="000B2BFC">
        <w:t>5</w:t>
      </w:r>
      <w:r>
        <w:t xml:space="preserve">50 </w:t>
      </w:r>
      <w:r w:rsidR="00171234">
        <w:t xml:space="preserve">per </w:t>
      </w:r>
      <w:r>
        <w:t xml:space="preserve">tonne </w:t>
      </w:r>
      <w:r w:rsidR="000B2BFC">
        <w:t>by April</w:t>
      </w:r>
      <w:r w:rsidR="009A0360">
        <w:t xml:space="preserve"> 202</w:t>
      </w:r>
      <w:r w:rsidR="000B2BFC">
        <w:t>3, which is still above the long-term monthly average across the last 7 years.</w:t>
      </w:r>
    </w:p>
    <w:p w14:paraId="3CA5B4EF" w14:textId="744F45E0" w:rsidR="003E0AE3" w:rsidRDefault="003E0AE3" w:rsidP="003E0AE3">
      <w:pPr>
        <w:pStyle w:val="BodyText"/>
      </w:pPr>
      <w:r>
        <w:t xml:space="preserve">There is also increasing development of vertical supply chains in Australia by </w:t>
      </w:r>
      <w:r w:rsidR="00A97D27">
        <w:t>some large</w:t>
      </w:r>
      <w:r>
        <w:t xml:space="preserve"> recycling companies and consortia, meaning that they manage their own material from collection to remanufacturing</w:t>
      </w:r>
      <w:r w:rsidR="008E5894">
        <w:t xml:space="preserve"> new packaging</w:t>
      </w:r>
      <w:r>
        <w:t xml:space="preserve">. </w:t>
      </w:r>
      <w:r w:rsidR="00063131">
        <w:t>Expa</w:t>
      </w:r>
      <w:r w:rsidR="006805BB">
        <w:t>n</w:t>
      </w:r>
      <w:r w:rsidR="00063131">
        <w:t>sion is continuing</w:t>
      </w:r>
      <w:r w:rsidR="006805BB">
        <w:t xml:space="preserve">, </w:t>
      </w:r>
      <w:r w:rsidR="000B2BFC">
        <w:t>either through the upgrade of existing facilities, or the build of new facilities</w:t>
      </w:r>
      <w:r>
        <w:t>. The open market prices above are not reflective of the internal transfer prices within these vertical supply chains.</w:t>
      </w:r>
    </w:p>
    <w:p w14:paraId="3C1B02C0" w14:textId="3359F573" w:rsidR="003E0AE3" w:rsidRDefault="003E0AE3" w:rsidP="003E0AE3">
      <w:pPr>
        <w:pStyle w:val="BodyText"/>
      </w:pPr>
      <w:r>
        <w:lastRenderedPageBreak/>
        <w:t xml:space="preserve">The price of recycled resin used to be directly linked to the price for virgin resin. However, there is increasing 'decoupling' of the virgin PET and recycled PET (rPET) prices that has been observed over the last </w:t>
      </w:r>
      <w:r w:rsidR="008E5894">
        <w:t>3</w:t>
      </w:r>
      <w:r>
        <w:t>–</w:t>
      </w:r>
      <w:r w:rsidR="008E5894">
        <w:t xml:space="preserve">4 </w:t>
      </w:r>
      <w:r>
        <w:t>years, as brand</w:t>
      </w:r>
      <w:r w:rsidR="40BDC9F0">
        <w:t xml:space="preserve"> </w:t>
      </w:r>
      <w:r>
        <w:t xml:space="preserve">owners chase packaging grade rPET and rHDPE to meet </w:t>
      </w:r>
      <w:r w:rsidR="008E5894">
        <w:t xml:space="preserve">internal </w:t>
      </w:r>
      <w:r>
        <w:t>targets on the use of recycled content in packaging. Food-grade rPET, that is virgin equivalent, is now commanding prices between 50% and 1</w:t>
      </w:r>
      <w:r w:rsidR="007A2DE1">
        <w:t>0</w:t>
      </w:r>
      <w:r>
        <w:t>0% greater than virgin PET on global markets</w:t>
      </w:r>
      <w:r w:rsidR="008E5894">
        <w:t>. However, it is understood that the price premium differential has tightened up somewhat over the last 6 months or so, as increasing quantities of food-grade rPET and rHDPE become available on local and international markets</w:t>
      </w:r>
      <w:r>
        <w:t>.</w:t>
      </w:r>
    </w:p>
    <w:p w14:paraId="734555FD" w14:textId="1D21799B" w:rsidR="003E0AE3" w:rsidRDefault="20103C89" w:rsidP="003E0AE3">
      <w:pPr>
        <w:pStyle w:val="BodyText"/>
      </w:pPr>
      <w:r>
        <w:t>P</w:t>
      </w:r>
      <w:r w:rsidR="003E0AE3">
        <w:t xml:space="preserve">rices for clean HPDE bales </w:t>
      </w:r>
      <w:r w:rsidR="008E5894">
        <w:t>have generally been somewhere in the range of</w:t>
      </w:r>
      <w:r w:rsidR="003E0AE3">
        <w:t xml:space="preserve"> $900–$1,</w:t>
      </w:r>
      <w:r w:rsidR="008E5894">
        <w:t>1</w:t>
      </w:r>
      <w:r w:rsidR="003E0AE3">
        <w:t xml:space="preserve">00 </w:t>
      </w:r>
      <w:r w:rsidR="3099195B">
        <w:t xml:space="preserve">per </w:t>
      </w:r>
      <w:r w:rsidR="003E0AE3">
        <w:t xml:space="preserve">tonne </w:t>
      </w:r>
      <w:r w:rsidR="008E5894">
        <w:t>since the</w:t>
      </w:r>
      <w:r w:rsidR="003E0AE3">
        <w:t xml:space="preserve"> beginning of 2022</w:t>
      </w:r>
      <w:r w:rsidR="008E5894">
        <w:t xml:space="preserve">. These relatively good </w:t>
      </w:r>
      <w:r w:rsidR="003E0AE3">
        <w:t xml:space="preserve">prices </w:t>
      </w:r>
      <w:r w:rsidR="008E5894">
        <w:t xml:space="preserve">have been </w:t>
      </w:r>
      <w:r w:rsidR="003E0AE3">
        <w:t>underpinned by the very strong local and international brand</w:t>
      </w:r>
      <w:r>
        <w:t xml:space="preserve"> </w:t>
      </w:r>
      <w:r w:rsidR="003E0AE3">
        <w:t xml:space="preserve">owner demand for packaging grade rHDPE. </w:t>
      </w:r>
      <w:r w:rsidR="0086633F">
        <w:t>T</w:t>
      </w:r>
      <w:r w:rsidR="003E0AE3">
        <w:t xml:space="preserve">he requirement to reprocess the HDPE locally </w:t>
      </w:r>
      <w:r w:rsidR="0086633F">
        <w:t>does not appear to be</w:t>
      </w:r>
      <w:r w:rsidR="003E0AE3">
        <w:t xml:space="preserve"> putting </w:t>
      </w:r>
      <w:r w:rsidR="0086633F">
        <w:t xml:space="preserve">any notable </w:t>
      </w:r>
      <w:r w:rsidR="003E0AE3">
        <w:t>downwards pressure on the price of unprocessed HDPE packaging bales.</w:t>
      </w:r>
    </w:p>
    <w:p w14:paraId="4600CDBC" w14:textId="77777777" w:rsidR="003E0AE3" w:rsidRDefault="003E0AE3" w:rsidP="003E0AE3">
      <w:pPr>
        <w:pStyle w:val="BodyText"/>
      </w:pPr>
      <w:r>
        <w:t>As with reprocessed rPET, reprocessed rHDPE, that is virgin equivalent, is now commanding prices between 50% and 150% greater than virgin HDPE on global markets.</w:t>
      </w:r>
    </w:p>
    <w:p w14:paraId="27E184D5" w14:textId="69D1CC4C" w:rsidR="003E0AE3" w:rsidRDefault="003E0AE3" w:rsidP="003E0AE3">
      <w:pPr>
        <w:pStyle w:val="Heading3"/>
      </w:pPr>
      <w:r>
        <w:t>Key end</w:t>
      </w:r>
      <w:r w:rsidR="000D684A">
        <w:t xml:space="preserve"> </w:t>
      </w:r>
      <w:r>
        <w:t>markets and related specifications</w:t>
      </w:r>
    </w:p>
    <w:p w14:paraId="11B1A990" w14:textId="5DB68F2A" w:rsidR="003E0AE3" w:rsidRDefault="003E0AE3" w:rsidP="003E0AE3">
      <w:pPr>
        <w:pStyle w:val="BodyText"/>
      </w:pPr>
      <w:r>
        <w:t xml:space="preserve">Exported plastics packaging has specifications relating mostly to contamination levels. </w:t>
      </w:r>
      <w:r w:rsidR="00975F04">
        <w:t>The sorting</w:t>
      </w:r>
      <w:r>
        <w:t xml:space="preserve"> of PET, HDPE and </w:t>
      </w:r>
      <w:r w:rsidR="00975F04">
        <w:t>PP undertaken</w:t>
      </w:r>
      <w:r>
        <w:t xml:space="preserve"> at MRFs allows the baled material to generally meet these specifications without major difficulty or manual sorting input. However, as outlined above, </w:t>
      </w:r>
      <w:r w:rsidR="0086633F">
        <w:t>from</w:t>
      </w:r>
      <w:r>
        <w:t xml:space="preserve"> July 2022 these </w:t>
      </w:r>
      <w:r w:rsidR="00975F04">
        <w:t>single polymer</w:t>
      </w:r>
      <w:r>
        <w:t xml:space="preserve"> sorted bales need to be reprocessed (chipped and washed at a minimum) to be exportable under the bans.</w:t>
      </w:r>
    </w:p>
    <w:p w14:paraId="67C2A60B" w14:textId="77777777" w:rsidR="003E0AE3" w:rsidRDefault="003E0AE3" w:rsidP="003E0AE3">
      <w:pPr>
        <w:pStyle w:val="Heading3"/>
      </w:pPr>
      <w:r>
        <w:t>Export and interstate market review</w:t>
      </w:r>
    </w:p>
    <w:p w14:paraId="3168DEB2" w14:textId="3F9F29EE" w:rsidR="003E0AE3" w:rsidRDefault="7319B47B" w:rsidP="003E0AE3">
      <w:pPr>
        <w:pStyle w:val="BodyText"/>
      </w:pPr>
      <w:r>
        <w:t>P</w:t>
      </w:r>
      <w:r w:rsidR="003E0AE3">
        <w:t xml:space="preserve">lastics packaging was overwhelmingly exported to China (see </w:t>
      </w:r>
      <w:r w:rsidR="1D86629C">
        <w:t>F</w:t>
      </w:r>
      <w:r w:rsidR="516D4FFC">
        <w:t>igure 2</w:t>
      </w:r>
      <w:r w:rsidR="003E0AE3">
        <w:t>), until the latest round of Chinese restrictions in 2018. During the 2018–19 financial year Indonesia was the major destination. Since September 2019 Malaysia has usually been the largest destination for Victoria kerbside plastics by a significant margin.</w:t>
      </w:r>
    </w:p>
    <w:p w14:paraId="2AD2BE6F" w14:textId="00694132" w:rsidR="003E0AE3" w:rsidRDefault="003E0AE3" w:rsidP="003E0AE3">
      <w:pPr>
        <w:pStyle w:val="BodyText"/>
      </w:pPr>
      <w:r>
        <w:t xml:space="preserve">Post-consumer plastic imports into Malaysia from Victoria </w:t>
      </w:r>
      <w:r w:rsidR="0024489D">
        <w:t>have been trending down</w:t>
      </w:r>
      <w:r>
        <w:t xml:space="preserve"> since the beginning of 2019 to </w:t>
      </w:r>
      <w:r w:rsidR="0024489D">
        <w:t>March 2023, but with large monthly variability</w:t>
      </w:r>
      <w:r>
        <w:t xml:space="preserve">. </w:t>
      </w:r>
      <w:r w:rsidR="0024489D">
        <w:t>In March 2023 exports to Malaysia made up two thirds of total exports, with total exports falling dramatically since July 2022</w:t>
      </w:r>
      <w:r>
        <w:t>.</w:t>
      </w:r>
    </w:p>
    <w:p w14:paraId="71E07A11" w14:textId="56658A4F" w:rsidR="003E0AE3" w:rsidRDefault="003E0AE3" w:rsidP="003E0AE3">
      <w:pPr>
        <w:pStyle w:val="BodyText"/>
      </w:pPr>
      <w:r>
        <w:t xml:space="preserve">Victoria </w:t>
      </w:r>
      <w:r w:rsidR="00E7123A">
        <w:t xml:space="preserve">is </w:t>
      </w:r>
      <w:r>
        <w:t xml:space="preserve">highly exposed to Malaysian import conditions, albeit at a </w:t>
      </w:r>
      <w:r w:rsidR="0024489D">
        <w:t xml:space="preserve">much </w:t>
      </w:r>
      <w:r>
        <w:t>lower level than the historical level</w:t>
      </w:r>
      <w:r w:rsidR="0024489D">
        <w:t>s</w:t>
      </w:r>
      <w:r>
        <w:t xml:space="preserve"> of exposure to China</w:t>
      </w:r>
      <w:r w:rsidR="0024489D">
        <w:t xml:space="preserve"> and then Indonesia</w:t>
      </w:r>
      <w:r>
        <w:t>.</w:t>
      </w:r>
    </w:p>
    <w:p w14:paraId="7D9131DB" w14:textId="59568416" w:rsidR="003E0AE3" w:rsidRDefault="003E0AE3" w:rsidP="003E0AE3">
      <w:pPr>
        <w:pStyle w:val="BodyText"/>
      </w:pPr>
      <w:r>
        <w:t xml:space="preserve">Regardless, the export bans now in force since July </w:t>
      </w:r>
      <w:r w:rsidR="009A0360">
        <w:t xml:space="preserve">2022 </w:t>
      </w:r>
      <w:r>
        <w:t xml:space="preserve">have largely ended the export of any unprocessed plastics. The kerbside plastic packaging recovery market bottleneck </w:t>
      </w:r>
      <w:r w:rsidR="0024489D">
        <w:t>has</w:t>
      </w:r>
      <w:r>
        <w:t xml:space="preserve"> become onshore reprocessing capacity for PET, HD</w:t>
      </w:r>
      <w:r w:rsidR="0024489D">
        <w:t>P</w:t>
      </w:r>
      <w:r>
        <w:t xml:space="preserve">E and PP. However, there are numerous significant new reprocessing facilities that have been announced over the last couple of years, with much of this new capacity to be located in Victoria (see Table </w:t>
      </w:r>
      <w:r w:rsidR="00171234">
        <w:t>1</w:t>
      </w:r>
      <w:r>
        <w:t>).</w:t>
      </w:r>
    </w:p>
    <w:p w14:paraId="05A0E867" w14:textId="63E5C879" w:rsidR="00171234" w:rsidRDefault="00171234" w:rsidP="003E0AE3">
      <w:pPr>
        <w:pStyle w:val="BodyText"/>
      </w:pPr>
    </w:p>
    <w:p w14:paraId="0F277DD9" w14:textId="0B1CA961" w:rsidR="00171234" w:rsidRDefault="0086633F" w:rsidP="00171234">
      <w:pPr>
        <w:pStyle w:val="BodyText"/>
      </w:pPr>
      <w:r>
        <w:rPr>
          <w:noProof/>
        </w:rPr>
        <w:lastRenderedPageBreak/>
        <w:drawing>
          <wp:inline distT="0" distB="0" distL="0" distR="0" wp14:anchorId="24F051F9" wp14:editId="0D36D1D6">
            <wp:extent cx="5773420" cy="3615055"/>
            <wp:effectExtent l="0" t="0" r="0" b="4445"/>
            <wp:docPr id="903168933" name="Picture 90316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14:paraId="4B867F78" w14:textId="0D4277B6" w:rsidR="00C3287B" w:rsidRDefault="00C3287B" w:rsidP="00C3287B">
      <w:pPr>
        <w:pStyle w:val="CaptionImageorFigure"/>
      </w:pPr>
      <w:r>
        <w:t>Figure 2</w:t>
      </w:r>
      <w:r w:rsidR="00FD0A87">
        <w:t>:</w:t>
      </w:r>
      <w:r>
        <w:t xml:space="preserve"> Victorian recovered kerbside plastic packaging, export country (t</w:t>
      </w:r>
      <w:r w:rsidR="00FD0A87">
        <w:t xml:space="preserve">onnes per </w:t>
      </w:r>
      <w:r>
        <w:t>month)</w:t>
      </w:r>
      <w:r w:rsidR="00FD0A87">
        <w:t>.</w:t>
      </w:r>
    </w:p>
    <w:p w14:paraId="7913B696" w14:textId="49F72D66" w:rsidR="00171234" w:rsidRDefault="00171234" w:rsidP="00C3287B">
      <w:pPr>
        <w:pStyle w:val="PhotoCredit"/>
      </w:pPr>
      <w:r>
        <w:t xml:space="preserve">Source: ABS </w:t>
      </w:r>
      <w:r w:rsidR="00FA34E8">
        <w:t>and</w:t>
      </w:r>
      <w:r>
        <w:t xml:space="preserve"> IE (Australian Harmonized Export Commodity Classification (AHECC) data by month, classification and destination country, 2022) and Blue Environment.</w:t>
      </w:r>
    </w:p>
    <w:p w14:paraId="640826AD" w14:textId="77777777" w:rsidR="00C3287B" w:rsidRPr="00C3287B" w:rsidRDefault="00C3287B" w:rsidP="00C3287B">
      <w:pPr>
        <w:pStyle w:val="BodyText"/>
      </w:pPr>
    </w:p>
    <w:p w14:paraId="0148C7D7" w14:textId="1BFEA35F" w:rsidR="00171234" w:rsidRDefault="00171234" w:rsidP="00C3287B">
      <w:pPr>
        <w:pStyle w:val="CaptionImageorFigure"/>
      </w:pPr>
      <w:bookmarkStart w:id="0" w:name="_Hlk139616808"/>
      <w:r>
        <w:t>Table 1</w:t>
      </w:r>
      <w:r w:rsidR="00FA34E8">
        <w:t>:</w:t>
      </w:r>
      <w:r>
        <w:t xml:space="preserve"> Annual Victorian recovered kerbside plastic packaging, to export country (tonnes</w:t>
      </w:r>
      <w:r w:rsidR="007220E0">
        <w:t xml:space="preserve"> </w:t>
      </w:r>
      <w:r w:rsidR="00FA34E8">
        <w:t xml:space="preserve">per </w:t>
      </w:r>
      <w:r>
        <w:t>y</w:t>
      </w:r>
      <w:r w:rsidR="00FA34E8">
        <w:t>ea</w:t>
      </w:r>
      <w:r>
        <w:t>r)</w:t>
      </w:r>
      <w:r w:rsidR="00FA34E8">
        <w:t>.</w:t>
      </w:r>
    </w:p>
    <w:tbl>
      <w:tblPr>
        <w:tblStyle w:val="TableGrid"/>
        <w:tblW w:w="5000" w:type="pct"/>
        <w:tblLook w:val="04A0" w:firstRow="1" w:lastRow="0" w:firstColumn="1" w:lastColumn="0" w:noHBand="0" w:noVBand="1"/>
      </w:tblPr>
      <w:tblGrid>
        <w:gridCol w:w="1295"/>
        <w:gridCol w:w="1115"/>
        <w:gridCol w:w="1115"/>
        <w:gridCol w:w="1116"/>
        <w:gridCol w:w="1116"/>
        <w:gridCol w:w="1116"/>
        <w:gridCol w:w="1116"/>
        <w:gridCol w:w="1116"/>
        <w:gridCol w:w="1100"/>
      </w:tblGrid>
      <w:tr w:rsidR="00374378" w:rsidRPr="0039142F" w14:paraId="4603CAB0" w14:textId="77777777" w:rsidTr="0030352E">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634" w:type="pct"/>
            <w:noWrap/>
            <w:hideMark/>
          </w:tcPr>
          <w:p w14:paraId="5E63453E" w14:textId="77777777" w:rsidR="00171234" w:rsidRPr="0039142F" w:rsidRDefault="00171234" w:rsidP="00DA149E">
            <w:pPr>
              <w:pStyle w:val="TableHeadingLeft"/>
              <w:rPr>
                <w:rFonts w:eastAsia="Arial"/>
              </w:rPr>
            </w:pPr>
            <w:r w:rsidRPr="0039142F">
              <w:rPr>
                <w:rFonts w:eastAsia="Arial"/>
              </w:rPr>
              <w:t>Country</w:t>
            </w:r>
            <w:r w:rsidRPr="0039142F">
              <w:rPr>
                <w:rFonts w:eastAsia="Arial"/>
                <w:vertAlign w:val="superscript"/>
              </w:rPr>
              <w:t>a</w:t>
            </w:r>
          </w:p>
        </w:tc>
        <w:tc>
          <w:tcPr>
            <w:tcW w:w="546" w:type="pct"/>
            <w:hideMark/>
          </w:tcPr>
          <w:p w14:paraId="21643630"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2015–16</w:t>
            </w:r>
          </w:p>
          <w:p w14:paraId="1C7FA109"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46" w:type="pct"/>
            <w:hideMark/>
          </w:tcPr>
          <w:p w14:paraId="6751A8B0"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2016–17</w:t>
            </w:r>
          </w:p>
          <w:p w14:paraId="42C160A6"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47" w:type="pct"/>
          </w:tcPr>
          <w:p w14:paraId="0FA58BB0"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2017–18</w:t>
            </w:r>
          </w:p>
          <w:p w14:paraId="5CEC8812"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47" w:type="pct"/>
          </w:tcPr>
          <w:p w14:paraId="792D1006"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2018–19</w:t>
            </w:r>
          </w:p>
          <w:p w14:paraId="50CCAF30"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47" w:type="pct"/>
          </w:tcPr>
          <w:p w14:paraId="5769ABC3"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2019–20</w:t>
            </w:r>
          </w:p>
          <w:p w14:paraId="0BEF4431"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47" w:type="pct"/>
          </w:tcPr>
          <w:p w14:paraId="7517B1F0"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2020–21</w:t>
            </w:r>
          </w:p>
          <w:p w14:paraId="29122F7D"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47" w:type="pct"/>
          </w:tcPr>
          <w:p w14:paraId="39B48615"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2021–22</w:t>
            </w:r>
          </w:p>
          <w:p w14:paraId="5D88ABE5"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39" w:type="pct"/>
          </w:tcPr>
          <w:p w14:paraId="5F3748FB"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2022–23</w:t>
            </w:r>
            <w:r w:rsidRPr="0039142F">
              <w:rPr>
                <w:rFonts w:eastAsia="Arial"/>
                <w:vertAlign w:val="superscript"/>
              </w:rPr>
              <w:t>b</w:t>
            </w:r>
          </w:p>
          <w:p w14:paraId="66F7A863"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r>
      <w:tr w:rsidR="002C2585" w:rsidRPr="0039142F" w14:paraId="1000F388" w14:textId="77777777" w:rsidTr="0030352E">
        <w:trPr>
          <w:trHeight w:val="286"/>
        </w:trPr>
        <w:tc>
          <w:tcPr>
            <w:tcW w:w="634" w:type="pct"/>
            <w:shd w:val="clear" w:color="auto" w:fill="DBF4F5" w:themeFill="background2"/>
            <w:noWrap/>
            <w:vAlign w:val="center"/>
          </w:tcPr>
          <w:p w14:paraId="1A838AEC" w14:textId="51909215" w:rsidR="002C2585" w:rsidRPr="002C2585" w:rsidRDefault="002C2585" w:rsidP="002C2585">
            <w:pPr>
              <w:pStyle w:val="TableTextLeft"/>
              <w:rPr>
                <w:szCs w:val="18"/>
              </w:rPr>
            </w:pPr>
            <w:r w:rsidRPr="002C2585">
              <w:rPr>
                <w:rFonts w:ascii="Arial" w:hAnsi="Arial" w:cs="Arial"/>
                <w:color w:val="000000"/>
                <w:szCs w:val="18"/>
              </w:rPr>
              <w:t>Malaysia</w:t>
            </w:r>
          </w:p>
        </w:tc>
        <w:tc>
          <w:tcPr>
            <w:tcW w:w="546" w:type="pct"/>
            <w:noWrap/>
            <w:vAlign w:val="center"/>
          </w:tcPr>
          <w:p w14:paraId="43753010" w14:textId="1E09041D" w:rsidR="002C2585" w:rsidRPr="002C2585" w:rsidRDefault="002C2585" w:rsidP="002C2585">
            <w:pPr>
              <w:pStyle w:val="TableTextRight"/>
              <w:rPr>
                <w:szCs w:val="18"/>
              </w:rPr>
            </w:pPr>
            <w:r w:rsidRPr="002C2585">
              <w:rPr>
                <w:rFonts w:ascii="Arial" w:hAnsi="Arial" w:cs="Arial"/>
                <w:color w:val="000000"/>
                <w:szCs w:val="18"/>
              </w:rPr>
              <w:t>1,900</w:t>
            </w:r>
          </w:p>
        </w:tc>
        <w:tc>
          <w:tcPr>
            <w:tcW w:w="546" w:type="pct"/>
            <w:shd w:val="clear" w:color="auto" w:fill="DBF4F5" w:themeFill="background2"/>
            <w:noWrap/>
            <w:vAlign w:val="center"/>
          </w:tcPr>
          <w:p w14:paraId="01C1B5BA" w14:textId="35C32E93" w:rsidR="002C2585" w:rsidRPr="002C2585" w:rsidRDefault="002C2585" w:rsidP="002C2585">
            <w:pPr>
              <w:pStyle w:val="TableTextRight"/>
              <w:rPr>
                <w:szCs w:val="18"/>
              </w:rPr>
            </w:pPr>
            <w:r w:rsidRPr="002C2585">
              <w:rPr>
                <w:rFonts w:ascii="Arial" w:hAnsi="Arial" w:cs="Arial"/>
                <w:color w:val="000000"/>
                <w:szCs w:val="18"/>
              </w:rPr>
              <w:t>1,400</w:t>
            </w:r>
          </w:p>
        </w:tc>
        <w:tc>
          <w:tcPr>
            <w:tcW w:w="547" w:type="pct"/>
            <w:vAlign w:val="center"/>
          </w:tcPr>
          <w:p w14:paraId="7F6540DC" w14:textId="453D589E" w:rsidR="002C2585" w:rsidRPr="002C2585" w:rsidRDefault="002C2585" w:rsidP="002C2585">
            <w:pPr>
              <w:pStyle w:val="TableTextRight"/>
              <w:rPr>
                <w:szCs w:val="18"/>
              </w:rPr>
            </w:pPr>
            <w:r w:rsidRPr="002C2585">
              <w:rPr>
                <w:rFonts w:ascii="Arial" w:hAnsi="Arial" w:cs="Arial"/>
                <w:color w:val="000000"/>
                <w:szCs w:val="18"/>
              </w:rPr>
              <w:t>10,600</w:t>
            </w:r>
          </w:p>
        </w:tc>
        <w:tc>
          <w:tcPr>
            <w:tcW w:w="547" w:type="pct"/>
            <w:shd w:val="clear" w:color="auto" w:fill="DBF4F5" w:themeFill="background2"/>
            <w:vAlign w:val="center"/>
          </w:tcPr>
          <w:p w14:paraId="6A764324" w14:textId="33812D95" w:rsidR="002C2585" w:rsidRPr="002C2585" w:rsidRDefault="002C2585" w:rsidP="002C2585">
            <w:pPr>
              <w:pStyle w:val="TableTextRight"/>
              <w:rPr>
                <w:szCs w:val="18"/>
              </w:rPr>
            </w:pPr>
            <w:r w:rsidRPr="002C2585">
              <w:rPr>
                <w:rFonts w:ascii="Arial" w:hAnsi="Arial" w:cs="Arial"/>
                <w:color w:val="000000"/>
                <w:szCs w:val="18"/>
              </w:rPr>
              <w:t>6,600</w:t>
            </w:r>
          </w:p>
        </w:tc>
        <w:tc>
          <w:tcPr>
            <w:tcW w:w="547" w:type="pct"/>
            <w:vAlign w:val="center"/>
          </w:tcPr>
          <w:p w14:paraId="55FA995D" w14:textId="0F3EA16F" w:rsidR="002C2585" w:rsidRPr="002C2585" w:rsidRDefault="002C2585" w:rsidP="002C2585">
            <w:pPr>
              <w:pStyle w:val="TableTextRight"/>
              <w:rPr>
                <w:szCs w:val="18"/>
              </w:rPr>
            </w:pPr>
            <w:r w:rsidRPr="002C2585">
              <w:rPr>
                <w:rFonts w:ascii="Arial" w:hAnsi="Arial" w:cs="Arial"/>
                <w:color w:val="000000"/>
                <w:szCs w:val="18"/>
              </w:rPr>
              <w:t>11,600</w:t>
            </w:r>
          </w:p>
        </w:tc>
        <w:tc>
          <w:tcPr>
            <w:tcW w:w="547" w:type="pct"/>
            <w:shd w:val="clear" w:color="auto" w:fill="DBF4F5" w:themeFill="background2"/>
            <w:vAlign w:val="center"/>
          </w:tcPr>
          <w:p w14:paraId="09DA6419" w14:textId="27352936" w:rsidR="002C2585" w:rsidRPr="002C2585" w:rsidRDefault="002C2585" w:rsidP="002C2585">
            <w:pPr>
              <w:pStyle w:val="TableTextRight"/>
              <w:rPr>
                <w:szCs w:val="18"/>
              </w:rPr>
            </w:pPr>
            <w:r w:rsidRPr="002C2585">
              <w:rPr>
                <w:rFonts w:ascii="Arial" w:hAnsi="Arial" w:cs="Arial"/>
                <w:color w:val="000000"/>
                <w:szCs w:val="18"/>
              </w:rPr>
              <w:t>11,600</w:t>
            </w:r>
          </w:p>
        </w:tc>
        <w:tc>
          <w:tcPr>
            <w:tcW w:w="547" w:type="pct"/>
            <w:vAlign w:val="center"/>
          </w:tcPr>
          <w:p w14:paraId="1A3EC85C" w14:textId="28A544AA" w:rsidR="002C2585" w:rsidRPr="002C2585" w:rsidRDefault="002C2585" w:rsidP="002C2585">
            <w:pPr>
              <w:pStyle w:val="TableTextRight"/>
              <w:rPr>
                <w:szCs w:val="18"/>
              </w:rPr>
            </w:pPr>
            <w:r w:rsidRPr="002C2585">
              <w:rPr>
                <w:rFonts w:ascii="Arial" w:hAnsi="Arial" w:cs="Arial"/>
                <w:color w:val="000000"/>
                <w:szCs w:val="18"/>
              </w:rPr>
              <w:t>7,300</w:t>
            </w:r>
          </w:p>
        </w:tc>
        <w:tc>
          <w:tcPr>
            <w:tcW w:w="539" w:type="pct"/>
            <w:shd w:val="clear" w:color="auto" w:fill="DBF4F5" w:themeFill="background2"/>
            <w:vAlign w:val="center"/>
          </w:tcPr>
          <w:p w14:paraId="75992A84" w14:textId="51020E22" w:rsidR="002C2585" w:rsidRPr="002C2585" w:rsidRDefault="002C2585" w:rsidP="002C2585">
            <w:pPr>
              <w:pStyle w:val="TableTextLeft"/>
              <w:jc w:val="right"/>
              <w:rPr>
                <w:szCs w:val="18"/>
              </w:rPr>
            </w:pPr>
            <w:r w:rsidRPr="002C2585">
              <w:rPr>
                <w:rFonts w:ascii="Arial" w:hAnsi="Arial" w:cs="Arial"/>
                <w:color w:val="000000"/>
                <w:szCs w:val="18"/>
              </w:rPr>
              <w:t>4,100</w:t>
            </w:r>
          </w:p>
        </w:tc>
      </w:tr>
      <w:tr w:rsidR="002C2585" w:rsidRPr="0039142F" w14:paraId="69D1FA04" w14:textId="77777777" w:rsidTr="0030352E">
        <w:trPr>
          <w:trHeight w:val="286"/>
        </w:trPr>
        <w:tc>
          <w:tcPr>
            <w:tcW w:w="634" w:type="pct"/>
            <w:shd w:val="clear" w:color="auto" w:fill="DBF4F5" w:themeFill="background2"/>
            <w:noWrap/>
            <w:vAlign w:val="center"/>
          </w:tcPr>
          <w:p w14:paraId="0F8B5956" w14:textId="02EFDF76" w:rsidR="002C2585" w:rsidRPr="002C2585" w:rsidRDefault="002C2585" w:rsidP="002C2585">
            <w:pPr>
              <w:pStyle w:val="TableTextLeft"/>
              <w:rPr>
                <w:szCs w:val="18"/>
              </w:rPr>
            </w:pPr>
            <w:r w:rsidRPr="002C2585">
              <w:rPr>
                <w:rFonts w:ascii="Arial" w:hAnsi="Arial" w:cs="Arial"/>
                <w:color w:val="000000"/>
                <w:szCs w:val="18"/>
              </w:rPr>
              <w:t>Taiwan</w:t>
            </w:r>
          </w:p>
        </w:tc>
        <w:tc>
          <w:tcPr>
            <w:tcW w:w="546" w:type="pct"/>
            <w:noWrap/>
            <w:vAlign w:val="center"/>
          </w:tcPr>
          <w:p w14:paraId="6FEF032B" w14:textId="2CAE8382" w:rsidR="002C2585" w:rsidRPr="002C2585" w:rsidRDefault="002C2585" w:rsidP="002C2585">
            <w:pPr>
              <w:pStyle w:val="TableTextRight"/>
              <w:rPr>
                <w:szCs w:val="18"/>
              </w:rPr>
            </w:pPr>
            <w:r w:rsidRPr="002C2585">
              <w:rPr>
                <w:rFonts w:ascii="Arial" w:hAnsi="Arial" w:cs="Arial"/>
                <w:color w:val="000000"/>
                <w:szCs w:val="18"/>
              </w:rPr>
              <w:t>700</w:t>
            </w:r>
          </w:p>
        </w:tc>
        <w:tc>
          <w:tcPr>
            <w:tcW w:w="546" w:type="pct"/>
            <w:shd w:val="clear" w:color="auto" w:fill="DBF4F5" w:themeFill="background2"/>
            <w:noWrap/>
            <w:vAlign w:val="center"/>
          </w:tcPr>
          <w:p w14:paraId="3F597B09" w14:textId="67A18274" w:rsidR="002C2585" w:rsidRPr="002C2585" w:rsidRDefault="002C2585" w:rsidP="002C2585">
            <w:pPr>
              <w:pStyle w:val="TableTextRight"/>
              <w:rPr>
                <w:szCs w:val="18"/>
              </w:rPr>
            </w:pPr>
            <w:r w:rsidRPr="002C2585">
              <w:rPr>
                <w:rFonts w:ascii="Arial" w:hAnsi="Arial" w:cs="Arial"/>
                <w:color w:val="000000"/>
                <w:szCs w:val="18"/>
              </w:rPr>
              <w:t>700</w:t>
            </w:r>
          </w:p>
        </w:tc>
        <w:tc>
          <w:tcPr>
            <w:tcW w:w="547" w:type="pct"/>
            <w:vAlign w:val="center"/>
          </w:tcPr>
          <w:p w14:paraId="66D1F031" w14:textId="0EDAC044" w:rsidR="002C2585" w:rsidRPr="002C2585" w:rsidRDefault="002C2585" w:rsidP="002C2585">
            <w:pPr>
              <w:pStyle w:val="TableTextRight"/>
              <w:rPr>
                <w:szCs w:val="18"/>
              </w:rPr>
            </w:pPr>
            <w:r w:rsidRPr="002C2585">
              <w:rPr>
                <w:rFonts w:ascii="Arial" w:hAnsi="Arial" w:cs="Arial"/>
                <w:color w:val="000000"/>
                <w:szCs w:val="18"/>
              </w:rPr>
              <w:t>800</w:t>
            </w:r>
          </w:p>
        </w:tc>
        <w:tc>
          <w:tcPr>
            <w:tcW w:w="547" w:type="pct"/>
            <w:shd w:val="clear" w:color="auto" w:fill="DBF4F5" w:themeFill="background2"/>
            <w:vAlign w:val="center"/>
          </w:tcPr>
          <w:p w14:paraId="1EF88588" w14:textId="445DEC1F" w:rsidR="002C2585" w:rsidRPr="002C2585" w:rsidRDefault="002C2585" w:rsidP="002C2585">
            <w:pPr>
              <w:pStyle w:val="TableTextRight"/>
              <w:rPr>
                <w:szCs w:val="18"/>
              </w:rPr>
            </w:pPr>
            <w:r w:rsidRPr="002C2585">
              <w:rPr>
                <w:rFonts w:ascii="Arial" w:hAnsi="Arial" w:cs="Arial"/>
                <w:color w:val="000000"/>
                <w:szCs w:val="18"/>
              </w:rPr>
              <w:t>2,500</w:t>
            </w:r>
          </w:p>
        </w:tc>
        <w:tc>
          <w:tcPr>
            <w:tcW w:w="547" w:type="pct"/>
            <w:vAlign w:val="center"/>
          </w:tcPr>
          <w:p w14:paraId="3F27844E" w14:textId="2165AFF3" w:rsidR="002C2585" w:rsidRPr="002C2585" w:rsidRDefault="002C2585" w:rsidP="002C2585">
            <w:pPr>
              <w:pStyle w:val="TableTextRight"/>
              <w:rPr>
                <w:szCs w:val="18"/>
              </w:rPr>
            </w:pPr>
            <w:r w:rsidRPr="002C2585">
              <w:rPr>
                <w:rFonts w:ascii="Arial" w:hAnsi="Arial" w:cs="Arial"/>
                <w:color w:val="000000"/>
                <w:szCs w:val="18"/>
              </w:rPr>
              <w:t>1,800</w:t>
            </w:r>
          </w:p>
        </w:tc>
        <w:tc>
          <w:tcPr>
            <w:tcW w:w="547" w:type="pct"/>
            <w:shd w:val="clear" w:color="auto" w:fill="DBF4F5" w:themeFill="background2"/>
            <w:vAlign w:val="center"/>
          </w:tcPr>
          <w:p w14:paraId="6A0B6C44" w14:textId="2338E3B3" w:rsidR="002C2585" w:rsidRPr="002C2585" w:rsidRDefault="002C2585" w:rsidP="002C2585">
            <w:pPr>
              <w:pStyle w:val="TableTextRight"/>
              <w:rPr>
                <w:szCs w:val="18"/>
              </w:rPr>
            </w:pPr>
            <w:r w:rsidRPr="002C2585">
              <w:rPr>
                <w:rFonts w:ascii="Arial" w:hAnsi="Arial" w:cs="Arial"/>
                <w:color w:val="000000"/>
                <w:szCs w:val="18"/>
              </w:rPr>
              <w:t>1,500</w:t>
            </w:r>
          </w:p>
        </w:tc>
        <w:tc>
          <w:tcPr>
            <w:tcW w:w="547" w:type="pct"/>
            <w:vAlign w:val="center"/>
          </w:tcPr>
          <w:p w14:paraId="534554ED" w14:textId="5E21E72F" w:rsidR="002C2585" w:rsidRPr="002C2585" w:rsidRDefault="002C2585" w:rsidP="002C2585">
            <w:pPr>
              <w:pStyle w:val="TableTextRight"/>
              <w:rPr>
                <w:szCs w:val="18"/>
              </w:rPr>
            </w:pPr>
            <w:r w:rsidRPr="002C2585">
              <w:rPr>
                <w:rFonts w:ascii="Arial" w:hAnsi="Arial" w:cs="Arial"/>
                <w:color w:val="000000"/>
                <w:szCs w:val="18"/>
              </w:rPr>
              <w:t>900</w:t>
            </w:r>
          </w:p>
        </w:tc>
        <w:tc>
          <w:tcPr>
            <w:tcW w:w="539" w:type="pct"/>
            <w:shd w:val="clear" w:color="auto" w:fill="DBF4F5" w:themeFill="background2"/>
            <w:vAlign w:val="center"/>
          </w:tcPr>
          <w:p w14:paraId="25D7FB57" w14:textId="3122B662" w:rsidR="002C2585" w:rsidRPr="002C2585" w:rsidRDefault="002C2585" w:rsidP="002C2585">
            <w:pPr>
              <w:pStyle w:val="TableTextLeft"/>
              <w:jc w:val="right"/>
              <w:rPr>
                <w:szCs w:val="18"/>
              </w:rPr>
            </w:pPr>
            <w:r w:rsidRPr="002C2585">
              <w:rPr>
                <w:rFonts w:ascii="Arial" w:hAnsi="Arial" w:cs="Arial"/>
                <w:color w:val="000000"/>
                <w:szCs w:val="18"/>
              </w:rPr>
              <w:t>700</w:t>
            </w:r>
          </w:p>
        </w:tc>
      </w:tr>
      <w:tr w:rsidR="0030352E" w:rsidRPr="0039142F" w14:paraId="319BB998" w14:textId="77777777" w:rsidTr="0030352E">
        <w:trPr>
          <w:trHeight w:val="286"/>
        </w:trPr>
        <w:tc>
          <w:tcPr>
            <w:tcW w:w="634" w:type="pct"/>
            <w:shd w:val="clear" w:color="auto" w:fill="DBF4F5" w:themeFill="background2"/>
            <w:noWrap/>
            <w:vAlign w:val="center"/>
          </w:tcPr>
          <w:p w14:paraId="37715B3F" w14:textId="3EBD1003" w:rsidR="0030352E" w:rsidRPr="002C2585" w:rsidRDefault="0030352E" w:rsidP="0030352E">
            <w:pPr>
              <w:pStyle w:val="TableTextLeft"/>
              <w:rPr>
                <w:szCs w:val="18"/>
              </w:rPr>
            </w:pPr>
            <w:r w:rsidRPr="002C2585">
              <w:rPr>
                <w:rFonts w:ascii="Arial" w:hAnsi="Arial" w:cs="Arial"/>
                <w:color w:val="000000"/>
                <w:szCs w:val="18"/>
              </w:rPr>
              <w:t>New Zealand</w:t>
            </w:r>
          </w:p>
        </w:tc>
        <w:tc>
          <w:tcPr>
            <w:tcW w:w="546" w:type="pct"/>
            <w:noWrap/>
            <w:vAlign w:val="center"/>
          </w:tcPr>
          <w:p w14:paraId="12C65A07" w14:textId="761C211F" w:rsidR="0030352E" w:rsidRPr="002C2585" w:rsidRDefault="0030352E" w:rsidP="0030352E">
            <w:pPr>
              <w:pStyle w:val="TableTextRight"/>
              <w:rPr>
                <w:szCs w:val="18"/>
              </w:rPr>
            </w:pPr>
            <w:r w:rsidRPr="002C2585">
              <w:rPr>
                <w:rFonts w:ascii="Arial" w:hAnsi="Arial" w:cs="Arial"/>
                <w:color w:val="000000"/>
                <w:szCs w:val="18"/>
              </w:rPr>
              <w:t>100</w:t>
            </w:r>
          </w:p>
        </w:tc>
        <w:tc>
          <w:tcPr>
            <w:tcW w:w="546" w:type="pct"/>
            <w:shd w:val="clear" w:color="auto" w:fill="DBF4F5" w:themeFill="background2"/>
            <w:noWrap/>
            <w:vAlign w:val="center"/>
          </w:tcPr>
          <w:p w14:paraId="5E7885B9" w14:textId="302FA0E4" w:rsidR="0030352E" w:rsidRPr="002C2585" w:rsidRDefault="0030352E" w:rsidP="0030352E">
            <w:pPr>
              <w:pStyle w:val="TableTextRight"/>
              <w:rPr>
                <w:szCs w:val="18"/>
              </w:rPr>
            </w:pPr>
            <w:r w:rsidRPr="002C2585">
              <w:rPr>
                <w:rFonts w:ascii="Arial" w:hAnsi="Arial" w:cs="Arial"/>
                <w:color w:val="000000"/>
                <w:szCs w:val="18"/>
              </w:rPr>
              <w:t>100</w:t>
            </w:r>
          </w:p>
        </w:tc>
        <w:tc>
          <w:tcPr>
            <w:tcW w:w="547" w:type="pct"/>
            <w:vAlign w:val="center"/>
          </w:tcPr>
          <w:p w14:paraId="50AEF97A" w14:textId="2E3C23C5" w:rsidR="0030352E" w:rsidRPr="002C2585" w:rsidRDefault="0030352E" w:rsidP="0030352E">
            <w:pPr>
              <w:pStyle w:val="TableTextRight"/>
              <w:rPr>
                <w:szCs w:val="18"/>
              </w:rPr>
            </w:pPr>
            <w:r w:rsidRPr="002C2585">
              <w:rPr>
                <w:rFonts w:ascii="Arial" w:hAnsi="Arial" w:cs="Arial"/>
                <w:color w:val="000000"/>
                <w:szCs w:val="18"/>
              </w:rPr>
              <w:t>0</w:t>
            </w:r>
          </w:p>
        </w:tc>
        <w:tc>
          <w:tcPr>
            <w:tcW w:w="547" w:type="pct"/>
            <w:shd w:val="clear" w:color="auto" w:fill="DBF4F5" w:themeFill="background2"/>
            <w:vAlign w:val="center"/>
          </w:tcPr>
          <w:p w14:paraId="63A58D0B" w14:textId="54350758" w:rsidR="0030352E" w:rsidRPr="002C2585" w:rsidRDefault="0030352E" w:rsidP="0030352E">
            <w:pPr>
              <w:pStyle w:val="TableTextRight"/>
              <w:rPr>
                <w:szCs w:val="18"/>
              </w:rPr>
            </w:pPr>
            <w:r w:rsidRPr="002C2585">
              <w:rPr>
                <w:rFonts w:ascii="Arial" w:hAnsi="Arial" w:cs="Arial"/>
                <w:color w:val="000000"/>
                <w:szCs w:val="18"/>
              </w:rPr>
              <w:t>0</w:t>
            </w:r>
          </w:p>
        </w:tc>
        <w:tc>
          <w:tcPr>
            <w:tcW w:w="547" w:type="pct"/>
            <w:vAlign w:val="center"/>
          </w:tcPr>
          <w:p w14:paraId="6120C306" w14:textId="11679F73" w:rsidR="0030352E" w:rsidRPr="002C2585" w:rsidRDefault="0030352E" w:rsidP="0030352E">
            <w:pPr>
              <w:pStyle w:val="TableTextRight"/>
              <w:rPr>
                <w:szCs w:val="18"/>
              </w:rPr>
            </w:pPr>
            <w:r w:rsidRPr="002C2585">
              <w:rPr>
                <w:rFonts w:ascii="Arial" w:hAnsi="Arial" w:cs="Arial"/>
                <w:color w:val="000000"/>
                <w:szCs w:val="18"/>
              </w:rPr>
              <w:t>0</w:t>
            </w:r>
          </w:p>
        </w:tc>
        <w:tc>
          <w:tcPr>
            <w:tcW w:w="547" w:type="pct"/>
            <w:shd w:val="clear" w:color="auto" w:fill="DBF4F5" w:themeFill="background2"/>
            <w:vAlign w:val="center"/>
          </w:tcPr>
          <w:p w14:paraId="40E6A9D3" w14:textId="4F5CC882" w:rsidR="0030352E" w:rsidRPr="002C2585" w:rsidRDefault="0030352E" w:rsidP="0030352E">
            <w:pPr>
              <w:pStyle w:val="TableTextRight"/>
              <w:rPr>
                <w:szCs w:val="18"/>
              </w:rPr>
            </w:pPr>
            <w:r w:rsidRPr="002C2585">
              <w:rPr>
                <w:rFonts w:ascii="Arial" w:hAnsi="Arial" w:cs="Arial"/>
                <w:color w:val="000000"/>
                <w:szCs w:val="18"/>
              </w:rPr>
              <w:t>0</w:t>
            </w:r>
          </w:p>
        </w:tc>
        <w:tc>
          <w:tcPr>
            <w:tcW w:w="547" w:type="pct"/>
            <w:vAlign w:val="center"/>
          </w:tcPr>
          <w:p w14:paraId="6C0DEC06" w14:textId="3584F2E0" w:rsidR="0030352E" w:rsidRPr="002C2585" w:rsidRDefault="0030352E" w:rsidP="0030352E">
            <w:pPr>
              <w:pStyle w:val="TableTextRight"/>
              <w:rPr>
                <w:szCs w:val="18"/>
              </w:rPr>
            </w:pPr>
            <w:r w:rsidRPr="002C2585">
              <w:rPr>
                <w:rFonts w:ascii="Arial" w:hAnsi="Arial" w:cs="Arial"/>
                <w:color w:val="000000"/>
                <w:szCs w:val="18"/>
              </w:rPr>
              <w:t>700</w:t>
            </w:r>
          </w:p>
        </w:tc>
        <w:tc>
          <w:tcPr>
            <w:tcW w:w="539" w:type="pct"/>
            <w:shd w:val="clear" w:color="auto" w:fill="DBF4F5" w:themeFill="background2"/>
            <w:vAlign w:val="center"/>
          </w:tcPr>
          <w:p w14:paraId="6D24A35B" w14:textId="48665870" w:rsidR="0030352E" w:rsidRPr="002C2585" w:rsidRDefault="0030352E" w:rsidP="0030352E">
            <w:pPr>
              <w:pStyle w:val="TableTextLeft"/>
              <w:jc w:val="right"/>
              <w:rPr>
                <w:szCs w:val="18"/>
              </w:rPr>
            </w:pPr>
            <w:r w:rsidRPr="002C2585">
              <w:rPr>
                <w:rFonts w:ascii="Arial" w:hAnsi="Arial" w:cs="Arial"/>
                <w:color w:val="000000"/>
                <w:szCs w:val="18"/>
              </w:rPr>
              <w:t>1,400</w:t>
            </w:r>
          </w:p>
        </w:tc>
      </w:tr>
      <w:tr w:rsidR="0030352E" w:rsidRPr="0039142F" w14:paraId="06791E44" w14:textId="77777777" w:rsidTr="0030352E">
        <w:trPr>
          <w:trHeight w:val="286"/>
        </w:trPr>
        <w:tc>
          <w:tcPr>
            <w:tcW w:w="634" w:type="pct"/>
            <w:shd w:val="clear" w:color="auto" w:fill="DBF4F5" w:themeFill="background2"/>
            <w:noWrap/>
            <w:vAlign w:val="center"/>
          </w:tcPr>
          <w:p w14:paraId="2A5387A3" w14:textId="24A260EF" w:rsidR="0030352E" w:rsidRPr="002C2585" w:rsidRDefault="0030352E" w:rsidP="0030352E">
            <w:pPr>
              <w:pStyle w:val="TableTextLeft"/>
              <w:rPr>
                <w:rFonts w:ascii="Arial" w:hAnsi="Arial"/>
                <w:color w:val="000000"/>
                <w:szCs w:val="18"/>
              </w:rPr>
            </w:pPr>
            <w:r w:rsidRPr="002C2585">
              <w:rPr>
                <w:rFonts w:ascii="Arial" w:hAnsi="Arial" w:cs="Arial"/>
                <w:color w:val="000000"/>
                <w:szCs w:val="18"/>
              </w:rPr>
              <w:t>Korea</w:t>
            </w:r>
          </w:p>
        </w:tc>
        <w:tc>
          <w:tcPr>
            <w:tcW w:w="546" w:type="pct"/>
            <w:noWrap/>
            <w:vAlign w:val="center"/>
          </w:tcPr>
          <w:p w14:paraId="61875400" w14:textId="046D6415" w:rsidR="0030352E" w:rsidRPr="002C2585" w:rsidRDefault="0030352E" w:rsidP="0030352E">
            <w:pPr>
              <w:pStyle w:val="TableTextRight"/>
              <w:rPr>
                <w:rFonts w:ascii="Arial" w:hAnsi="Arial"/>
                <w:color w:val="000000"/>
                <w:szCs w:val="18"/>
              </w:rPr>
            </w:pPr>
            <w:r w:rsidRPr="002C2585">
              <w:rPr>
                <w:rFonts w:ascii="Arial" w:hAnsi="Arial" w:cs="Arial"/>
                <w:color w:val="000000"/>
                <w:szCs w:val="18"/>
              </w:rPr>
              <w:t>100</w:t>
            </w:r>
          </w:p>
        </w:tc>
        <w:tc>
          <w:tcPr>
            <w:tcW w:w="546" w:type="pct"/>
            <w:shd w:val="clear" w:color="auto" w:fill="DBF4F5" w:themeFill="background2"/>
            <w:noWrap/>
            <w:vAlign w:val="center"/>
          </w:tcPr>
          <w:p w14:paraId="1FAE7166" w14:textId="73A51B88" w:rsidR="0030352E" w:rsidRPr="002C2585" w:rsidRDefault="0030352E" w:rsidP="0030352E">
            <w:pPr>
              <w:pStyle w:val="TableTextRight"/>
              <w:rPr>
                <w:rFonts w:ascii="Arial" w:hAnsi="Arial"/>
                <w:color w:val="000000"/>
                <w:szCs w:val="18"/>
              </w:rPr>
            </w:pPr>
            <w:r w:rsidRPr="002C2585">
              <w:rPr>
                <w:rFonts w:ascii="Arial" w:hAnsi="Arial" w:cs="Arial"/>
                <w:color w:val="000000"/>
                <w:szCs w:val="18"/>
              </w:rPr>
              <w:t>0</w:t>
            </w:r>
          </w:p>
        </w:tc>
        <w:tc>
          <w:tcPr>
            <w:tcW w:w="547" w:type="pct"/>
            <w:vAlign w:val="center"/>
          </w:tcPr>
          <w:p w14:paraId="02411107" w14:textId="201E24CF" w:rsidR="0030352E" w:rsidRPr="002C2585" w:rsidRDefault="0030352E" w:rsidP="0030352E">
            <w:pPr>
              <w:pStyle w:val="TableTextRight"/>
              <w:rPr>
                <w:rFonts w:ascii="Arial" w:hAnsi="Arial"/>
                <w:color w:val="000000"/>
                <w:szCs w:val="18"/>
              </w:rPr>
            </w:pPr>
            <w:r w:rsidRPr="002C2585">
              <w:rPr>
                <w:rFonts w:ascii="Arial" w:hAnsi="Arial" w:cs="Arial"/>
                <w:color w:val="000000"/>
                <w:szCs w:val="18"/>
              </w:rPr>
              <w:t>0</w:t>
            </w:r>
          </w:p>
        </w:tc>
        <w:tc>
          <w:tcPr>
            <w:tcW w:w="547" w:type="pct"/>
            <w:shd w:val="clear" w:color="auto" w:fill="DBF4F5" w:themeFill="background2"/>
            <w:vAlign w:val="center"/>
          </w:tcPr>
          <w:p w14:paraId="1536EB26" w14:textId="3F76E6C0" w:rsidR="0030352E" w:rsidRPr="002C2585" w:rsidRDefault="0030352E" w:rsidP="0030352E">
            <w:pPr>
              <w:pStyle w:val="TableTextRight"/>
              <w:rPr>
                <w:rFonts w:ascii="Arial" w:hAnsi="Arial"/>
                <w:color w:val="000000"/>
                <w:szCs w:val="18"/>
              </w:rPr>
            </w:pPr>
            <w:r w:rsidRPr="002C2585">
              <w:rPr>
                <w:rFonts w:ascii="Arial" w:hAnsi="Arial" w:cs="Arial"/>
                <w:color w:val="000000"/>
                <w:szCs w:val="18"/>
              </w:rPr>
              <w:t>600</w:t>
            </w:r>
          </w:p>
        </w:tc>
        <w:tc>
          <w:tcPr>
            <w:tcW w:w="547" w:type="pct"/>
            <w:vAlign w:val="center"/>
          </w:tcPr>
          <w:p w14:paraId="76E7CDB9" w14:textId="4F7F2D83" w:rsidR="0030352E" w:rsidRPr="002C2585" w:rsidRDefault="0030352E" w:rsidP="0030352E">
            <w:pPr>
              <w:pStyle w:val="TableTextRight"/>
              <w:rPr>
                <w:rFonts w:ascii="Arial" w:hAnsi="Arial"/>
                <w:color w:val="000000"/>
                <w:szCs w:val="18"/>
              </w:rPr>
            </w:pPr>
            <w:r w:rsidRPr="002C2585">
              <w:rPr>
                <w:rFonts w:ascii="Arial" w:hAnsi="Arial" w:cs="Arial"/>
                <w:color w:val="000000"/>
                <w:szCs w:val="18"/>
              </w:rPr>
              <w:t>100</w:t>
            </w:r>
          </w:p>
        </w:tc>
        <w:tc>
          <w:tcPr>
            <w:tcW w:w="547" w:type="pct"/>
            <w:shd w:val="clear" w:color="auto" w:fill="DBF4F5" w:themeFill="background2"/>
            <w:vAlign w:val="center"/>
          </w:tcPr>
          <w:p w14:paraId="35CC1689" w14:textId="5D01EBA8" w:rsidR="0030352E" w:rsidRPr="002C2585" w:rsidRDefault="0030352E" w:rsidP="0030352E">
            <w:pPr>
              <w:pStyle w:val="TableTextRight"/>
              <w:rPr>
                <w:rFonts w:ascii="Arial" w:hAnsi="Arial"/>
                <w:color w:val="000000"/>
                <w:szCs w:val="18"/>
              </w:rPr>
            </w:pPr>
            <w:r w:rsidRPr="002C2585">
              <w:rPr>
                <w:rFonts w:ascii="Arial" w:hAnsi="Arial" w:cs="Arial"/>
                <w:color w:val="000000"/>
                <w:szCs w:val="18"/>
              </w:rPr>
              <w:t>200</w:t>
            </w:r>
          </w:p>
        </w:tc>
        <w:tc>
          <w:tcPr>
            <w:tcW w:w="547" w:type="pct"/>
            <w:vAlign w:val="center"/>
          </w:tcPr>
          <w:p w14:paraId="718967FF" w14:textId="2DBA698B" w:rsidR="0030352E" w:rsidRPr="002C2585" w:rsidRDefault="0030352E" w:rsidP="0030352E">
            <w:pPr>
              <w:pStyle w:val="TableTextRight"/>
              <w:rPr>
                <w:rFonts w:ascii="Arial" w:hAnsi="Arial"/>
                <w:color w:val="000000"/>
                <w:szCs w:val="18"/>
              </w:rPr>
            </w:pPr>
            <w:r w:rsidRPr="002C2585">
              <w:rPr>
                <w:rFonts w:ascii="Arial" w:hAnsi="Arial" w:cs="Arial"/>
                <w:color w:val="000000"/>
                <w:szCs w:val="18"/>
              </w:rPr>
              <w:t>500</w:t>
            </w:r>
          </w:p>
        </w:tc>
        <w:tc>
          <w:tcPr>
            <w:tcW w:w="539" w:type="pct"/>
            <w:shd w:val="clear" w:color="auto" w:fill="DBF4F5" w:themeFill="background2"/>
            <w:vAlign w:val="center"/>
          </w:tcPr>
          <w:p w14:paraId="3F67A6DC" w14:textId="636FC758" w:rsidR="0030352E" w:rsidRPr="002C2585" w:rsidRDefault="0030352E" w:rsidP="0030352E">
            <w:pPr>
              <w:pStyle w:val="TableTextLeft"/>
              <w:jc w:val="right"/>
              <w:rPr>
                <w:rFonts w:ascii="Arial" w:hAnsi="Arial"/>
                <w:color w:val="000000"/>
                <w:szCs w:val="18"/>
              </w:rPr>
            </w:pPr>
            <w:r w:rsidRPr="002C2585">
              <w:rPr>
                <w:rFonts w:ascii="Arial" w:hAnsi="Arial" w:cs="Arial"/>
                <w:color w:val="000000"/>
                <w:szCs w:val="18"/>
              </w:rPr>
              <w:t>500</w:t>
            </w:r>
          </w:p>
        </w:tc>
      </w:tr>
      <w:tr w:rsidR="0030352E" w:rsidRPr="0039142F" w14:paraId="3EE69141" w14:textId="77777777" w:rsidTr="0030352E">
        <w:trPr>
          <w:trHeight w:val="286"/>
        </w:trPr>
        <w:tc>
          <w:tcPr>
            <w:tcW w:w="634" w:type="pct"/>
            <w:shd w:val="clear" w:color="auto" w:fill="DBF4F5" w:themeFill="background2"/>
            <w:noWrap/>
            <w:vAlign w:val="center"/>
          </w:tcPr>
          <w:p w14:paraId="7100E2A8" w14:textId="0B774459" w:rsidR="0030352E" w:rsidRPr="002C2585" w:rsidRDefault="0030352E" w:rsidP="0030352E">
            <w:pPr>
              <w:pStyle w:val="TableTextLeft"/>
              <w:rPr>
                <w:szCs w:val="18"/>
              </w:rPr>
            </w:pPr>
            <w:r w:rsidRPr="002C2585">
              <w:rPr>
                <w:rFonts w:ascii="Arial" w:hAnsi="Arial" w:cs="Arial"/>
                <w:color w:val="000000"/>
                <w:szCs w:val="18"/>
              </w:rPr>
              <w:t>China</w:t>
            </w:r>
          </w:p>
        </w:tc>
        <w:tc>
          <w:tcPr>
            <w:tcW w:w="546" w:type="pct"/>
            <w:noWrap/>
            <w:vAlign w:val="center"/>
          </w:tcPr>
          <w:p w14:paraId="4A04284A" w14:textId="5194AA1D" w:rsidR="0030352E" w:rsidRPr="002C2585" w:rsidRDefault="0030352E" w:rsidP="0030352E">
            <w:pPr>
              <w:pStyle w:val="TableTextRight"/>
              <w:rPr>
                <w:szCs w:val="18"/>
              </w:rPr>
            </w:pPr>
            <w:r w:rsidRPr="002C2585">
              <w:rPr>
                <w:rFonts w:ascii="Arial" w:hAnsi="Arial" w:cs="Arial"/>
                <w:color w:val="000000"/>
                <w:szCs w:val="18"/>
              </w:rPr>
              <w:t>29,600</w:t>
            </w:r>
          </w:p>
        </w:tc>
        <w:tc>
          <w:tcPr>
            <w:tcW w:w="546" w:type="pct"/>
            <w:shd w:val="clear" w:color="auto" w:fill="DBF4F5" w:themeFill="background2"/>
            <w:noWrap/>
            <w:vAlign w:val="center"/>
          </w:tcPr>
          <w:p w14:paraId="1C8A86F6" w14:textId="238BD257" w:rsidR="0030352E" w:rsidRPr="002C2585" w:rsidRDefault="0030352E" w:rsidP="0030352E">
            <w:pPr>
              <w:pStyle w:val="TableTextRight"/>
              <w:rPr>
                <w:szCs w:val="18"/>
              </w:rPr>
            </w:pPr>
            <w:r w:rsidRPr="002C2585">
              <w:rPr>
                <w:rFonts w:ascii="Arial" w:hAnsi="Arial" w:cs="Arial"/>
                <w:color w:val="000000"/>
                <w:szCs w:val="18"/>
              </w:rPr>
              <w:t>27,100</w:t>
            </w:r>
          </w:p>
        </w:tc>
        <w:tc>
          <w:tcPr>
            <w:tcW w:w="547" w:type="pct"/>
            <w:vAlign w:val="center"/>
          </w:tcPr>
          <w:p w14:paraId="09684A50" w14:textId="1B120B36" w:rsidR="0030352E" w:rsidRPr="002C2585" w:rsidRDefault="0030352E" w:rsidP="0030352E">
            <w:pPr>
              <w:pStyle w:val="TableTextRight"/>
              <w:rPr>
                <w:szCs w:val="18"/>
              </w:rPr>
            </w:pPr>
            <w:r w:rsidRPr="002C2585">
              <w:rPr>
                <w:rFonts w:ascii="Arial" w:hAnsi="Arial" w:cs="Arial"/>
                <w:color w:val="000000"/>
                <w:szCs w:val="18"/>
              </w:rPr>
              <w:t>7,700</w:t>
            </w:r>
          </w:p>
        </w:tc>
        <w:tc>
          <w:tcPr>
            <w:tcW w:w="547" w:type="pct"/>
            <w:shd w:val="clear" w:color="auto" w:fill="DBF4F5" w:themeFill="background2"/>
            <w:vAlign w:val="center"/>
          </w:tcPr>
          <w:p w14:paraId="00F7825C" w14:textId="51573D63" w:rsidR="0030352E" w:rsidRPr="002C2585" w:rsidRDefault="0030352E" w:rsidP="0030352E">
            <w:pPr>
              <w:pStyle w:val="TableTextRight"/>
              <w:rPr>
                <w:szCs w:val="18"/>
              </w:rPr>
            </w:pPr>
            <w:r w:rsidRPr="002C2585">
              <w:rPr>
                <w:rFonts w:ascii="Arial" w:hAnsi="Arial" w:cs="Arial"/>
                <w:color w:val="000000"/>
                <w:szCs w:val="18"/>
              </w:rPr>
              <w:t>1,600</w:t>
            </w:r>
          </w:p>
        </w:tc>
        <w:tc>
          <w:tcPr>
            <w:tcW w:w="547" w:type="pct"/>
            <w:vAlign w:val="center"/>
          </w:tcPr>
          <w:p w14:paraId="3250A5BD" w14:textId="5BC44597" w:rsidR="0030352E" w:rsidRPr="002C2585" w:rsidRDefault="0030352E" w:rsidP="0030352E">
            <w:pPr>
              <w:pStyle w:val="TableTextRight"/>
              <w:rPr>
                <w:szCs w:val="18"/>
              </w:rPr>
            </w:pPr>
            <w:r w:rsidRPr="002C2585">
              <w:rPr>
                <w:rFonts w:ascii="Arial" w:hAnsi="Arial" w:cs="Arial"/>
                <w:color w:val="000000"/>
                <w:szCs w:val="18"/>
              </w:rPr>
              <w:t>3,500</w:t>
            </w:r>
          </w:p>
        </w:tc>
        <w:tc>
          <w:tcPr>
            <w:tcW w:w="547" w:type="pct"/>
            <w:shd w:val="clear" w:color="auto" w:fill="DBF4F5" w:themeFill="background2"/>
            <w:vAlign w:val="center"/>
          </w:tcPr>
          <w:p w14:paraId="5AF324D8" w14:textId="2A1AFE5F" w:rsidR="0030352E" w:rsidRPr="002C2585" w:rsidRDefault="0030352E" w:rsidP="0030352E">
            <w:pPr>
              <w:pStyle w:val="TableTextRight"/>
              <w:rPr>
                <w:szCs w:val="18"/>
              </w:rPr>
            </w:pPr>
            <w:r w:rsidRPr="002C2585">
              <w:rPr>
                <w:rFonts w:ascii="Arial" w:hAnsi="Arial" w:cs="Arial"/>
                <w:color w:val="000000"/>
                <w:szCs w:val="18"/>
              </w:rPr>
              <w:t>3,300</w:t>
            </w:r>
          </w:p>
        </w:tc>
        <w:tc>
          <w:tcPr>
            <w:tcW w:w="547" w:type="pct"/>
            <w:vAlign w:val="center"/>
          </w:tcPr>
          <w:p w14:paraId="3CD94800" w14:textId="770C8474" w:rsidR="0030352E" w:rsidRPr="002C2585" w:rsidRDefault="0030352E" w:rsidP="0030352E">
            <w:pPr>
              <w:pStyle w:val="TableTextRight"/>
              <w:rPr>
                <w:szCs w:val="18"/>
              </w:rPr>
            </w:pPr>
            <w:r w:rsidRPr="002C2585">
              <w:rPr>
                <w:rFonts w:ascii="Arial" w:hAnsi="Arial" w:cs="Arial"/>
                <w:color w:val="000000"/>
                <w:szCs w:val="18"/>
              </w:rPr>
              <w:t>1,900</w:t>
            </w:r>
          </w:p>
        </w:tc>
        <w:tc>
          <w:tcPr>
            <w:tcW w:w="539" w:type="pct"/>
            <w:shd w:val="clear" w:color="auto" w:fill="DBF4F5" w:themeFill="background2"/>
            <w:vAlign w:val="center"/>
          </w:tcPr>
          <w:p w14:paraId="76ABFBC4" w14:textId="2653E99E" w:rsidR="0030352E" w:rsidRPr="002C2585" w:rsidRDefault="0030352E" w:rsidP="0030352E">
            <w:pPr>
              <w:pStyle w:val="TableTextLeft"/>
              <w:jc w:val="right"/>
              <w:rPr>
                <w:szCs w:val="18"/>
              </w:rPr>
            </w:pPr>
            <w:r w:rsidRPr="002C2585">
              <w:rPr>
                <w:rFonts w:ascii="Arial" w:hAnsi="Arial" w:cs="Arial"/>
                <w:color w:val="000000"/>
                <w:szCs w:val="18"/>
              </w:rPr>
              <w:t>800</w:t>
            </w:r>
          </w:p>
        </w:tc>
      </w:tr>
      <w:tr w:rsidR="0030352E" w:rsidRPr="0039142F" w14:paraId="643C45B8" w14:textId="77777777" w:rsidTr="0030352E">
        <w:trPr>
          <w:trHeight w:val="286"/>
        </w:trPr>
        <w:tc>
          <w:tcPr>
            <w:tcW w:w="634" w:type="pct"/>
            <w:shd w:val="clear" w:color="auto" w:fill="DBF4F5" w:themeFill="background2"/>
            <w:noWrap/>
            <w:vAlign w:val="center"/>
          </w:tcPr>
          <w:p w14:paraId="2E5F389D" w14:textId="18B5F80F" w:rsidR="0030352E" w:rsidRPr="002C2585" w:rsidRDefault="0030352E" w:rsidP="0030352E">
            <w:pPr>
              <w:pStyle w:val="TableTextLeft"/>
              <w:rPr>
                <w:szCs w:val="18"/>
              </w:rPr>
            </w:pPr>
            <w:r w:rsidRPr="002C2585">
              <w:rPr>
                <w:rFonts w:ascii="Arial" w:hAnsi="Arial" w:cs="Arial"/>
                <w:color w:val="000000"/>
                <w:szCs w:val="18"/>
              </w:rPr>
              <w:t>Indonesia</w:t>
            </w:r>
          </w:p>
        </w:tc>
        <w:tc>
          <w:tcPr>
            <w:tcW w:w="546" w:type="pct"/>
            <w:noWrap/>
            <w:vAlign w:val="center"/>
          </w:tcPr>
          <w:p w14:paraId="160BBC40" w14:textId="45269383" w:rsidR="0030352E" w:rsidRPr="002C2585" w:rsidRDefault="0030352E" w:rsidP="0030352E">
            <w:pPr>
              <w:pStyle w:val="TableTextRight"/>
              <w:rPr>
                <w:szCs w:val="18"/>
              </w:rPr>
            </w:pPr>
            <w:r w:rsidRPr="002C2585">
              <w:rPr>
                <w:rFonts w:ascii="Arial" w:hAnsi="Arial" w:cs="Arial"/>
                <w:color w:val="000000"/>
                <w:szCs w:val="18"/>
              </w:rPr>
              <w:t>2,100</w:t>
            </w:r>
          </w:p>
        </w:tc>
        <w:tc>
          <w:tcPr>
            <w:tcW w:w="546" w:type="pct"/>
            <w:shd w:val="clear" w:color="auto" w:fill="DBF4F5" w:themeFill="background2"/>
            <w:noWrap/>
            <w:vAlign w:val="center"/>
          </w:tcPr>
          <w:p w14:paraId="5B41953A" w14:textId="3D358E07" w:rsidR="0030352E" w:rsidRPr="002C2585" w:rsidRDefault="0030352E" w:rsidP="0030352E">
            <w:pPr>
              <w:pStyle w:val="TableTextRight"/>
              <w:rPr>
                <w:szCs w:val="18"/>
              </w:rPr>
            </w:pPr>
            <w:r w:rsidRPr="002C2585">
              <w:rPr>
                <w:rFonts w:ascii="Arial" w:hAnsi="Arial" w:cs="Arial"/>
                <w:color w:val="000000"/>
                <w:szCs w:val="18"/>
              </w:rPr>
              <w:t>2,000</w:t>
            </w:r>
          </w:p>
        </w:tc>
        <w:tc>
          <w:tcPr>
            <w:tcW w:w="547" w:type="pct"/>
            <w:vAlign w:val="center"/>
          </w:tcPr>
          <w:p w14:paraId="7E06B1D3" w14:textId="08909FE6" w:rsidR="0030352E" w:rsidRPr="002C2585" w:rsidRDefault="0030352E" w:rsidP="0030352E">
            <w:pPr>
              <w:pStyle w:val="TableTextRight"/>
              <w:rPr>
                <w:szCs w:val="18"/>
              </w:rPr>
            </w:pPr>
            <w:r w:rsidRPr="002C2585">
              <w:rPr>
                <w:rFonts w:ascii="Arial" w:hAnsi="Arial" w:cs="Arial"/>
                <w:color w:val="000000"/>
                <w:szCs w:val="18"/>
              </w:rPr>
              <w:t>6,900</w:t>
            </w:r>
          </w:p>
        </w:tc>
        <w:tc>
          <w:tcPr>
            <w:tcW w:w="547" w:type="pct"/>
            <w:shd w:val="clear" w:color="auto" w:fill="DBF4F5" w:themeFill="background2"/>
            <w:vAlign w:val="center"/>
          </w:tcPr>
          <w:p w14:paraId="61E0F119" w14:textId="1E231C51" w:rsidR="0030352E" w:rsidRPr="002C2585" w:rsidRDefault="0030352E" w:rsidP="0030352E">
            <w:pPr>
              <w:pStyle w:val="TableTextRight"/>
              <w:rPr>
                <w:szCs w:val="18"/>
              </w:rPr>
            </w:pPr>
            <w:r w:rsidRPr="002C2585">
              <w:rPr>
                <w:rFonts w:ascii="Arial" w:hAnsi="Arial" w:cs="Arial"/>
                <w:color w:val="000000"/>
                <w:szCs w:val="18"/>
              </w:rPr>
              <w:t>13,700</w:t>
            </w:r>
          </w:p>
        </w:tc>
        <w:tc>
          <w:tcPr>
            <w:tcW w:w="547" w:type="pct"/>
            <w:vAlign w:val="center"/>
          </w:tcPr>
          <w:p w14:paraId="0D8E3942" w14:textId="211B7135" w:rsidR="0030352E" w:rsidRPr="002C2585" w:rsidRDefault="0030352E" w:rsidP="0030352E">
            <w:pPr>
              <w:pStyle w:val="TableTextRight"/>
              <w:rPr>
                <w:szCs w:val="18"/>
              </w:rPr>
            </w:pPr>
            <w:r w:rsidRPr="002C2585">
              <w:rPr>
                <w:rFonts w:ascii="Arial" w:hAnsi="Arial" w:cs="Arial"/>
                <w:color w:val="000000"/>
                <w:szCs w:val="18"/>
              </w:rPr>
              <w:t>2,700</w:t>
            </w:r>
          </w:p>
        </w:tc>
        <w:tc>
          <w:tcPr>
            <w:tcW w:w="547" w:type="pct"/>
            <w:shd w:val="clear" w:color="auto" w:fill="DBF4F5" w:themeFill="background2"/>
            <w:vAlign w:val="center"/>
          </w:tcPr>
          <w:p w14:paraId="24373F0B" w14:textId="12D95A85" w:rsidR="0030352E" w:rsidRPr="002C2585" w:rsidRDefault="0030352E" w:rsidP="0030352E">
            <w:pPr>
              <w:pStyle w:val="TableTextRight"/>
              <w:rPr>
                <w:szCs w:val="18"/>
              </w:rPr>
            </w:pPr>
            <w:r w:rsidRPr="002C2585">
              <w:rPr>
                <w:rFonts w:ascii="Arial" w:hAnsi="Arial" w:cs="Arial"/>
                <w:color w:val="000000"/>
                <w:szCs w:val="18"/>
              </w:rPr>
              <w:t>2,900</w:t>
            </w:r>
          </w:p>
        </w:tc>
        <w:tc>
          <w:tcPr>
            <w:tcW w:w="547" w:type="pct"/>
            <w:vAlign w:val="center"/>
          </w:tcPr>
          <w:p w14:paraId="767A46F5" w14:textId="3B863C12" w:rsidR="0030352E" w:rsidRPr="002C2585" w:rsidRDefault="0030352E" w:rsidP="0030352E">
            <w:pPr>
              <w:pStyle w:val="TableTextRight"/>
              <w:rPr>
                <w:szCs w:val="18"/>
              </w:rPr>
            </w:pPr>
            <w:r w:rsidRPr="002C2585">
              <w:rPr>
                <w:rFonts w:ascii="Arial" w:hAnsi="Arial" w:cs="Arial"/>
                <w:color w:val="000000"/>
                <w:szCs w:val="18"/>
              </w:rPr>
              <w:t>2,500</w:t>
            </w:r>
          </w:p>
        </w:tc>
        <w:tc>
          <w:tcPr>
            <w:tcW w:w="539" w:type="pct"/>
            <w:shd w:val="clear" w:color="auto" w:fill="DBF4F5" w:themeFill="background2"/>
            <w:vAlign w:val="center"/>
          </w:tcPr>
          <w:p w14:paraId="4C012D86" w14:textId="563235D4" w:rsidR="0030352E" w:rsidRPr="002C2585" w:rsidRDefault="0030352E" w:rsidP="0030352E">
            <w:pPr>
              <w:pStyle w:val="TableTextLeft"/>
              <w:jc w:val="right"/>
              <w:rPr>
                <w:szCs w:val="18"/>
              </w:rPr>
            </w:pPr>
            <w:r w:rsidRPr="002C2585">
              <w:rPr>
                <w:rFonts w:ascii="Arial" w:hAnsi="Arial" w:cs="Arial"/>
                <w:color w:val="000000"/>
                <w:szCs w:val="18"/>
              </w:rPr>
              <w:t>900</w:t>
            </w:r>
          </w:p>
        </w:tc>
      </w:tr>
      <w:tr w:rsidR="0030352E" w:rsidRPr="0039142F" w14:paraId="600FD491" w14:textId="77777777" w:rsidTr="0030352E">
        <w:trPr>
          <w:trHeight w:val="286"/>
        </w:trPr>
        <w:tc>
          <w:tcPr>
            <w:tcW w:w="634" w:type="pct"/>
            <w:shd w:val="clear" w:color="auto" w:fill="DBF4F5" w:themeFill="background2"/>
            <w:noWrap/>
            <w:vAlign w:val="center"/>
          </w:tcPr>
          <w:p w14:paraId="774B8E17" w14:textId="6EF4F298" w:rsidR="0030352E" w:rsidRPr="002C2585" w:rsidRDefault="0030352E" w:rsidP="0030352E">
            <w:pPr>
              <w:pStyle w:val="TableTextLeft"/>
              <w:rPr>
                <w:szCs w:val="18"/>
              </w:rPr>
            </w:pPr>
            <w:r w:rsidRPr="002C2585">
              <w:rPr>
                <w:rFonts w:ascii="Arial" w:hAnsi="Arial" w:cs="Arial"/>
                <w:color w:val="000000"/>
                <w:szCs w:val="18"/>
              </w:rPr>
              <w:t>All other</w:t>
            </w:r>
          </w:p>
        </w:tc>
        <w:tc>
          <w:tcPr>
            <w:tcW w:w="546" w:type="pct"/>
            <w:noWrap/>
            <w:vAlign w:val="center"/>
          </w:tcPr>
          <w:p w14:paraId="2896F7ED" w14:textId="635826BF" w:rsidR="0030352E" w:rsidRPr="002C2585" w:rsidRDefault="0030352E" w:rsidP="0030352E">
            <w:pPr>
              <w:pStyle w:val="TableTextRight"/>
              <w:rPr>
                <w:szCs w:val="18"/>
              </w:rPr>
            </w:pPr>
            <w:r w:rsidRPr="002C2585">
              <w:rPr>
                <w:rFonts w:ascii="Arial" w:hAnsi="Arial" w:cs="Arial"/>
                <w:color w:val="000000"/>
                <w:szCs w:val="18"/>
              </w:rPr>
              <w:t>7,300</w:t>
            </w:r>
          </w:p>
        </w:tc>
        <w:tc>
          <w:tcPr>
            <w:tcW w:w="546" w:type="pct"/>
            <w:shd w:val="clear" w:color="auto" w:fill="DBF4F5" w:themeFill="background2"/>
            <w:noWrap/>
            <w:vAlign w:val="center"/>
          </w:tcPr>
          <w:p w14:paraId="42B20468" w14:textId="11C77212" w:rsidR="0030352E" w:rsidRPr="002C2585" w:rsidRDefault="0030352E" w:rsidP="0030352E">
            <w:pPr>
              <w:pStyle w:val="TableTextRight"/>
              <w:rPr>
                <w:szCs w:val="18"/>
              </w:rPr>
            </w:pPr>
            <w:r w:rsidRPr="002C2585">
              <w:rPr>
                <w:rFonts w:ascii="Arial" w:hAnsi="Arial" w:cs="Arial"/>
                <w:color w:val="000000"/>
                <w:szCs w:val="18"/>
              </w:rPr>
              <w:t>6,600</w:t>
            </w:r>
          </w:p>
        </w:tc>
        <w:tc>
          <w:tcPr>
            <w:tcW w:w="547" w:type="pct"/>
            <w:vAlign w:val="center"/>
          </w:tcPr>
          <w:p w14:paraId="425FE44B" w14:textId="7B8BFB1F" w:rsidR="0030352E" w:rsidRPr="002C2585" w:rsidRDefault="0030352E" w:rsidP="0030352E">
            <w:pPr>
              <w:pStyle w:val="TableTextRight"/>
              <w:rPr>
                <w:szCs w:val="18"/>
              </w:rPr>
            </w:pPr>
            <w:r w:rsidRPr="002C2585">
              <w:rPr>
                <w:rFonts w:ascii="Arial" w:hAnsi="Arial" w:cs="Arial"/>
                <w:color w:val="000000"/>
                <w:szCs w:val="18"/>
              </w:rPr>
              <w:t>7,700</w:t>
            </w:r>
          </w:p>
        </w:tc>
        <w:tc>
          <w:tcPr>
            <w:tcW w:w="547" w:type="pct"/>
            <w:shd w:val="clear" w:color="auto" w:fill="DBF4F5" w:themeFill="background2"/>
            <w:vAlign w:val="center"/>
          </w:tcPr>
          <w:p w14:paraId="73C5FB44" w14:textId="2D2B6BC1" w:rsidR="0030352E" w:rsidRPr="002C2585" w:rsidRDefault="0030352E" w:rsidP="0030352E">
            <w:pPr>
              <w:pStyle w:val="TableTextRight"/>
              <w:rPr>
                <w:szCs w:val="18"/>
              </w:rPr>
            </w:pPr>
            <w:r w:rsidRPr="002C2585">
              <w:rPr>
                <w:rFonts w:ascii="Arial" w:hAnsi="Arial" w:cs="Arial"/>
                <w:color w:val="000000"/>
                <w:szCs w:val="18"/>
              </w:rPr>
              <w:t>2,900</w:t>
            </w:r>
          </w:p>
        </w:tc>
        <w:tc>
          <w:tcPr>
            <w:tcW w:w="547" w:type="pct"/>
            <w:vAlign w:val="center"/>
          </w:tcPr>
          <w:p w14:paraId="0D4560BC" w14:textId="05A0E29A" w:rsidR="0030352E" w:rsidRPr="002C2585" w:rsidRDefault="0030352E" w:rsidP="0030352E">
            <w:pPr>
              <w:pStyle w:val="TableTextRight"/>
              <w:rPr>
                <w:szCs w:val="18"/>
              </w:rPr>
            </w:pPr>
            <w:r w:rsidRPr="002C2585">
              <w:rPr>
                <w:rFonts w:ascii="Arial" w:hAnsi="Arial" w:cs="Arial"/>
                <w:color w:val="000000"/>
                <w:szCs w:val="18"/>
              </w:rPr>
              <w:t>2,500</w:t>
            </w:r>
          </w:p>
        </w:tc>
        <w:tc>
          <w:tcPr>
            <w:tcW w:w="547" w:type="pct"/>
            <w:shd w:val="clear" w:color="auto" w:fill="DBF4F5" w:themeFill="background2"/>
            <w:vAlign w:val="center"/>
          </w:tcPr>
          <w:p w14:paraId="399CB7AE" w14:textId="17F130FA" w:rsidR="0030352E" w:rsidRPr="002C2585" w:rsidRDefault="0030352E" w:rsidP="0030352E">
            <w:pPr>
              <w:pStyle w:val="TableTextRight"/>
              <w:rPr>
                <w:szCs w:val="18"/>
              </w:rPr>
            </w:pPr>
            <w:r w:rsidRPr="002C2585">
              <w:rPr>
                <w:rFonts w:ascii="Arial" w:hAnsi="Arial" w:cs="Arial"/>
                <w:color w:val="000000"/>
                <w:szCs w:val="18"/>
              </w:rPr>
              <w:t>4,200</w:t>
            </w:r>
          </w:p>
        </w:tc>
        <w:tc>
          <w:tcPr>
            <w:tcW w:w="547" w:type="pct"/>
            <w:vAlign w:val="center"/>
          </w:tcPr>
          <w:p w14:paraId="4C3F6E91" w14:textId="1CC656FD" w:rsidR="0030352E" w:rsidRPr="002C2585" w:rsidRDefault="0030352E" w:rsidP="0030352E">
            <w:pPr>
              <w:pStyle w:val="TableTextRight"/>
              <w:rPr>
                <w:szCs w:val="18"/>
              </w:rPr>
            </w:pPr>
            <w:r w:rsidRPr="002C2585">
              <w:rPr>
                <w:rFonts w:ascii="Arial" w:hAnsi="Arial" w:cs="Arial"/>
                <w:color w:val="000000"/>
                <w:szCs w:val="18"/>
              </w:rPr>
              <w:t>10,100</w:t>
            </w:r>
          </w:p>
        </w:tc>
        <w:tc>
          <w:tcPr>
            <w:tcW w:w="539" w:type="pct"/>
            <w:shd w:val="clear" w:color="auto" w:fill="DBF4F5" w:themeFill="background2"/>
            <w:vAlign w:val="center"/>
          </w:tcPr>
          <w:p w14:paraId="3881A125" w14:textId="319F18A2" w:rsidR="0030352E" w:rsidRPr="002C2585" w:rsidRDefault="0030352E" w:rsidP="0030352E">
            <w:pPr>
              <w:pStyle w:val="TableTextLeft"/>
              <w:jc w:val="right"/>
              <w:rPr>
                <w:szCs w:val="18"/>
              </w:rPr>
            </w:pPr>
            <w:r w:rsidRPr="002C2585">
              <w:rPr>
                <w:rFonts w:ascii="Arial" w:hAnsi="Arial" w:cs="Arial"/>
                <w:color w:val="000000"/>
                <w:szCs w:val="18"/>
              </w:rPr>
              <w:t>4,500</w:t>
            </w:r>
          </w:p>
        </w:tc>
      </w:tr>
      <w:tr w:rsidR="0030352E" w:rsidRPr="0039142F" w14:paraId="23FCD23F" w14:textId="77777777" w:rsidTr="0030352E">
        <w:trPr>
          <w:trHeight w:val="286"/>
        </w:trPr>
        <w:tc>
          <w:tcPr>
            <w:tcW w:w="634" w:type="pct"/>
            <w:shd w:val="clear" w:color="auto" w:fill="DBF4F5" w:themeFill="background2"/>
            <w:noWrap/>
          </w:tcPr>
          <w:p w14:paraId="5A5AAD7E" w14:textId="77777777" w:rsidR="0030352E" w:rsidRPr="00AC6B19" w:rsidRDefault="0030352E" w:rsidP="0030352E">
            <w:pPr>
              <w:pStyle w:val="TableTextLeftBold"/>
              <w:rPr>
                <w:sz w:val="18"/>
                <w:szCs w:val="18"/>
              </w:rPr>
            </w:pPr>
            <w:r w:rsidRPr="00AC6B19">
              <w:rPr>
                <w:sz w:val="18"/>
                <w:szCs w:val="18"/>
              </w:rPr>
              <w:t>Total</w:t>
            </w:r>
          </w:p>
        </w:tc>
        <w:tc>
          <w:tcPr>
            <w:tcW w:w="546" w:type="pct"/>
            <w:noWrap/>
            <w:vAlign w:val="center"/>
          </w:tcPr>
          <w:p w14:paraId="63BEAD69" w14:textId="789A69FB" w:rsidR="0030352E" w:rsidRPr="002C2585" w:rsidRDefault="0030352E" w:rsidP="0030352E">
            <w:pPr>
              <w:pStyle w:val="TableTextRight"/>
              <w:rPr>
                <w:b/>
                <w:bCs/>
                <w:szCs w:val="18"/>
              </w:rPr>
            </w:pPr>
            <w:r w:rsidRPr="002C2585">
              <w:rPr>
                <w:rFonts w:ascii="Arial" w:hAnsi="Arial" w:cs="Arial"/>
                <w:b/>
                <w:bCs/>
                <w:color w:val="000000"/>
                <w:szCs w:val="18"/>
              </w:rPr>
              <w:t>41,800</w:t>
            </w:r>
          </w:p>
        </w:tc>
        <w:tc>
          <w:tcPr>
            <w:tcW w:w="546" w:type="pct"/>
            <w:shd w:val="clear" w:color="auto" w:fill="DBF4F5" w:themeFill="background2"/>
            <w:noWrap/>
            <w:vAlign w:val="center"/>
          </w:tcPr>
          <w:p w14:paraId="250F91E7" w14:textId="08D5D2F9" w:rsidR="0030352E" w:rsidRPr="002C2585" w:rsidRDefault="0030352E" w:rsidP="0030352E">
            <w:pPr>
              <w:pStyle w:val="TableTextRight"/>
              <w:rPr>
                <w:b/>
                <w:bCs/>
                <w:szCs w:val="18"/>
              </w:rPr>
            </w:pPr>
            <w:r w:rsidRPr="002C2585">
              <w:rPr>
                <w:rFonts w:ascii="Arial" w:hAnsi="Arial" w:cs="Arial"/>
                <w:b/>
                <w:bCs/>
                <w:color w:val="000000"/>
                <w:szCs w:val="18"/>
              </w:rPr>
              <w:t>37,900</w:t>
            </w:r>
          </w:p>
        </w:tc>
        <w:tc>
          <w:tcPr>
            <w:tcW w:w="547" w:type="pct"/>
            <w:vAlign w:val="center"/>
          </w:tcPr>
          <w:p w14:paraId="615D0EF3" w14:textId="6249808A" w:rsidR="0030352E" w:rsidRPr="002C2585" w:rsidRDefault="0030352E" w:rsidP="0030352E">
            <w:pPr>
              <w:pStyle w:val="TableTextRight"/>
              <w:rPr>
                <w:b/>
                <w:bCs/>
                <w:szCs w:val="18"/>
              </w:rPr>
            </w:pPr>
            <w:r w:rsidRPr="002C2585">
              <w:rPr>
                <w:rFonts w:ascii="Arial" w:hAnsi="Arial" w:cs="Arial"/>
                <w:b/>
                <w:bCs/>
                <w:color w:val="000000"/>
                <w:szCs w:val="18"/>
              </w:rPr>
              <w:t>33,700</w:t>
            </w:r>
          </w:p>
        </w:tc>
        <w:tc>
          <w:tcPr>
            <w:tcW w:w="547" w:type="pct"/>
            <w:shd w:val="clear" w:color="auto" w:fill="DBF4F5" w:themeFill="background2"/>
            <w:vAlign w:val="center"/>
          </w:tcPr>
          <w:p w14:paraId="4A137DC8" w14:textId="60A5415C" w:rsidR="0030352E" w:rsidRPr="002C2585" w:rsidRDefault="0030352E" w:rsidP="0030352E">
            <w:pPr>
              <w:pStyle w:val="TableTextRight"/>
              <w:rPr>
                <w:b/>
                <w:bCs/>
                <w:szCs w:val="18"/>
              </w:rPr>
            </w:pPr>
            <w:r w:rsidRPr="002C2585">
              <w:rPr>
                <w:rFonts w:ascii="Arial" w:hAnsi="Arial" w:cs="Arial"/>
                <w:b/>
                <w:bCs/>
                <w:color w:val="000000"/>
                <w:szCs w:val="18"/>
              </w:rPr>
              <w:t>27,900</w:t>
            </w:r>
          </w:p>
        </w:tc>
        <w:tc>
          <w:tcPr>
            <w:tcW w:w="547" w:type="pct"/>
            <w:vAlign w:val="center"/>
          </w:tcPr>
          <w:p w14:paraId="68CD4502" w14:textId="4AEC6DEA" w:rsidR="0030352E" w:rsidRPr="002C2585" w:rsidRDefault="0030352E" w:rsidP="0030352E">
            <w:pPr>
              <w:pStyle w:val="TableTextRight"/>
              <w:rPr>
                <w:b/>
                <w:bCs/>
                <w:szCs w:val="18"/>
              </w:rPr>
            </w:pPr>
            <w:r w:rsidRPr="002C2585">
              <w:rPr>
                <w:rFonts w:ascii="Arial" w:hAnsi="Arial" w:cs="Arial"/>
                <w:b/>
                <w:bCs/>
                <w:color w:val="000000"/>
                <w:szCs w:val="18"/>
              </w:rPr>
              <w:t>22,200</w:t>
            </w:r>
          </w:p>
        </w:tc>
        <w:tc>
          <w:tcPr>
            <w:tcW w:w="547" w:type="pct"/>
            <w:shd w:val="clear" w:color="auto" w:fill="DBF4F5" w:themeFill="background2"/>
            <w:vAlign w:val="center"/>
          </w:tcPr>
          <w:p w14:paraId="25DD5863" w14:textId="4D06FB03" w:rsidR="0030352E" w:rsidRPr="002C2585" w:rsidRDefault="0030352E" w:rsidP="0030352E">
            <w:pPr>
              <w:pStyle w:val="TableTextRight"/>
              <w:rPr>
                <w:b/>
                <w:bCs/>
                <w:szCs w:val="18"/>
              </w:rPr>
            </w:pPr>
            <w:r w:rsidRPr="002C2585">
              <w:rPr>
                <w:rFonts w:ascii="Arial" w:hAnsi="Arial" w:cs="Arial"/>
                <w:b/>
                <w:bCs/>
                <w:color w:val="000000"/>
                <w:szCs w:val="18"/>
              </w:rPr>
              <w:t>23,700</w:t>
            </w:r>
          </w:p>
        </w:tc>
        <w:tc>
          <w:tcPr>
            <w:tcW w:w="547" w:type="pct"/>
            <w:vAlign w:val="center"/>
          </w:tcPr>
          <w:p w14:paraId="37948EB4" w14:textId="4CF503B4" w:rsidR="0030352E" w:rsidRPr="002C2585" w:rsidRDefault="0030352E" w:rsidP="0030352E">
            <w:pPr>
              <w:pStyle w:val="TableTextRight"/>
              <w:rPr>
                <w:b/>
                <w:bCs/>
                <w:szCs w:val="18"/>
              </w:rPr>
            </w:pPr>
            <w:r w:rsidRPr="002C2585">
              <w:rPr>
                <w:rFonts w:ascii="Arial" w:hAnsi="Arial" w:cs="Arial"/>
                <w:b/>
                <w:bCs/>
                <w:color w:val="000000"/>
                <w:szCs w:val="18"/>
              </w:rPr>
              <w:t>23,900</w:t>
            </w:r>
          </w:p>
        </w:tc>
        <w:tc>
          <w:tcPr>
            <w:tcW w:w="539" w:type="pct"/>
            <w:shd w:val="clear" w:color="auto" w:fill="DBF4F5" w:themeFill="background2"/>
            <w:vAlign w:val="center"/>
          </w:tcPr>
          <w:p w14:paraId="593366D5" w14:textId="70C010B8" w:rsidR="0030352E" w:rsidRPr="002C2585" w:rsidRDefault="0030352E" w:rsidP="0030352E">
            <w:pPr>
              <w:pStyle w:val="TableTextRight"/>
              <w:rPr>
                <w:b/>
                <w:bCs/>
                <w:szCs w:val="18"/>
              </w:rPr>
            </w:pPr>
            <w:r w:rsidRPr="002C2585">
              <w:rPr>
                <w:rFonts w:ascii="Arial" w:hAnsi="Arial" w:cs="Arial"/>
                <w:b/>
                <w:bCs/>
                <w:color w:val="000000"/>
                <w:szCs w:val="18"/>
              </w:rPr>
              <w:t>12,900</w:t>
            </w:r>
          </w:p>
        </w:tc>
      </w:tr>
    </w:tbl>
    <w:p w14:paraId="09CA71F5" w14:textId="7D671DD3" w:rsidR="00957EA2" w:rsidRPr="0030352E" w:rsidRDefault="00957EA2" w:rsidP="00957EA2">
      <w:pPr>
        <w:pStyle w:val="PhotoCredit"/>
        <w:rPr>
          <w:sz w:val="18"/>
          <w:szCs w:val="18"/>
        </w:rPr>
      </w:pPr>
      <w:r w:rsidRPr="0030352E">
        <w:rPr>
          <w:sz w:val="18"/>
          <w:szCs w:val="18"/>
        </w:rPr>
        <w:t xml:space="preserve">Source: ABS </w:t>
      </w:r>
      <w:r w:rsidR="00EB7B62" w:rsidRPr="0030352E">
        <w:rPr>
          <w:sz w:val="18"/>
          <w:szCs w:val="18"/>
        </w:rPr>
        <w:t>and</w:t>
      </w:r>
      <w:r w:rsidRPr="0030352E">
        <w:rPr>
          <w:sz w:val="18"/>
          <w:szCs w:val="18"/>
        </w:rPr>
        <w:t xml:space="preserve"> IE (Australian Harmonized Export Commodity Classification (AHECC) data by month, classification and destination country, 202</w:t>
      </w:r>
      <w:r w:rsidR="0030352E">
        <w:rPr>
          <w:sz w:val="18"/>
          <w:szCs w:val="18"/>
        </w:rPr>
        <w:t>3</w:t>
      </w:r>
      <w:r w:rsidRPr="0030352E">
        <w:rPr>
          <w:sz w:val="18"/>
          <w:szCs w:val="18"/>
        </w:rPr>
        <w:t>) and Blue Environment.</w:t>
      </w:r>
    </w:p>
    <w:bookmarkEnd w:id="0"/>
    <w:p w14:paraId="36827635" w14:textId="036E3072" w:rsidR="00957EA2" w:rsidRPr="0030352E" w:rsidRDefault="00957EA2" w:rsidP="00957EA2">
      <w:pPr>
        <w:pStyle w:val="Footnotes"/>
        <w:rPr>
          <w:sz w:val="18"/>
          <w:szCs w:val="18"/>
          <w:lang w:eastAsia="en-US"/>
        </w:rPr>
      </w:pPr>
      <w:r w:rsidRPr="0030352E">
        <w:rPr>
          <w:sz w:val="18"/>
          <w:szCs w:val="18"/>
          <w:lang w:eastAsia="en-US"/>
        </w:rPr>
        <w:t>Countries ranked by average of last 3 months of exports.</w:t>
      </w:r>
    </w:p>
    <w:p w14:paraId="2C3C425B" w14:textId="274EDCA3" w:rsidR="00FF6D9A" w:rsidRDefault="00957EA2" w:rsidP="00957EA2">
      <w:pPr>
        <w:pStyle w:val="Footnotes"/>
        <w:rPr>
          <w:lang w:eastAsia="en-US"/>
        </w:rPr>
      </w:pPr>
      <w:r w:rsidRPr="0030352E">
        <w:rPr>
          <w:sz w:val="18"/>
          <w:szCs w:val="18"/>
          <w:lang w:eastAsia="en-US"/>
        </w:rPr>
        <w:t xml:space="preserve">Partial year across July 2022 to </w:t>
      </w:r>
      <w:r w:rsidR="00440BB6" w:rsidRPr="0030352E">
        <w:rPr>
          <w:sz w:val="18"/>
          <w:szCs w:val="18"/>
          <w:lang w:eastAsia="en-US"/>
        </w:rPr>
        <w:t>March</w:t>
      </w:r>
      <w:r w:rsidRPr="0030352E">
        <w:rPr>
          <w:sz w:val="18"/>
          <w:szCs w:val="18"/>
          <w:lang w:eastAsia="en-US"/>
        </w:rPr>
        <w:t xml:space="preserve"> 202</w:t>
      </w:r>
      <w:r w:rsidR="00440BB6" w:rsidRPr="0030352E">
        <w:rPr>
          <w:sz w:val="18"/>
          <w:szCs w:val="18"/>
          <w:lang w:eastAsia="en-US"/>
        </w:rPr>
        <w:t>3</w:t>
      </w:r>
      <w:r w:rsidRPr="0030352E">
        <w:rPr>
          <w:sz w:val="18"/>
          <w:szCs w:val="18"/>
          <w:lang w:eastAsia="en-US"/>
        </w:rPr>
        <w:t>.</w:t>
      </w:r>
      <w:r w:rsidR="00FF6D9A">
        <w:br w:type="page"/>
      </w:r>
    </w:p>
    <w:p w14:paraId="64C232E0" w14:textId="77777777" w:rsidR="00171234" w:rsidRDefault="00171234" w:rsidP="00171234">
      <w:pPr>
        <w:pStyle w:val="BodyText"/>
      </w:pPr>
    </w:p>
    <w:p w14:paraId="529CA498" w14:textId="4AE7F615" w:rsidR="00171234" w:rsidRDefault="3099195B" w:rsidP="00CC3C96">
      <w:pPr>
        <w:pStyle w:val="CaptionImageorFigure"/>
      </w:pPr>
      <w:r>
        <w:t>Table 2</w:t>
      </w:r>
      <w:r w:rsidR="45982D2D">
        <w:t>:</w:t>
      </w:r>
      <w:r>
        <w:t xml:space="preserve"> </w:t>
      </w:r>
      <w:r w:rsidR="007A2DE1">
        <w:t>Most recent</w:t>
      </w:r>
      <w:r>
        <w:t xml:space="preserve"> monthly change in Victorian kerbside recovered plastics, to export country</w:t>
      </w:r>
    </w:p>
    <w:tbl>
      <w:tblPr>
        <w:tblStyle w:val="TableGrid"/>
        <w:tblW w:w="0" w:type="auto"/>
        <w:tblLook w:val="04A0" w:firstRow="1" w:lastRow="0" w:firstColumn="1" w:lastColumn="0" w:noHBand="0" w:noVBand="1"/>
      </w:tblPr>
      <w:tblGrid>
        <w:gridCol w:w="1469"/>
        <w:gridCol w:w="1469"/>
        <w:gridCol w:w="1469"/>
        <w:gridCol w:w="1453"/>
      </w:tblGrid>
      <w:tr w:rsidR="00171234" w:rsidRPr="00190354" w14:paraId="24F2DEFD" w14:textId="77777777" w:rsidTr="007A2DE1">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1453" w:type="dxa"/>
            <w:noWrap/>
            <w:hideMark/>
          </w:tcPr>
          <w:p w14:paraId="01F86A0F" w14:textId="77777777" w:rsidR="00171234" w:rsidRPr="00190354" w:rsidRDefault="00171234" w:rsidP="007A2DE1">
            <w:pPr>
              <w:pStyle w:val="TableHeadingLeft"/>
              <w:jc w:val="center"/>
              <w:rPr>
                <w:rFonts w:eastAsia="Arial"/>
              </w:rPr>
            </w:pPr>
            <w:r w:rsidRPr="00190354">
              <w:rPr>
                <w:rFonts w:eastAsia="Arial"/>
              </w:rPr>
              <w:t>Country</w:t>
            </w:r>
          </w:p>
        </w:tc>
        <w:tc>
          <w:tcPr>
            <w:tcW w:w="1453" w:type="dxa"/>
            <w:hideMark/>
          </w:tcPr>
          <w:p w14:paraId="32097F44" w14:textId="77777777" w:rsidR="00171234" w:rsidRPr="00190354" w:rsidRDefault="00171234" w:rsidP="007A2DE1">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sidRPr="00190354">
              <w:rPr>
                <w:rFonts w:eastAsia="Arial"/>
              </w:rPr>
              <w:t>July 2022</w:t>
            </w:r>
          </w:p>
          <w:p w14:paraId="316427ED" w14:textId="77777777" w:rsidR="00171234" w:rsidRPr="00190354" w:rsidRDefault="00171234" w:rsidP="007A2DE1">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sidRPr="00190354">
              <w:rPr>
                <w:rFonts w:eastAsia="Arial"/>
                <w:sz w:val="18"/>
              </w:rPr>
              <w:t>(tonnes)</w:t>
            </w:r>
          </w:p>
        </w:tc>
        <w:tc>
          <w:tcPr>
            <w:tcW w:w="1453" w:type="dxa"/>
            <w:hideMark/>
          </w:tcPr>
          <w:p w14:paraId="6A5C7FDE" w14:textId="77777777" w:rsidR="00171234" w:rsidRPr="00190354" w:rsidRDefault="00171234" w:rsidP="007A2DE1">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sidRPr="00190354">
              <w:rPr>
                <w:rFonts w:eastAsia="Arial"/>
              </w:rPr>
              <w:t>August 2022</w:t>
            </w:r>
          </w:p>
          <w:p w14:paraId="79A26081" w14:textId="77777777" w:rsidR="00171234" w:rsidRPr="00190354" w:rsidRDefault="00171234" w:rsidP="007A2DE1">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sidRPr="00190354">
              <w:rPr>
                <w:rFonts w:eastAsia="Arial"/>
                <w:sz w:val="18"/>
              </w:rPr>
              <w:t>(tonnes)</w:t>
            </w:r>
          </w:p>
        </w:tc>
        <w:tc>
          <w:tcPr>
            <w:tcW w:w="1453" w:type="dxa"/>
          </w:tcPr>
          <w:p w14:paraId="1E487CB6" w14:textId="68CAE498" w:rsidR="00171234" w:rsidRPr="00171234" w:rsidRDefault="00EB7B62" w:rsidP="007A2DE1">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Pr>
                <w:rFonts w:eastAsia="Arial"/>
              </w:rPr>
              <w:t>C</w:t>
            </w:r>
            <w:r w:rsidR="00171234" w:rsidRPr="00171234">
              <w:rPr>
                <w:rFonts w:eastAsia="Arial"/>
              </w:rPr>
              <w:t>hange</w:t>
            </w:r>
          </w:p>
          <w:p w14:paraId="43B57FC1" w14:textId="5DE521EA" w:rsidR="00171234" w:rsidRPr="00190354" w:rsidRDefault="00171234" w:rsidP="007A2DE1">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sidRPr="00171234">
              <w:rPr>
                <w:rFonts w:eastAsia="Arial"/>
              </w:rPr>
              <w:t>(%)</w:t>
            </w:r>
          </w:p>
        </w:tc>
      </w:tr>
      <w:tr w:rsidR="007A2DE1" w:rsidRPr="00190354" w14:paraId="220AEC36" w14:textId="77777777" w:rsidTr="007A2DE1">
        <w:trPr>
          <w:trHeight w:val="286"/>
        </w:trPr>
        <w:tc>
          <w:tcPr>
            <w:tcW w:w="1453" w:type="dxa"/>
            <w:shd w:val="clear" w:color="auto" w:fill="DBF4F5" w:themeFill="background2"/>
            <w:noWrap/>
            <w:vAlign w:val="center"/>
          </w:tcPr>
          <w:p w14:paraId="14615B84" w14:textId="00DBB184" w:rsidR="007A2DE1" w:rsidRPr="007A2DE1" w:rsidRDefault="007A2DE1" w:rsidP="007A2DE1">
            <w:pPr>
              <w:pStyle w:val="TableTextLeft"/>
              <w:rPr>
                <w:szCs w:val="18"/>
              </w:rPr>
            </w:pPr>
            <w:r w:rsidRPr="007A2DE1">
              <w:rPr>
                <w:rFonts w:ascii="Arial" w:hAnsi="Arial" w:cs="Arial"/>
                <w:color w:val="000000"/>
                <w:szCs w:val="18"/>
              </w:rPr>
              <w:t>Malaysia</w:t>
            </w:r>
          </w:p>
        </w:tc>
        <w:tc>
          <w:tcPr>
            <w:tcW w:w="1453" w:type="dxa"/>
            <w:noWrap/>
            <w:vAlign w:val="center"/>
          </w:tcPr>
          <w:p w14:paraId="760094FE" w14:textId="5E8DEEC3" w:rsidR="007A2DE1" w:rsidRPr="007A2DE1" w:rsidRDefault="007A2DE1" w:rsidP="007A2DE1">
            <w:pPr>
              <w:pStyle w:val="TableTextRight"/>
              <w:rPr>
                <w:szCs w:val="18"/>
              </w:rPr>
            </w:pPr>
            <w:r w:rsidRPr="007A2DE1">
              <w:rPr>
                <w:rFonts w:ascii="Arial" w:hAnsi="Arial" w:cs="Arial"/>
                <w:color w:val="000000"/>
                <w:szCs w:val="18"/>
              </w:rPr>
              <w:t>600</w:t>
            </w:r>
          </w:p>
        </w:tc>
        <w:tc>
          <w:tcPr>
            <w:tcW w:w="1453" w:type="dxa"/>
            <w:shd w:val="clear" w:color="auto" w:fill="DBF4F5" w:themeFill="background2"/>
            <w:noWrap/>
            <w:vAlign w:val="center"/>
          </w:tcPr>
          <w:p w14:paraId="0F60BD67" w14:textId="517D7EA8" w:rsidR="007A2DE1" w:rsidRPr="007A2DE1" w:rsidRDefault="007A2DE1" w:rsidP="007A2DE1">
            <w:pPr>
              <w:pStyle w:val="TableTextRight"/>
              <w:rPr>
                <w:szCs w:val="18"/>
              </w:rPr>
            </w:pPr>
            <w:r w:rsidRPr="007A2DE1">
              <w:rPr>
                <w:rFonts w:ascii="Arial" w:hAnsi="Arial" w:cs="Arial"/>
                <w:color w:val="000000"/>
                <w:szCs w:val="18"/>
              </w:rPr>
              <w:t>500</w:t>
            </w:r>
          </w:p>
        </w:tc>
        <w:tc>
          <w:tcPr>
            <w:tcW w:w="1453" w:type="dxa"/>
            <w:vAlign w:val="center"/>
          </w:tcPr>
          <w:p w14:paraId="0D4EC5E7" w14:textId="416D4D4E" w:rsidR="007A2DE1" w:rsidRPr="007A2DE1" w:rsidRDefault="007A2DE1" w:rsidP="007A2DE1">
            <w:pPr>
              <w:pStyle w:val="TableTextRight"/>
              <w:rPr>
                <w:szCs w:val="18"/>
              </w:rPr>
            </w:pPr>
            <w:r w:rsidRPr="007A2DE1">
              <w:rPr>
                <w:rFonts w:ascii="Arial" w:hAnsi="Arial" w:cs="Arial"/>
                <w:color w:val="000000"/>
                <w:szCs w:val="18"/>
              </w:rPr>
              <w:t>-17%</w:t>
            </w:r>
          </w:p>
        </w:tc>
      </w:tr>
      <w:tr w:rsidR="007A2DE1" w:rsidRPr="00190354" w14:paraId="71ABF540" w14:textId="77777777" w:rsidTr="007A2DE1">
        <w:trPr>
          <w:trHeight w:val="286"/>
        </w:trPr>
        <w:tc>
          <w:tcPr>
            <w:tcW w:w="1453" w:type="dxa"/>
            <w:shd w:val="clear" w:color="auto" w:fill="DBF4F5" w:themeFill="background2"/>
            <w:noWrap/>
            <w:vAlign w:val="center"/>
          </w:tcPr>
          <w:p w14:paraId="18149D6D" w14:textId="34264358" w:rsidR="007A2DE1" w:rsidRPr="007A2DE1" w:rsidRDefault="007A2DE1" w:rsidP="007A2DE1">
            <w:pPr>
              <w:pStyle w:val="TableTextLeft"/>
              <w:rPr>
                <w:szCs w:val="18"/>
              </w:rPr>
            </w:pPr>
            <w:r w:rsidRPr="007A2DE1">
              <w:rPr>
                <w:rFonts w:ascii="Arial" w:hAnsi="Arial" w:cs="Arial"/>
                <w:color w:val="000000"/>
                <w:szCs w:val="18"/>
              </w:rPr>
              <w:t>Taiwan</w:t>
            </w:r>
          </w:p>
        </w:tc>
        <w:tc>
          <w:tcPr>
            <w:tcW w:w="1453" w:type="dxa"/>
            <w:noWrap/>
            <w:vAlign w:val="center"/>
          </w:tcPr>
          <w:p w14:paraId="69E80ED9" w14:textId="187805CD" w:rsidR="007A2DE1" w:rsidRPr="007A2DE1" w:rsidRDefault="007A2DE1" w:rsidP="007A2DE1">
            <w:pPr>
              <w:pStyle w:val="TableTextRight"/>
              <w:rPr>
                <w:szCs w:val="18"/>
              </w:rPr>
            </w:pPr>
            <w:r w:rsidRPr="007A2DE1">
              <w:rPr>
                <w:rFonts w:ascii="Arial" w:hAnsi="Arial" w:cs="Arial"/>
                <w:color w:val="000000"/>
                <w:szCs w:val="18"/>
              </w:rPr>
              <w:t>100</w:t>
            </w:r>
          </w:p>
        </w:tc>
        <w:tc>
          <w:tcPr>
            <w:tcW w:w="1453" w:type="dxa"/>
            <w:shd w:val="clear" w:color="auto" w:fill="DBF4F5" w:themeFill="background2"/>
            <w:noWrap/>
            <w:vAlign w:val="center"/>
          </w:tcPr>
          <w:p w14:paraId="068E9A24" w14:textId="7BF66338" w:rsidR="007A2DE1" w:rsidRPr="007A2DE1" w:rsidRDefault="007A2DE1" w:rsidP="007A2DE1">
            <w:pPr>
              <w:pStyle w:val="TableTextRight"/>
              <w:rPr>
                <w:szCs w:val="18"/>
              </w:rPr>
            </w:pPr>
            <w:r w:rsidRPr="007A2DE1">
              <w:rPr>
                <w:rFonts w:ascii="Arial" w:hAnsi="Arial" w:cs="Arial"/>
                <w:color w:val="000000"/>
                <w:szCs w:val="18"/>
              </w:rPr>
              <w:t>100</w:t>
            </w:r>
          </w:p>
        </w:tc>
        <w:tc>
          <w:tcPr>
            <w:tcW w:w="1453" w:type="dxa"/>
            <w:vAlign w:val="center"/>
          </w:tcPr>
          <w:p w14:paraId="27BBFB7F" w14:textId="344D3E02" w:rsidR="007A2DE1" w:rsidRPr="007A2DE1" w:rsidRDefault="007A2DE1" w:rsidP="007A2DE1">
            <w:pPr>
              <w:pStyle w:val="TableTextRight"/>
              <w:rPr>
                <w:szCs w:val="18"/>
              </w:rPr>
            </w:pPr>
            <w:r w:rsidRPr="007A2DE1">
              <w:rPr>
                <w:rFonts w:ascii="Arial" w:hAnsi="Arial" w:cs="Arial"/>
                <w:color w:val="000000"/>
                <w:szCs w:val="18"/>
              </w:rPr>
              <w:t>0%</w:t>
            </w:r>
          </w:p>
        </w:tc>
      </w:tr>
      <w:tr w:rsidR="007A2DE1" w:rsidRPr="00190354" w14:paraId="4484FB1C" w14:textId="77777777" w:rsidTr="007A2DE1">
        <w:trPr>
          <w:trHeight w:val="286"/>
        </w:trPr>
        <w:tc>
          <w:tcPr>
            <w:tcW w:w="1453" w:type="dxa"/>
            <w:shd w:val="clear" w:color="auto" w:fill="DBF4F5" w:themeFill="background2"/>
            <w:noWrap/>
            <w:vAlign w:val="center"/>
          </w:tcPr>
          <w:p w14:paraId="6CEC8857" w14:textId="624FF6EF" w:rsidR="007A2DE1" w:rsidRPr="007A2DE1" w:rsidRDefault="007A2DE1" w:rsidP="007A2DE1">
            <w:pPr>
              <w:pStyle w:val="TableTextLeft"/>
              <w:rPr>
                <w:szCs w:val="18"/>
              </w:rPr>
            </w:pPr>
            <w:r w:rsidRPr="007A2DE1">
              <w:rPr>
                <w:rFonts w:ascii="Arial" w:hAnsi="Arial" w:cs="Arial"/>
                <w:color w:val="000000"/>
                <w:szCs w:val="18"/>
              </w:rPr>
              <w:t>New Zealand</w:t>
            </w:r>
          </w:p>
        </w:tc>
        <w:tc>
          <w:tcPr>
            <w:tcW w:w="1453" w:type="dxa"/>
            <w:noWrap/>
            <w:vAlign w:val="center"/>
          </w:tcPr>
          <w:p w14:paraId="4937679E" w14:textId="30C10A8A" w:rsidR="007A2DE1" w:rsidRPr="007A2DE1" w:rsidRDefault="007A2DE1" w:rsidP="007A2DE1">
            <w:pPr>
              <w:pStyle w:val="TableTextRight"/>
              <w:rPr>
                <w:szCs w:val="18"/>
              </w:rPr>
            </w:pPr>
            <w:r w:rsidRPr="007A2DE1">
              <w:rPr>
                <w:rFonts w:ascii="Arial" w:hAnsi="Arial" w:cs="Arial"/>
                <w:color w:val="000000"/>
                <w:szCs w:val="18"/>
              </w:rPr>
              <w:t>100</w:t>
            </w:r>
          </w:p>
        </w:tc>
        <w:tc>
          <w:tcPr>
            <w:tcW w:w="1453" w:type="dxa"/>
            <w:shd w:val="clear" w:color="auto" w:fill="DBF4F5" w:themeFill="background2"/>
            <w:noWrap/>
            <w:vAlign w:val="center"/>
          </w:tcPr>
          <w:p w14:paraId="6D8EF588" w14:textId="78BE1032" w:rsidR="007A2DE1" w:rsidRPr="007A2DE1" w:rsidRDefault="007A2DE1" w:rsidP="007A2DE1">
            <w:pPr>
              <w:pStyle w:val="TableTextRight"/>
              <w:rPr>
                <w:szCs w:val="18"/>
              </w:rPr>
            </w:pPr>
            <w:r w:rsidRPr="007A2DE1">
              <w:rPr>
                <w:rFonts w:ascii="Arial" w:hAnsi="Arial" w:cs="Arial"/>
                <w:color w:val="000000"/>
                <w:szCs w:val="18"/>
              </w:rPr>
              <w:t>100</w:t>
            </w:r>
          </w:p>
        </w:tc>
        <w:tc>
          <w:tcPr>
            <w:tcW w:w="1453" w:type="dxa"/>
            <w:vAlign w:val="center"/>
          </w:tcPr>
          <w:p w14:paraId="206E5A25" w14:textId="2E80339E" w:rsidR="007A2DE1" w:rsidRPr="007A2DE1" w:rsidRDefault="007A2DE1" w:rsidP="007A2DE1">
            <w:pPr>
              <w:pStyle w:val="TableTextRight"/>
              <w:rPr>
                <w:szCs w:val="18"/>
              </w:rPr>
            </w:pPr>
            <w:r w:rsidRPr="007A2DE1">
              <w:rPr>
                <w:rFonts w:ascii="Arial" w:hAnsi="Arial" w:cs="Arial"/>
                <w:color w:val="000000"/>
                <w:szCs w:val="18"/>
              </w:rPr>
              <w:t>0%</w:t>
            </w:r>
          </w:p>
        </w:tc>
      </w:tr>
      <w:tr w:rsidR="007A2DE1" w:rsidRPr="00190354" w14:paraId="67FA9B98" w14:textId="77777777" w:rsidTr="007A2DE1">
        <w:trPr>
          <w:trHeight w:val="286"/>
        </w:trPr>
        <w:tc>
          <w:tcPr>
            <w:tcW w:w="1453" w:type="dxa"/>
            <w:shd w:val="clear" w:color="auto" w:fill="DBF4F5" w:themeFill="background2"/>
            <w:noWrap/>
            <w:vAlign w:val="center"/>
          </w:tcPr>
          <w:p w14:paraId="2B40A61F" w14:textId="2AB4EC1B" w:rsidR="007A2DE1" w:rsidRPr="007A2DE1" w:rsidRDefault="007A2DE1" w:rsidP="007A2DE1">
            <w:pPr>
              <w:pStyle w:val="TableTextLeft"/>
              <w:rPr>
                <w:rFonts w:ascii="Arial" w:hAnsi="Arial"/>
                <w:color w:val="000000"/>
                <w:szCs w:val="18"/>
              </w:rPr>
            </w:pPr>
            <w:r w:rsidRPr="007A2DE1">
              <w:rPr>
                <w:rFonts w:ascii="Arial" w:hAnsi="Arial" w:cs="Arial"/>
                <w:color w:val="000000"/>
                <w:szCs w:val="18"/>
              </w:rPr>
              <w:t>Korea</w:t>
            </w:r>
          </w:p>
        </w:tc>
        <w:tc>
          <w:tcPr>
            <w:tcW w:w="1453" w:type="dxa"/>
            <w:noWrap/>
            <w:vAlign w:val="center"/>
          </w:tcPr>
          <w:p w14:paraId="6A31AEFA" w14:textId="79D2937C" w:rsidR="007A2DE1" w:rsidRPr="007A2DE1" w:rsidRDefault="007A2DE1" w:rsidP="007A2DE1">
            <w:pPr>
              <w:pStyle w:val="TableTextRight"/>
              <w:rPr>
                <w:rFonts w:ascii="Arial" w:hAnsi="Arial"/>
                <w:color w:val="000000"/>
                <w:szCs w:val="18"/>
              </w:rPr>
            </w:pPr>
            <w:r w:rsidRPr="007A2DE1">
              <w:rPr>
                <w:rFonts w:ascii="Arial" w:hAnsi="Arial" w:cs="Arial"/>
                <w:color w:val="000000"/>
                <w:szCs w:val="18"/>
              </w:rPr>
              <w:t>0</w:t>
            </w:r>
          </w:p>
        </w:tc>
        <w:tc>
          <w:tcPr>
            <w:tcW w:w="1453" w:type="dxa"/>
            <w:shd w:val="clear" w:color="auto" w:fill="DBF4F5" w:themeFill="background2"/>
            <w:noWrap/>
            <w:vAlign w:val="center"/>
          </w:tcPr>
          <w:p w14:paraId="0F12A41C" w14:textId="1E70E76C" w:rsidR="007A2DE1" w:rsidRPr="007A2DE1" w:rsidRDefault="007A2DE1" w:rsidP="007A2DE1">
            <w:pPr>
              <w:pStyle w:val="TableTextRight"/>
              <w:rPr>
                <w:rFonts w:ascii="Arial" w:hAnsi="Arial"/>
                <w:color w:val="000000"/>
                <w:szCs w:val="18"/>
              </w:rPr>
            </w:pPr>
            <w:r w:rsidRPr="007A2DE1">
              <w:rPr>
                <w:rFonts w:ascii="Arial" w:hAnsi="Arial" w:cs="Arial"/>
                <w:color w:val="000000"/>
                <w:szCs w:val="18"/>
              </w:rPr>
              <w:t>0</w:t>
            </w:r>
          </w:p>
        </w:tc>
        <w:tc>
          <w:tcPr>
            <w:tcW w:w="1453" w:type="dxa"/>
            <w:vAlign w:val="center"/>
          </w:tcPr>
          <w:p w14:paraId="592E803D" w14:textId="64A71063" w:rsidR="007A2DE1" w:rsidRPr="007A2DE1" w:rsidRDefault="007A2DE1" w:rsidP="007A2DE1">
            <w:pPr>
              <w:pStyle w:val="TableTextRight"/>
              <w:rPr>
                <w:rFonts w:ascii="Arial" w:hAnsi="Arial"/>
                <w:color w:val="000000"/>
                <w:szCs w:val="18"/>
              </w:rPr>
            </w:pPr>
            <w:r>
              <w:rPr>
                <w:rFonts w:ascii="Arial" w:hAnsi="Arial" w:cs="Arial"/>
                <w:color w:val="000000"/>
                <w:szCs w:val="18"/>
              </w:rPr>
              <w:t>N/A</w:t>
            </w:r>
          </w:p>
        </w:tc>
      </w:tr>
      <w:tr w:rsidR="007A2DE1" w:rsidRPr="00190354" w14:paraId="03AB54EF" w14:textId="77777777" w:rsidTr="007A2DE1">
        <w:trPr>
          <w:trHeight w:val="286"/>
        </w:trPr>
        <w:tc>
          <w:tcPr>
            <w:tcW w:w="1453" w:type="dxa"/>
            <w:shd w:val="clear" w:color="auto" w:fill="DBF4F5" w:themeFill="background2"/>
            <w:noWrap/>
            <w:vAlign w:val="center"/>
          </w:tcPr>
          <w:p w14:paraId="31AA9434" w14:textId="4EEDC08C" w:rsidR="007A2DE1" w:rsidRPr="007A2DE1" w:rsidRDefault="007A2DE1" w:rsidP="007A2DE1">
            <w:pPr>
              <w:pStyle w:val="TableTextLeft"/>
              <w:rPr>
                <w:szCs w:val="18"/>
              </w:rPr>
            </w:pPr>
            <w:r w:rsidRPr="007A2DE1">
              <w:rPr>
                <w:rFonts w:ascii="Arial" w:hAnsi="Arial" w:cs="Arial"/>
                <w:color w:val="000000"/>
                <w:szCs w:val="18"/>
              </w:rPr>
              <w:t>China</w:t>
            </w:r>
          </w:p>
        </w:tc>
        <w:tc>
          <w:tcPr>
            <w:tcW w:w="1453" w:type="dxa"/>
            <w:noWrap/>
            <w:vAlign w:val="center"/>
          </w:tcPr>
          <w:p w14:paraId="78045339" w14:textId="5C625724" w:rsidR="007A2DE1" w:rsidRPr="007A2DE1" w:rsidRDefault="007A2DE1" w:rsidP="007A2DE1">
            <w:pPr>
              <w:pStyle w:val="TableTextRight"/>
              <w:rPr>
                <w:szCs w:val="18"/>
              </w:rPr>
            </w:pPr>
            <w:r w:rsidRPr="007A2DE1">
              <w:rPr>
                <w:rFonts w:ascii="Arial" w:hAnsi="Arial" w:cs="Arial"/>
                <w:color w:val="000000"/>
                <w:szCs w:val="18"/>
              </w:rPr>
              <w:t>0</w:t>
            </w:r>
          </w:p>
        </w:tc>
        <w:tc>
          <w:tcPr>
            <w:tcW w:w="1453" w:type="dxa"/>
            <w:shd w:val="clear" w:color="auto" w:fill="DBF4F5" w:themeFill="background2"/>
            <w:noWrap/>
            <w:vAlign w:val="center"/>
          </w:tcPr>
          <w:p w14:paraId="58F9A4B9" w14:textId="3311170F" w:rsidR="007A2DE1" w:rsidRPr="007A2DE1" w:rsidRDefault="007A2DE1" w:rsidP="007A2DE1">
            <w:pPr>
              <w:pStyle w:val="TableTextRight"/>
              <w:rPr>
                <w:szCs w:val="18"/>
              </w:rPr>
            </w:pPr>
            <w:r w:rsidRPr="007A2DE1">
              <w:rPr>
                <w:rFonts w:ascii="Arial" w:hAnsi="Arial" w:cs="Arial"/>
                <w:color w:val="000000"/>
                <w:szCs w:val="18"/>
              </w:rPr>
              <w:t>0</w:t>
            </w:r>
          </w:p>
        </w:tc>
        <w:tc>
          <w:tcPr>
            <w:tcW w:w="1453" w:type="dxa"/>
            <w:vAlign w:val="center"/>
          </w:tcPr>
          <w:p w14:paraId="7C312026" w14:textId="619B5A66" w:rsidR="007A2DE1" w:rsidRPr="007A2DE1" w:rsidRDefault="007A2DE1" w:rsidP="007A2DE1">
            <w:pPr>
              <w:pStyle w:val="TableTextRight"/>
              <w:rPr>
                <w:szCs w:val="18"/>
              </w:rPr>
            </w:pPr>
            <w:r>
              <w:rPr>
                <w:rFonts w:ascii="Arial" w:hAnsi="Arial" w:cs="Arial"/>
                <w:color w:val="000000"/>
                <w:szCs w:val="18"/>
              </w:rPr>
              <w:t>N/A</w:t>
            </w:r>
          </w:p>
        </w:tc>
      </w:tr>
      <w:tr w:rsidR="007A2DE1" w:rsidRPr="00190354" w14:paraId="676238F1" w14:textId="77777777" w:rsidTr="007A2DE1">
        <w:trPr>
          <w:trHeight w:val="286"/>
        </w:trPr>
        <w:tc>
          <w:tcPr>
            <w:tcW w:w="1453" w:type="dxa"/>
            <w:shd w:val="clear" w:color="auto" w:fill="DBF4F5" w:themeFill="background2"/>
            <w:noWrap/>
            <w:vAlign w:val="center"/>
          </w:tcPr>
          <w:p w14:paraId="5EE60381" w14:textId="3E1B68C2" w:rsidR="007A2DE1" w:rsidRPr="007A2DE1" w:rsidRDefault="007A2DE1" w:rsidP="007A2DE1">
            <w:pPr>
              <w:pStyle w:val="TableTextLeft"/>
              <w:rPr>
                <w:szCs w:val="18"/>
              </w:rPr>
            </w:pPr>
            <w:r w:rsidRPr="007A2DE1">
              <w:rPr>
                <w:rFonts w:ascii="Arial" w:hAnsi="Arial" w:cs="Arial"/>
                <w:color w:val="000000"/>
                <w:szCs w:val="18"/>
              </w:rPr>
              <w:t>Indonesia</w:t>
            </w:r>
          </w:p>
        </w:tc>
        <w:tc>
          <w:tcPr>
            <w:tcW w:w="1453" w:type="dxa"/>
            <w:noWrap/>
            <w:vAlign w:val="center"/>
          </w:tcPr>
          <w:p w14:paraId="39214BEC" w14:textId="270B6483" w:rsidR="007A2DE1" w:rsidRPr="007A2DE1" w:rsidRDefault="007A2DE1" w:rsidP="007A2DE1">
            <w:pPr>
              <w:pStyle w:val="TableTextRight"/>
              <w:rPr>
                <w:szCs w:val="18"/>
              </w:rPr>
            </w:pPr>
            <w:r w:rsidRPr="007A2DE1">
              <w:rPr>
                <w:rFonts w:ascii="Arial" w:hAnsi="Arial" w:cs="Arial"/>
                <w:color w:val="000000"/>
                <w:szCs w:val="18"/>
              </w:rPr>
              <w:t>0</w:t>
            </w:r>
          </w:p>
        </w:tc>
        <w:tc>
          <w:tcPr>
            <w:tcW w:w="1453" w:type="dxa"/>
            <w:shd w:val="clear" w:color="auto" w:fill="DBF4F5" w:themeFill="background2"/>
            <w:noWrap/>
            <w:vAlign w:val="center"/>
          </w:tcPr>
          <w:p w14:paraId="4D6A7154" w14:textId="73E90C87" w:rsidR="007A2DE1" w:rsidRPr="007A2DE1" w:rsidRDefault="007A2DE1" w:rsidP="007A2DE1">
            <w:pPr>
              <w:pStyle w:val="TableTextRight"/>
              <w:rPr>
                <w:szCs w:val="18"/>
              </w:rPr>
            </w:pPr>
            <w:r w:rsidRPr="007A2DE1">
              <w:rPr>
                <w:rFonts w:ascii="Arial" w:hAnsi="Arial" w:cs="Arial"/>
                <w:color w:val="000000"/>
                <w:szCs w:val="18"/>
              </w:rPr>
              <w:t>0</w:t>
            </w:r>
          </w:p>
        </w:tc>
        <w:tc>
          <w:tcPr>
            <w:tcW w:w="1453" w:type="dxa"/>
            <w:vAlign w:val="center"/>
          </w:tcPr>
          <w:p w14:paraId="078A8021" w14:textId="1FA7DB48" w:rsidR="007A2DE1" w:rsidRPr="007A2DE1" w:rsidRDefault="007A2DE1" w:rsidP="007A2DE1">
            <w:pPr>
              <w:pStyle w:val="TableTextRight"/>
              <w:rPr>
                <w:szCs w:val="18"/>
              </w:rPr>
            </w:pPr>
            <w:r>
              <w:rPr>
                <w:rFonts w:ascii="Arial" w:hAnsi="Arial" w:cs="Arial"/>
                <w:color w:val="000000"/>
                <w:szCs w:val="18"/>
              </w:rPr>
              <w:t>N/A</w:t>
            </w:r>
          </w:p>
        </w:tc>
      </w:tr>
      <w:tr w:rsidR="007A2DE1" w:rsidRPr="00190354" w14:paraId="5C79FBD9" w14:textId="77777777" w:rsidTr="007A2DE1">
        <w:trPr>
          <w:trHeight w:val="286"/>
        </w:trPr>
        <w:tc>
          <w:tcPr>
            <w:tcW w:w="1453" w:type="dxa"/>
            <w:shd w:val="clear" w:color="auto" w:fill="DBF4F5" w:themeFill="background2"/>
            <w:noWrap/>
            <w:vAlign w:val="center"/>
          </w:tcPr>
          <w:p w14:paraId="3E2F7647" w14:textId="46865D2E" w:rsidR="007A2DE1" w:rsidRPr="007A2DE1" w:rsidRDefault="007A2DE1" w:rsidP="007A2DE1">
            <w:pPr>
              <w:pStyle w:val="TableTextLeft"/>
              <w:rPr>
                <w:szCs w:val="18"/>
              </w:rPr>
            </w:pPr>
            <w:r w:rsidRPr="007A2DE1">
              <w:rPr>
                <w:rFonts w:ascii="Arial" w:hAnsi="Arial" w:cs="Arial"/>
                <w:color w:val="000000"/>
                <w:szCs w:val="18"/>
              </w:rPr>
              <w:t>All other</w:t>
            </w:r>
          </w:p>
        </w:tc>
        <w:tc>
          <w:tcPr>
            <w:tcW w:w="1453" w:type="dxa"/>
            <w:noWrap/>
            <w:vAlign w:val="center"/>
          </w:tcPr>
          <w:p w14:paraId="3DD95DE1" w14:textId="1D52C4BF" w:rsidR="007A2DE1" w:rsidRPr="007A2DE1" w:rsidRDefault="007A2DE1" w:rsidP="007A2DE1">
            <w:pPr>
              <w:pStyle w:val="TableTextRight"/>
              <w:rPr>
                <w:szCs w:val="18"/>
              </w:rPr>
            </w:pPr>
            <w:r w:rsidRPr="007A2DE1">
              <w:rPr>
                <w:rFonts w:ascii="Arial" w:hAnsi="Arial" w:cs="Arial"/>
                <w:color w:val="000000"/>
                <w:szCs w:val="18"/>
              </w:rPr>
              <w:t>200</w:t>
            </w:r>
          </w:p>
        </w:tc>
        <w:tc>
          <w:tcPr>
            <w:tcW w:w="1453" w:type="dxa"/>
            <w:shd w:val="clear" w:color="auto" w:fill="DBF4F5" w:themeFill="background2"/>
            <w:noWrap/>
            <w:vAlign w:val="center"/>
          </w:tcPr>
          <w:p w14:paraId="56F363A4" w14:textId="7B065BAF" w:rsidR="007A2DE1" w:rsidRPr="007A2DE1" w:rsidRDefault="007A2DE1" w:rsidP="007A2DE1">
            <w:pPr>
              <w:pStyle w:val="TableTextRight"/>
              <w:rPr>
                <w:szCs w:val="18"/>
              </w:rPr>
            </w:pPr>
            <w:r w:rsidRPr="007A2DE1">
              <w:rPr>
                <w:rFonts w:ascii="Arial" w:hAnsi="Arial" w:cs="Arial"/>
                <w:color w:val="000000"/>
                <w:szCs w:val="18"/>
              </w:rPr>
              <w:t>0</w:t>
            </w:r>
          </w:p>
        </w:tc>
        <w:tc>
          <w:tcPr>
            <w:tcW w:w="1453" w:type="dxa"/>
            <w:vAlign w:val="center"/>
          </w:tcPr>
          <w:p w14:paraId="524281CA" w14:textId="764C8BCC" w:rsidR="007A2DE1" w:rsidRPr="007A2DE1" w:rsidRDefault="007A2DE1" w:rsidP="007A2DE1">
            <w:pPr>
              <w:pStyle w:val="TableTextRight"/>
              <w:rPr>
                <w:szCs w:val="18"/>
              </w:rPr>
            </w:pPr>
            <w:r w:rsidRPr="007A2DE1">
              <w:rPr>
                <w:rFonts w:ascii="Arial" w:hAnsi="Arial" w:cs="Arial"/>
                <w:color w:val="000000"/>
                <w:szCs w:val="18"/>
              </w:rPr>
              <w:t>-100%</w:t>
            </w:r>
          </w:p>
        </w:tc>
      </w:tr>
      <w:tr w:rsidR="007A2DE1" w:rsidRPr="00190354" w14:paraId="0D430365" w14:textId="77777777" w:rsidTr="007A2DE1">
        <w:trPr>
          <w:trHeight w:val="286"/>
        </w:trPr>
        <w:tc>
          <w:tcPr>
            <w:tcW w:w="1453" w:type="dxa"/>
            <w:shd w:val="clear" w:color="auto" w:fill="DBF4F5" w:themeFill="background2"/>
            <w:noWrap/>
          </w:tcPr>
          <w:p w14:paraId="4EBF8906" w14:textId="77777777" w:rsidR="007A2DE1" w:rsidRPr="00AC6B19" w:rsidRDefault="007A2DE1" w:rsidP="007A2DE1">
            <w:pPr>
              <w:pStyle w:val="TableTextLeftBold"/>
              <w:rPr>
                <w:sz w:val="18"/>
                <w:szCs w:val="18"/>
              </w:rPr>
            </w:pPr>
            <w:r w:rsidRPr="00AC6B19">
              <w:rPr>
                <w:sz w:val="18"/>
                <w:szCs w:val="18"/>
              </w:rPr>
              <w:t>Total</w:t>
            </w:r>
          </w:p>
        </w:tc>
        <w:tc>
          <w:tcPr>
            <w:tcW w:w="1453" w:type="dxa"/>
            <w:noWrap/>
          </w:tcPr>
          <w:p w14:paraId="24F8992D" w14:textId="090A4F63" w:rsidR="007A2DE1" w:rsidRPr="00AC6B19" w:rsidRDefault="007A2DE1" w:rsidP="007A2DE1">
            <w:pPr>
              <w:pStyle w:val="TableTextRight"/>
              <w:rPr>
                <w:b/>
                <w:bCs/>
                <w:szCs w:val="18"/>
              </w:rPr>
            </w:pPr>
            <w:r>
              <w:rPr>
                <w:b/>
                <w:bCs/>
                <w:szCs w:val="18"/>
              </w:rPr>
              <w:t>1</w:t>
            </w:r>
            <w:r w:rsidRPr="00AC6B19">
              <w:rPr>
                <w:b/>
                <w:bCs/>
                <w:szCs w:val="18"/>
              </w:rPr>
              <w:t>,</w:t>
            </w:r>
            <w:r>
              <w:rPr>
                <w:b/>
                <w:bCs/>
                <w:szCs w:val="18"/>
              </w:rPr>
              <w:t>0</w:t>
            </w:r>
            <w:r w:rsidRPr="00AC6B19">
              <w:rPr>
                <w:b/>
                <w:bCs/>
                <w:szCs w:val="18"/>
              </w:rPr>
              <w:t>00</w:t>
            </w:r>
          </w:p>
        </w:tc>
        <w:tc>
          <w:tcPr>
            <w:tcW w:w="1453" w:type="dxa"/>
            <w:shd w:val="clear" w:color="auto" w:fill="DBF4F5" w:themeFill="background2"/>
            <w:noWrap/>
          </w:tcPr>
          <w:p w14:paraId="70191FB2" w14:textId="3B4D16DC" w:rsidR="007A2DE1" w:rsidRPr="00AC6B19" w:rsidRDefault="007A2DE1" w:rsidP="007A2DE1">
            <w:pPr>
              <w:pStyle w:val="TableTextRight"/>
              <w:rPr>
                <w:b/>
                <w:bCs/>
                <w:szCs w:val="18"/>
              </w:rPr>
            </w:pPr>
            <w:r>
              <w:rPr>
                <w:b/>
                <w:bCs/>
                <w:szCs w:val="18"/>
              </w:rPr>
              <w:t>7</w:t>
            </w:r>
            <w:r w:rsidRPr="00AC6B19">
              <w:rPr>
                <w:b/>
                <w:bCs/>
                <w:szCs w:val="18"/>
              </w:rPr>
              <w:t>00</w:t>
            </w:r>
          </w:p>
        </w:tc>
        <w:tc>
          <w:tcPr>
            <w:tcW w:w="1453" w:type="dxa"/>
          </w:tcPr>
          <w:p w14:paraId="0EE1F364" w14:textId="4150D157" w:rsidR="007A2DE1" w:rsidRPr="00AC6B19" w:rsidRDefault="007A2DE1" w:rsidP="007A2DE1">
            <w:pPr>
              <w:pStyle w:val="TableTextRight"/>
              <w:rPr>
                <w:b/>
                <w:bCs/>
                <w:szCs w:val="18"/>
              </w:rPr>
            </w:pPr>
            <w:r w:rsidRPr="00AC6B19">
              <w:rPr>
                <w:b/>
                <w:bCs/>
                <w:szCs w:val="18"/>
              </w:rPr>
              <w:t>-</w:t>
            </w:r>
            <w:r>
              <w:rPr>
                <w:b/>
                <w:bCs/>
                <w:szCs w:val="18"/>
              </w:rPr>
              <w:t>30</w:t>
            </w:r>
            <w:r w:rsidRPr="00AC6B19">
              <w:rPr>
                <w:b/>
                <w:bCs/>
                <w:szCs w:val="18"/>
              </w:rPr>
              <w:t>%</w:t>
            </w:r>
          </w:p>
        </w:tc>
      </w:tr>
    </w:tbl>
    <w:p w14:paraId="535F8506" w14:textId="733AAA55" w:rsidR="00030227" w:rsidRDefault="00030227" w:rsidP="007A2DE1">
      <w:pPr>
        <w:pStyle w:val="BodyText"/>
        <w:rPr>
          <w:sz w:val="18"/>
          <w:szCs w:val="18"/>
        </w:rPr>
      </w:pPr>
      <w:r w:rsidRPr="007A2DE1">
        <w:rPr>
          <w:sz w:val="18"/>
          <w:szCs w:val="18"/>
        </w:rPr>
        <w:t xml:space="preserve">Source: ABS </w:t>
      </w:r>
      <w:r w:rsidR="00D4163E" w:rsidRPr="007A2DE1">
        <w:rPr>
          <w:sz w:val="18"/>
          <w:szCs w:val="18"/>
        </w:rPr>
        <w:t>and</w:t>
      </w:r>
      <w:r w:rsidRPr="007A2DE1">
        <w:rPr>
          <w:sz w:val="18"/>
          <w:szCs w:val="18"/>
        </w:rPr>
        <w:t xml:space="preserve"> IE (Australian Harmonized Export Commodity Classification (AHECC) data by month, classification and destination country, 2022) and Blue Environment.</w:t>
      </w:r>
    </w:p>
    <w:p w14:paraId="3C76116C" w14:textId="77777777" w:rsidR="007A2DE1" w:rsidRPr="007A2DE1" w:rsidRDefault="007A2DE1" w:rsidP="007A2DE1">
      <w:pPr>
        <w:pStyle w:val="BodyText"/>
      </w:pPr>
    </w:p>
    <w:p w14:paraId="073A05E7" w14:textId="7A3F0F23" w:rsidR="00171234" w:rsidRDefault="008269BB" w:rsidP="00FF6D9A">
      <w:pPr>
        <w:pStyle w:val="Heading3"/>
      </w:pPr>
      <w:r>
        <w:t>Market opportunities</w:t>
      </w:r>
    </w:p>
    <w:p w14:paraId="580130EE" w14:textId="386297D0" w:rsidR="00171234" w:rsidRDefault="00171234" w:rsidP="00171234">
      <w:pPr>
        <w:pStyle w:val="BodyText"/>
      </w:pPr>
      <w:r>
        <w:t xml:space="preserve">There continues to be significant and growing local demand for high-quality PET, HDPE and PP packaging recyclate for remanufacturing into many applications, if reprocessed to a high level. In addition, excellent export markets exist for </w:t>
      </w:r>
      <w:r w:rsidR="00CA7938">
        <w:t>high quality</w:t>
      </w:r>
      <w:r>
        <w:t xml:space="preserve"> sorted/washed flake and pellets, with price premiums available at around 50%–100% the price of virgin resin.</w:t>
      </w:r>
    </w:p>
    <w:p w14:paraId="78D45DF6" w14:textId="77777777" w:rsidR="00171234" w:rsidRDefault="00171234" w:rsidP="00171234">
      <w:pPr>
        <w:pStyle w:val="BodyText"/>
      </w:pPr>
      <w:r>
        <w:t>There is significant new rPET, rHDPE and rPP reprocessing capacity in the pipeline, that appears close to covering the local reprocessing shortfall, including scrap plastics caught up in the Australian unprocessed single-polymer plastics export ban that came into force as of 1 July 2022.</w:t>
      </w:r>
    </w:p>
    <w:p w14:paraId="6B1B3BE3" w14:textId="5533AF42" w:rsidR="00171234" w:rsidRDefault="3099195B" w:rsidP="00171234">
      <w:pPr>
        <w:pStyle w:val="BodyText"/>
      </w:pPr>
      <w:r>
        <w:t xml:space="preserve">However, as much of the new capacity </w:t>
      </w:r>
      <w:r w:rsidR="007A2DE1">
        <w:t>is not yet operating</w:t>
      </w:r>
      <w:r>
        <w:t xml:space="preserve"> there </w:t>
      </w:r>
      <w:r w:rsidR="007A2DE1">
        <w:t>is</w:t>
      </w:r>
      <w:r>
        <w:t xml:space="preserve"> a capacity shortfall for the reprocessing of higher value bales of </w:t>
      </w:r>
      <w:r w:rsidR="1FD22C23">
        <w:t>single polymer</w:t>
      </w:r>
      <w:r>
        <w:t xml:space="preserve"> kerbside packaging, such as PET and HDPE bottles, that were previously sent directly to export.</w:t>
      </w:r>
    </w:p>
    <w:p w14:paraId="2CA0E602" w14:textId="0703EC9C" w:rsidR="00171234" w:rsidRDefault="00171234" w:rsidP="00171234">
      <w:pPr>
        <w:pStyle w:val="BodyText"/>
      </w:pPr>
      <w:r>
        <w:t xml:space="preserve">Markets for mixed polymer and lower value post-consumer plastic packaging, such as PET thermoforms, rigid PVC, rigid PS, and mixed polymer scrap bales continue to be </w:t>
      </w:r>
      <w:r w:rsidR="00CA7938">
        <w:t>underdeveloped</w:t>
      </w:r>
      <w:r>
        <w:t xml:space="preserve"> or non-existent.</w:t>
      </w:r>
    </w:p>
    <w:p w14:paraId="4C18453E" w14:textId="49637F0B" w:rsidR="00171234" w:rsidRDefault="00171234" w:rsidP="00171234">
      <w:pPr>
        <w:pStyle w:val="BodyText"/>
      </w:pPr>
      <w:r>
        <w:t xml:space="preserve">These mixed bales can no longer be exported (as of July 2021), and it is understood that </w:t>
      </w:r>
      <w:r w:rsidR="007A2DE1">
        <w:t>most</w:t>
      </w:r>
      <w:r>
        <w:t xml:space="preserve"> of this material </w:t>
      </w:r>
      <w:r w:rsidR="007A2DE1">
        <w:t>ha</w:t>
      </w:r>
      <w:r>
        <w:t>s</w:t>
      </w:r>
      <w:r w:rsidR="007A2DE1">
        <w:t xml:space="preserve"> been</w:t>
      </w:r>
      <w:r>
        <w:t xml:space="preserve"> sent to landfill</w:t>
      </w:r>
      <w:r w:rsidR="007A2DE1">
        <w:t xml:space="preserve"> over the last 12 months.</w:t>
      </w:r>
    </w:p>
    <w:p w14:paraId="600CE780" w14:textId="6A694635" w:rsidR="00171234" w:rsidRDefault="3099195B" w:rsidP="00171234">
      <w:pPr>
        <w:pStyle w:val="BodyText"/>
      </w:pPr>
      <w:r>
        <w:t xml:space="preserve">Some of the new rPET reprocessing capacity will specifically target PET thermoforms </w:t>
      </w:r>
      <w:r w:rsidR="60B0452D">
        <w:t xml:space="preserve">such </w:t>
      </w:r>
      <w:r w:rsidR="1FD22C23">
        <w:t>as strawberry</w:t>
      </w:r>
      <w:r>
        <w:t xml:space="preserve"> punnets, and with reducing quantities of this format is being laminated with PE or PP, its value as a recovered commodity is increasing. It is anticipated that within 2–3 years the market for thermoformed rPET will be much healthier, and possibly on a par with bottle grade rPET, assuming laminated PET formats continue to be deselected by packaging designers.</w:t>
      </w:r>
    </w:p>
    <w:p w14:paraId="019EB683" w14:textId="08C54BFF" w:rsidR="00171234" w:rsidRDefault="00171234" w:rsidP="00171234">
      <w:pPr>
        <w:pStyle w:val="BodyText"/>
      </w:pPr>
      <w:r>
        <w:t xml:space="preserve">It </w:t>
      </w:r>
      <w:r w:rsidR="007A2DE1">
        <w:t>i</w:t>
      </w:r>
      <w:r>
        <w:t xml:space="preserve">s important to note that rigid PVC and PS based packaging are now being proactively phased </w:t>
      </w:r>
      <w:r w:rsidR="00CA7938">
        <w:t>out by</w:t>
      </w:r>
      <w:r>
        <w:t xml:space="preserve"> many, if not all brand</w:t>
      </w:r>
      <w:r w:rsidR="00D4163E">
        <w:t xml:space="preserve"> </w:t>
      </w:r>
      <w:r>
        <w:t>owners, and the quantities of these polymers in kerbside collections are already low and continue to fall. Landfill may often be the best fate for rigid plastic packaging made from these polymers, pending their removal from the packaging system.</w:t>
      </w:r>
    </w:p>
    <w:p w14:paraId="7FA076C0" w14:textId="77777777" w:rsidR="00171234" w:rsidRDefault="00171234" w:rsidP="00171234">
      <w:pPr>
        <w:pStyle w:val="BodyText"/>
      </w:pPr>
      <w:r>
        <w:t>Continued deselection of PVC and PS, and ongoing improvements in PET, HDPE and PP based packaging design, are anticipated to improve the overall value and recyclability of our PET, HDPE and PP dominated rigid plastic packaging system.</w:t>
      </w:r>
    </w:p>
    <w:p w14:paraId="6049B552" w14:textId="24E1E5BD" w:rsidR="00171234" w:rsidRDefault="00171234" w:rsidP="00171234">
      <w:pPr>
        <w:pStyle w:val="BodyText"/>
      </w:pPr>
      <w:r>
        <w:lastRenderedPageBreak/>
        <w:t xml:space="preserve">There is significant new capacity that </w:t>
      </w:r>
      <w:r w:rsidR="00CA7938">
        <w:t>has started</w:t>
      </w:r>
      <w:r>
        <w:t xml:space="preserve"> operating in the last couple of </w:t>
      </w:r>
      <w:r w:rsidR="00DD2260">
        <w:t>years or</w:t>
      </w:r>
      <w:r>
        <w:t xml:space="preserve"> is reported to be coming online in the next 1–3 years. A summary of this future capacity, that has a kerbside packaging focus, is provided in Table </w:t>
      </w:r>
      <w:r w:rsidR="00C518FC">
        <w:t>3</w:t>
      </w:r>
      <w:r>
        <w:t>.</w:t>
      </w:r>
    </w:p>
    <w:p w14:paraId="401DCD76" w14:textId="44CD5DAD" w:rsidR="00171234" w:rsidRDefault="00171234" w:rsidP="00171234">
      <w:pPr>
        <w:pStyle w:val="BodyText"/>
      </w:pPr>
      <w:r>
        <w:t xml:space="preserve">Note that the estimated capacity figures in this table are provisional. </w:t>
      </w:r>
      <w:r w:rsidR="00F51D8D">
        <w:t>N</w:t>
      </w:r>
      <w:r>
        <w:t>ote that there are numerous other significant plastics reprocessing projects under development in Victoria (~10–15) that do not relate to kerbside plastic packaging, these are not listed.</w:t>
      </w:r>
    </w:p>
    <w:p w14:paraId="11FCD05B" w14:textId="77777777" w:rsidR="00EA1EF4" w:rsidRDefault="00EA1EF4" w:rsidP="00171234">
      <w:pPr>
        <w:pStyle w:val="BodyText"/>
      </w:pPr>
    </w:p>
    <w:p w14:paraId="38BDF856" w14:textId="14012452" w:rsidR="00C518FC" w:rsidRDefault="00171234" w:rsidP="00FF6D9A">
      <w:pPr>
        <w:pStyle w:val="CaptionImageorFigure"/>
      </w:pPr>
      <w:r w:rsidRPr="00171234">
        <w:t>Table 3</w:t>
      </w:r>
      <w:r w:rsidR="004A2096">
        <w:t>:</w:t>
      </w:r>
      <w:r w:rsidRPr="00171234">
        <w:t xml:space="preserve"> Major new or upgraded plastics reprocessing facilities across 2020–2023 (kerbside packaging focussed)</w:t>
      </w:r>
    </w:p>
    <w:tbl>
      <w:tblPr>
        <w:tblStyle w:val="TableGrid"/>
        <w:tblW w:w="5209" w:type="pct"/>
        <w:tblInd w:w="-142" w:type="dxa"/>
        <w:tblLook w:val="04A0" w:firstRow="1" w:lastRow="0" w:firstColumn="1" w:lastColumn="0" w:noHBand="0" w:noVBand="1"/>
      </w:tblPr>
      <w:tblGrid>
        <w:gridCol w:w="2932"/>
        <w:gridCol w:w="1559"/>
        <w:gridCol w:w="1701"/>
        <w:gridCol w:w="2350"/>
        <w:gridCol w:w="2090"/>
      </w:tblGrid>
      <w:tr w:rsidR="001230E4" w:rsidRPr="00510B16" w14:paraId="72A20DA9" w14:textId="77777777" w:rsidTr="00966ED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916" w:type="dxa"/>
            <w:noWrap/>
            <w:hideMark/>
          </w:tcPr>
          <w:p w14:paraId="1457D9C6" w14:textId="77777777" w:rsidR="00171234" w:rsidRPr="00510B16" w:rsidRDefault="00171234" w:rsidP="001230E4">
            <w:pPr>
              <w:pStyle w:val="TableHeadingLeft"/>
              <w:spacing w:line="240" w:lineRule="auto"/>
              <w:jc w:val="center"/>
              <w:rPr>
                <w:rFonts w:eastAsia="Arial"/>
              </w:rPr>
            </w:pPr>
            <w:r w:rsidRPr="008B0117">
              <w:rPr>
                <w:rFonts w:eastAsia="Arial"/>
              </w:rPr>
              <w:t>Facility</w:t>
            </w:r>
            <w:r w:rsidRPr="00510B16">
              <w:rPr>
                <w:rFonts w:eastAsia="Arial"/>
              </w:rPr>
              <w:t xml:space="preserve"> name</w:t>
            </w:r>
          </w:p>
        </w:tc>
        <w:tc>
          <w:tcPr>
            <w:tcW w:w="1543" w:type="dxa"/>
            <w:vAlign w:val="center"/>
            <w:hideMark/>
          </w:tcPr>
          <w:p w14:paraId="094A444B" w14:textId="77777777" w:rsidR="00171234" w:rsidRPr="00510B16" w:rsidRDefault="00171234" w:rsidP="001230E4">
            <w:pPr>
              <w:pStyle w:val="TableHeadingLeft"/>
              <w:spacing w:line="240" w:lineRule="auto"/>
              <w:jc w:val="center"/>
              <w:cnfStyle w:val="100000000000" w:firstRow="1" w:lastRow="0" w:firstColumn="0" w:lastColumn="0" w:oddVBand="0" w:evenVBand="0" w:oddHBand="0" w:evenHBand="0" w:firstRowFirstColumn="0" w:firstRowLastColumn="0" w:lastRowFirstColumn="0" w:lastRowLastColumn="0"/>
              <w:rPr>
                <w:rFonts w:eastAsia="Arial"/>
              </w:rPr>
            </w:pPr>
            <w:r w:rsidRPr="00510B16">
              <w:rPr>
                <w:rFonts w:eastAsia="Arial"/>
              </w:rPr>
              <w:t>Location</w:t>
            </w:r>
          </w:p>
        </w:tc>
        <w:tc>
          <w:tcPr>
            <w:tcW w:w="1685" w:type="dxa"/>
            <w:vAlign w:val="center"/>
          </w:tcPr>
          <w:p w14:paraId="5FAF30B2" w14:textId="77777777" w:rsidR="00171234" w:rsidRPr="00171234" w:rsidRDefault="00171234" w:rsidP="001230E4">
            <w:pPr>
              <w:pStyle w:val="TableHeadingLeft"/>
              <w:spacing w:line="240" w:lineRule="auto"/>
              <w:jc w:val="center"/>
              <w:cnfStyle w:val="100000000000" w:firstRow="1" w:lastRow="0" w:firstColumn="0" w:lastColumn="0" w:oddVBand="0" w:evenVBand="0" w:oddHBand="0" w:evenHBand="0" w:firstRowFirstColumn="0" w:firstRowLastColumn="0" w:lastRowFirstColumn="0" w:lastRowLastColumn="0"/>
              <w:rPr>
                <w:rFonts w:eastAsia="Arial"/>
              </w:rPr>
            </w:pPr>
            <w:r w:rsidRPr="00171234">
              <w:rPr>
                <w:rFonts w:eastAsia="Arial"/>
              </w:rPr>
              <w:t>Est. capacity</w:t>
            </w:r>
          </w:p>
          <w:p w14:paraId="5DB02B59" w14:textId="26A3A7CE" w:rsidR="00171234" w:rsidRPr="00510B16" w:rsidRDefault="00171234" w:rsidP="001230E4">
            <w:pPr>
              <w:pStyle w:val="TableHeadingLeft"/>
              <w:spacing w:line="240" w:lineRule="auto"/>
              <w:jc w:val="center"/>
              <w:cnfStyle w:val="100000000000" w:firstRow="1" w:lastRow="0" w:firstColumn="0" w:lastColumn="0" w:oddVBand="0" w:evenVBand="0" w:oddHBand="0" w:evenHBand="0" w:firstRowFirstColumn="0" w:firstRowLastColumn="0" w:lastRowFirstColumn="0" w:lastRowLastColumn="0"/>
              <w:rPr>
                <w:rFonts w:eastAsia="Arial"/>
              </w:rPr>
            </w:pPr>
            <w:r w:rsidRPr="00171234">
              <w:rPr>
                <w:rFonts w:eastAsia="Arial"/>
              </w:rPr>
              <w:t>(t</w:t>
            </w:r>
            <w:r w:rsidR="0037612C">
              <w:rPr>
                <w:rFonts w:eastAsia="Arial"/>
              </w:rPr>
              <w:t>onnes</w:t>
            </w:r>
            <w:r w:rsidR="007A2DE1">
              <w:rPr>
                <w:rFonts w:eastAsia="Arial"/>
              </w:rPr>
              <w:t>/</w:t>
            </w:r>
            <w:r w:rsidRPr="00171234">
              <w:rPr>
                <w:rFonts w:eastAsia="Arial"/>
              </w:rPr>
              <w:t>y</w:t>
            </w:r>
            <w:r w:rsidR="00E07817">
              <w:rPr>
                <w:rFonts w:eastAsia="Arial"/>
              </w:rPr>
              <w:t>ear</w:t>
            </w:r>
            <w:r w:rsidRPr="00171234">
              <w:rPr>
                <w:rFonts w:eastAsia="Arial"/>
              </w:rPr>
              <w:t>)</w:t>
            </w:r>
          </w:p>
        </w:tc>
        <w:tc>
          <w:tcPr>
            <w:tcW w:w="2366" w:type="dxa"/>
            <w:vAlign w:val="center"/>
          </w:tcPr>
          <w:p w14:paraId="4A7BEC9E" w14:textId="77777777" w:rsidR="00171234" w:rsidRPr="00510B16" w:rsidRDefault="00171234" w:rsidP="001230E4">
            <w:pPr>
              <w:pStyle w:val="TableHeadingLeft"/>
              <w:spacing w:line="240" w:lineRule="auto"/>
              <w:jc w:val="center"/>
              <w:cnfStyle w:val="100000000000" w:firstRow="1" w:lastRow="0" w:firstColumn="0" w:lastColumn="0" w:oddVBand="0" w:evenVBand="0" w:oddHBand="0" w:evenHBand="0" w:firstRowFirstColumn="0" w:firstRowLastColumn="0" w:lastRowFirstColumn="0" w:lastRowLastColumn="0"/>
              <w:rPr>
                <w:rFonts w:eastAsia="Arial"/>
              </w:rPr>
            </w:pPr>
            <w:r w:rsidRPr="00510B16">
              <w:rPr>
                <w:rFonts w:eastAsia="Arial"/>
              </w:rPr>
              <w:t>Highest reprocessing level</w:t>
            </w:r>
          </w:p>
        </w:tc>
        <w:tc>
          <w:tcPr>
            <w:tcW w:w="2122" w:type="dxa"/>
            <w:vAlign w:val="center"/>
          </w:tcPr>
          <w:p w14:paraId="0F31554C" w14:textId="77777777" w:rsidR="00171234" w:rsidRPr="00510B16" w:rsidRDefault="00171234" w:rsidP="001230E4">
            <w:pPr>
              <w:pStyle w:val="TableHeadingLeft"/>
              <w:spacing w:line="240" w:lineRule="auto"/>
              <w:jc w:val="center"/>
              <w:cnfStyle w:val="100000000000" w:firstRow="1" w:lastRow="0" w:firstColumn="0" w:lastColumn="0" w:oddVBand="0" w:evenVBand="0" w:oddHBand="0" w:evenHBand="0" w:firstRowFirstColumn="0" w:firstRowLastColumn="0" w:lastRowFirstColumn="0" w:lastRowLastColumn="0"/>
              <w:rPr>
                <w:rFonts w:eastAsia="Arial"/>
              </w:rPr>
            </w:pPr>
            <w:r w:rsidRPr="00510B16">
              <w:rPr>
                <w:rFonts w:eastAsia="Arial"/>
              </w:rPr>
              <w:t>Other comments</w:t>
            </w:r>
          </w:p>
        </w:tc>
      </w:tr>
      <w:tr w:rsidR="001230E4" w:rsidRPr="00510B16" w14:paraId="68F5C9D4" w14:textId="77777777" w:rsidTr="00966EDA">
        <w:tc>
          <w:tcPr>
            <w:tcW w:w="2916" w:type="dxa"/>
            <w:shd w:val="clear" w:color="auto" w:fill="DBF4F5" w:themeFill="background2"/>
            <w:noWrap/>
          </w:tcPr>
          <w:p w14:paraId="4DF3106B" w14:textId="0F124E94" w:rsidR="00CE0A71" w:rsidRPr="00AC6B19" w:rsidRDefault="00CE0A71" w:rsidP="001230E4">
            <w:pPr>
              <w:pStyle w:val="TableTextLeft"/>
              <w:spacing w:line="240" w:lineRule="auto"/>
              <w:rPr>
                <w:szCs w:val="18"/>
              </w:rPr>
            </w:pPr>
            <w:r w:rsidRPr="00AC6B19">
              <w:rPr>
                <w:szCs w:val="18"/>
              </w:rPr>
              <w:t>Advanced Circular Polymers (ACP)</w:t>
            </w:r>
          </w:p>
        </w:tc>
        <w:tc>
          <w:tcPr>
            <w:tcW w:w="1543" w:type="dxa"/>
            <w:noWrap/>
          </w:tcPr>
          <w:p w14:paraId="00C9B4D0" w14:textId="77777777" w:rsidR="00CE0A71" w:rsidRPr="00AC6B19" w:rsidRDefault="00CE0A71" w:rsidP="001230E4">
            <w:pPr>
              <w:pStyle w:val="TableTextLeft"/>
              <w:spacing w:line="240" w:lineRule="auto"/>
              <w:rPr>
                <w:szCs w:val="18"/>
              </w:rPr>
            </w:pPr>
            <w:r w:rsidRPr="00AC6B19">
              <w:rPr>
                <w:szCs w:val="18"/>
              </w:rPr>
              <w:t>Somerton VIC</w:t>
            </w:r>
          </w:p>
        </w:tc>
        <w:tc>
          <w:tcPr>
            <w:tcW w:w="1685" w:type="dxa"/>
            <w:shd w:val="clear" w:color="auto" w:fill="DBF4F5" w:themeFill="background2"/>
            <w:noWrap/>
          </w:tcPr>
          <w:p w14:paraId="552A3E2B" w14:textId="6479F592" w:rsidR="00CE0A71" w:rsidRPr="00AC6B19" w:rsidRDefault="00CE0A71" w:rsidP="001230E4">
            <w:pPr>
              <w:pStyle w:val="TableTextRight"/>
              <w:spacing w:line="240" w:lineRule="auto"/>
              <w:rPr>
                <w:szCs w:val="18"/>
              </w:rPr>
            </w:pPr>
            <w:r w:rsidRPr="00AC6B19">
              <w:rPr>
                <w:szCs w:val="18"/>
              </w:rPr>
              <w:t>20,000–70,000</w:t>
            </w:r>
          </w:p>
        </w:tc>
        <w:tc>
          <w:tcPr>
            <w:tcW w:w="2366" w:type="dxa"/>
          </w:tcPr>
          <w:p w14:paraId="509FD0B6" w14:textId="77777777" w:rsidR="00CE0A71" w:rsidRPr="00AC6B19" w:rsidRDefault="00CE0A71" w:rsidP="001230E4">
            <w:pPr>
              <w:pStyle w:val="TableTextLeft"/>
              <w:spacing w:line="240" w:lineRule="auto"/>
              <w:rPr>
                <w:szCs w:val="18"/>
              </w:rPr>
            </w:pPr>
            <w:r w:rsidRPr="00AC6B19">
              <w:rPr>
                <w:szCs w:val="18"/>
              </w:rPr>
              <w:t>Sorting and shredding/granulation</w:t>
            </w:r>
          </w:p>
        </w:tc>
        <w:tc>
          <w:tcPr>
            <w:tcW w:w="2122" w:type="dxa"/>
            <w:shd w:val="clear" w:color="auto" w:fill="DBF4F5" w:themeFill="background2"/>
          </w:tcPr>
          <w:p w14:paraId="1E16BA4C" w14:textId="77777777" w:rsidR="00CE0A71" w:rsidRPr="00AC6B19" w:rsidRDefault="00CE0A71" w:rsidP="001230E4">
            <w:pPr>
              <w:pStyle w:val="TableTextLeft"/>
              <w:spacing w:line="240" w:lineRule="auto"/>
              <w:rPr>
                <w:szCs w:val="18"/>
              </w:rPr>
            </w:pPr>
            <w:r w:rsidRPr="00AC6B19">
              <w:rPr>
                <w:szCs w:val="18"/>
              </w:rPr>
              <w:t>Non-food grade flake production of PE and PP (mostly).</w:t>
            </w:r>
          </w:p>
        </w:tc>
      </w:tr>
      <w:tr w:rsidR="001230E4" w:rsidRPr="00510B16" w14:paraId="6E52D8C8" w14:textId="77777777" w:rsidTr="00966EDA">
        <w:tc>
          <w:tcPr>
            <w:tcW w:w="2916" w:type="dxa"/>
            <w:shd w:val="clear" w:color="auto" w:fill="DBF4F5" w:themeFill="background2"/>
            <w:noWrap/>
          </w:tcPr>
          <w:p w14:paraId="384CAA26" w14:textId="2F2E566C" w:rsidR="00CE0A71" w:rsidRPr="00AC6B19" w:rsidRDefault="00CE0A71" w:rsidP="001230E4">
            <w:pPr>
              <w:pStyle w:val="TableTextLeft"/>
              <w:spacing w:line="240" w:lineRule="auto"/>
              <w:rPr>
                <w:szCs w:val="18"/>
              </w:rPr>
            </w:pPr>
            <w:r w:rsidRPr="00AC6B19">
              <w:rPr>
                <w:szCs w:val="18"/>
              </w:rPr>
              <w:t>Australian Recycled Plastics</w:t>
            </w:r>
          </w:p>
        </w:tc>
        <w:tc>
          <w:tcPr>
            <w:tcW w:w="1543" w:type="dxa"/>
            <w:noWrap/>
          </w:tcPr>
          <w:p w14:paraId="70284F5D" w14:textId="77777777" w:rsidR="00CE0A71" w:rsidRPr="00AC6B19" w:rsidRDefault="00CE0A71" w:rsidP="001230E4">
            <w:pPr>
              <w:pStyle w:val="TableTextLeft"/>
              <w:spacing w:line="240" w:lineRule="auto"/>
              <w:rPr>
                <w:szCs w:val="18"/>
              </w:rPr>
            </w:pPr>
            <w:r w:rsidRPr="00AC6B19">
              <w:rPr>
                <w:szCs w:val="18"/>
              </w:rPr>
              <w:t>Narrabri NSW</w:t>
            </w:r>
          </w:p>
        </w:tc>
        <w:tc>
          <w:tcPr>
            <w:tcW w:w="1685" w:type="dxa"/>
            <w:shd w:val="clear" w:color="auto" w:fill="DBF4F5" w:themeFill="background2"/>
            <w:noWrap/>
          </w:tcPr>
          <w:p w14:paraId="5579A1A3" w14:textId="77777777" w:rsidR="00CE0A71" w:rsidRPr="00AC6B19" w:rsidRDefault="00CE0A71" w:rsidP="001230E4">
            <w:pPr>
              <w:pStyle w:val="TableTextRight"/>
              <w:spacing w:line="240" w:lineRule="auto"/>
              <w:rPr>
                <w:szCs w:val="18"/>
              </w:rPr>
            </w:pPr>
            <w:r w:rsidRPr="00AC6B19">
              <w:rPr>
                <w:szCs w:val="18"/>
              </w:rPr>
              <w:t>5,000</w:t>
            </w:r>
          </w:p>
        </w:tc>
        <w:tc>
          <w:tcPr>
            <w:tcW w:w="2366" w:type="dxa"/>
          </w:tcPr>
          <w:p w14:paraId="363AD7FC" w14:textId="77777777" w:rsidR="00CE0A71" w:rsidRPr="00AC6B19" w:rsidRDefault="00CE0A71" w:rsidP="001230E4">
            <w:pPr>
              <w:pStyle w:val="TableTextLeft"/>
              <w:spacing w:line="240" w:lineRule="auto"/>
              <w:rPr>
                <w:szCs w:val="18"/>
              </w:rPr>
            </w:pPr>
            <w:r w:rsidRPr="00AC6B19">
              <w:rPr>
                <w:szCs w:val="18"/>
              </w:rPr>
              <w:t>Sorting, shredding/ granulation and pelletising</w:t>
            </w:r>
          </w:p>
        </w:tc>
        <w:tc>
          <w:tcPr>
            <w:tcW w:w="2122" w:type="dxa"/>
            <w:shd w:val="clear" w:color="auto" w:fill="DBF4F5" w:themeFill="background2"/>
          </w:tcPr>
          <w:p w14:paraId="0A7CBC5C" w14:textId="77777777" w:rsidR="00CE0A71" w:rsidRPr="00AC6B19" w:rsidRDefault="00CE0A71" w:rsidP="001230E4">
            <w:pPr>
              <w:pStyle w:val="TableTextLeft"/>
              <w:spacing w:line="240" w:lineRule="auto"/>
              <w:rPr>
                <w:szCs w:val="18"/>
              </w:rPr>
            </w:pPr>
            <w:r w:rsidRPr="00AC6B19">
              <w:rPr>
                <w:szCs w:val="18"/>
              </w:rPr>
              <w:t>Non-food grade rPET and rHDPE production.</w:t>
            </w:r>
          </w:p>
        </w:tc>
      </w:tr>
      <w:tr w:rsidR="001230E4" w:rsidRPr="00510B16" w14:paraId="3557A752" w14:textId="77777777" w:rsidTr="00966EDA">
        <w:tc>
          <w:tcPr>
            <w:tcW w:w="2916" w:type="dxa"/>
            <w:shd w:val="clear" w:color="auto" w:fill="DBF4F5" w:themeFill="background2"/>
            <w:noWrap/>
          </w:tcPr>
          <w:p w14:paraId="49DFE4D3" w14:textId="77777777" w:rsidR="00C05F36" w:rsidRPr="00AC6B19" w:rsidRDefault="00C05F36" w:rsidP="001230E4">
            <w:pPr>
              <w:pStyle w:val="TableTextLeft"/>
              <w:spacing w:line="240" w:lineRule="auto"/>
              <w:rPr>
                <w:szCs w:val="18"/>
              </w:rPr>
            </w:pPr>
            <w:r w:rsidRPr="00AC6B19">
              <w:rPr>
                <w:szCs w:val="18"/>
              </w:rPr>
              <w:t>Circular Plastics Australia PET</w:t>
            </w:r>
          </w:p>
          <w:p w14:paraId="470FC86E" w14:textId="44D1300F" w:rsidR="00CE0A71" w:rsidRPr="00AC6B19" w:rsidRDefault="00C05F36" w:rsidP="001230E4">
            <w:pPr>
              <w:pStyle w:val="TableTextLeft"/>
              <w:spacing w:line="240" w:lineRule="auto"/>
              <w:rPr>
                <w:szCs w:val="18"/>
              </w:rPr>
            </w:pPr>
            <w:r w:rsidRPr="00AC6B19">
              <w:rPr>
                <w:szCs w:val="18"/>
              </w:rPr>
              <w:t>P</w:t>
            </w:r>
            <w:r w:rsidR="00132C0E" w:rsidRPr="00AC6B19">
              <w:rPr>
                <w:szCs w:val="18"/>
              </w:rPr>
              <w:t>act</w:t>
            </w:r>
            <w:r w:rsidRPr="00AC6B19">
              <w:rPr>
                <w:szCs w:val="18"/>
              </w:rPr>
              <w:t>/Asahi/Cleanaway</w:t>
            </w:r>
          </w:p>
        </w:tc>
        <w:tc>
          <w:tcPr>
            <w:tcW w:w="1543" w:type="dxa"/>
            <w:noWrap/>
          </w:tcPr>
          <w:p w14:paraId="438902E5" w14:textId="77777777" w:rsidR="00CE0A71" w:rsidRPr="00AC6B19" w:rsidRDefault="00CE0A71" w:rsidP="001230E4">
            <w:pPr>
              <w:pStyle w:val="TableTextLeft"/>
              <w:spacing w:line="240" w:lineRule="auto"/>
              <w:rPr>
                <w:szCs w:val="18"/>
              </w:rPr>
            </w:pPr>
            <w:r w:rsidRPr="00AC6B19">
              <w:rPr>
                <w:szCs w:val="18"/>
              </w:rPr>
              <w:t>Albury NSW</w:t>
            </w:r>
          </w:p>
        </w:tc>
        <w:tc>
          <w:tcPr>
            <w:tcW w:w="1685" w:type="dxa"/>
            <w:shd w:val="clear" w:color="auto" w:fill="DBF4F5" w:themeFill="background2"/>
            <w:noWrap/>
          </w:tcPr>
          <w:p w14:paraId="7A40EA59" w14:textId="77777777" w:rsidR="00CE0A71" w:rsidRPr="00AC6B19" w:rsidRDefault="00CE0A71" w:rsidP="001230E4">
            <w:pPr>
              <w:pStyle w:val="TableTextRight"/>
              <w:spacing w:line="240" w:lineRule="auto"/>
              <w:rPr>
                <w:szCs w:val="18"/>
              </w:rPr>
            </w:pPr>
            <w:r w:rsidRPr="00AC6B19">
              <w:rPr>
                <w:szCs w:val="18"/>
              </w:rPr>
              <w:t>25,000–30,000</w:t>
            </w:r>
          </w:p>
        </w:tc>
        <w:tc>
          <w:tcPr>
            <w:tcW w:w="2366" w:type="dxa"/>
          </w:tcPr>
          <w:p w14:paraId="276B4C66" w14:textId="77777777" w:rsidR="00CE0A71" w:rsidRPr="00AC6B19" w:rsidRDefault="00CE0A71" w:rsidP="001230E4">
            <w:pPr>
              <w:pStyle w:val="TableTextLeft"/>
              <w:spacing w:line="240" w:lineRule="auto"/>
              <w:rPr>
                <w:szCs w:val="18"/>
              </w:rPr>
            </w:pPr>
            <w:r w:rsidRPr="00AC6B19">
              <w:rPr>
                <w:szCs w:val="18"/>
              </w:rPr>
              <w:t>Sorting, shredding/ granulation and pelletising</w:t>
            </w:r>
          </w:p>
        </w:tc>
        <w:tc>
          <w:tcPr>
            <w:tcW w:w="2122" w:type="dxa"/>
            <w:shd w:val="clear" w:color="auto" w:fill="DBF4F5" w:themeFill="background2"/>
          </w:tcPr>
          <w:p w14:paraId="5A5EA677" w14:textId="77777777" w:rsidR="00CE0A71" w:rsidRPr="00AC6B19" w:rsidRDefault="00CE0A71" w:rsidP="001230E4">
            <w:pPr>
              <w:pStyle w:val="TableTextLeft"/>
              <w:spacing w:line="240" w:lineRule="auto"/>
              <w:rPr>
                <w:szCs w:val="18"/>
              </w:rPr>
            </w:pPr>
            <w:r w:rsidRPr="00AC6B19">
              <w:rPr>
                <w:szCs w:val="18"/>
              </w:rPr>
              <w:t>Food grade rPET and rHDPE production.</w:t>
            </w:r>
          </w:p>
          <w:p w14:paraId="7C251305" w14:textId="77777777" w:rsidR="00CE0A71" w:rsidRPr="00AC6B19" w:rsidRDefault="00CE0A71" w:rsidP="001230E4">
            <w:pPr>
              <w:pStyle w:val="TableTextLeft"/>
              <w:spacing w:line="240" w:lineRule="auto"/>
              <w:rPr>
                <w:szCs w:val="18"/>
              </w:rPr>
            </w:pPr>
            <w:r w:rsidRPr="00AC6B19">
              <w:rPr>
                <w:szCs w:val="18"/>
              </w:rPr>
              <w:t>Operating from Dec 2021.</w:t>
            </w:r>
          </w:p>
        </w:tc>
      </w:tr>
      <w:tr w:rsidR="001230E4" w:rsidRPr="00510B16" w14:paraId="5823D07F" w14:textId="77777777" w:rsidTr="00966EDA">
        <w:tc>
          <w:tcPr>
            <w:tcW w:w="2916" w:type="dxa"/>
            <w:shd w:val="clear" w:color="auto" w:fill="DBF4F5" w:themeFill="background2"/>
            <w:noWrap/>
          </w:tcPr>
          <w:p w14:paraId="38D57A39" w14:textId="77777777" w:rsidR="007339FF" w:rsidRPr="00AC6B19" w:rsidRDefault="007339FF" w:rsidP="001230E4">
            <w:pPr>
              <w:pStyle w:val="TableTextLeft"/>
              <w:spacing w:line="240" w:lineRule="auto"/>
              <w:rPr>
                <w:szCs w:val="18"/>
              </w:rPr>
            </w:pPr>
            <w:r w:rsidRPr="00AC6B19">
              <w:rPr>
                <w:szCs w:val="18"/>
              </w:rPr>
              <w:t>Circular Plastics Australia PET</w:t>
            </w:r>
          </w:p>
          <w:p w14:paraId="5CCCE83B" w14:textId="4E0A453B" w:rsidR="00CE0A71" w:rsidRPr="00AC6B19" w:rsidRDefault="007339FF" w:rsidP="001230E4">
            <w:pPr>
              <w:pStyle w:val="TableTextLeft"/>
              <w:spacing w:line="240" w:lineRule="auto"/>
              <w:rPr>
                <w:szCs w:val="18"/>
              </w:rPr>
            </w:pPr>
            <w:r w:rsidRPr="00AC6B19">
              <w:rPr>
                <w:szCs w:val="18"/>
              </w:rPr>
              <w:t>P</w:t>
            </w:r>
            <w:r w:rsidR="00132C0E" w:rsidRPr="00AC6B19">
              <w:rPr>
                <w:szCs w:val="18"/>
              </w:rPr>
              <w:t>act</w:t>
            </w:r>
            <w:r w:rsidRPr="00AC6B19">
              <w:rPr>
                <w:szCs w:val="18"/>
              </w:rPr>
              <w:t>/Asahi/Cleanaway</w:t>
            </w:r>
          </w:p>
        </w:tc>
        <w:tc>
          <w:tcPr>
            <w:tcW w:w="1543" w:type="dxa"/>
            <w:noWrap/>
          </w:tcPr>
          <w:p w14:paraId="3BF6118D" w14:textId="77777777" w:rsidR="00CE0A71" w:rsidRPr="00AC6B19" w:rsidRDefault="00CE0A71" w:rsidP="001230E4">
            <w:pPr>
              <w:pStyle w:val="TableTextLeft"/>
              <w:spacing w:line="240" w:lineRule="auto"/>
              <w:rPr>
                <w:szCs w:val="18"/>
              </w:rPr>
            </w:pPr>
            <w:r w:rsidRPr="00AC6B19">
              <w:rPr>
                <w:szCs w:val="18"/>
              </w:rPr>
              <w:t>Altona North VIC</w:t>
            </w:r>
          </w:p>
        </w:tc>
        <w:tc>
          <w:tcPr>
            <w:tcW w:w="1685" w:type="dxa"/>
            <w:shd w:val="clear" w:color="auto" w:fill="DBF4F5" w:themeFill="background2"/>
            <w:noWrap/>
          </w:tcPr>
          <w:p w14:paraId="6A0C1A33" w14:textId="77777777" w:rsidR="00CE0A71" w:rsidRPr="00AC6B19" w:rsidRDefault="00CE0A71" w:rsidP="001230E4">
            <w:pPr>
              <w:pStyle w:val="TableTextRight"/>
              <w:spacing w:line="240" w:lineRule="auto"/>
              <w:rPr>
                <w:szCs w:val="18"/>
              </w:rPr>
            </w:pPr>
            <w:r w:rsidRPr="00AC6B19">
              <w:rPr>
                <w:szCs w:val="18"/>
              </w:rPr>
              <w:t>20,000</w:t>
            </w:r>
          </w:p>
        </w:tc>
        <w:tc>
          <w:tcPr>
            <w:tcW w:w="2366" w:type="dxa"/>
          </w:tcPr>
          <w:p w14:paraId="6D55F768" w14:textId="77777777" w:rsidR="00CE0A71" w:rsidRPr="00AC6B19" w:rsidRDefault="00CE0A71" w:rsidP="001230E4">
            <w:pPr>
              <w:pStyle w:val="TableTextLeft"/>
              <w:spacing w:line="240" w:lineRule="auto"/>
              <w:rPr>
                <w:szCs w:val="18"/>
              </w:rPr>
            </w:pPr>
            <w:r w:rsidRPr="00AC6B19">
              <w:rPr>
                <w:szCs w:val="18"/>
              </w:rPr>
              <w:t>Sorting, shredding/ granulation and pelletising</w:t>
            </w:r>
          </w:p>
        </w:tc>
        <w:tc>
          <w:tcPr>
            <w:tcW w:w="2122" w:type="dxa"/>
            <w:shd w:val="clear" w:color="auto" w:fill="DBF4F5" w:themeFill="background2"/>
          </w:tcPr>
          <w:p w14:paraId="16014BAB" w14:textId="77777777" w:rsidR="00CE0A71" w:rsidRPr="00AC6B19" w:rsidRDefault="00CE0A71" w:rsidP="001230E4">
            <w:pPr>
              <w:pStyle w:val="TableTextLeft"/>
              <w:spacing w:line="240" w:lineRule="auto"/>
              <w:rPr>
                <w:szCs w:val="18"/>
              </w:rPr>
            </w:pPr>
            <w:r w:rsidRPr="00AC6B19">
              <w:rPr>
                <w:szCs w:val="18"/>
              </w:rPr>
              <w:t>Food grade rPET production.</w:t>
            </w:r>
          </w:p>
          <w:p w14:paraId="4AC08E67" w14:textId="77777777" w:rsidR="00CE0A71" w:rsidRPr="00AC6B19" w:rsidRDefault="00CE0A71" w:rsidP="001230E4">
            <w:pPr>
              <w:pStyle w:val="TableTextLeft"/>
              <w:spacing w:line="240" w:lineRule="auto"/>
              <w:rPr>
                <w:szCs w:val="18"/>
              </w:rPr>
            </w:pPr>
            <w:r w:rsidRPr="00AC6B19">
              <w:rPr>
                <w:szCs w:val="18"/>
              </w:rPr>
              <w:t>Start-up in 2023.</w:t>
            </w:r>
          </w:p>
        </w:tc>
      </w:tr>
      <w:tr w:rsidR="001230E4" w:rsidRPr="00510B16" w14:paraId="16B6C9F9" w14:textId="77777777" w:rsidTr="00966EDA">
        <w:tc>
          <w:tcPr>
            <w:tcW w:w="2916" w:type="dxa"/>
            <w:shd w:val="clear" w:color="auto" w:fill="DBF4F5" w:themeFill="background2"/>
            <w:noWrap/>
          </w:tcPr>
          <w:p w14:paraId="3B13B764" w14:textId="77777777" w:rsidR="00D47591" w:rsidRPr="00AC6B19" w:rsidRDefault="00D47591" w:rsidP="001230E4">
            <w:pPr>
              <w:pStyle w:val="TableTextLeft"/>
              <w:spacing w:line="240" w:lineRule="auto"/>
              <w:rPr>
                <w:szCs w:val="18"/>
              </w:rPr>
            </w:pPr>
            <w:r w:rsidRPr="00AC6B19">
              <w:rPr>
                <w:szCs w:val="18"/>
              </w:rPr>
              <w:t>Circular Plastics Australia PE</w:t>
            </w:r>
          </w:p>
          <w:p w14:paraId="05E1153D" w14:textId="2A640E7A" w:rsidR="00CE0A71" w:rsidRPr="00AC6B19" w:rsidRDefault="00132C0E" w:rsidP="001230E4">
            <w:pPr>
              <w:pStyle w:val="TableTextLeft"/>
              <w:spacing w:line="240" w:lineRule="auto"/>
              <w:rPr>
                <w:szCs w:val="18"/>
              </w:rPr>
            </w:pPr>
            <w:r w:rsidRPr="00AC6B19">
              <w:rPr>
                <w:szCs w:val="18"/>
              </w:rPr>
              <w:t>Pact</w:t>
            </w:r>
            <w:r w:rsidR="00D47591" w:rsidRPr="00AC6B19">
              <w:rPr>
                <w:szCs w:val="18"/>
              </w:rPr>
              <w:t>/Cleanaway</w:t>
            </w:r>
          </w:p>
        </w:tc>
        <w:tc>
          <w:tcPr>
            <w:tcW w:w="1543" w:type="dxa"/>
            <w:noWrap/>
          </w:tcPr>
          <w:p w14:paraId="26F86FF2" w14:textId="77777777" w:rsidR="00CE0A71" w:rsidRPr="00AC6B19" w:rsidRDefault="00CE0A71" w:rsidP="001230E4">
            <w:pPr>
              <w:pStyle w:val="TableTextLeft"/>
              <w:spacing w:line="240" w:lineRule="auto"/>
              <w:rPr>
                <w:szCs w:val="18"/>
              </w:rPr>
            </w:pPr>
            <w:r w:rsidRPr="00AC6B19">
              <w:rPr>
                <w:szCs w:val="18"/>
              </w:rPr>
              <w:t>Laverton VIC</w:t>
            </w:r>
          </w:p>
        </w:tc>
        <w:tc>
          <w:tcPr>
            <w:tcW w:w="1685" w:type="dxa"/>
            <w:shd w:val="clear" w:color="auto" w:fill="DBF4F5" w:themeFill="background2"/>
            <w:noWrap/>
          </w:tcPr>
          <w:p w14:paraId="23EB65E4" w14:textId="77777777" w:rsidR="00CE0A71" w:rsidRPr="00AC6B19" w:rsidRDefault="00CE0A71" w:rsidP="001230E4">
            <w:pPr>
              <w:pStyle w:val="TableTextRight"/>
              <w:spacing w:line="240" w:lineRule="auto"/>
              <w:rPr>
                <w:szCs w:val="18"/>
              </w:rPr>
            </w:pPr>
            <w:r w:rsidRPr="00AC6B19">
              <w:rPr>
                <w:szCs w:val="18"/>
              </w:rPr>
              <w:t>20,000</w:t>
            </w:r>
          </w:p>
        </w:tc>
        <w:tc>
          <w:tcPr>
            <w:tcW w:w="2366" w:type="dxa"/>
          </w:tcPr>
          <w:p w14:paraId="18B0A08A" w14:textId="77777777" w:rsidR="00CE0A71" w:rsidRPr="00AC6B19" w:rsidRDefault="00CE0A71" w:rsidP="001230E4">
            <w:pPr>
              <w:pStyle w:val="TableTextLeft"/>
              <w:spacing w:line="240" w:lineRule="auto"/>
              <w:rPr>
                <w:szCs w:val="18"/>
              </w:rPr>
            </w:pPr>
            <w:r w:rsidRPr="00AC6B19">
              <w:rPr>
                <w:szCs w:val="18"/>
              </w:rPr>
              <w:t>Sorting, shredding/ granulation and pelletising</w:t>
            </w:r>
          </w:p>
        </w:tc>
        <w:tc>
          <w:tcPr>
            <w:tcW w:w="2122" w:type="dxa"/>
            <w:shd w:val="clear" w:color="auto" w:fill="DBF4F5" w:themeFill="background2"/>
          </w:tcPr>
          <w:p w14:paraId="4B0B9743" w14:textId="77777777" w:rsidR="00CE0A71" w:rsidRPr="00AC6B19" w:rsidRDefault="00CE0A71" w:rsidP="001230E4">
            <w:pPr>
              <w:pStyle w:val="TableTextLeft"/>
              <w:spacing w:line="240" w:lineRule="auto"/>
              <w:rPr>
                <w:szCs w:val="18"/>
              </w:rPr>
            </w:pPr>
            <w:r w:rsidRPr="00AC6B19">
              <w:rPr>
                <w:szCs w:val="18"/>
              </w:rPr>
              <w:t>Food/non-food grade rHDPE and rPP production. Start-up Dec 2022.</w:t>
            </w:r>
          </w:p>
        </w:tc>
      </w:tr>
      <w:tr w:rsidR="001230E4" w:rsidRPr="00510B16" w14:paraId="18DF7A2F" w14:textId="77777777" w:rsidTr="00966EDA">
        <w:tc>
          <w:tcPr>
            <w:tcW w:w="2916" w:type="dxa"/>
            <w:shd w:val="clear" w:color="auto" w:fill="DBF4F5" w:themeFill="background2"/>
            <w:noWrap/>
          </w:tcPr>
          <w:p w14:paraId="7D6F06C2" w14:textId="032E1394" w:rsidR="00CE0A71" w:rsidRPr="00AC6B19" w:rsidRDefault="00132C0E" w:rsidP="001230E4">
            <w:pPr>
              <w:pStyle w:val="TableTextLeft"/>
              <w:spacing w:line="240" w:lineRule="auto"/>
              <w:rPr>
                <w:szCs w:val="18"/>
              </w:rPr>
            </w:pPr>
            <w:r w:rsidRPr="00AC6B19">
              <w:rPr>
                <w:szCs w:val="18"/>
              </w:rPr>
              <w:t xml:space="preserve">Pact </w:t>
            </w:r>
            <w:r w:rsidR="004030D5" w:rsidRPr="00AC6B19">
              <w:rPr>
                <w:szCs w:val="18"/>
              </w:rPr>
              <w:t>Group/Astron</w:t>
            </w:r>
          </w:p>
        </w:tc>
        <w:tc>
          <w:tcPr>
            <w:tcW w:w="1543" w:type="dxa"/>
            <w:noWrap/>
          </w:tcPr>
          <w:p w14:paraId="27632E40" w14:textId="77777777" w:rsidR="00CE0A71" w:rsidRPr="00AC6B19" w:rsidRDefault="00CE0A71" w:rsidP="001230E4">
            <w:pPr>
              <w:pStyle w:val="TableTextLeft"/>
              <w:spacing w:line="240" w:lineRule="auto"/>
              <w:rPr>
                <w:szCs w:val="18"/>
              </w:rPr>
            </w:pPr>
            <w:r w:rsidRPr="00AC6B19">
              <w:rPr>
                <w:szCs w:val="18"/>
              </w:rPr>
              <w:t>Wacol QLD</w:t>
            </w:r>
          </w:p>
        </w:tc>
        <w:tc>
          <w:tcPr>
            <w:tcW w:w="1685" w:type="dxa"/>
            <w:shd w:val="clear" w:color="auto" w:fill="DBF4F5" w:themeFill="background2"/>
            <w:noWrap/>
          </w:tcPr>
          <w:p w14:paraId="22F204C6" w14:textId="77777777" w:rsidR="00CE0A71" w:rsidRPr="00AC6B19" w:rsidRDefault="00CE0A71" w:rsidP="001230E4">
            <w:pPr>
              <w:pStyle w:val="TableTextRight"/>
              <w:spacing w:line="240" w:lineRule="auto"/>
              <w:rPr>
                <w:szCs w:val="18"/>
              </w:rPr>
            </w:pPr>
            <w:r w:rsidRPr="00AC6B19">
              <w:rPr>
                <w:szCs w:val="18"/>
              </w:rPr>
              <w:t>10,000</w:t>
            </w:r>
          </w:p>
        </w:tc>
        <w:tc>
          <w:tcPr>
            <w:tcW w:w="2366" w:type="dxa"/>
          </w:tcPr>
          <w:p w14:paraId="39ADEA42" w14:textId="77777777" w:rsidR="00CE0A71" w:rsidRPr="00AC6B19" w:rsidRDefault="00CE0A71" w:rsidP="001230E4">
            <w:pPr>
              <w:pStyle w:val="TableTextLeft"/>
              <w:spacing w:line="240" w:lineRule="auto"/>
              <w:rPr>
                <w:szCs w:val="18"/>
              </w:rPr>
            </w:pPr>
            <w:r w:rsidRPr="00AC6B19">
              <w:rPr>
                <w:szCs w:val="18"/>
              </w:rPr>
              <w:t>Sorting, shredding/ granulation and pelletising</w:t>
            </w:r>
          </w:p>
        </w:tc>
        <w:tc>
          <w:tcPr>
            <w:tcW w:w="2122" w:type="dxa"/>
            <w:shd w:val="clear" w:color="auto" w:fill="DBF4F5" w:themeFill="background2"/>
          </w:tcPr>
          <w:p w14:paraId="6000C702" w14:textId="77777777" w:rsidR="00CE0A71" w:rsidRPr="00AC6B19" w:rsidRDefault="00CE0A71" w:rsidP="001230E4">
            <w:pPr>
              <w:pStyle w:val="TableTextLeft"/>
              <w:spacing w:line="240" w:lineRule="auto"/>
              <w:rPr>
                <w:szCs w:val="18"/>
              </w:rPr>
            </w:pPr>
            <w:r w:rsidRPr="00AC6B19">
              <w:rPr>
                <w:szCs w:val="18"/>
              </w:rPr>
              <w:t>rHDPE and rPET kerbside reprocessing, also rLDPE film. Start-up TBC.</w:t>
            </w:r>
          </w:p>
        </w:tc>
      </w:tr>
      <w:tr w:rsidR="001230E4" w:rsidRPr="00510B16" w14:paraId="6AD8AB0F" w14:textId="77777777" w:rsidTr="00966EDA">
        <w:tc>
          <w:tcPr>
            <w:tcW w:w="2916" w:type="dxa"/>
            <w:shd w:val="clear" w:color="auto" w:fill="DBF4F5" w:themeFill="background2"/>
            <w:noWrap/>
          </w:tcPr>
          <w:p w14:paraId="505F2A79" w14:textId="36B0B64A" w:rsidR="00CE0A71" w:rsidRPr="00AC6B19" w:rsidRDefault="00132C0E" w:rsidP="001230E4">
            <w:pPr>
              <w:pStyle w:val="TableTextLeft"/>
              <w:spacing w:line="240" w:lineRule="auto"/>
              <w:rPr>
                <w:szCs w:val="18"/>
              </w:rPr>
            </w:pPr>
            <w:r w:rsidRPr="00AC6B19">
              <w:rPr>
                <w:szCs w:val="18"/>
              </w:rPr>
              <w:t xml:space="preserve">Pact </w:t>
            </w:r>
            <w:r w:rsidR="004030D5" w:rsidRPr="00AC6B19">
              <w:rPr>
                <w:szCs w:val="18"/>
              </w:rPr>
              <w:t>Group/Astron</w:t>
            </w:r>
          </w:p>
        </w:tc>
        <w:tc>
          <w:tcPr>
            <w:tcW w:w="1543" w:type="dxa"/>
            <w:noWrap/>
          </w:tcPr>
          <w:p w14:paraId="6DED5625" w14:textId="77777777" w:rsidR="00CE0A71" w:rsidRPr="00AC6B19" w:rsidRDefault="00CE0A71" w:rsidP="001230E4">
            <w:pPr>
              <w:pStyle w:val="TableTextLeft"/>
              <w:spacing w:line="240" w:lineRule="auto"/>
              <w:rPr>
                <w:szCs w:val="18"/>
              </w:rPr>
            </w:pPr>
            <w:r w:rsidRPr="00AC6B19">
              <w:rPr>
                <w:szCs w:val="18"/>
              </w:rPr>
              <w:t>WA</w:t>
            </w:r>
          </w:p>
        </w:tc>
        <w:tc>
          <w:tcPr>
            <w:tcW w:w="1685" w:type="dxa"/>
            <w:shd w:val="clear" w:color="auto" w:fill="DBF4F5" w:themeFill="background2"/>
            <w:noWrap/>
          </w:tcPr>
          <w:p w14:paraId="450EC2C0" w14:textId="77777777" w:rsidR="00CE0A71" w:rsidRPr="00AC6B19" w:rsidRDefault="00CE0A71" w:rsidP="001230E4">
            <w:pPr>
              <w:pStyle w:val="TableTextRight"/>
              <w:spacing w:line="240" w:lineRule="auto"/>
              <w:rPr>
                <w:szCs w:val="18"/>
              </w:rPr>
            </w:pPr>
            <w:r w:rsidRPr="00AC6B19">
              <w:rPr>
                <w:szCs w:val="18"/>
              </w:rPr>
              <w:t>15,000</w:t>
            </w:r>
          </w:p>
        </w:tc>
        <w:tc>
          <w:tcPr>
            <w:tcW w:w="2366" w:type="dxa"/>
          </w:tcPr>
          <w:p w14:paraId="62521C96" w14:textId="77777777" w:rsidR="00CE0A71" w:rsidRPr="00AC6B19" w:rsidRDefault="00CE0A71" w:rsidP="001230E4">
            <w:pPr>
              <w:pStyle w:val="TableTextLeft"/>
              <w:spacing w:line="240" w:lineRule="auto"/>
              <w:rPr>
                <w:szCs w:val="18"/>
              </w:rPr>
            </w:pPr>
            <w:r w:rsidRPr="00AC6B19">
              <w:rPr>
                <w:szCs w:val="18"/>
              </w:rPr>
              <w:t>Sorting, shredding/ granulation and pelletising</w:t>
            </w:r>
          </w:p>
        </w:tc>
        <w:tc>
          <w:tcPr>
            <w:tcW w:w="2122" w:type="dxa"/>
            <w:shd w:val="clear" w:color="auto" w:fill="DBF4F5" w:themeFill="background2"/>
          </w:tcPr>
          <w:p w14:paraId="031F825C" w14:textId="77777777" w:rsidR="00CE0A71" w:rsidRPr="00AC6B19" w:rsidRDefault="00CE0A71" w:rsidP="001230E4">
            <w:pPr>
              <w:pStyle w:val="TableTextLeft"/>
              <w:spacing w:line="240" w:lineRule="auto"/>
              <w:rPr>
                <w:szCs w:val="18"/>
              </w:rPr>
            </w:pPr>
            <w:r w:rsidRPr="00AC6B19">
              <w:rPr>
                <w:szCs w:val="18"/>
              </w:rPr>
              <w:t>rHDPE, rPET and rPP kerbside reprocessing. Start-up TBC.</w:t>
            </w:r>
          </w:p>
        </w:tc>
      </w:tr>
      <w:tr w:rsidR="001230E4" w:rsidRPr="00510B16" w14:paraId="7FCA49F4" w14:textId="77777777" w:rsidTr="00966EDA">
        <w:tc>
          <w:tcPr>
            <w:tcW w:w="2916" w:type="dxa"/>
            <w:shd w:val="clear" w:color="auto" w:fill="DBF4F5" w:themeFill="background2"/>
            <w:noWrap/>
          </w:tcPr>
          <w:p w14:paraId="15273BAA" w14:textId="061AC3AA" w:rsidR="00CE0A71" w:rsidRPr="00AC6B19" w:rsidRDefault="00CE0A71" w:rsidP="001230E4">
            <w:pPr>
              <w:pStyle w:val="TableTextLeft"/>
              <w:spacing w:line="240" w:lineRule="auto"/>
              <w:rPr>
                <w:szCs w:val="18"/>
              </w:rPr>
            </w:pPr>
            <w:r w:rsidRPr="00AC6B19">
              <w:rPr>
                <w:szCs w:val="18"/>
              </w:rPr>
              <w:t>Martogg LCM</w:t>
            </w:r>
          </w:p>
        </w:tc>
        <w:tc>
          <w:tcPr>
            <w:tcW w:w="1543" w:type="dxa"/>
            <w:noWrap/>
          </w:tcPr>
          <w:p w14:paraId="1D28B1D1" w14:textId="77777777" w:rsidR="00CE0A71" w:rsidRPr="00AC6B19" w:rsidRDefault="00CE0A71" w:rsidP="001230E4">
            <w:pPr>
              <w:pStyle w:val="TableTextLeft"/>
              <w:spacing w:line="240" w:lineRule="auto"/>
              <w:rPr>
                <w:szCs w:val="18"/>
              </w:rPr>
            </w:pPr>
            <w:r w:rsidRPr="00AC6B19">
              <w:rPr>
                <w:szCs w:val="18"/>
              </w:rPr>
              <w:t>Dandenong VIC</w:t>
            </w:r>
          </w:p>
        </w:tc>
        <w:tc>
          <w:tcPr>
            <w:tcW w:w="1685" w:type="dxa"/>
            <w:shd w:val="clear" w:color="auto" w:fill="DBF4F5" w:themeFill="background2"/>
            <w:noWrap/>
          </w:tcPr>
          <w:p w14:paraId="3D3A5639" w14:textId="77777777" w:rsidR="00CE0A71" w:rsidRPr="00AC6B19" w:rsidRDefault="00CE0A71" w:rsidP="001230E4">
            <w:pPr>
              <w:pStyle w:val="TableTextRight"/>
              <w:spacing w:line="240" w:lineRule="auto"/>
              <w:rPr>
                <w:szCs w:val="18"/>
              </w:rPr>
            </w:pPr>
            <w:r w:rsidRPr="00AC6B19">
              <w:rPr>
                <w:szCs w:val="18"/>
              </w:rPr>
              <w:t>23,000</w:t>
            </w:r>
          </w:p>
        </w:tc>
        <w:tc>
          <w:tcPr>
            <w:tcW w:w="2366" w:type="dxa"/>
          </w:tcPr>
          <w:p w14:paraId="020AA480" w14:textId="77777777" w:rsidR="00CE0A71" w:rsidRPr="00AC6B19" w:rsidRDefault="00CE0A71" w:rsidP="001230E4">
            <w:pPr>
              <w:pStyle w:val="TableTextLeft"/>
              <w:spacing w:line="240" w:lineRule="auto"/>
              <w:rPr>
                <w:szCs w:val="18"/>
              </w:rPr>
            </w:pPr>
            <w:r w:rsidRPr="00AC6B19">
              <w:rPr>
                <w:szCs w:val="18"/>
              </w:rPr>
              <w:t>Sorting, shredding/ granulation and pelletising</w:t>
            </w:r>
          </w:p>
        </w:tc>
        <w:tc>
          <w:tcPr>
            <w:tcW w:w="2122" w:type="dxa"/>
            <w:shd w:val="clear" w:color="auto" w:fill="DBF4F5" w:themeFill="background2"/>
          </w:tcPr>
          <w:p w14:paraId="533E6B18" w14:textId="77777777" w:rsidR="00CE0A71" w:rsidRDefault="00CE0A71" w:rsidP="001230E4">
            <w:pPr>
              <w:pStyle w:val="TableTextLeft"/>
              <w:spacing w:line="240" w:lineRule="auto"/>
              <w:rPr>
                <w:szCs w:val="18"/>
              </w:rPr>
            </w:pPr>
            <w:r w:rsidRPr="00AC6B19">
              <w:rPr>
                <w:szCs w:val="18"/>
              </w:rPr>
              <w:t>Food grade rPET production.</w:t>
            </w:r>
          </w:p>
          <w:p w14:paraId="6D55632B" w14:textId="0B3B452F" w:rsidR="001230E4" w:rsidRPr="00AC6B19" w:rsidRDefault="001230E4" w:rsidP="001230E4">
            <w:pPr>
              <w:pStyle w:val="TableTextLeft"/>
              <w:spacing w:line="240" w:lineRule="auto"/>
              <w:rPr>
                <w:szCs w:val="18"/>
              </w:rPr>
            </w:pPr>
            <w:r w:rsidRPr="00AC6B19">
              <w:rPr>
                <w:szCs w:val="18"/>
              </w:rPr>
              <w:t xml:space="preserve">Start-up </w:t>
            </w:r>
            <w:r>
              <w:rPr>
                <w:szCs w:val="18"/>
              </w:rPr>
              <w:t xml:space="preserve">in </w:t>
            </w:r>
            <w:r w:rsidRPr="00AC6B19">
              <w:rPr>
                <w:szCs w:val="18"/>
              </w:rPr>
              <w:t>2022.</w:t>
            </w:r>
          </w:p>
        </w:tc>
      </w:tr>
      <w:tr w:rsidR="001230E4" w:rsidRPr="00510B16" w14:paraId="793F88DC" w14:textId="77777777" w:rsidTr="00966EDA">
        <w:tc>
          <w:tcPr>
            <w:tcW w:w="2916" w:type="dxa"/>
            <w:shd w:val="clear" w:color="auto" w:fill="DBF4F5" w:themeFill="background2"/>
            <w:noWrap/>
          </w:tcPr>
          <w:p w14:paraId="0E84049D" w14:textId="2D657A6B" w:rsidR="00CE0A71" w:rsidRPr="00AC6B19" w:rsidRDefault="00CE0A71" w:rsidP="001230E4">
            <w:pPr>
              <w:pStyle w:val="TableTextLeft"/>
              <w:spacing w:line="240" w:lineRule="auto"/>
              <w:rPr>
                <w:szCs w:val="18"/>
              </w:rPr>
            </w:pPr>
            <w:r w:rsidRPr="00AC6B19">
              <w:rPr>
                <w:szCs w:val="18"/>
              </w:rPr>
              <w:t>Martogg LCM</w:t>
            </w:r>
          </w:p>
        </w:tc>
        <w:tc>
          <w:tcPr>
            <w:tcW w:w="1543" w:type="dxa"/>
            <w:noWrap/>
          </w:tcPr>
          <w:p w14:paraId="79B1AEF5" w14:textId="77777777" w:rsidR="00CE0A71" w:rsidRPr="00AC6B19" w:rsidRDefault="00CE0A71" w:rsidP="001230E4">
            <w:pPr>
              <w:pStyle w:val="TableTextLeft"/>
              <w:spacing w:line="240" w:lineRule="auto"/>
              <w:rPr>
                <w:szCs w:val="18"/>
              </w:rPr>
            </w:pPr>
            <w:r w:rsidRPr="00AC6B19">
              <w:rPr>
                <w:szCs w:val="18"/>
              </w:rPr>
              <w:t>VIC</w:t>
            </w:r>
          </w:p>
        </w:tc>
        <w:tc>
          <w:tcPr>
            <w:tcW w:w="1685" w:type="dxa"/>
            <w:shd w:val="clear" w:color="auto" w:fill="DBF4F5" w:themeFill="background2"/>
            <w:noWrap/>
          </w:tcPr>
          <w:p w14:paraId="3091E87D" w14:textId="77777777" w:rsidR="00CE0A71" w:rsidRPr="00AC6B19" w:rsidRDefault="00CE0A71" w:rsidP="001230E4">
            <w:pPr>
              <w:pStyle w:val="TableTextRight"/>
              <w:spacing w:line="240" w:lineRule="auto"/>
              <w:rPr>
                <w:szCs w:val="18"/>
              </w:rPr>
            </w:pPr>
            <w:r w:rsidRPr="00AC6B19">
              <w:rPr>
                <w:szCs w:val="18"/>
              </w:rPr>
              <w:t>&gt;6,000</w:t>
            </w:r>
          </w:p>
        </w:tc>
        <w:tc>
          <w:tcPr>
            <w:tcW w:w="2366" w:type="dxa"/>
          </w:tcPr>
          <w:p w14:paraId="6890C412" w14:textId="77777777" w:rsidR="00CE0A71" w:rsidRPr="00AC6B19" w:rsidRDefault="00CE0A71" w:rsidP="001230E4">
            <w:pPr>
              <w:pStyle w:val="TableTextLeft"/>
              <w:spacing w:line="240" w:lineRule="auto"/>
              <w:rPr>
                <w:szCs w:val="18"/>
              </w:rPr>
            </w:pPr>
            <w:r w:rsidRPr="00AC6B19">
              <w:rPr>
                <w:szCs w:val="18"/>
              </w:rPr>
              <w:t>Sorting and shredding/granulation</w:t>
            </w:r>
          </w:p>
        </w:tc>
        <w:tc>
          <w:tcPr>
            <w:tcW w:w="2122" w:type="dxa"/>
            <w:shd w:val="clear" w:color="auto" w:fill="DBF4F5" w:themeFill="background2"/>
          </w:tcPr>
          <w:p w14:paraId="14BEDD61" w14:textId="2F47CEF0" w:rsidR="00CE0A71" w:rsidRPr="00AC6B19" w:rsidRDefault="00CE0A71" w:rsidP="001230E4">
            <w:pPr>
              <w:pStyle w:val="TableTextLeft"/>
              <w:spacing w:line="240" w:lineRule="auto"/>
              <w:rPr>
                <w:szCs w:val="18"/>
              </w:rPr>
            </w:pPr>
            <w:r w:rsidRPr="00AC6B19">
              <w:rPr>
                <w:szCs w:val="18"/>
              </w:rPr>
              <w:t>Food grade rHDPE production. Start-up in 2021.</w:t>
            </w:r>
          </w:p>
        </w:tc>
      </w:tr>
      <w:tr w:rsidR="001230E4" w:rsidRPr="00510B16" w14:paraId="1D264D9B" w14:textId="77777777" w:rsidTr="00966EDA">
        <w:tc>
          <w:tcPr>
            <w:tcW w:w="2916" w:type="dxa"/>
            <w:shd w:val="clear" w:color="auto" w:fill="DBF4F5" w:themeFill="background2"/>
            <w:noWrap/>
          </w:tcPr>
          <w:p w14:paraId="157249B9" w14:textId="50E31EF7" w:rsidR="00CE0A71" w:rsidRPr="00AC6B19" w:rsidRDefault="00CE0A71" w:rsidP="001230E4">
            <w:pPr>
              <w:pStyle w:val="TableTextLeft"/>
              <w:spacing w:line="240" w:lineRule="auto"/>
              <w:rPr>
                <w:szCs w:val="18"/>
              </w:rPr>
            </w:pPr>
            <w:r w:rsidRPr="00AC6B19">
              <w:rPr>
                <w:szCs w:val="18"/>
              </w:rPr>
              <w:t>Recycled Plastics Australia</w:t>
            </w:r>
          </w:p>
        </w:tc>
        <w:tc>
          <w:tcPr>
            <w:tcW w:w="1543" w:type="dxa"/>
            <w:noWrap/>
          </w:tcPr>
          <w:p w14:paraId="5C8303F7" w14:textId="77777777" w:rsidR="00CE0A71" w:rsidRPr="00AC6B19" w:rsidRDefault="00CE0A71" w:rsidP="001230E4">
            <w:pPr>
              <w:pStyle w:val="TableTextLeft"/>
              <w:spacing w:line="240" w:lineRule="auto"/>
              <w:rPr>
                <w:szCs w:val="18"/>
              </w:rPr>
            </w:pPr>
            <w:r w:rsidRPr="00AC6B19">
              <w:rPr>
                <w:szCs w:val="18"/>
              </w:rPr>
              <w:t>Kilburn SA</w:t>
            </w:r>
          </w:p>
        </w:tc>
        <w:tc>
          <w:tcPr>
            <w:tcW w:w="1685" w:type="dxa"/>
            <w:shd w:val="clear" w:color="auto" w:fill="DBF4F5" w:themeFill="background2"/>
            <w:noWrap/>
          </w:tcPr>
          <w:p w14:paraId="293BF8B1" w14:textId="77777777" w:rsidR="00CE0A71" w:rsidRPr="00AC6B19" w:rsidRDefault="00CE0A71" w:rsidP="001230E4">
            <w:pPr>
              <w:pStyle w:val="TableTextRight"/>
              <w:spacing w:line="240" w:lineRule="auto"/>
              <w:rPr>
                <w:szCs w:val="18"/>
              </w:rPr>
            </w:pPr>
            <w:r w:rsidRPr="00AC6B19">
              <w:rPr>
                <w:szCs w:val="18"/>
              </w:rPr>
              <w:t>20,000–25,000</w:t>
            </w:r>
          </w:p>
        </w:tc>
        <w:tc>
          <w:tcPr>
            <w:tcW w:w="2366" w:type="dxa"/>
          </w:tcPr>
          <w:p w14:paraId="7CC06F98" w14:textId="77777777" w:rsidR="00CE0A71" w:rsidRPr="00AC6B19" w:rsidRDefault="00CE0A71" w:rsidP="001230E4">
            <w:pPr>
              <w:pStyle w:val="TableTextLeft"/>
              <w:spacing w:line="240" w:lineRule="auto"/>
              <w:rPr>
                <w:szCs w:val="18"/>
              </w:rPr>
            </w:pPr>
            <w:r w:rsidRPr="00AC6B19">
              <w:rPr>
                <w:szCs w:val="18"/>
              </w:rPr>
              <w:t>Sorting, shredding/ granulation and pelletising</w:t>
            </w:r>
          </w:p>
        </w:tc>
        <w:tc>
          <w:tcPr>
            <w:tcW w:w="2122" w:type="dxa"/>
            <w:shd w:val="clear" w:color="auto" w:fill="DBF4F5" w:themeFill="background2"/>
          </w:tcPr>
          <w:p w14:paraId="7D861D7D" w14:textId="77777777" w:rsidR="00CE0A71" w:rsidRPr="00AC6B19" w:rsidRDefault="00CE0A71" w:rsidP="001230E4">
            <w:pPr>
              <w:pStyle w:val="TableTextLeft"/>
              <w:spacing w:line="240" w:lineRule="auto"/>
              <w:rPr>
                <w:szCs w:val="18"/>
              </w:rPr>
            </w:pPr>
            <w:r w:rsidRPr="00AC6B19">
              <w:rPr>
                <w:szCs w:val="18"/>
              </w:rPr>
              <w:t>Non-food grade flake and pellet production PE and PP (mostly).</w:t>
            </w:r>
          </w:p>
        </w:tc>
      </w:tr>
      <w:tr w:rsidR="001230E4" w:rsidRPr="00510B16" w14:paraId="46470AE9" w14:textId="77777777" w:rsidTr="00966EDA">
        <w:tc>
          <w:tcPr>
            <w:tcW w:w="2916" w:type="dxa"/>
            <w:shd w:val="clear" w:color="auto" w:fill="DBF4F5" w:themeFill="background2"/>
            <w:noWrap/>
          </w:tcPr>
          <w:p w14:paraId="617BFD43" w14:textId="77777777" w:rsidR="00171234" w:rsidRPr="00AC6B19" w:rsidRDefault="00171234" w:rsidP="001230E4">
            <w:pPr>
              <w:pStyle w:val="TableTextLeftBold"/>
              <w:spacing w:line="240" w:lineRule="auto"/>
              <w:rPr>
                <w:sz w:val="18"/>
                <w:szCs w:val="18"/>
              </w:rPr>
            </w:pPr>
            <w:r w:rsidRPr="00AC6B19">
              <w:rPr>
                <w:sz w:val="18"/>
                <w:szCs w:val="18"/>
              </w:rPr>
              <w:t>Total</w:t>
            </w:r>
          </w:p>
        </w:tc>
        <w:tc>
          <w:tcPr>
            <w:tcW w:w="1543" w:type="dxa"/>
            <w:noWrap/>
          </w:tcPr>
          <w:p w14:paraId="6CAFD7E4" w14:textId="77777777" w:rsidR="00171234" w:rsidRPr="00AC6B19" w:rsidRDefault="00171234" w:rsidP="001230E4">
            <w:pPr>
              <w:keepNext/>
              <w:keepLines/>
              <w:widowControl w:val="0"/>
              <w:spacing w:line="240" w:lineRule="auto"/>
              <w:jc w:val="center"/>
              <w:rPr>
                <w:rFonts w:ascii="Arial" w:hAnsi="Arial" w:cs="Arial"/>
                <w:b/>
                <w:bCs/>
                <w:color w:val="000000"/>
                <w:szCs w:val="18"/>
              </w:rPr>
            </w:pPr>
            <w:r w:rsidRPr="00AC6B19">
              <w:rPr>
                <w:rFonts w:ascii="Arial" w:hAnsi="Arial" w:cs="Arial"/>
                <w:b/>
                <w:bCs/>
                <w:color w:val="000000"/>
                <w:szCs w:val="18"/>
              </w:rPr>
              <w:t>-</w:t>
            </w:r>
          </w:p>
        </w:tc>
        <w:tc>
          <w:tcPr>
            <w:tcW w:w="1685" w:type="dxa"/>
            <w:shd w:val="clear" w:color="auto" w:fill="DBF4F5" w:themeFill="background2"/>
            <w:noWrap/>
          </w:tcPr>
          <w:p w14:paraId="30FA3CE4" w14:textId="1A71FE80" w:rsidR="00171234" w:rsidRPr="00AC6B19" w:rsidRDefault="00171234" w:rsidP="001230E4">
            <w:pPr>
              <w:pStyle w:val="TableTextRight"/>
              <w:spacing w:line="240" w:lineRule="auto"/>
              <w:rPr>
                <w:b/>
                <w:bCs/>
                <w:szCs w:val="18"/>
              </w:rPr>
            </w:pPr>
            <w:r w:rsidRPr="00AC6B19">
              <w:rPr>
                <w:b/>
                <w:bCs/>
                <w:szCs w:val="18"/>
              </w:rPr>
              <w:t>1</w:t>
            </w:r>
            <w:r w:rsidR="00966EDA">
              <w:rPr>
                <w:b/>
                <w:bCs/>
                <w:szCs w:val="18"/>
              </w:rPr>
              <w:t>6</w:t>
            </w:r>
            <w:r w:rsidRPr="00AC6B19">
              <w:rPr>
                <w:b/>
                <w:bCs/>
                <w:szCs w:val="18"/>
              </w:rPr>
              <w:t>4,000–</w:t>
            </w:r>
            <w:r w:rsidR="001230E4">
              <w:rPr>
                <w:b/>
                <w:bCs/>
                <w:szCs w:val="18"/>
              </w:rPr>
              <w:t>3</w:t>
            </w:r>
            <w:r w:rsidR="00966EDA">
              <w:rPr>
                <w:b/>
                <w:bCs/>
                <w:szCs w:val="18"/>
              </w:rPr>
              <w:t>2</w:t>
            </w:r>
            <w:r w:rsidRPr="00AC6B19">
              <w:rPr>
                <w:b/>
                <w:bCs/>
                <w:szCs w:val="18"/>
              </w:rPr>
              <w:t>4,000</w:t>
            </w:r>
          </w:p>
        </w:tc>
        <w:tc>
          <w:tcPr>
            <w:tcW w:w="2366" w:type="dxa"/>
          </w:tcPr>
          <w:p w14:paraId="0AFEC26F" w14:textId="77777777" w:rsidR="00171234" w:rsidRPr="00AC6B19" w:rsidRDefault="00171234" w:rsidP="001230E4">
            <w:pPr>
              <w:keepNext/>
              <w:keepLines/>
              <w:widowControl w:val="0"/>
              <w:spacing w:line="240" w:lineRule="auto"/>
              <w:jc w:val="center"/>
              <w:rPr>
                <w:rFonts w:ascii="Arial" w:hAnsi="Arial" w:cs="Arial"/>
                <w:b/>
                <w:bCs/>
                <w:color w:val="000000"/>
                <w:szCs w:val="18"/>
              </w:rPr>
            </w:pPr>
            <w:r w:rsidRPr="00AC6B19">
              <w:rPr>
                <w:rFonts w:ascii="Arial" w:hAnsi="Arial" w:cs="Arial"/>
                <w:b/>
                <w:bCs/>
                <w:color w:val="000000"/>
                <w:szCs w:val="18"/>
              </w:rPr>
              <w:t>-</w:t>
            </w:r>
          </w:p>
        </w:tc>
        <w:tc>
          <w:tcPr>
            <w:tcW w:w="2122" w:type="dxa"/>
            <w:shd w:val="clear" w:color="auto" w:fill="DBF4F5" w:themeFill="background2"/>
          </w:tcPr>
          <w:p w14:paraId="6A75DA5D" w14:textId="77777777" w:rsidR="00171234" w:rsidRPr="00AC6B19" w:rsidRDefault="00171234" w:rsidP="001230E4">
            <w:pPr>
              <w:keepNext/>
              <w:keepLines/>
              <w:widowControl w:val="0"/>
              <w:spacing w:line="240" w:lineRule="auto"/>
              <w:jc w:val="center"/>
              <w:rPr>
                <w:rFonts w:ascii="Arial" w:hAnsi="Arial" w:cs="Arial"/>
                <w:b/>
                <w:bCs/>
                <w:color w:val="000000"/>
                <w:szCs w:val="18"/>
              </w:rPr>
            </w:pPr>
            <w:r w:rsidRPr="00AC6B19">
              <w:rPr>
                <w:rFonts w:ascii="Arial" w:hAnsi="Arial" w:cs="Arial"/>
                <w:b/>
                <w:bCs/>
                <w:color w:val="000000"/>
                <w:szCs w:val="18"/>
              </w:rPr>
              <w:t>-</w:t>
            </w:r>
          </w:p>
        </w:tc>
      </w:tr>
    </w:tbl>
    <w:p w14:paraId="2C7B4A6D" w14:textId="4817DC0C" w:rsidR="00171234" w:rsidRPr="001230E4" w:rsidRDefault="00171234" w:rsidP="00C30C4F">
      <w:pPr>
        <w:pStyle w:val="SmallBodyText"/>
        <w:rPr>
          <w:sz w:val="18"/>
          <w:szCs w:val="18"/>
        </w:rPr>
      </w:pPr>
      <w:r w:rsidRPr="00137B49">
        <w:rPr>
          <w:sz w:val="18"/>
          <w:szCs w:val="18"/>
        </w:rPr>
        <w:t xml:space="preserve">Note: Updated to </w:t>
      </w:r>
      <w:r w:rsidR="007A2DE1" w:rsidRPr="00137B49">
        <w:rPr>
          <w:sz w:val="18"/>
          <w:szCs w:val="18"/>
        </w:rPr>
        <w:t>June</w:t>
      </w:r>
      <w:r w:rsidRPr="00137B49">
        <w:rPr>
          <w:sz w:val="18"/>
          <w:szCs w:val="18"/>
        </w:rPr>
        <w:t xml:space="preserve"> 202</w:t>
      </w:r>
      <w:r w:rsidR="007A2DE1" w:rsidRPr="00137B49">
        <w:rPr>
          <w:sz w:val="18"/>
          <w:szCs w:val="18"/>
        </w:rPr>
        <w:t>3</w:t>
      </w:r>
      <w:r w:rsidRPr="00137B49">
        <w:rPr>
          <w:sz w:val="18"/>
          <w:szCs w:val="18"/>
        </w:rPr>
        <w:t>.</w:t>
      </w:r>
    </w:p>
    <w:p w14:paraId="72A49DF2" w14:textId="77777777" w:rsidR="00EE2332" w:rsidRDefault="00EE2332" w:rsidP="00C30C4F">
      <w:pPr>
        <w:pStyle w:val="BodyText"/>
      </w:pPr>
    </w:p>
    <w:p w14:paraId="73B8FC7A" w14:textId="76018B24" w:rsidR="00171234" w:rsidRPr="00171234" w:rsidRDefault="3099195B" w:rsidP="00C30C4F">
      <w:pPr>
        <w:pStyle w:val="BodyText"/>
      </w:pPr>
      <w:r>
        <w:t xml:space="preserve">Not listed in the table above are </w:t>
      </w:r>
      <w:r w:rsidR="00966EDA">
        <w:t>a number of</w:t>
      </w:r>
      <w:r>
        <w:t xml:space="preserve"> prospective advanced (chemical recycling) projects nationally that are at varying degrees </w:t>
      </w:r>
      <w:r w:rsidR="7E54B4CD">
        <w:t>of project</w:t>
      </w:r>
      <w:r>
        <w:t xml:space="preserve"> development. These will tend not to target the rigid consumer packaging generated by kerbside </w:t>
      </w:r>
      <w:r w:rsidR="7E54B4CD">
        <w:t>recycling but</w:t>
      </w:r>
      <w:r>
        <w:t xml:space="preserve"> will target flexible plastic packaging collected from consumer sources. </w:t>
      </w:r>
      <w:r w:rsidR="0DC32A84">
        <w:t>Projects include</w:t>
      </w:r>
      <w:r>
        <w:t>:</w:t>
      </w:r>
    </w:p>
    <w:p w14:paraId="1ABABAE6" w14:textId="605DF8E8" w:rsidR="00171234" w:rsidRPr="00171234" w:rsidRDefault="00171234" w:rsidP="00460BA5">
      <w:pPr>
        <w:pStyle w:val="ListBullet"/>
      </w:pPr>
      <w:r w:rsidRPr="00171234">
        <w:t>APR Plastics, Plastoil Australia and Biofabrik Technologies (~220,000 t</w:t>
      </w:r>
      <w:r w:rsidR="00BD6B95">
        <w:t xml:space="preserve">onnes per </w:t>
      </w:r>
      <w:r w:rsidRPr="00171234">
        <w:t>y</w:t>
      </w:r>
      <w:r w:rsidR="00BD6B95">
        <w:t>ea</w:t>
      </w:r>
      <w:r w:rsidRPr="00171234">
        <w:t xml:space="preserve">r) – </w:t>
      </w:r>
      <w:r w:rsidR="008269BB" w:rsidRPr="00171234">
        <w:t>Early-stage</w:t>
      </w:r>
      <w:r w:rsidRPr="00171234">
        <w:t xml:space="preserve"> project development. Plan to be fully operational in ~5–8 years.</w:t>
      </w:r>
    </w:p>
    <w:p w14:paraId="08A0D6A9" w14:textId="4645E00D" w:rsidR="00171234" w:rsidRPr="00171234" w:rsidRDefault="00171234" w:rsidP="00460BA5">
      <w:pPr>
        <w:pStyle w:val="ListBullet"/>
      </w:pPr>
      <w:r w:rsidRPr="00171234">
        <w:lastRenderedPageBreak/>
        <w:t>Brightmark</w:t>
      </w:r>
      <w:r w:rsidR="00AF23CA">
        <w:t xml:space="preserve"> </w:t>
      </w:r>
      <w:r w:rsidR="00303B2E">
        <w:t>NSW</w:t>
      </w:r>
      <w:r w:rsidRPr="00171234">
        <w:t xml:space="preserve"> (~200,000 t</w:t>
      </w:r>
      <w:r w:rsidR="00E542F0">
        <w:t xml:space="preserve">onnes per </w:t>
      </w:r>
      <w:r w:rsidRPr="00171234">
        <w:t>y</w:t>
      </w:r>
      <w:r w:rsidR="00E542F0">
        <w:t>ea</w:t>
      </w:r>
      <w:r w:rsidRPr="00171234">
        <w:t xml:space="preserve">r) – </w:t>
      </w:r>
      <w:r w:rsidR="008269BB" w:rsidRPr="00171234">
        <w:t>Late-stage</w:t>
      </w:r>
      <w:r w:rsidRPr="00171234">
        <w:t xml:space="preserve"> project development, planned to be operational in 2025.</w:t>
      </w:r>
    </w:p>
    <w:p w14:paraId="1D57C15A" w14:textId="7A032D8E" w:rsidR="00171234" w:rsidRPr="00171234" w:rsidRDefault="00171234" w:rsidP="00460BA5">
      <w:pPr>
        <w:pStyle w:val="ListBullet"/>
      </w:pPr>
      <w:r w:rsidRPr="00171234">
        <w:t xml:space="preserve">Licella and </w:t>
      </w:r>
      <w:r w:rsidR="009B2529">
        <w:t xml:space="preserve">Advanced </w:t>
      </w:r>
      <w:r w:rsidR="00127325">
        <w:t>Recycling Victoria</w:t>
      </w:r>
      <w:r w:rsidRPr="00171234">
        <w:t xml:space="preserve"> (initially 20,000 t</w:t>
      </w:r>
      <w:r w:rsidR="00E542F0">
        <w:t>onnes per year</w:t>
      </w:r>
      <w:r w:rsidR="00966EDA">
        <w:t>, and then increasing to 120,000 tonnes per year</w:t>
      </w:r>
      <w:r w:rsidRPr="00171234">
        <w:t xml:space="preserve">) – </w:t>
      </w:r>
      <w:r w:rsidR="008269BB" w:rsidRPr="00171234">
        <w:t>Late-stage</w:t>
      </w:r>
      <w:r w:rsidRPr="00171234">
        <w:t xml:space="preserve"> project development, planned to be operational </w:t>
      </w:r>
      <w:r w:rsidR="00127325">
        <w:t>end</w:t>
      </w:r>
      <w:r w:rsidRPr="00171234">
        <w:t xml:space="preserve"> 2023.</w:t>
      </w:r>
    </w:p>
    <w:p w14:paraId="4AA156C3" w14:textId="678A9B9B" w:rsidR="00171234" w:rsidRPr="00171234" w:rsidRDefault="00171234" w:rsidP="00460BA5">
      <w:pPr>
        <w:pStyle w:val="ListBullet"/>
      </w:pPr>
      <w:r w:rsidRPr="00171234">
        <w:t xml:space="preserve">Qenos, Cleanaway and Plastic Energy (~100,000 </w:t>
      </w:r>
      <w:r w:rsidR="00E542F0">
        <w:t>t</w:t>
      </w:r>
      <w:r w:rsidR="00536D44">
        <w:t>onnes per year</w:t>
      </w:r>
      <w:r w:rsidRPr="00171234">
        <w:t xml:space="preserve">) – </w:t>
      </w:r>
      <w:r w:rsidR="008269BB" w:rsidRPr="00171234">
        <w:t>Early-stage</w:t>
      </w:r>
      <w:r w:rsidRPr="00171234">
        <w:t xml:space="preserve"> project development. Plan to be fully operational by 2025.</w:t>
      </w:r>
    </w:p>
    <w:p w14:paraId="24EA1E7E" w14:textId="0328F6E8" w:rsidR="00171234" w:rsidRDefault="00171234" w:rsidP="00460BA5">
      <w:pPr>
        <w:pStyle w:val="ListBullet"/>
      </w:pPr>
      <w:r w:rsidRPr="00171234">
        <w:t xml:space="preserve">Samsara Eco, CSIRO &amp; Woolworths enzyme recycling (5,000 </w:t>
      </w:r>
      <w:r w:rsidR="00536D44">
        <w:t>tonnes per year</w:t>
      </w:r>
      <w:r w:rsidRPr="00171234">
        <w:t>) – Trial stage in 2022.</w:t>
      </w:r>
    </w:p>
    <w:p w14:paraId="785115B3" w14:textId="58C5A9C2" w:rsidR="00532B69" w:rsidRPr="00966EDA" w:rsidRDefault="00532B69" w:rsidP="00966EDA">
      <w:pPr>
        <w:pStyle w:val="BodyText"/>
      </w:pPr>
    </w:p>
    <w:p w14:paraId="1987C209" w14:textId="77777777" w:rsidR="008269BB" w:rsidRPr="00966EDA" w:rsidRDefault="008269BB" w:rsidP="00966EDA">
      <w:pPr>
        <w:pStyle w:val="BodyText"/>
        <w:rPr>
          <w:rFonts w:eastAsia="Arial"/>
        </w:rPr>
      </w:pPr>
      <w:r w:rsidRPr="00966EDA">
        <w:rPr>
          <w:rFonts w:eastAsia="Arial"/>
        </w:rPr>
        <w:br w:type="page"/>
      </w:r>
    </w:p>
    <w:p w14:paraId="7055AA48" w14:textId="4B80714F" w:rsidR="00FC722B" w:rsidRPr="00FC722B" w:rsidRDefault="00FC722B" w:rsidP="00185AE0">
      <w:pPr>
        <w:pStyle w:val="Heading3"/>
        <w:rPr>
          <w:rFonts w:eastAsia="Arial"/>
        </w:rPr>
      </w:pPr>
      <w:r w:rsidRPr="00FC722B">
        <w:rPr>
          <w:rFonts w:eastAsia="Arial"/>
        </w:rPr>
        <w:lastRenderedPageBreak/>
        <w:t>Disclaimer</w:t>
      </w:r>
    </w:p>
    <w:p w14:paraId="2172846B" w14:textId="5637D8D5" w:rsidR="00FC722B" w:rsidRPr="00FC722B" w:rsidRDefault="00FC722B" w:rsidP="00FC722B">
      <w:pPr>
        <w:pStyle w:val="BodyText"/>
        <w:rPr>
          <w:rFonts w:eastAsia="Arial"/>
        </w:rPr>
      </w:pPr>
      <w:r w:rsidRPr="00FC722B">
        <w:rPr>
          <w:rFonts w:eastAsia="Arial"/>
        </w:rPr>
        <w:t xml:space="preserve">The information on this </w:t>
      </w:r>
      <w:r>
        <w:rPr>
          <w:rFonts w:eastAsia="Arial"/>
        </w:rPr>
        <w:t>report</w:t>
      </w:r>
      <w:r w:rsidRPr="00FC722B">
        <w:rPr>
          <w:rFonts w:eastAsia="Arial"/>
        </w:rPr>
        <w:t xml:space="preserve"> was prepared in conjunction with Blue Environment.</w:t>
      </w:r>
    </w:p>
    <w:p w14:paraId="05E3B493" w14:textId="1419D936" w:rsidR="00FC722B" w:rsidRPr="00FC722B" w:rsidRDefault="00FC722B" w:rsidP="00FC722B">
      <w:pPr>
        <w:pStyle w:val="BodyText"/>
        <w:rPr>
          <w:rFonts w:eastAsia="Arial"/>
        </w:rPr>
      </w:pPr>
      <w:r w:rsidRPr="00FC722B">
        <w:rPr>
          <w:rFonts w:eastAsia="Arial"/>
        </w:rPr>
        <w:t>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as a result of placed upon the content of this publication</w:t>
      </w:r>
      <w:r w:rsidR="00824627">
        <w:rPr>
          <w:rFonts w:eastAsia="Arial"/>
        </w:rPr>
        <w:t>.</w:t>
      </w:r>
    </w:p>
    <w:p w14:paraId="23850CE6" w14:textId="77777777" w:rsidR="00FC722B" w:rsidRPr="00FC722B" w:rsidRDefault="00FC722B" w:rsidP="00FC722B">
      <w:pPr>
        <w:pStyle w:val="BodyText"/>
        <w:rPr>
          <w:rFonts w:eastAsia="Arial"/>
        </w:rPr>
      </w:pPr>
      <w:r w:rsidRPr="00FC722B">
        <w:rPr>
          <w:rFonts w:eastAsia="Arial"/>
        </w:rPr>
        <w:t>This publication is provided on the basis that all persons accessing it undertake responsibility for assessing the relevance and accuracy of its content.</w:t>
      </w:r>
    </w:p>
    <w:p w14:paraId="1C4CB120" w14:textId="0FA82FC4" w:rsidR="00FC722B" w:rsidRPr="00682C7C" w:rsidRDefault="00FC722B" w:rsidP="00FC722B">
      <w:pPr>
        <w:pStyle w:val="BodyText"/>
        <w:rPr>
          <w:rFonts w:eastAsia="Arial"/>
        </w:rPr>
      </w:pPr>
      <w:r w:rsidRPr="00FC722B">
        <w:rPr>
          <w:rFonts w:eastAsia="Arial"/>
        </w:rPr>
        <w:t>Recycling Victoria does not accept any liability for loss or damage arising from your use of or reliance on the Data. The inclusion of information in this report does not constitute Recycling Victoria’s endorsement of any particular facility, or any associated organisation, product or service.</w:t>
      </w:r>
    </w:p>
    <w:p w14:paraId="40BE010C" w14:textId="77777777" w:rsidR="00682C7C" w:rsidRPr="00D76CD4" w:rsidRDefault="00682C7C" w:rsidP="00682C7C">
      <w:pPr>
        <w:pStyle w:val="Footnotes"/>
        <w:numPr>
          <w:ilvl w:val="0"/>
          <w:numId w:val="0"/>
        </w:numPr>
        <w:ind w:left="284" w:hanging="284"/>
        <w:rPr>
          <w:rFonts w:eastAsia="Arial"/>
        </w:rPr>
      </w:pPr>
    </w:p>
    <w:p w14:paraId="057C806F" w14:textId="77777777" w:rsidR="00171234" w:rsidRDefault="00171234" w:rsidP="00171234">
      <w:pPr>
        <w:pStyle w:val="BodyText"/>
      </w:pPr>
    </w:p>
    <w:tbl>
      <w:tblPr>
        <w:tblpPr w:leftFromText="181" w:rightFromText="181" w:topFromText="113" w:horzAnchor="page" w:tblpX="852" w:tblpYSpec="bottom"/>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16C50CE8" w14:textId="77777777" w:rsidTr="00437A2E">
        <w:trPr>
          <w:trHeight w:val="3175"/>
        </w:trPr>
        <w:tc>
          <w:tcPr>
            <w:tcW w:w="5216" w:type="dxa"/>
            <w:shd w:val="clear" w:color="auto" w:fill="auto"/>
          </w:tcPr>
          <w:p w14:paraId="6058C56F" w14:textId="63BBC980" w:rsidR="00BF56B2" w:rsidRPr="00472CF9" w:rsidRDefault="00BF56B2" w:rsidP="00437A2E">
            <w:pPr>
              <w:pStyle w:val="SmallBodyText"/>
              <w:rPr>
                <w:sz w:val="14"/>
                <w:szCs w:val="22"/>
              </w:rPr>
            </w:pPr>
            <w:r w:rsidRPr="00472CF9">
              <w:rPr>
                <w:sz w:val="14"/>
                <w:szCs w:val="22"/>
              </w:rPr>
              <w:t xml:space="preserve">© The State of Victoria </w:t>
            </w:r>
            <w:r w:rsidR="00752437" w:rsidRPr="00752437">
              <w:rPr>
                <w:sz w:val="14"/>
                <w:szCs w:val="22"/>
              </w:rPr>
              <w:t>Department of Energy, Environment and Climate Action</w:t>
            </w:r>
            <w:r w:rsidR="003E0AE3">
              <w:rPr>
                <w:sz w:val="14"/>
                <w:szCs w:val="22"/>
              </w:rPr>
              <w:t xml:space="preserve"> 2023</w:t>
            </w:r>
          </w:p>
          <w:p w14:paraId="489B18B4" w14:textId="23090426" w:rsidR="00BF56B2" w:rsidRDefault="00BF56B2" w:rsidP="00437A2E">
            <w:pPr>
              <w:pStyle w:val="SmallBodyText"/>
              <w:rPr>
                <w:color w:val="auto"/>
                <w:sz w:val="14"/>
                <w:szCs w:val="22"/>
              </w:rPr>
            </w:pPr>
            <w:r w:rsidRPr="00472CF9">
              <w:rPr>
                <w:noProof/>
                <w:color w:val="2B579A"/>
                <w:sz w:val="14"/>
                <w:szCs w:val="22"/>
                <w:shd w:val="clear" w:color="auto" w:fill="E6E6E6"/>
              </w:rPr>
              <w:drawing>
                <wp:anchor distT="0" distB="0" distL="114300" distR="36195" simplePos="0" relativeHeight="251658241" behindDoc="0" locked="1" layoutInCell="1" allowOverlap="1" wp14:anchorId="29707FED" wp14:editId="53CB48D6">
                  <wp:simplePos x="0" y="0"/>
                  <wp:positionH relativeFrom="column">
                    <wp:posOffset>0</wp:posOffset>
                  </wp:positionH>
                  <wp:positionV relativeFrom="paragraph">
                    <wp:posOffset>28575</wp:posOffset>
                  </wp:positionV>
                  <wp:extent cx="658495" cy="237490"/>
                  <wp:effectExtent l="0" t="0" r="8255" b="0"/>
                  <wp:wrapSquare wrapText="bothSides"/>
                  <wp:docPr id="25" name="Picture 25" descr="Creative Commons BY"/>
                  <wp:cNvGraphicFramePr/>
                  <a:graphic xmlns:a="http://schemas.openxmlformats.org/drawingml/2006/main">
                    <a:graphicData uri="http://schemas.openxmlformats.org/drawingml/2006/picture">
                      <pic:pic xmlns:pic="http://schemas.openxmlformats.org/drawingml/2006/picture">
                        <pic:nvPicPr>
                          <pic:cNvPr id="25" name="Picture 25" descr="Creative Commons BY"/>
                          <pic:cNvPicPr/>
                        </pic:nvPicPr>
                        <pic:blipFill>
                          <a:blip r:embed="rId21">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72CF9">
              <w:rPr>
                <w:sz w:val="14"/>
                <w:szCs w:val="22"/>
              </w:rPr>
              <w:t xml:space="preserve">This </w:t>
            </w:r>
            <w:r w:rsidR="00752437">
              <w:rPr>
                <w:color w:val="auto"/>
                <w:sz w:val="14"/>
                <w:szCs w:val="22"/>
              </w:rPr>
              <w:t xml:space="preserve">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22" w:history="1">
              <w:r w:rsidR="003E0AE3" w:rsidRPr="002A3A85">
                <w:rPr>
                  <w:rStyle w:val="Hyperlink"/>
                  <w:sz w:val="14"/>
                  <w:szCs w:val="22"/>
                </w:rPr>
                <w:t>http://creativecommons.org/licenses/by/4.0/</w:t>
              </w:r>
            </w:hyperlink>
          </w:p>
          <w:p w14:paraId="2517F6D9" w14:textId="77777777" w:rsidR="003E0AE3" w:rsidRDefault="003E0AE3" w:rsidP="00437A2E">
            <w:pPr>
              <w:pStyle w:val="SmallHeading"/>
              <w:rPr>
                <w:sz w:val="14"/>
                <w:szCs w:val="22"/>
              </w:rPr>
            </w:pPr>
          </w:p>
          <w:p w14:paraId="31038CA6" w14:textId="362E30EE" w:rsidR="00BF56B2" w:rsidRPr="00472CF9" w:rsidRDefault="00BF56B2" w:rsidP="00437A2E">
            <w:pPr>
              <w:pStyle w:val="SmallHeading"/>
              <w:rPr>
                <w:sz w:val="14"/>
                <w:szCs w:val="22"/>
              </w:rPr>
            </w:pPr>
            <w:r w:rsidRPr="00472CF9">
              <w:rPr>
                <w:sz w:val="14"/>
                <w:szCs w:val="22"/>
              </w:rPr>
              <w:t>Disclaimer</w:t>
            </w:r>
          </w:p>
          <w:p w14:paraId="70378E46" w14:textId="77777777" w:rsidR="00B47C79" w:rsidRDefault="00BF56B2" w:rsidP="00437A2E">
            <w:pPr>
              <w:pStyle w:val="SmallBodyText"/>
            </w:pPr>
            <w:r w:rsidRPr="00472CF9">
              <w:rPr>
                <w:sz w:val="14"/>
                <w:szCs w:val="22"/>
              </w:rPr>
              <w:t xml:space="preserve">This publication may be of assistance to </w:t>
            </w:r>
            <w:r w:rsidR="00AB2E02" w:rsidRPr="00472CF9">
              <w:rPr>
                <w:sz w:val="14"/>
                <w:szCs w:val="22"/>
              </w:rPr>
              <w:t>you,</w:t>
            </w:r>
            <w:r w:rsidRPr="00472CF9">
              <w:rPr>
                <w:sz w:val="14"/>
                <w:szCs w:val="22"/>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1E5A08B2" w14:textId="77777777" w:rsidR="00254A01" w:rsidRPr="00E97294" w:rsidRDefault="00254A01" w:rsidP="00437A2E">
            <w:pPr>
              <w:pStyle w:val="xAccessibilityHeading"/>
            </w:pPr>
            <w:bookmarkStart w:id="2" w:name="_Accessibility"/>
            <w:bookmarkEnd w:id="2"/>
            <w:r w:rsidRPr="00E97294">
              <w:t>Accessibility</w:t>
            </w:r>
          </w:p>
          <w:p w14:paraId="7F0C527A" w14:textId="77777777" w:rsidR="00254A01" w:rsidRDefault="00254A01" w:rsidP="00437A2E">
            <w:pPr>
              <w:pStyle w:val="xAccessibilityText"/>
            </w:pPr>
            <w:r>
              <w:t xml:space="preserve">If you would like to receive this publication in an alternative format, please telephone the </w:t>
            </w:r>
            <w:r w:rsidR="00752437">
              <w:t>DEECA</w:t>
            </w:r>
            <w:r>
              <w:t xml:space="preserve"> Customer Service Centre on 136186, email </w:t>
            </w:r>
            <w:hyperlink r:id="rId23" w:history="1">
              <w:r w:rsidRPr="00BF56B2">
                <w:rPr>
                  <w:rStyle w:val="Hyperlink"/>
                </w:rPr>
                <w:t>customer.service@delwp.vic.gov.au</w:t>
              </w:r>
            </w:hyperlink>
            <w:r w:rsidRPr="003C5C56">
              <w:t xml:space="preserve"> </w:t>
            </w:r>
            <w:r>
              <w:t xml:space="preserve">or via the National Relay Service on 133 677 </w:t>
            </w:r>
            <w:hyperlink r:id="rId24" w:history="1">
              <w:r w:rsidRPr="00BF56B2">
                <w:rPr>
                  <w:rStyle w:val="Hyperlink"/>
                </w:rPr>
                <w:t>www.relayservice.com.au</w:t>
              </w:r>
            </w:hyperlink>
            <w:r>
              <w:t xml:space="preserve">. This document is also available on the internet </w:t>
            </w:r>
            <w:r w:rsidR="00E977FE">
              <w:rPr>
                <w:color w:val="auto"/>
              </w:rPr>
              <w:t xml:space="preserve">at </w:t>
            </w:r>
            <w:hyperlink r:id="rId25" w:history="1">
              <w:r w:rsidR="00E977FE">
                <w:rPr>
                  <w:rStyle w:val="Hyperlink"/>
                </w:rPr>
                <w:t>www.recycling.vic.gov.au</w:t>
              </w:r>
            </w:hyperlink>
          </w:p>
        </w:tc>
      </w:tr>
    </w:tbl>
    <w:p w14:paraId="208CDA0E" w14:textId="77777777" w:rsidR="00254A01" w:rsidRDefault="007362BC" w:rsidP="00254A01">
      <w:pPr>
        <w:pStyle w:val="SmallBodyText"/>
      </w:pPr>
      <w:r w:rsidRPr="00204FF8">
        <w:rPr>
          <w:rStyle w:val="HiddenText"/>
        </w:rPr>
        <w:t>Keep all content above this instruction text line. Delete only when document formatting is complete.</w:t>
      </w:r>
      <w:r w:rsidR="00254A01">
        <w:t xml:space="preserve"> </w:t>
      </w:r>
    </w:p>
    <w:p w14:paraId="56960049" w14:textId="77777777" w:rsidR="006E1C8D" w:rsidRPr="00BF56B2" w:rsidRDefault="00437A2E" w:rsidP="00BF56B2">
      <w:pPr>
        <w:pStyle w:val="SmallBodyText"/>
      </w:pPr>
      <w:r w:rsidRPr="00AE6B68">
        <w:rPr>
          <w:b/>
          <w:bCs/>
          <w:noProof/>
          <w:color w:val="2B579A"/>
          <w:sz w:val="28"/>
          <w:szCs w:val="32"/>
          <w:shd w:val="clear" w:color="auto" w:fill="E6E6E6"/>
        </w:rPr>
        <w:drawing>
          <wp:anchor distT="0" distB="0" distL="114300" distR="114300" simplePos="0" relativeHeight="251658242" behindDoc="1" locked="0" layoutInCell="1" allowOverlap="1" wp14:anchorId="7D2C5C75" wp14:editId="29E3EEF0">
            <wp:simplePos x="0" y="0"/>
            <wp:positionH relativeFrom="page">
              <wp:align>right</wp:align>
            </wp:positionH>
            <wp:positionV relativeFrom="page">
              <wp:align>bottom</wp:align>
            </wp:positionV>
            <wp:extent cx="2491200" cy="907200"/>
            <wp:effectExtent l="0" t="0" r="0" b="0"/>
            <wp:wrapNone/>
            <wp:docPr id="4" name="Picture 4"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26" cstate="print">
                      <a:extLst>
                        <a:ext uri="{28A0092B-C50C-407E-A947-70E740481C1C}">
                          <a14:useLocalDpi xmlns:a14="http://schemas.microsoft.com/office/drawing/2010/main" val="0"/>
                        </a:ext>
                      </a:extLst>
                    </a:blip>
                    <a:srcRect b="14825"/>
                    <a:stretch/>
                  </pic:blipFill>
                  <pic:spPr bwMode="auto">
                    <a:xfrm>
                      <a:off x="0" y="0"/>
                      <a:ext cx="2491200" cy="9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B2">
        <w:rPr>
          <w:noProof/>
          <w:color w:val="2B579A"/>
          <w:shd w:val="clear" w:color="auto" w:fill="E6E6E6"/>
        </w:rPr>
        <mc:AlternateContent>
          <mc:Choice Requires="wps">
            <w:drawing>
              <wp:anchor distT="0" distB="0" distL="114300" distR="114300" simplePos="0" relativeHeight="251658240" behindDoc="1" locked="1" layoutInCell="1" allowOverlap="1" wp14:anchorId="28523F89" wp14:editId="765C3625">
                <wp:simplePos x="0" y="0"/>
                <wp:positionH relativeFrom="page">
                  <wp:align>left</wp:align>
                </wp:positionH>
                <wp:positionV relativeFrom="page">
                  <wp:posOffset>7687310</wp:posOffset>
                </wp:positionV>
                <wp:extent cx="7559675" cy="3004185"/>
                <wp:effectExtent l="0" t="0" r="3175" b="571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0041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4DA4B" id="Rectangle 22" o:spid="_x0000_s1026" alt="&quot;&quot;" style="position:absolute;margin-left:0;margin-top:605.3pt;width:595.25pt;height:236.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" fillcolor="#dbf4f5 [3214]" stroked="f" strokeweight="1.5pt">
                <v:stroke endcap="round"/>
                <w10:wrap anchorx="page" anchory="page"/>
                <w10:anchorlock/>
              </v:rect>
            </w:pict>
          </mc:Fallback>
        </mc:AlternateContent>
      </w:r>
    </w:p>
    <w:sectPr w:rsidR="006E1C8D" w:rsidRPr="00BF56B2" w:rsidSect="003E0AE3">
      <w:headerReference w:type="default" r:id="rId27"/>
      <w:footerReference w:type="default" r:id="rId28"/>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90D7" w14:textId="77777777" w:rsidR="003A3843" w:rsidRDefault="003A3843">
      <w:r>
        <w:separator/>
      </w:r>
    </w:p>
    <w:p w14:paraId="75F24B8A" w14:textId="77777777" w:rsidR="003A3843" w:rsidRDefault="003A3843"/>
    <w:p w14:paraId="6B48D941" w14:textId="77777777" w:rsidR="003A3843" w:rsidRDefault="003A3843"/>
  </w:endnote>
  <w:endnote w:type="continuationSeparator" w:id="0">
    <w:p w14:paraId="38C568A5" w14:textId="77777777" w:rsidR="003A3843" w:rsidRDefault="003A3843">
      <w:r>
        <w:continuationSeparator/>
      </w:r>
    </w:p>
    <w:p w14:paraId="084C61B4" w14:textId="77777777" w:rsidR="003A3843" w:rsidRDefault="003A3843"/>
    <w:p w14:paraId="754CEF1C" w14:textId="77777777" w:rsidR="003A3843" w:rsidRDefault="003A3843"/>
  </w:endnote>
  <w:endnote w:type="continuationNotice" w:id="1">
    <w:p w14:paraId="31C40687" w14:textId="77777777" w:rsidR="003A3843" w:rsidRDefault="003A38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0A43" w14:textId="3AEE6E41" w:rsidR="00947066" w:rsidRPr="00AE6B68" w:rsidRDefault="00274075">
    <w:pPr>
      <w:pStyle w:val="Footer"/>
      <w:rPr>
        <w:b/>
        <w:bCs/>
        <w:color w:val="201547" w:themeColor="text2"/>
        <w:sz w:val="20"/>
        <w:szCs w:val="24"/>
      </w:rPr>
    </w:pPr>
    <w:r>
      <w:rPr>
        <w:noProof/>
        <w:color w:val="2B579A"/>
      </w:rPr>
      <mc:AlternateContent>
        <mc:Choice Requires="wps">
          <w:drawing>
            <wp:anchor distT="0" distB="0" distL="114300" distR="114300" simplePos="0" relativeHeight="251661326" behindDoc="0" locked="0" layoutInCell="0" allowOverlap="1" wp14:anchorId="680886B5" wp14:editId="6984E3C5">
              <wp:simplePos x="0" y="0"/>
              <wp:positionH relativeFrom="page">
                <wp:posOffset>0</wp:posOffset>
              </wp:positionH>
              <wp:positionV relativeFrom="page">
                <wp:posOffset>10229215</wp:posOffset>
              </wp:positionV>
              <wp:extent cx="7560945" cy="273050"/>
              <wp:effectExtent l="0" t="0" r="0" b="12700"/>
              <wp:wrapNone/>
              <wp:docPr id="16" name="MSIPCM6a184270a22660336d966739"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A26C9D" w14:textId="23CCD484" w:rsidR="00274075" w:rsidRPr="00274075" w:rsidRDefault="00274075" w:rsidP="00274075">
                          <w:pPr>
                            <w:jc w:val="center"/>
                            <w:rPr>
                              <w:rFonts w:ascii="Calibri" w:hAnsi="Calibri" w:cs="Calibri"/>
                              <w:color w:val="000000"/>
                              <w:sz w:val="24"/>
                            </w:rPr>
                          </w:pPr>
                          <w:r w:rsidRPr="0027407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0886B5" id="_x0000_t202" coordsize="21600,21600" o:spt="202" path="m,l,21600r21600,l21600,xe">
              <v:stroke joinstyle="miter"/>
              <v:path gradientshapeok="t" o:connecttype="rect"/>
            </v:shapetype>
            <v:shape id="MSIPCM6a184270a22660336d966739" o:spid="_x0000_s1026" type="#_x0000_t202" alt="{&quot;HashCode&quot;:1862493762,&quot;Height&quot;:842.0,&quot;Width&quot;:595.0,&quot;Placement&quot;:&quot;Footer&quot;,&quot;Index&quot;:&quot;OddAndEven&quot;,&quot;Section&quot;:1,&quot;Top&quot;:0.0,&quot;Left&quot;:0.0}" style="position:absolute;margin-left:0;margin-top:805.45pt;width:595.35pt;height:21.5pt;z-index:25166132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c4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6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GzEHOBkCAAAsBAAADgAAAAAAAAAAAAAAAAAuAgAAZHJzL2Uyb0RvYy54bWxQSwECLQAU&#10;AAYACAAAACEAEXKnft8AAAALAQAADwAAAAAAAAAAAAAAAABzBAAAZHJzL2Rvd25yZXYueG1sUEsF&#10;BgAAAAAEAAQA8wAAAH8FAAAAAA==&#10;" o:allowincell="f" filled="f" stroked="f" strokeweight=".5pt">
              <v:fill o:detectmouseclick="t"/>
              <v:textbox inset=",0,,0">
                <w:txbxContent>
                  <w:p w14:paraId="6AA26C9D" w14:textId="23CCD484" w:rsidR="00274075" w:rsidRPr="00274075" w:rsidRDefault="00274075" w:rsidP="00274075">
                    <w:pPr>
                      <w:jc w:val="center"/>
                      <w:rPr>
                        <w:rFonts w:ascii="Calibri" w:hAnsi="Calibri" w:cs="Calibri"/>
                        <w:color w:val="000000"/>
                        <w:sz w:val="24"/>
                      </w:rPr>
                    </w:pPr>
                    <w:r w:rsidRPr="00274075">
                      <w:rPr>
                        <w:rFonts w:ascii="Calibri" w:hAnsi="Calibri" w:cs="Calibri"/>
                        <w:color w:val="000000"/>
                        <w:sz w:val="24"/>
                      </w:rPr>
                      <w:t>OFFICIAL</w:t>
                    </w:r>
                  </w:p>
                </w:txbxContent>
              </v:textbox>
              <w10:wrap anchorx="page" anchory="page"/>
            </v:shape>
          </w:pict>
        </mc:Fallback>
      </mc:AlternateContent>
    </w:r>
    <w:r w:rsidR="00936A74">
      <w:rPr>
        <w:noProof/>
        <w:color w:val="2B579A"/>
      </w:rPr>
      <mc:AlternateContent>
        <mc:Choice Requires="wps">
          <w:drawing>
            <wp:anchor distT="0" distB="0" distL="114300" distR="114300" simplePos="0" relativeHeight="251658253" behindDoc="0" locked="0" layoutInCell="0" allowOverlap="1" wp14:anchorId="31F56346" wp14:editId="3C17A533">
              <wp:simplePos x="0" y="0"/>
              <wp:positionH relativeFrom="page">
                <wp:posOffset>0</wp:posOffset>
              </wp:positionH>
              <wp:positionV relativeFrom="page">
                <wp:posOffset>10229215</wp:posOffset>
              </wp:positionV>
              <wp:extent cx="7560945" cy="273050"/>
              <wp:effectExtent l="0" t="0" r="0" b="12700"/>
              <wp:wrapNone/>
              <wp:docPr id="12" name="Text Box 1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576D72" w14:textId="0DED96A2" w:rsidR="00936A74" w:rsidRPr="00936A74" w:rsidRDefault="00936A74" w:rsidP="00936A74">
                          <w:pPr>
                            <w:jc w:val="center"/>
                            <w:rPr>
                              <w:rFonts w:ascii="Calibri" w:hAnsi="Calibri" w:cs="Calibri"/>
                              <w:color w:val="000000"/>
                              <w:sz w:val="24"/>
                            </w:rPr>
                          </w:pPr>
                          <w:r w:rsidRPr="00936A7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F56346" id="Text Box 12"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5576D72" w14:textId="0DED96A2" w:rsidR="00936A74" w:rsidRPr="00936A74" w:rsidRDefault="00936A74" w:rsidP="00936A74">
                    <w:pPr>
                      <w:jc w:val="center"/>
                      <w:rPr>
                        <w:rFonts w:ascii="Calibri" w:hAnsi="Calibri" w:cs="Calibri"/>
                        <w:color w:val="000000"/>
                        <w:sz w:val="24"/>
                      </w:rPr>
                    </w:pPr>
                    <w:r w:rsidRPr="00936A74">
                      <w:rPr>
                        <w:rFonts w:ascii="Calibri" w:hAnsi="Calibri" w:cs="Calibri"/>
                        <w:color w:val="000000"/>
                        <w:sz w:val="24"/>
                      </w:rPr>
                      <w:t>OFFICIAL</w:t>
                    </w:r>
                  </w:p>
                </w:txbxContent>
              </v:textbox>
              <w10:wrap anchorx="page" anchory="page"/>
            </v:shape>
          </w:pict>
        </mc:Fallback>
      </mc:AlternateContent>
    </w:r>
    <w:r w:rsidR="00E104DE">
      <w:rPr>
        <w:noProof/>
        <w:color w:val="2B579A"/>
      </w:rPr>
      <mc:AlternateContent>
        <mc:Choice Requires="wps">
          <w:drawing>
            <wp:anchor distT="0" distB="0" distL="114300" distR="114300" simplePos="0" relativeHeight="251658249" behindDoc="0" locked="0" layoutInCell="0" allowOverlap="1" wp14:anchorId="2EA96292" wp14:editId="5D853A4F">
              <wp:simplePos x="0" y="0"/>
              <wp:positionH relativeFrom="page">
                <wp:posOffset>0</wp:posOffset>
              </wp:positionH>
              <wp:positionV relativeFrom="page">
                <wp:posOffset>10229215</wp:posOffset>
              </wp:positionV>
              <wp:extent cx="7560945" cy="273050"/>
              <wp:effectExtent l="0" t="0" r="0" b="12700"/>
              <wp:wrapNone/>
              <wp:docPr id="7" name="Text Box 7"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BC33C5" w14:textId="6CF5F5DD" w:rsidR="00E104DE" w:rsidRPr="00E104DE" w:rsidRDefault="00E104DE" w:rsidP="00E104DE">
                          <w:pPr>
                            <w:jc w:val="center"/>
                            <w:rPr>
                              <w:rFonts w:ascii="Calibri" w:hAnsi="Calibri" w:cs="Calibri"/>
                              <w:color w:val="000000"/>
                              <w:sz w:val="24"/>
                            </w:rPr>
                          </w:pPr>
                          <w:r w:rsidRPr="00E104D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A96292" id="Text Box 7" o:spid="_x0000_s1028" type="#_x0000_t202" alt="{&quot;HashCode&quot;:-1264680268,&quot;Height&quot;:842.0,&quot;Width&quot;:595.0,&quot;Placement&quot;:&quot;Footer&quot;,&quot;Index&quot;:&quot;OddAndEven&quot;,&quot;Section&quot;:1,&quot;Top&quot;:0.0,&quot;Left&quot;:0.0}" style="position:absolute;margin-left:0;margin-top:805.45pt;width:595.3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22BC33C5" w14:textId="6CF5F5DD" w:rsidR="00E104DE" w:rsidRPr="00E104DE" w:rsidRDefault="00E104DE" w:rsidP="00E104DE">
                    <w:pPr>
                      <w:jc w:val="center"/>
                      <w:rPr>
                        <w:rFonts w:ascii="Calibri" w:hAnsi="Calibri" w:cs="Calibri"/>
                        <w:color w:val="000000"/>
                        <w:sz w:val="24"/>
                      </w:rPr>
                    </w:pPr>
                    <w:r w:rsidRPr="00E104DE">
                      <w:rPr>
                        <w:rFonts w:ascii="Calibri" w:hAnsi="Calibri" w:cs="Calibri"/>
                        <w:color w:val="000000"/>
                        <w:sz w:val="24"/>
                      </w:rPr>
                      <w:t>OFFICIAL</w:t>
                    </w:r>
                  </w:p>
                </w:txbxContent>
              </v:textbox>
              <w10:wrap anchorx="page" anchory="page"/>
            </v:shape>
          </w:pict>
        </mc:Fallback>
      </mc:AlternateContent>
    </w:r>
    <w:r w:rsidR="001138E9">
      <w:rPr>
        <w:noProof/>
        <w:color w:val="2B579A"/>
        <w:shd w:val="clear" w:color="auto" w:fill="E6E6E6"/>
      </w:rPr>
      <mc:AlternateContent>
        <mc:Choice Requires="wps">
          <w:drawing>
            <wp:anchor distT="0" distB="0" distL="114300" distR="114300" simplePos="0" relativeHeight="251658244" behindDoc="0" locked="0" layoutInCell="0" allowOverlap="1" wp14:anchorId="0095F8C6" wp14:editId="14758738">
              <wp:simplePos x="0" y="0"/>
              <wp:positionH relativeFrom="page">
                <wp:posOffset>0</wp:posOffset>
              </wp:positionH>
              <wp:positionV relativeFrom="page">
                <wp:posOffset>10229215</wp:posOffset>
              </wp:positionV>
              <wp:extent cx="7560945" cy="273050"/>
              <wp:effectExtent l="0" t="0" r="0" b="12700"/>
              <wp:wrapNone/>
              <wp:docPr id="101" name="Text Box 10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18F7"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95F8C6" id="Text Box 101" o:spid="_x0000_s1029" type="#_x0000_t202" alt="{&quot;HashCode&quot;:-1264680268,&quot;Height&quot;:842.0,&quot;Width&quot;:595.0,&quot;Placement&quot;:&quot;Footer&quot;,&quot;Index&quot;:&quot;OddAndEven&quot;,&quot;Section&quot;:1,&quot;Top&quot;:0.0,&quot;Left&quot;:0.0}" style="position:absolute;margin-left:0;margin-top:805.4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7B7118F7"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2122751450"/>
        <w:docPartObj>
          <w:docPartGallery w:val="Page Numbers (Bottom of Page)"/>
          <w:docPartUnique/>
        </w:docPartObj>
      </w:sdtPr>
      <w:sdtEndPr>
        <w:rPr>
          <w:b/>
          <w:bCs/>
          <w:noProof/>
          <w:color w:val="201547" w:themeColor="text2"/>
          <w:sz w:val="32"/>
          <w:szCs w:val="40"/>
          <w:shd w:val="clear" w:color="auto" w:fill="auto"/>
        </w:rPr>
      </w:sdtEndPr>
      <w:sdtContent>
        <w:r w:rsidR="00AE6B68" w:rsidRPr="00AE6B68">
          <w:rPr>
            <w:b/>
            <w:bCs/>
            <w:color w:val="201547" w:themeColor="text2"/>
            <w:sz w:val="20"/>
            <w:szCs w:val="24"/>
            <w:shd w:val="clear" w:color="auto" w:fill="E6E6E6"/>
          </w:rPr>
          <w:fldChar w:fldCharType="begin"/>
        </w:r>
        <w:r w:rsidR="00AE6B68" w:rsidRPr="00AE6B68">
          <w:rPr>
            <w:b/>
            <w:bCs/>
            <w:color w:val="201547" w:themeColor="text2"/>
            <w:sz w:val="20"/>
            <w:szCs w:val="24"/>
          </w:rPr>
          <w:instrText xml:space="preserve"> PAGE   \* MERGEFORMAT </w:instrText>
        </w:r>
        <w:r w:rsidR="00AE6B68" w:rsidRPr="00AE6B68">
          <w:rPr>
            <w:b/>
            <w:bCs/>
            <w:color w:val="201547" w:themeColor="text2"/>
            <w:sz w:val="20"/>
            <w:szCs w:val="24"/>
            <w:shd w:val="clear" w:color="auto" w:fill="E6E6E6"/>
          </w:rPr>
          <w:fldChar w:fldCharType="separate"/>
        </w:r>
        <w:r w:rsidR="00AE6B68" w:rsidRPr="00AE6B68">
          <w:rPr>
            <w:b/>
            <w:bCs/>
            <w:noProof/>
            <w:color w:val="201547" w:themeColor="text2"/>
            <w:sz w:val="20"/>
            <w:szCs w:val="24"/>
          </w:rPr>
          <w:t>2</w:t>
        </w:r>
        <w:r w:rsidR="00AE6B68" w:rsidRPr="00AE6B68">
          <w:rPr>
            <w:b/>
            <w:bCs/>
            <w:noProof/>
            <w:color w:val="201547" w:themeColor="text2"/>
            <w:sz w:val="20"/>
            <w:szCs w:val="24"/>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6656" w14:textId="41DFCCD2" w:rsidR="00947066" w:rsidRDefault="00274075" w:rsidP="00296569">
    <w:pPr>
      <w:pStyle w:val="xWeb"/>
      <w:spacing w:after="960"/>
    </w:pPr>
    <w:r>
      <w:rPr>
        <w:noProof/>
        <w:color w:val="2B579A"/>
        <w:sz w:val="18"/>
      </w:rPr>
      <mc:AlternateContent>
        <mc:Choice Requires="wps">
          <w:drawing>
            <wp:anchor distT="0" distB="0" distL="114300" distR="114300" simplePos="1" relativeHeight="251659278" behindDoc="0" locked="0" layoutInCell="0" allowOverlap="1" wp14:anchorId="41C16942" wp14:editId="2C6D15FB">
              <wp:simplePos x="0" y="10229453"/>
              <wp:positionH relativeFrom="page">
                <wp:posOffset>0</wp:posOffset>
              </wp:positionH>
              <wp:positionV relativeFrom="page">
                <wp:posOffset>10229215</wp:posOffset>
              </wp:positionV>
              <wp:extent cx="7560945" cy="273050"/>
              <wp:effectExtent l="0" t="0" r="0" b="12700"/>
              <wp:wrapNone/>
              <wp:docPr id="14" name="MSIPCM0f304b4baa4dcf784e37c2e0"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0CD11" w14:textId="696A3B7F" w:rsidR="00274075" w:rsidRPr="00274075" w:rsidRDefault="00274075" w:rsidP="00274075">
                          <w:pPr>
                            <w:jc w:val="center"/>
                            <w:rPr>
                              <w:rFonts w:ascii="Calibri" w:hAnsi="Calibri" w:cs="Calibri"/>
                              <w:color w:val="000000"/>
                              <w:sz w:val="24"/>
                            </w:rPr>
                          </w:pPr>
                          <w:r w:rsidRPr="0027407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16942" id="_x0000_t202" coordsize="21600,21600" o:spt="202" path="m,l,21600r21600,l21600,xe">
              <v:stroke joinstyle="miter"/>
              <v:path gradientshapeok="t" o:connecttype="rect"/>
            </v:shapetype>
            <v:shape id="MSIPCM0f304b4baa4dcf784e37c2e0" o:spid="_x0000_s1030" type="#_x0000_t202" alt="{&quot;HashCode&quot;:1862493762,&quot;Height&quot;:842.0,&quot;Width&quot;:595.0,&quot;Placement&quot;:&quot;Footer&quot;,&quot;Index&quot;:&quot;Primary&quot;,&quot;Section&quot;:1,&quot;Top&quot;:0.0,&quot;Left&quot;:0.0}" style="position:absolute;margin-left:0;margin-top:805.45pt;width:595.35pt;height:21.5pt;z-index:251659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C9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y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uR3gvRkCAAAsBAAADgAAAAAAAAAAAAAAAAAuAgAAZHJzL2Uyb0RvYy54bWxQSwECLQAU&#10;AAYACAAAACEAEXKnft8AAAALAQAADwAAAAAAAAAAAAAAAABzBAAAZHJzL2Rvd25yZXYueG1sUEsF&#10;BgAAAAAEAAQA8wAAAH8FAAAAAA==&#10;" o:allowincell="f" filled="f" stroked="f" strokeweight=".5pt">
              <v:fill o:detectmouseclick="t"/>
              <v:textbox inset=",0,,0">
                <w:txbxContent>
                  <w:p w14:paraId="37D0CD11" w14:textId="696A3B7F" w:rsidR="00274075" w:rsidRPr="00274075" w:rsidRDefault="00274075" w:rsidP="00274075">
                    <w:pPr>
                      <w:jc w:val="center"/>
                      <w:rPr>
                        <w:rFonts w:ascii="Calibri" w:hAnsi="Calibri" w:cs="Calibri"/>
                        <w:color w:val="000000"/>
                        <w:sz w:val="24"/>
                      </w:rPr>
                    </w:pPr>
                    <w:r w:rsidRPr="00274075">
                      <w:rPr>
                        <w:rFonts w:ascii="Calibri" w:hAnsi="Calibri" w:cs="Calibri"/>
                        <w:color w:val="000000"/>
                        <w:sz w:val="24"/>
                      </w:rPr>
                      <w:t>OFFICIAL</w:t>
                    </w:r>
                  </w:p>
                </w:txbxContent>
              </v:textbox>
              <w10:wrap anchorx="page" anchory="page"/>
            </v:shape>
          </w:pict>
        </mc:Fallback>
      </mc:AlternateContent>
    </w:r>
    <w:r w:rsidR="00936A74">
      <w:rPr>
        <w:noProof/>
        <w:color w:val="2B579A"/>
        <w:sz w:val="18"/>
      </w:rPr>
      <mc:AlternateContent>
        <mc:Choice Requires="wps">
          <w:drawing>
            <wp:anchor distT="0" distB="0" distL="114300" distR="114300" simplePos="1" relativeHeight="251658251" behindDoc="0" locked="0" layoutInCell="0" allowOverlap="1" wp14:anchorId="3C7CAFCB" wp14:editId="793F1145">
              <wp:simplePos x="0" y="10229453"/>
              <wp:positionH relativeFrom="page">
                <wp:posOffset>0</wp:posOffset>
              </wp:positionH>
              <wp:positionV relativeFrom="page">
                <wp:posOffset>10229215</wp:posOffset>
              </wp:positionV>
              <wp:extent cx="7560945" cy="273050"/>
              <wp:effectExtent l="0" t="0" r="0" b="12700"/>
              <wp:wrapNone/>
              <wp:docPr id="10" name="Text Box 10"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0C0985" w14:textId="6394D5D0" w:rsidR="00936A74" w:rsidRPr="00936A74" w:rsidRDefault="00936A74" w:rsidP="00936A74">
                          <w:pPr>
                            <w:jc w:val="center"/>
                            <w:rPr>
                              <w:rFonts w:ascii="Calibri" w:hAnsi="Calibri" w:cs="Calibri"/>
                              <w:color w:val="000000"/>
                              <w:sz w:val="24"/>
                            </w:rPr>
                          </w:pPr>
                          <w:r w:rsidRPr="00936A7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7CAFCB" id="Text Box 10" o:spid="_x0000_s1031" type="#_x0000_t202" alt="{&quot;HashCode&quot;:-1264680268,&quot;Height&quot;:842.0,&quot;Width&quot;:595.0,&quot;Placement&quot;:&quot;Footer&quot;,&quot;Index&quot;:&quot;Primary&quot;,&quot;Section&quot;:1,&quot;Top&quot;:0.0,&quot;Left&quot;:0.0}" style="position:absolute;margin-left:0;margin-top:805.45pt;width:595.3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580C0985" w14:textId="6394D5D0" w:rsidR="00936A74" w:rsidRPr="00936A74" w:rsidRDefault="00936A74" w:rsidP="00936A74">
                    <w:pPr>
                      <w:jc w:val="center"/>
                      <w:rPr>
                        <w:rFonts w:ascii="Calibri" w:hAnsi="Calibri" w:cs="Calibri"/>
                        <w:color w:val="000000"/>
                        <w:sz w:val="24"/>
                      </w:rPr>
                    </w:pPr>
                    <w:r w:rsidRPr="00936A74">
                      <w:rPr>
                        <w:rFonts w:ascii="Calibri" w:hAnsi="Calibri" w:cs="Calibri"/>
                        <w:color w:val="000000"/>
                        <w:sz w:val="24"/>
                      </w:rPr>
                      <w:t>OFFICIAL</w:t>
                    </w:r>
                  </w:p>
                </w:txbxContent>
              </v:textbox>
              <w10:wrap anchorx="page" anchory="page"/>
            </v:shape>
          </w:pict>
        </mc:Fallback>
      </mc:AlternateContent>
    </w:r>
    <w:r w:rsidR="00E104DE">
      <w:rPr>
        <w:noProof/>
        <w:color w:val="2B579A"/>
        <w:sz w:val="18"/>
      </w:rPr>
      <mc:AlternateContent>
        <mc:Choice Requires="wps">
          <w:drawing>
            <wp:anchor distT="0" distB="0" distL="114300" distR="114300" simplePos="1" relativeHeight="251658247" behindDoc="0" locked="0" layoutInCell="0" allowOverlap="1" wp14:anchorId="56869AEB" wp14:editId="68E6D165">
              <wp:simplePos x="0" y="10229453"/>
              <wp:positionH relativeFrom="page">
                <wp:posOffset>0</wp:posOffset>
              </wp:positionH>
              <wp:positionV relativeFrom="page">
                <wp:posOffset>10229215</wp:posOffset>
              </wp:positionV>
              <wp:extent cx="7560945" cy="273050"/>
              <wp:effectExtent l="0" t="0" r="0" b="12700"/>
              <wp:wrapNone/>
              <wp:docPr id="1" name="Text Box 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C57D2" w14:textId="38A4E729" w:rsidR="00E104DE" w:rsidRPr="00E104DE" w:rsidRDefault="00E104DE" w:rsidP="00E104DE">
                          <w:pPr>
                            <w:jc w:val="center"/>
                            <w:rPr>
                              <w:rFonts w:ascii="Calibri" w:hAnsi="Calibri" w:cs="Calibri"/>
                              <w:color w:val="000000"/>
                              <w:sz w:val="24"/>
                            </w:rPr>
                          </w:pPr>
                          <w:r w:rsidRPr="00E104D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869AEB" id="Text Box 1" o:spid="_x0000_s1032" type="#_x0000_t202" alt="{&quot;HashCode&quot;:-1264680268,&quot;Height&quot;:842.0,&quot;Width&quot;:595.0,&quot;Placement&quot;:&quot;Footer&quot;,&quot;Index&quot;:&quot;Primary&quot;,&quot;Section&quot;:1,&quot;Top&quot;:0.0,&quot;Left&quot;:0.0}"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41BC57D2" w14:textId="38A4E729" w:rsidR="00E104DE" w:rsidRPr="00E104DE" w:rsidRDefault="00E104DE" w:rsidP="00E104DE">
                    <w:pPr>
                      <w:jc w:val="center"/>
                      <w:rPr>
                        <w:rFonts w:ascii="Calibri" w:hAnsi="Calibri" w:cs="Calibri"/>
                        <w:color w:val="000000"/>
                        <w:sz w:val="24"/>
                      </w:rPr>
                    </w:pPr>
                    <w:r w:rsidRPr="00E104DE">
                      <w:rPr>
                        <w:rFonts w:ascii="Calibri" w:hAnsi="Calibri" w:cs="Calibri"/>
                        <w:color w:val="000000"/>
                        <w:sz w:val="24"/>
                      </w:rPr>
                      <w:t>OFFICIAL</w:t>
                    </w:r>
                  </w:p>
                </w:txbxContent>
              </v:textbox>
              <w10:wrap anchorx="page" anchory="page"/>
            </v:shape>
          </w:pict>
        </mc:Fallback>
      </mc:AlternateContent>
    </w:r>
    <w:r w:rsidR="00EA0C6A">
      <w:rPr>
        <w:noProof/>
        <w:color w:val="2B579A"/>
        <w:sz w:val="18"/>
        <w:shd w:val="clear" w:color="auto" w:fill="E6E6E6"/>
      </w:rPr>
      <mc:AlternateContent>
        <mc:Choice Requires="wps">
          <w:drawing>
            <wp:anchor distT="0" distB="0" distL="114300" distR="114300" simplePos="0" relativeHeight="251658240" behindDoc="0" locked="0" layoutInCell="0" allowOverlap="1" wp14:anchorId="7BD1272A" wp14:editId="21D867F7">
              <wp:simplePos x="0" y="0"/>
              <wp:positionH relativeFrom="page">
                <wp:posOffset>0</wp:posOffset>
              </wp:positionH>
              <wp:positionV relativeFrom="page">
                <wp:posOffset>10229215</wp:posOffset>
              </wp:positionV>
              <wp:extent cx="7560945" cy="273050"/>
              <wp:effectExtent l="0" t="0" r="0" b="12700"/>
              <wp:wrapNone/>
              <wp:docPr id="9" name="Text Box 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43324B"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D1272A" id="Text Box 9" o:spid="_x0000_s1033" type="#_x0000_t202" alt="{&quot;HashCode&quot;:-1264680268,&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3B43324B"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1559" w14:textId="0C2E32A5" w:rsidR="00B40C2E" w:rsidRPr="002131E7" w:rsidRDefault="00274075" w:rsidP="000721CE">
    <w:pPr>
      <w:pStyle w:val="Footer"/>
      <w:rPr>
        <w:b/>
        <w:bCs/>
        <w:color w:val="201547" w:themeColor="text2"/>
        <w:sz w:val="24"/>
        <w:szCs w:val="32"/>
      </w:rPr>
    </w:pPr>
    <w:r>
      <w:rPr>
        <w:b/>
        <w:bCs/>
        <w:noProof/>
        <w:color w:val="201547" w:themeColor="text2"/>
        <w:sz w:val="28"/>
        <w:szCs w:val="32"/>
      </w:rPr>
      <mc:AlternateContent>
        <mc:Choice Requires="wps">
          <w:drawing>
            <wp:anchor distT="0" distB="0" distL="114300" distR="114300" simplePos="0" relativeHeight="251660302" behindDoc="0" locked="0" layoutInCell="0" allowOverlap="1" wp14:anchorId="63599312" wp14:editId="2121DDDF">
              <wp:simplePos x="0" y="0"/>
              <wp:positionH relativeFrom="page">
                <wp:posOffset>0</wp:posOffset>
              </wp:positionH>
              <wp:positionV relativeFrom="page">
                <wp:posOffset>10229215</wp:posOffset>
              </wp:positionV>
              <wp:extent cx="7560945" cy="273050"/>
              <wp:effectExtent l="0" t="0" r="0" b="12700"/>
              <wp:wrapNone/>
              <wp:docPr id="15" name="MSIPCMbd54408696dd45d0d2ad9df5"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F9D01" w14:textId="7BB350A8" w:rsidR="00274075" w:rsidRPr="00274075" w:rsidRDefault="00274075" w:rsidP="00274075">
                          <w:pPr>
                            <w:jc w:val="center"/>
                            <w:rPr>
                              <w:rFonts w:ascii="Calibri" w:hAnsi="Calibri" w:cs="Calibri"/>
                              <w:color w:val="000000"/>
                              <w:sz w:val="24"/>
                            </w:rPr>
                          </w:pPr>
                          <w:r w:rsidRPr="0027407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599312" id="_x0000_t202" coordsize="21600,21600" o:spt="202" path="m,l,21600r21600,l21600,xe">
              <v:stroke joinstyle="miter"/>
              <v:path gradientshapeok="t" o:connecttype="rect"/>
            </v:shapetype>
            <v:shape id="MSIPCMbd54408696dd45d0d2ad9df5" o:spid="_x0000_s1034" type="#_x0000_t202" alt="{&quot;HashCode&quot;:1862493762,&quot;Height&quot;:842.0,&quot;Width&quot;:595.0,&quot;Placement&quot;:&quot;Footer&quot;,&quot;Index&quot;:&quot;FirstPage&quot;,&quot;Section&quot;:1,&quot;Top&quot;:0.0,&quot;Left&quot;:0.0}" style="position:absolute;margin-left:0;margin-top:805.45pt;width:595.35pt;height:21.5pt;z-index:25166030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E1GAIAACw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QF7jEdFtlDccb9LHTUO8M3FQ6x&#10;Zc4/M4tc40qoX/+Eh1SAzaC3KCnB/vybP+QjBRilpEHt5NT9ODIrKFHfNJJzO57NgtjiDxr2rXc/&#10;ePWxvgeU5RhfiOHRDLleDaa0UL+ivNehG4aY5tgzp/vBvPedkvF5cLFexySUlWF+q3eGh9IBtADt&#10;S/vKrOnx98jcIwzqYtk7GrrcDu710YOsIkcB4A7NHneUZKSufz5B82//Y9b1ka9+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JkmE1GAIAACwEAAAOAAAAAAAAAAAAAAAAAC4CAABkcnMvZTJvRG9jLnhtbFBLAQItABQA&#10;BgAIAAAAIQARcqd+3wAAAAsBAAAPAAAAAAAAAAAAAAAAAHIEAABkcnMvZG93bnJldi54bWxQSwUG&#10;AAAAAAQABADzAAAAfgUAAAAA&#10;" o:allowincell="f" filled="f" stroked="f" strokeweight=".5pt">
              <v:fill o:detectmouseclick="t"/>
              <v:textbox inset=",0,,0">
                <w:txbxContent>
                  <w:p w14:paraId="571F9D01" w14:textId="7BB350A8" w:rsidR="00274075" w:rsidRPr="00274075" w:rsidRDefault="00274075" w:rsidP="00274075">
                    <w:pPr>
                      <w:jc w:val="center"/>
                      <w:rPr>
                        <w:rFonts w:ascii="Calibri" w:hAnsi="Calibri" w:cs="Calibri"/>
                        <w:color w:val="000000"/>
                        <w:sz w:val="24"/>
                      </w:rPr>
                    </w:pPr>
                    <w:r w:rsidRPr="00274075">
                      <w:rPr>
                        <w:rFonts w:ascii="Calibri" w:hAnsi="Calibri" w:cs="Calibri"/>
                        <w:color w:val="000000"/>
                        <w:sz w:val="24"/>
                      </w:rPr>
                      <w:t>OFFICIAL</w:t>
                    </w:r>
                  </w:p>
                </w:txbxContent>
              </v:textbox>
              <w10:wrap anchorx="page" anchory="page"/>
            </v:shape>
          </w:pict>
        </mc:Fallback>
      </mc:AlternateContent>
    </w:r>
    <w:r w:rsidR="00936A74">
      <w:rPr>
        <w:b/>
        <w:bCs/>
        <w:noProof/>
        <w:color w:val="201547" w:themeColor="text2"/>
        <w:sz w:val="28"/>
        <w:szCs w:val="32"/>
      </w:rPr>
      <mc:AlternateContent>
        <mc:Choice Requires="wps">
          <w:drawing>
            <wp:anchor distT="0" distB="0" distL="114300" distR="114300" simplePos="0" relativeHeight="251658252" behindDoc="0" locked="0" layoutInCell="0" allowOverlap="1" wp14:anchorId="68984F2C" wp14:editId="56241DBD">
              <wp:simplePos x="0" y="0"/>
              <wp:positionH relativeFrom="page">
                <wp:posOffset>0</wp:posOffset>
              </wp:positionH>
              <wp:positionV relativeFrom="page">
                <wp:posOffset>10229215</wp:posOffset>
              </wp:positionV>
              <wp:extent cx="7560945" cy="273050"/>
              <wp:effectExtent l="0" t="0" r="0" b="12700"/>
              <wp:wrapNone/>
              <wp:docPr id="11" name="Text Box 11"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2D4C4" w14:textId="3EE6DFD8" w:rsidR="00936A74" w:rsidRPr="00936A74" w:rsidRDefault="00936A74" w:rsidP="00936A74">
                          <w:pPr>
                            <w:jc w:val="center"/>
                            <w:rPr>
                              <w:rFonts w:ascii="Calibri" w:hAnsi="Calibri" w:cs="Calibri"/>
                              <w:color w:val="000000"/>
                              <w:sz w:val="24"/>
                            </w:rPr>
                          </w:pPr>
                          <w:r w:rsidRPr="00936A7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984F2C" id="Text Box 11" o:spid="_x0000_s1035" type="#_x0000_t202" alt="{&quot;HashCode&quot;:-1264680268,&quot;Height&quot;:842.0,&quot;Width&quot;:595.0,&quot;Placement&quot;:&quot;Footer&quot;,&quot;Index&quot;:&quot;FirstPage&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7C82D4C4" w14:textId="3EE6DFD8" w:rsidR="00936A74" w:rsidRPr="00936A74" w:rsidRDefault="00936A74" w:rsidP="00936A74">
                    <w:pPr>
                      <w:jc w:val="center"/>
                      <w:rPr>
                        <w:rFonts w:ascii="Calibri" w:hAnsi="Calibri" w:cs="Calibri"/>
                        <w:color w:val="000000"/>
                        <w:sz w:val="24"/>
                      </w:rPr>
                    </w:pPr>
                    <w:r w:rsidRPr="00936A74">
                      <w:rPr>
                        <w:rFonts w:ascii="Calibri" w:hAnsi="Calibri" w:cs="Calibri"/>
                        <w:color w:val="000000"/>
                        <w:sz w:val="24"/>
                      </w:rPr>
                      <w:t>OFFICIAL</w:t>
                    </w:r>
                  </w:p>
                </w:txbxContent>
              </v:textbox>
              <w10:wrap anchorx="page" anchory="page"/>
            </v:shape>
          </w:pict>
        </mc:Fallback>
      </mc:AlternateContent>
    </w:r>
    <w:r w:rsidR="00E104DE">
      <w:rPr>
        <w:b/>
        <w:bCs/>
        <w:noProof/>
        <w:color w:val="201547" w:themeColor="text2"/>
        <w:sz w:val="28"/>
        <w:szCs w:val="32"/>
      </w:rPr>
      <mc:AlternateContent>
        <mc:Choice Requires="wps">
          <w:drawing>
            <wp:anchor distT="0" distB="0" distL="114300" distR="114300" simplePos="0" relativeHeight="251658248" behindDoc="0" locked="0" layoutInCell="0" allowOverlap="1" wp14:anchorId="3D166B71" wp14:editId="29D50620">
              <wp:simplePos x="0" y="0"/>
              <wp:positionH relativeFrom="page">
                <wp:posOffset>0</wp:posOffset>
              </wp:positionH>
              <wp:positionV relativeFrom="page">
                <wp:posOffset>10229215</wp:posOffset>
              </wp:positionV>
              <wp:extent cx="7560945" cy="273050"/>
              <wp:effectExtent l="0" t="0" r="0" b="12700"/>
              <wp:wrapNone/>
              <wp:docPr id="2" name="Text Box 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5032F" w14:textId="1877E906" w:rsidR="00E104DE" w:rsidRPr="00E104DE" w:rsidRDefault="00E104DE" w:rsidP="00E104DE">
                          <w:pPr>
                            <w:jc w:val="center"/>
                            <w:rPr>
                              <w:rFonts w:ascii="Calibri" w:hAnsi="Calibri" w:cs="Calibri"/>
                              <w:color w:val="000000"/>
                              <w:sz w:val="24"/>
                            </w:rPr>
                          </w:pPr>
                          <w:r w:rsidRPr="00E104D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166B71" id="Text Box 2" o:spid="_x0000_s1036" type="#_x0000_t202" alt="{&quot;HashCode&quot;:-1264680268,&quot;Height&quot;:842.0,&quot;Width&quot;:595.0,&quot;Placement&quot;:&quot;Footer&quot;,&quot;Index&quot;:&quot;FirstPage&quot;,&quot;Section&quot;:1,&quot;Top&quot;:0.0,&quot;Left&quot;:0.0}" style="position:absolute;margin-left:0;margin-top:805.45pt;width:595.35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4DE5032F" w14:textId="1877E906" w:rsidR="00E104DE" w:rsidRPr="00E104DE" w:rsidRDefault="00E104DE" w:rsidP="00E104DE">
                    <w:pPr>
                      <w:jc w:val="center"/>
                      <w:rPr>
                        <w:rFonts w:ascii="Calibri" w:hAnsi="Calibri" w:cs="Calibri"/>
                        <w:color w:val="000000"/>
                        <w:sz w:val="24"/>
                      </w:rPr>
                    </w:pPr>
                    <w:r w:rsidRPr="00E104DE">
                      <w:rPr>
                        <w:rFonts w:ascii="Calibri" w:hAnsi="Calibri" w:cs="Calibri"/>
                        <w:color w:val="000000"/>
                        <w:sz w:val="24"/>
                      </w:rPr>
                      <w:t>OFFICIAL</w:t>
                    </w:r>
                  </w:p>
                </w:txbxContent>
              </v:textbox>
              <w10:wrap anchorx="page" anchory="page"/>
            </v:shape>
          </w:pict>
        </mc:Fallback>
      </mc:AlternateContent>
    </w:r>
    <w:r w:rsidR="00AF174F" w:rsidRPr="002131E7">
      <w:rPr>
        <w:b/>
        <w:bCs/>
        <w:noProof/>
        <w:color w:val="201547" w:themeColor="text2"/>
        <w:sz w:val="28"/>
        <w:szCs w:val="32"/>
        <w:shd w:val="clear" w:color="auto" w:fill="E6E6E6"/>
      </w:rPr>
      <w:drawing>
        <wp:anchor distT="0" distB="0" distL="114300" distR="114300" simplePos="0" relativeHeight="251658246" behindDoc="1" locked="0" layoutInCell="1" allowOverlap="1" wp14:anchorId="402A519D" wp14:editId="3289DD3C">
          <wp:simplePos x="0" y="0"/>
          <wp:positionH relativeFrom="page">
            <wp:align>right</wp:align>
          </wp:positionH>
          <wp:positionV relativeFrom="page">
            <wp:align>bottom</wp:align>
          </wp:positionV>
          <wp:extent cx="2491285" cy="906344"/>
          <wp:effectExtent l="0" t="0" r="0" b="0"/>
          <wp:wrapNone/>
          <wp:docPr id="6" name="Picture 6"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2131E7">
      <w:rPr>
        <w:b/>
        <w:bCs/>
        <w:noProof/>
        <w:color w:val="201547" w:themeColor="text2"/>
        <w:sz w:val="28"/>
        <w:szCs w:val="32"/>
        <w:shd w:val="clear" w:color="auto" w:fill="E6E6E6"/>
      </w:rPr>
      <mc:AlternateContent>
        <mc:Choice Requires="wps">
          <w:drawing>
            <wp:anchor distT="0" distB="0" distL="114300" distR="114300" simplePos="0" relativeHeight="251658243" behindDoc="0" locked="0" layoutInCell="0" allowOverlap="1" wp14:anchorId="6DF92188" wp14:editId="09885D57">
              <wp:simplePos x="0" y="0"/>
              <wp:positionH relativeFrom="page">
                <wp:posOffset>0</wp:posOffset>
              </wp:positionH>
              <wp:positionV relativeFrom="page">
                <wp:posOffset>10229215</wp:posOffset>
              </wp:positionV>
              <wp:extent cx="7560945" cy="273050"/>
              <wp:effectExtent l="0" t="0" r="0" b="12700"/>
              <wp:wrapNone/>
              <wp:docPr id="100" name="Text Box 10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2E208"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F92188" id="Text Box 100" o:spid="_x0000_s1037" type="#_x0000_t202" alt="{&quot;HashCode&quot;:-1264680268,&quot;Height&quot;:842.0,&quot;Width&quot;:595.0,&quot;Placement&quot;:&quot;Footer&quot;,&quot;Index&quot;:&quot;FirstPage&quot;,&quot;Section&quot;:1,&quot;Top&quot;:0.0,&quot;Left&quot;:0.0}" style="position:absolute;margin-left:0;margin-top:805.4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7742E208"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v:textbox>
              <w10:wrap anchorx="page" anchory="page"/>
            </v:shape>
          </w:pict>
        </mc:Fallback>
      </mc:AlternateContent>
    </w:r>
    <w:r w:rsidR="00AE6B68" w:rsidRPr="002131E7">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3D92" w14:textId="1B02E658" w:rsidR="007C3531" w:rsidRPr="007C3531" w:rsidRDefault="00274075" w:rsidP="00861EF9">
    <w:pPr>
      <w:pStyle w:val="Footer"/>
      <w:jc w:val="right"/>
      <w:rPr>
        <w:b/>
        <w:bCs/>
        <w:color w:val="201547" w:themeColor="text2"/>
        <w:sz w:val="20"/>
        <w:szCs w:val="24"/>
      </w:rPr>
    </w:pPr>
    <w:r>
      <w:rPr>
        <w:noProof/>
        <w:color w:val="2B579A"/>
      </w:rPr>
      <mc:AlternateContent>
        <mc:Choice Requires="wps">
          <w:drawing>
            <wp:anchor distT="0" distB="0" distL="114300" distR="114300" simplePos="0" relativeHeight="251662350" behindDoc="0" locked="0" layoutInCell="0" allowOverlap="1" wp14:anchorId="594B872C" wp14:editId="676F4A6E">
              <wp:simplePos x="0" y="0"/>
              <wp:positionH relativeFrom="page">
                <wp:posOffset>0</wp:posOffset>
              </wp:positionH>
              <wp:positionV relativeFrom="page">
                <wp:posOffset>10229215</wp:posOffset>
              </wp:positionV>
              <wp:extent cx="7560945" cy="273050"/>
              <wp:effectExtent l="0" t="0" r="0" b="12700"/>
              <wp:wrapNone/>
              <wp:docPr id="17" name="MSIPCM8a0a4c57b260f95d6cbf214e"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05DA2" w14:textId="46A51483" w:rsidR="00274075" w:rsidRPr="00274075" w:rsidRDefault="00274075" w:rsidP="00274075">
                          <w:pPr>
                            <w:jc w:val="center"/>
                            <w:rPr>
                              <w:rFonts w:ascii="Calibri" w:hAnsi="Calibri" w:cs="Calibri"/>
                              <w:color w:val="000000"/>
                              <w:sz w:val="24"/>
                            </w:rPr>
                          </w:pPr>
                          <w:r w:rsidRPr="0027407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4B872C" id="_x0000_t202" coordsize="21600,21600" o:spt="202" path="m,l,21600r21600,l21600,xe">
              <v:stroke joinstyle="miter"/>
              <v:path gradientshapeok="t" o:connecttype="rect"/>
            </v:shapetype>
            <v:shape id="MSIPCM8a0a4c57b260f95d6cbf214e" o:spid="_x0000_s1038" type="#_x0000_t202" alt="{&quot;HashCode&quot;:1862493762,&quot;Height&quot;:842.0,&quot;Width&quot;:595.0,&quot;Placement&quot;:&quot;Footer&quot;,&quot;Index&quot;:&quot;Primary&quot;,&quot;Section&quot;:2,&quot;Top&quot;:0.0,&quot;Left&quot;:0.0}" style="position:absolute;left:0;text-align:left;margin-left:0;margin-top:805.45pt;width:595.35pt;height:21.5pt;z-index:2516623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aw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2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676GsBkCAAAsBAAADgAAAAAAAAAAAAAAAAAuAgAAZHJzL2Uyb0RvYy54bWxQSwECLQAU&#10;AAYACAAAACEAEXKnft8AAAALAQAADwAAAAAAAAAAAAAAAABzBAAAZHJzL2Rvd25yZXYueG1sUEsF&#10;BgAAAAAEAAQA8wAAAH8FAAAAAA==&#10;" o:allowincell="f" filled="f" stroked="f" strokeweight=".5pt">
              <v:fill o:detectmouseclick="t"/>
              <v:textbox inset=",0,,0">
                <w:txbxContent>
                  <w:p w14:paraId="1AB05DA2" w14:textId="46A51483" w:rsidR="00274075" w:rsidRPr="00274075" w:rsidRDefault="00274075" w:rsidP="00274075">
                    <w:pPr>
                      <w:jc w:val="center"/>
                      <w:rPr>
                        <w:rFonts w:ascii="Calibri" w:hAnsi="Calibri" w:cs="Calibri"/>
                        <w:color w:val="000000"/>
                        <w:sz w:val="24"/>
                      </w:rPr>
                    </w:pPr>
                    <w:r w:rsidRPr="00274075">
                      <w:rPr>
                        <w:rFonts w:ascii="Calibri" w:hAnsi="Calibri" w:cs="Calibri"/>
                        <w:color w:val="000000"/>
                        <w:sz w:val="24"/>
                      </w:rPr>
                      <w:t>OFFICIAL</w:t>
                    </w:r>
                  </w:p>
                </w:txbxContent>
              </v:textbox>
              <w10:wrap anchorx="page" anchory="page"/>
            </v:shape>
          </w:pict>
        </mc:Fallback>
      </mc:AlternateContent>
    </w:r>
    <w:r w:rsidR="00936A74">
      <w:rPr>
        <w:noProof/>
        <w:color w:val="2B579A"/>
      </w:rPr>
      <mc:AlternateContent>
        <mc:Choice Requires="wps">
          <w:drawing>
            <wp:anchor distT="0" distB="0" distL="114300" distR="114300" simplePos="0" relativeHeight="251658254" behindDoc="0" locked="0" layoutInCell="0" allowOverlap="1" wp14:anchorId="2464D1B6" wp14:editId="50969A7C">
              <wp:simplePos x="0" y="0"/>
              <wp:positionH relativeFrom="page">
                <wp:posOffset>0</wp:posOffset>
              </wp:positionH>
              <wp:positionV relativeFrom="page">
                <wp:posOffset>10229215</wp:posOffset>
              </wp:positionV>
              <wp:extent cx="7560945" cy="273050"/>
              <wp:effectExtent l="0" t="0" r="0" b="12700"/>
              <wp:wrapNone/>
              <wp:docPr id="13" name="Text Box 13"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7C0B6" w14:textId="3745A134" w:rsidR="00936A74" w:rsidRPr="00936A74" w:rsidRDefault="00936A74" w:rsidP="00936A74">
                          <w:pPr>
                            <w:jc w:val="center"/>
                            <w:rPr>
                              <w:rFonts w:ascii="Calibri" w:hAnsi="Calibri" w:cs="Calibri"/>
                              <w:color w:val="000000"/>
                              <w:sz w:val="24"/>
                            </w:rPr>
                          </w:pPr>
                          <w:r w:rsidRPr="00936A7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464D1B6" id="Text Box 13" o:spid="_x0000_s103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o:allowincell="f" filled="f" stroked="f" strokeweight=".5pt">
              <v:textbox inset=",0,,0">
                <w:txbxContent>
                  <w:p w14:paraId="3547C0B6" w14:textId="3745A134" w:rsidR="00936A74" w:rsidRPr="00936A74" w:rsidRDefault="00936A74" w:rsidP="00936A74">
                    <w:pPr>
                      <w:jc w:val="center"/>
                      <w:rPr>
                        <w:rFonts w:ascii="Calibri" w:hAnsi="Calibri" w:cs="Calibri"/>
                        <w:color w:val="000000"/>
                        <w:sz w:val="24"/>
                      </w:rPr>
                    </w:pPr>
                    <w:r w:rsidRPr="00936A74">
                      <w:rPr>
                        <w:rFonts w:ascii="Calibri" w:hAnsi="Calibri" w:cs="Calibri"/>
                        <w:color w:val="000000"/>
                        <w:sz w:val="24"/>
                      </w:rPr>
                      <w:t>OFFICIAL</w:t>
                    </w:r>
                  </w:p>
                </w:txbxContent>
              </v:textbox>
              <w10:wrap anchorx="page" anchory="page"/>
            </v:shape>
          </w:pict>
        </mc:Fallback>
      </mc:AlternateContent>
    </w:r>
    <w:r w:rsidR="00E104DE">
      <w:rPr>
        <w:noProof/>
        <w:color w:val="2B579A"/>
      </w:rPr>
      <mc:AlternateContent>
        <mc:Choice Requires="wps">
          <w:drawing>
            <wp:anchor distT="0" distB="0" distL="114300" distR="114300" simplePos="0" relativeHeight="251658250" behindDoc="0" locked="0" layoutInCell="0" allowOverlap="1" wp14:anchorId="3722650B" wp14:editId="3D4B8E3A">
              <wp:simplePos x="0" y="0"/>
              <wp:positionH relativeFrom="page">
                <wp:posOffset>0</wp:posOffset>
              </wp:positionH>
              <wp:positionV relativeFrom="page">
                <wp:posOffset>10229215</wp:posOffset>
              </wp:positionV>
              <wp:extent cx="7560945" cy="273050"/>
              <wp:effectExtent l="0" t="0" r="0" b="12700"/>
              <wp:wrapNone/>
              <wp:docPr id="8" name="Text Box 8"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EA14EA" w14:textId="3A75BDF4" w:rsidR="00E104DE" w:rsidRPr="00E104DE" w:rsidRDefault="00E104DE" w:rsidP="00E104DE">
                          <w:pPr>
                            <w:jc w:val="center"/>
                            <w:rPr>
                              <w:rFonts w:ascii="Calibri" w:hAnsi="Calibri" w:cs="Calibri"/>
                              <w:color w:val="000000"/>
                              <w:sz w:val="24"/>
                            </w:rPr>
                          </w:pPr>
                          <w:r w:rsidRPr="00E104D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722650B" id="Text Box 8" o:spid="_x0000_s1040"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textbox inset=",0,,0">
                <w:txbxContent>
                  <w:p w14:paraId="7AEA14EA" w14:textId="3A75BDF4" w:rsidR="00E104DE" w:rsidRPr="00E104DE" w:rsidRDefault="00E104DE" w:rsidP="00E104DE">
                    <w:pPr>
                      <w:jc w:val="center"/>
                      <w:rPr>
                        <w:rFonts w:ascii="Calibri" w:hAnsi="Calibri" w:cs="Calibri"/>
                        <w:color w:val="000000"/>
                        <w:sz w:val="24"/>
                      </w:rPr>
                    </w:pPr>
                    <w:r w:rsidRPr="00E104DE">
                      <w:rPr>
                        <w:rFonts w:ascii="Calibri" w:hAnsi="Calibri" w:cs="Calibri"/>
                        <w:color w:val="000000"/>
                        <w:sz w:val="24"/>
                      </w:rPr>
                      <w:t>OFFICIAL</w:t>
                    </w:r>
                  </w:p>
                </w:txbxContent>
              </v:textbox>
              <w10:wrap anchorx="page" anchory="page"/>
            </v:shape>
          </w:pict>
        </mc:Fallback>
      </mc:AlternateContent>
    </w:r>
    <w:r w:rsidR="001138E9">
      <w:rPr>
        <w:noProof/>
        <w:color w:val="2B579A"/>
        <w:shd w:val="clear" w:color="auto" w:fill="E6E6E6"/>
      </w:rPr>
      <mc:AlternateContent>
        <mc:Choice Requires="wps">
          <w:drawing>
            <wp:anchor distT="0" distB="0" distL="114300" distR="114300" simplePos="0" relativeHeight="251658245" behindDoc="0" locked="0" layoutInCell="0" allowOverlap="1" wp14:anchorId="4F717AB1" wp14:editId="4F7CB8F5">
              <wp:simplePos x="0" y="0"/>
              <wp:positionH relativeFrom="page">
                <wp:posOffset>0</wp:posOffset>
              </wp:positionH>
              <wp:positionV relativeFrom="page">
                <wp:posOffset>10229453</wp:posOffset>
              </wp:positionV>
              <wp:extent cx="7560945" cy="273050"/>
              <wp:effectExtent l="0" t="0" r="0" b="12700"/>
              <wp:wrapNone/>
              <wp:docPr id="102" name="Text Box 10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CD579"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717AB1" id="Text Box 102" o:spid="_x0000_s104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textbox inset=",0,,0">
                <w:txbxContent>
                  <w:p w14:paraId="2DCCD579"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757904798"/>
        <w:docPartObj>
          <w:docPartGallery w:val="Page Numbers (Bottom of Page)"/>
          <w:docPartUnique/>
        </w:docPartObj>
      </w:sdtPr>
      <w:sdtEndPr>
        <w:rPr>
          <w:b/>
          <w:bCs/>
          <w:noProof/>
          <w:color w:val="201547" w:themeColor="text2"/>
          <w:sz w:val="20"/>
          <w:szCs w:val="24"/>
          <w:shd w:val="clear" w:color="auto" w:fill="auto"/>
        </w:rPr>
      </w:sdtEndPr>
      <w:sdtContent>
        <w:r w:rsidR="007C3531" w:rsidRPr="007C3531">
          <w:rPr>
            <w:b/>
            <w:bCs/>
            <w:color w:val="201547" w:themeColor="text2"/>
            <w:sz w:val="20"/>
            <w:szCs w:val="24"/>
            <w:shd w:val="clear" w:color="auto" w:fill="E6E6E6"/>
          </w:rPr>
          <w:fldChar w:fldCharType="begin"/>
        </w:r>
        <w:r w:rsidR="007C3531" w:rsidRPr="007C3531">
          <w:rPr>
            <w:b/>
            <w:bCs/>
            <w:color w:val="201547" w:themeColor="text2"/>
            <w:sz w:val="20"/>
            <w:szCs w:val="24"/>
          </w:rPr>
          <w:instrText xml:space="preserve"> PAGE   \* MERGEFORMAT </w:instrText>
        </w:r>
        <w:r w:rsidR="007C3531" w:rsidRPr="007C3531">
          <w:rPr>
            <w:b/>
            <w:bCs/>
            <w:color w:val="201547" w:themeColor="text2"/>
            <w:sz w:val="20"/>
            <w:szCs w:val="24"/>
            <w:shd w:val="clear" w:color="auto" w:fill="E6E6E6"/>
          </w:rPr>
          <w:fldChar w:fldCharType="separate"/>
        </w:r>
        <w:r w:rsidR="007C3531" w:rsidRPr="007C3531">
          <w:rPr>
            <w:b/>
            <w:bCs/>
            <w:noProof/>
            <w:color w:val="201547" w:themeColor="text2"/>
            <w:sz w:val="20"/>
            <w:szCs w:val="24"/>
          </w:rPr>
          <w:t>2</w:t>
        </w:r>
        <w:r w:rsidR="007C3531" w:rsidRPr="007C3531">
          <w:rPr>
            <w:b/>
            <w:bCs/>
            <w:noProof/>
            <w:color w:val="201547" w:themeColor="text2"/>
            <w:sz w:val="20"/>
            <w:szCs w:val="2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68FB" w14:textId="77777777" w:rsidR="003A3843" w:rsidRPr="008F5280" w:rsidRDefault="003A3843" w:rsidP="008F5280">
      <w:pPr>
        <w:pStyle w:val="FootnoteSeparator"/>
      </w:pPr>
    </w:p>
    <w:p w14:paraId="5C414E3B" w14:textId="77777777" w:rsidR="003A3843" w:rsidRDefault="003A3843"/>
  </w:footnote>
  <w:footnote w:type="continuationSeparator" w:id="0">
    <w:p w14:paraId="05E66E65" w14:textId="77777777" w:rsidR="003A3843" w:rsidRDefault="003A3843" w:rsidP="008F5280">
      <w:pPr>
        <w:pStyle w:val="FootnoteSeparator"/>
      </w:pPr>
    </w:p>
    <w:p w14:paraId="7425BFE0" w14:textId="77777777" w:rsidR="003A3843" w:rsidRDefault="003A3843"/>
    <w:p w14:paraId="673EF480" w14:textId="77777777" w:rsidR="003A3843" w:rsidRDefault="003A3843"/>
  </w:footnote>
  <w:footnote w:type="continuationNotice" w:id="1">
    <w:p w14:paraId="50FF2EED" w14:textId="77777777" w:rsidR="003A3843" w:rsidRDefault="003A3843" w:rsidP="00D55628"/>
    <w:p w14:paraId="68B82638" w14:textId="77777777" w:rsidR="003A3843" w:rsidRDefault="003A3843"/>
    <w:p w14:paraId="7B9F104D" w14:textId="77777777" w:rsidR="003A3843" w:rsidRDefault="003A3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2F3D" w14:textId="77777777" w:rsidR="00AF3EB6" w:rsidRDefault="00AF3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5E01" w14:textId="77777777" w:rsidR="00501F49" w:rsidRDefault="00501F49" w:rsidP="00501F49">
    <w:pPr>
      <w:pStyle w:val="Header"/>
      <w:spacing w:before="240"/>
      <w:jc w:val="right"/>
    </w:pPr>
    <w:r>
      <w:rPr>
        <w:noProof/>
        <w:color w:val="004C97" w:themeColor="accent3"/>
        <w:shd w:val="clear" w:color="auto" w:fill="E6E6E6"/>
      </w:rPr>
      <w:drawing>
        <wp:anchor distT="0" distB="0" distL="114300" distR="114300" simplePos="0" relativeHeight="251658241" behindDoc="1" locked="0" layoutInCell="1" allowOverlap="1" wp14:anchorId="5B795A47" wp14:editId="59893A7F">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0329" w14:textId="77777777" w:rsidR="007C3531" w:rsidRDefault="007C3531">
    <w:pPr>
      <w:pStyle w:val="Header"/>
    </w:pPr>
    <w:r>
      <w:rPr>
        <w:noProof/>
        <w:color w:val="004C97" w:themeColor="accent3"/>
        <w:shd w:val="clear" w:color="auto" w:fill="E6E6E6"/>
      </w:rPr>
      <w:drawing>
        <wp:anchor distT="0" distB="0" distL="114300" distR="114300" simplePos="0" relativeHeight="251658242" behindDoc="1" locked="0" layoutInCell="1" allowOverlap="1" wp14:anchorId="0619279B" wp14:editId="0E11139E">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8D8C"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7DBAE920"/>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7"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598108">
    <w:abstractNumId w:val="8"/>
  </w:num>
  <w:num w:numId="2" w16cid:durableId="438643702">
    <w:abstractNumId w:val="15"/>
  </w:num>
  <w:num w:numId="3" w16cid:durableId="811873596">
    <w:abstractNumId w:val="13"/>
  </w:num>
  <w:num w:numId="4" w16cid:durableId="319582888">
    <w:abstractNumId w:val="18"/>
  </w:num>
  <w:num w:numId="5" w16cid:durableId="1076174753">
    <w:abstractNumId w:val="5"/>
  </w:num>
  <w:num w:numId="6" w16cid:durableId="292516072">
    <w:abstractNumId w:val="2"/>
  </w:num>
  <w:num w:numId="7" w16cid:durableId="1172524432">
    <w:abstractNumId w:val="1"/>
  </w:num>
  <w:num w:numId="8" w16cid:durableId="1315180453">
    <w:abstractNumId w:val="0"/>
  </w:num>
  <w:num w:numId="9" w16cid:durableId="1349404002">
    <w:abstractNumId w:val="16"/>
  </w:num>
  <w:num w:numId="10" w16cid:durableId="819467687">
    <w:abstractNumId w:val="3"/>
  </w:num>
  <w:num w:numId="11" w16cid:durableId="809905462">
    <w:abstractNumId w:val="6"/>
  </w:num>
  <w:num w:numId="12" w16cid:durableId="140854364">
    <w:abstractNumId w:val="4"/>
  </w:num>
  <w:num w:numId="13" w16cid:durableId="1597447447">
    <w:abstractNumId w:val="17"/>
  </w:num>
  <w:num w:numId="14" w16cid:durableId="7182871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3E0AE3"/>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268"/>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0FCA"/>
    <w:rsid w:val="00021A33"/>
    <w:rsid w:val="00021CF5"/>
    <w:rsid w:val="00021DD2"/>
    <w:rsid w:val="0002261E"/>
    <w:rsid w:val="000227DA"/>
    <w:rsid w:val="00022F51"/>
    <w:rsid w:val="000230FD"/>
    <w:rsid w:val="0002325E"/>
    <w:rsid w:val="0002327A"/>
    <w:rsid w:val="00023536"/>
    <w:rsid w:val="000236AE"/>
    <w:rsid w:val="00023AFB"/>
    <w:rsid w:val="0002404B"/>
    <w:rsid w:val="00024572"/>
    <w:rsid w:val="00024574"/>
    <w:rsid w:val="00024896"/>
    <w:rsid w:val="00024990"/>
    <w:rsid w:val="00024D99"/>
    <w:rsid w:val="00024FC4"/>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227"/>
    <w:rsid w:val="000302C2"/>
    <w:rsid w:val="000303AC"/>
    <w:rsid w:val="00030692"/>
    <w:rsid w:val="0003108C"/>
    <w:rsid w:val="00031190"/>
    <w:rsid w:val="000312CC"/>
    <w:rsid w:val="000312E9"/>
    <w:rsid w:val="0003176C"/>
    <w:rsid w:val="00031F20"/>
    <w:rsid w:val="00031F2C"/>
    <w:rsid w:val="000323E0"/>
    <w:rsid w:val="000323EF"/>
    <w:rsid w:val="0003294B"/>
    <w:rsid w:val="00032A21"/>
    <w:rsid w:val="00032D71"/>
    <w:rsid w:val="00033137"/>
    <w:rsid w:val="00033178"/>
    <w:rsid w:val="000331DB"/>
    <w:rsid w:val="00033331"/>
    <w:rsid w:val="00033517"/>
    <w:rsid w:val="00033A8A"/>
    <w:rsid w:val="0003451C"/>
    <w:rsid w:val="00034E46"/>
    <w:rsid w:val="00035139"/>
    <w:rsid w:val="00035163"/>
    <w:rsid w:val="000351EF"/>
    <w:rsid w:val="00035B4E"/>
    <w:rsid w:val="00035F72"/>
    <w:rsid w:val="000362D6"/>
    <w:rsid w:val="00036908"/>
    <w:rsid w:val="00036A70"/>
    <w:rsid w:val="00036FBD"/>
    <w:rsid w:val="00037072"/>
    <w:rsid w:val="000370E1"/>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4C91"/>
    <w:rsid w:val="000455E1"/>
    <w:rsid w:val="00045AA1"/>
    <w:rsid w:val="0004622F"/>
    <w:rsid w:val="00046864"/>
    <w:rsid w:val="000468C7"/>
    <w:rsid w:val="00046BEF"/>
    <w:rsid w:val="00046EE3"/>
    <w:rsid w:val="00047207"/>
    <w:rsid w:val="000473A1"/>
    <w:rsid w:val="0004761D"/>
    <w:rsid w:val="00047C72"/>
    <w:rsid w:val="00047CE9"/>
    <w:rsid w:val="000501F1"/>
    <w:rsid w:val="00050257"/>
    <w:rsid w:val="00050487"/>
    <w:rsid w:val="000504A5"/>
    <w:rsid w:val="000507C3"/>
    <w:rsid w:val="000509CB"/>
    <w:rsid w:val="000515A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DBA"/>
    <w:rsid w:val="00057EB2"/>
    <w:rsid w:val="0006013C"/>
    <w:rsid w:val="00060538"/>
    <w:rsid w:val="00060EE0"/>
    <w:rsid w:val="00060FD9"/>
    <w:rsid w:val="00061573"/>
    <w:rsid w:val="000617D7"/>
    <w:rsid w:val="000620DA"/>
    <w:rsid w:val="000623CA"/>
    <w:rsid w:val="000626EE"/>
    <w:rsid w:val="00062985"/>
    <w:rsid w:val="00063131"/>
    <w:rsid w:val="00063E71"/>
    <w:rsid w:val="00063F09"/>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664"/>
    <w:rsid w:val="000938C5"/>
    <w:rsid w:val="00093F02"/>
    <w:rsid w:val="000948CF"/>
    <w:rsid w:val="00094A84"/>
    <w:rsid w:val="00094F27"/>
    <w:rsid w:val="0009521E"/>
    <w:rsid w:val="00095CA8"/>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1D1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07D"/>
    <w:rsid w:val="000A6267"/>
    <w:rsid w:val="000A6592"/>
    <w:rsid w:val="000A6980"/>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8FA"/>
    <w:rsid w:val="000B2BFC"/>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40D"/>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84A"/>
    <w:rsid w:val="000D69B7"/>
    <w:rsid w:val="000D6B43"/>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175"/>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0E4"/>
    <w:rsid w:val="0012335F"/>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07E"/>
    <w:rsid w:val="001262FB"/>
    <w:rsid w:val="001266B1"/>
    <w:rsid w:val="001266CC"/>
    <w:rsid w:val="001269E0"/>
    <w:rsid w:val="001270B7"/>
    <w:rsid w:val="00127325"/>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C0E"/>
    <w:rsid w:val="0013340B"/>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37B49"/>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DC3"/>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213"/>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4A"/>
    <w:rsid w:val="001562B7"/>
    <w:rsid w:val="001562D9"/>
    <w:rsid w:val="0015661D"/>
    <w:rsid w:val="001568CE"/>
    <w:rsid w:val="00156F4A"/>
    <w:rsid w:val="00157E61"/>
    <w:rsid w:val="00157E78"/>
    <w:rsid w:val="001601C2"/>
    <w:rsid w:val="00160ED7"/>
    <w:rsid w:val="001619E0"/>
    <w:rsid w:val="00161E60"/>
    <w:rsid w:val="001620AF"/>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234"/>
    <w:rsid w:val="001715D8"/>
    <w:rsid w:val="00171FD1"/>
    <w:rsid w:val="00172031"/>
    <w:rsid w:val="0017269B"/>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AE0"/>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0D8"/>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56"/>
    <w:rsid w:val="001A37A6"/>
    <w:rsid w:val="001A3DE2"/>
    <w:rsid w:val="001A4197"/>
    <w:rsid w:val="001A45A0"/>
    <w:rsid w:val="001A4BB8"/>
    <w:rsid w:val="001A4DAE"/>
    <w:rsid w:val="001A50A5"/>
    <w:rsid w:val="001A548E"/>
    <w:rsid w:val="001A5625"/>
    <w:rsid w:val="001A677B"/>
    <w:rsid w:val="001A7616"/>
    <w:rsid w:val="001A788D"/>
    <w:rsid w:val="001A7B61"/>
    <w:rsid w:val="001A7F0C"/>
    <w:rsid w:val="001B025E"/>
    <w:rsid w:val="001B0693"/>
    <w:rsid w:val="001B0706"/>
    <w:rsid w:val="001B0807"/>
    <w:rsid w:val="001B0C5B"/>
    <w:rsid w:val="001B0F9E"/>
    <w:rsid w:val="001B101F"/>
    <w:rsid w:val="001B136D"/>
    <w:rsid w:val="001B1442"/>
    <w:rsid w:val="001B1470"/>
    <w:rsid w:val="001B152E"/>
    <w:rsid w:val="001B1C97"/>
    <w:rsid w:val="001B1F30"/>
    <w:rsid w:val="001B27BE"/>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B85"/>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DBC"/>
    <w:rsid w:val="001E2E6F"/>
    <w:rsid w:val="001E32E6"/>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7B9"/>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5F8"/>
    <w:rsid w:val="0020460C"/>
    <w:rsid w:val="00204836"/>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36C"/>
    <w:rsid w:val="00211AE6"/>
    <w:rsid w:val="00211FE8"/>
    <w:rsid w:val="00212DA6"/>
    <w:rsid w:val="002130AC"/>
    <w:rsid w:val="002131E7"/>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5C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536"/>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251"/>
    <w:rsid w:val="0024292F"/>
    <w:rsid w:val="00242AB5"/>
    <w:rsid w:val="00242CFC"/>
    <w:rsid w:val="00242E04"/>
    <w:rsid w:val="002430F9"/>
    <w:rsid w:val="002432E0"/>
    <w:rsid w:val="00243622"/>
    <w:rsid w:val="002436B2"/>
    <w:rsid w:val="00243D2B"/>
    <w:rsid w:val="00243E8D"/>
    <w:rsid w:val="00244224"/>
    <w:rsid w:val="0024489D"/>
    <w:rsid w:val="00244B6B"/>
    <w:rsid w:val="002454C8"/>
    <w:rsid w:val="00245790"/>
    <w:rsid w:val="00245971"/>
    <w:rsid w:val="00245CE9"/>
    <w:rsid w:val="00245E00"/>
    <w:rsid w:val="00246012"/>
    <w:rsid w:val="00247226"/>
    <w:rsid w:val="00247B52"/>
    <w:rsid w:val="00247E49"/>
    <w:rsid w:val="00247EB2"/>
    <w:rsid w:val="0025030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15F"/>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032"/>
    <w:rsid w:val="00264677"/>
    <w:rsid w:val="00264A62"/>
    <w:rsid w:val="00265045"/>
    <w:rsid w:val="00265096"/>
    <w:rsid w:val="0026589E"/>
    <w:rsid w:val="002659C1"/>
    <w:rsid w:val="002662BA"/>
    <w:rsid w:val="00266EB3"/>
    <w:rsid w:val="00266F31"/>
    <w:rsid w:val="00267541"/>
    <w:rsid w:val="00267693"/>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075"/>
    <w:rsid w:val="0027492F"/>
    <w:rsid w:val="00274D73"/>
    <w:rsid w:val="00274F3B"/>
    <w:rsid w:val="002753C1"/>
    <w:rsid w:val="00275624"/>
    <w:rsid w:val="0027562D"/>
    <w:rsid w:val="0027598E"/>
    <w:rsid w:val="00275B33"/>
    <w:rsid w:val="00275BCE"/>
    <w:rsid w:val="002760B0"/>
    <w:rsid w:val="0027632F"/>
    <w:rsid w:val="0027667E"/>
    <w:rsid w:val="002766CD"/>
    <w:rsid w:val="0027678A"/>
    <w:rsid w:val="00276D5E"/>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818"/>
    <w:rsid w:val="00284B07"/>
    <w:rsid w:val="00285A5B"/>
    <w:rsid w:val="00285C44"/>
    <w:rsid w:val="00285E6C"/>
    <w:rsid w:val="00285F04"/>
    <w:rsid w:val="002868B6"/>
    <w:rsid w:val="00286C19"/>
    <w:rsid w:val="00287075"/>
    <w:rsid w:val="00287146"/>
    <w:rsid w:val="00287609"/>
    <w:rsid w:val="002876B7"/>
    <w:rsid w:val="002878A6"/>
    <w:rsid w:val="00287D08"/>
    <w:rsid w:val="002900D0"/>
    <w:rsid w:val="00290136"/>
    <w:rsid w:val="0029046B"/>
    <w:rsid w:val="002905D9"/>
    <w:rsid w:val="00290935"/>
    <w:rsid w:val="002913D6"/>
    <w:rsid w:val="00291712"/>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55"/>
    <w:rsid w:val="002A4CF9"/>
    <w:rsid w:val="002A4CFA"/>
    <w:rsid w:val="002A4DF9"/>
    <w:rsid w:val="002A5358"/>
    <w:rsid w:val="002A5D8B"/>
    <w:rsid w:val="002A67CE"/>
    <w:rsid w:val="002A6829"/>
    <w:rsid w:val="002A6C11"/>
    <w:rsid w:val="002A6C41"/>
    <w:rsid w:val="002A6CDD"/>
    <w:rsid w:val="002A6FC7"/>
    <w:rsid w:val="002A71FF"/>
    <w:rsid w:val="002A7217"/>
    <w:rsid w:val="002A783B"/>
    <w:rsid w:val="002A7AC5"/>
    <w:rsid w:val="002A7DF3"/>
    <w:rsid w:val="002B00B5"/>
    <w:rsid w:val="002B0CFA"/>
    <w:rsid w:val="002B1288"/>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85"/>
    <w:rsid w:val="002C25A0"/>
    <w:rsid w:val="002C2715"/>
    <w:rsid w:val="002C282D"/>
    <w:rsid w:val="002C296E"/>
    <w:rsid w:val="002C2E8E"/>
    <w:rsid w:val="002C2F37"/>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D74"/>
    <w:rsid w:val="002D3B57"/>
    <w:rsid w:val="002D3F88"/>
    <w:rsid w:val="002D4193"/>
    <w:rsid w:val="002D4531"/>
    <w:rsid w:val="002D47E6"/>
    <w:rsid w:val="002D4A01"/>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2EC"/>
    <w:rsid w:val="002E5808"/>
    <w:rsid w:val="002E584F"/>
    <w:rsid w:val="002E58C5"/>
    <w:rsid w:val="002E5B9E"/>
    <w:rsid w:val="002E6B7A"/>
    <w:rsid w:val="002E6DC0"/>
    <w:rsid w:val="002E7001"/>
    <w:rsid w:val="002E7991"/>
    <w:rsid w:val="002E7A32"/>
    <w:rsid w:val="002E7EE9"/>
    <w:rsid w:val="002E7F20"/>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6E"/>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52E"/>
    <w:rsid w:val="00303661"/>
    <w:rsid w:val="00303961"/>
    <w:rsid w:val="00303B2E"/>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146"/>
    <w:rsid w:val="003363DA"/>
    <w:rsid w:val="003365F6"/>
    <w:rsid w:val="00336657"/>
    <w:rsid w:val="003368F1"/>
    <w:rsid w:val="00336A3D"/>
    <w:rsid w:val="00336F65"/>
    <w:rsid w:val="003370FB"/>
    <w:rsid w:val="0033793B"/>
    <w:rsid w:val="00337980"/>
    <w:rsid w:val="00337989"/>
    <w:rsid w:val="00340C4D"/>
    <w:rsid w:val="0034126F"/>
    <w:rsid w:val="00341DE0"/>
    <w:rsid w:val="003420E0"/>
    <w:rsid w:val="00342173"/>
    <w:rsid w:val="00342444"/>
    <w:rsid w:val="003428F3"/>
    <w:rsid w:val="00342C49"/>
    <w:rsid w:val="00342D06"/>
    <w:rsid w:val="00343B7B"/>
    <w:rsid w:val="003440FE"/>
    <w:rsid w:val="003446A3"/>
    <w:rsid w:val="003446A9"/>
    <w:rsid w:val="00344BF0"/>
    <w:rsid w:val="00344C80"/>
    <w:rsid w:val="00344D5B"/>
    <w:rsid w:val="00344FFD"/>
    <w:rsid w:val="0034574D"/>
    <w:rsid w:val="00345B5F"/>
    <w:rsid w:val="00345C71"/>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6C8"/>
    <w:rsid w:val="003628F9"/>
    <w:rsid w:val="00362D3F"/>
    <w:rsid w:val="00362E3A"/>
    <w:rsid w:val="003630B0"/>
    <w:rsid w:val="00363120"/>
    <w:rsid w:val="003633AF"/>
    <w:rsid w:val="00363532"/>
    <w:rsid w:val="00363763"/>
    <w:rsid w:val="00363BBC"/>
    <w:rsid w:val="00364154"/>
    <w:rsid w:val="003649FB"/>
    <w:rsid w:val="00364CA5"/>
    <w:rsid w:val="00366470"/>
    <w:rsid w:val="003664CB"/>
    <w:rsid w:val="003669E5"/>
    <w:rsid w:val="00367673"/>
    <w:rsid w:val="00367D42"/>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378"/>
    <w:rsid w:val="0037511C"/>
    <w:rsid w:val="003751ED"/>
    <w:rsid w:val="003752C3"/>
    <w:rsid w:val="003752DA"/>
    <w:rsid w:val="003752E2"/>
    <w:rsid w:val="003759AC"/>
    <w:rsid w:val="0037612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C39"/>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4E3"/>
    <w:rsid w:val="00391E78"/>
    <w:rsid w:val="00391F27"/>
    <w:rsid w:val="003920B2"/>
    <w:rsid w:val="00392E40"/>
    <w:rsid w:val="0039318E"/>
    <w:rsid w:val="00393205"/>
    <w:rsid w:val="003936CD"/>
    <w:rsid w:val="003938BA"/>
    <w:rsid w:val="0039396D"/>
    <w:rsid w:val="00393EA9"/>
    <w:rsid w:val="00394109"/>
    <w:rsid w:val="003947B8"/>
    <w:rsid w:val="00395181"/>
    <w:rsid w:val="00395A07"/>
    <w:rsid w:val="003960AD"/>
    <w:rsid w:val="003963F7"/>
    <w:rsid w:val="003964CC"/>
    <w:rsid w:val="00396652"/>
    <w:rsid w:val="0039686E"/>
    <w:rsid w:val="003973A1"/>
    <w:rsid w:val="00397703"/>
    <w:rsid w:val="0039796C"/>
    <w:rsid w:val="00397E67"/>
    <w:rsid w:val="00397F27"/>
    <w:rsid w:val="003A00F0"/>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2D74"/>
    <w:rsid w:val="003A34C6"/>
    <w:rsid w:val="003A37BF"/>
    <w:rsid w:val="003A3843"/>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0C98"/>
    <w:rsid w:val="003B12B7"/>
    <w:rsid w:val="003B148C"/>
    <w:rsid w:val="003B1774"/>
    <w:rsid w:val="003B180F"/>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C67"/>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6D2F"/>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99A"/>
    <w:rsid w:val="003D4C15"/>
    <w:rsid w:val="003D4DC8"/>
    <w:rsid w:val="003D545B"/>
    <w:rsid w:val="003D5476"/>
    <w:rsid w:val="003D5A45"/>
    <w:rsid w:val="003D5EA3"/>
    <w:rsid w:val="003D6113"/>
    <w:rsid w:val="003D6245"/>
    <w:rsid w:val="003D6A16"/>
    <w:rsid w:val="003D6AA6"/>
    <w:rsid w:val="003D75A3"/>
    <w:rsid w:val="003D7644"/>
    <w:rsid w:val="003D76D7"/>
    <w:rsid w:val="003D7822"/>
    <w:rsid w:val="003D7ECF"/>
    <w:rsid w:val="003D7EE9"/>
    <w:rsid w:val="003E0AE3"/>
    <w:rsid w:val="003E0B36"/>
    <w:rsid w:val="003E0E29"/>
    <w:rsid w:val="003E106A"/>
    <w:rsid w:val="003E13A8"/>
    <w:rsid w:val="003E1E9A"/>
    <w:rsid w:val="003E22D4"/>
    <w:rsid w:val="003E24BD"/>
    <w:rsid w:val="003E2C4B"/>
    <w:rsid w:val="003E313F"/>
    <w:rsid w:val="003E3643"/>
    <w:rsid w:val="003E3760"/>
    <w:rsid w:val="003E39F6"/>
    <w:rsid w:val="003E3E59"/>
    <w:rsid w:val="003E4332"/>
    <w:rsid w:val="003E45E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0D5"/>
    <w:rsid w:val="00403185"/>
    <w:rsid w:val="00404F28"/>
    <w:rsid w:val="00405163"/>
    <w:rsid w:val="0040516D"/>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26D"/>
    <w:rsid w:val="004179D0"/>
    <w:rsid w:val="00417A6D"/>
    <w:rsid w:val="004200B0"/>
    <w:rsid w:val="00420664"/>
    <w:rsid w:val="00420A2A"/>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9E8"/>
    <w:rsid w:val="00425CF9"/>
    <w:rsid w:val="00425FF4"/>
    <w:rsid w:val="0042629F"/>
    <w:rsid w:val="00426745"/>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0BB6"/>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440"/>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1F"/>
    <w:rsid w:val="00455BCE"/>
    <w:rsid w:val="004561E6"/>
    <w:rsid w:val="0045626E"/>
    <w:rsid w:val="00456424"/>
    <w:rsid w:val="0045701C"/>
    <w:rsid w:val="0045714E"/>
    <w:rsid w:val="0045724E"/>
    <w:rsid w:val="004575A6"/>
    <w:rsid w:val="004576B7"/>
    <w:rsid w:val="004578A8"/>
    <w:rsid w:val="00457E4C"/>
    <w:rsid w:val="004606CB"/>
    <w:rsid w:val="00460BA5"/>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43F"/>
    <w:rsid w:val="00473915"/>
    <w:rsid w:val="004741FF"/>
    <w:rsid w:val="0047431D"/>
    <w:rsid w:val="00474492"/>
    <w:rsid w:val="0047481C"/>
    <w:rsid w:val="00474924"/>
    <w:rsid w:val="004749BC"/>
    <w:rsid w:val="00474AB4"/>
    <w:rsid w:val="00474C65"/>
    <w:rsid w:val="0047533C"/>
    <w:rsid w:val="00475575"/>
    <w:rsid w:val="00475DC7"/>
    <w:rsid w:val="00475E92"/>
    <w:rsid w:val="00476197"/>
    <w:rsid w:val="00476767"/>
    <w:rsid w:val="00476D9E"/>
    <w:rsid w:val="00477146"/>
    <w:rsid w:val="004772B4"/>
    <w:rsid w:val="00477759"/>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1B4"/>
    <w:rsid w:val="004842EB"/>
    <w:rsid w:val="00484746"/>
    <w:rsid w:val="00485533"/>
    <w:rsid w:val="0048558F"/>
    <w:rsid w:val="00485759"/>
    <w:rsid w:val="00485BCA"/>
    <w:rsid w:val="00485D2C"/>
    <w:rsid w:val="00485DA0"/>
    <w:rsid w:val="00485DBF"/>
    <w:rsid w:val="0048677F"/>
    <w:rsid w:val="00486AF4"/>
    <w:rsid w:val="00486B9D"/>
    <w:rsid w:val="00486F4D"/>
    <w:rsid w:val="0048745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096"/>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B67"/>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9CA"/>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B37"/>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54"/>
    <w:rsid w:val="004E2AB6"/>
    <w:rsid w:val="004E313A"/>
    <w:rsid w:val="004E3C09"/>
    <w:rsid w:val="004E3CC5"/>
    <w:rsid w:val="004E3F91"/>
    <w:rsid w:val="004E4B5E"/>
    <w:rsid w:val="004E52B6"/>
    <w:rsid w:val="004E53E9"/>
    <w:rsid w:val="004E565A"/>
    <w:rsid w:val="004E5EC2"/>
    <w:rsid w:val="004E6424"/>
    <w:rsid w:val="004E6426"/>
    <w:rsid w:val="004E657B"/>
    <w:rsid w:val="004E6F7C"/>
    <w:rsid w:val="004E7008"/>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1F4"/>
    <w:rsid w:val="004F240B"/>
    <w:rsid w:val="004F31FF"/>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2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7BE"/>
    <w:rsid w:val="00503CF7"/>
    <w:rsid w:val="00503F00"/>
    <w:rsid w:val="00503F7D"/>
    <w:rsid w:val="005042D3"/>
    <w:rsid w:val="0050446B"/>
    <w:rsid w:val="00505460"/>
    <w:rsid w:val="00505CE1"/>
    <w:rsid w:val="00506058"/>
    <w:rsid w:val="00506259"/>
    <w:rsid w:val="005062DD"/>
    <w:rsid w:val="00506A1F"/>
    <w:rsid w:val="005071A3"/>
    <w:rsid w:val="005072E9"/>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4EE3"/>
    <w:rsid w:val="00515B23"/>
    <w:rsid w:val="00515C39"/>
    <w:rsid w:val="00516381"/>
    <w:rsid w:val="00516487"/>
    <w:rsid w:val="00516C58"/>
    <w:rsid w:val="005173C0"/>
    <w:rsid w:val="00517471"/>
    <w:rsid w:val="00517F16"/>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A10"/>
    <w:rsid w:val="00523C38"/>
    <w:rsid w:val="00523DDC"/>
    <w:rsid w:val="0052415A"/>
    <w:rsid w:val="0052438E"/>
    <w:rsid w:val="005243B8"/>
    <w:rsid w:val="0052450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39C"/>
    <w:rsid w:val="0053272A"/>
    <w:rsid w:val="00532B69"/>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44"/>
    <w:rsid w:val="00536DA1"/>
    <w:rsid w:val="00537024"/>
    <w:rsid w:val="0053708A"/>
    <w:rsid w:val="00537261"/>
    <w:rsid w:val="0053770A"/>
    <w:rsid w:val="005379C2"/>
    <w:rsid w:val="00537E54"/>
    <w:rsid w:val="00537E60"/>
    <w:rsid w:val="0054010B"/>
    <w:rsid w:val="005402B2"/>
    <w:rsid w:val="005404F6"/>
    <w:rsid w:val="00540758"/>
    <w:rsid w:val="00540776"/>
    <w:rsid w:val="005407D4"/>
    <w:rsid w:val="00540C1A"/>
    <w:rsid w:val="005414E2"/>
    <w:rsid w:val="0054160D"/>
    <w:rsid w:val="005416A2"/>
    <w:rsid w:val="00541EB7"/>
    <w:rsid w:val="00542945"/>
    <w:rsid w:val="00542AD5"/>
    <w:rsid w:val="00542BA7"/>
    <w:rsid w:val="00542EDE"/>
    <w:rsid w:val="0054341E"/>
    <w:rsid w:val="0054384C"/>
    <w:rsid w:val="00543FC2"/>
    <w:rsid w:val="00544088"/>
    <w:rsid w:val="0054433B"/>
    <w:rsid w:val="00544A45"/>
    <w:rsid w:val="00544AD7"/>
    <w:rsid w:val="005452DF"/>
    <w:rsid w:val="00545662"/>
    <w:rsid w:val="0054585E"/>
    <w:rsid w:val="00545B76"/>
    <w:rsid w:val="00546073"/>
    <w:rsid w:val="0054672A"/>
    <w:rsid w:val="00546D90"/>
    <w:rsid w:val="0054736B"/>
    <w:rsid w:val="005478BB"/>
    <w:rsid w:val="00547BC4"/>
    <w:rsid w:val="00550BE8"/>
    <w:rsid w:val="00550C69"/>
    <w:rsid w:val="0055153D"/>
    <w:rsid w:val="00551607"/>
    <w:rsid w:val="00552423"/>
    <w:rsid w:val="005534BB"/>
    <w:rsid w:val="00553651"/>
    <w:rsid w:val="0055365C"/>
    <w:rsid w:val="00553668"/>
    <w:rsid w:val="00553ADF"/>
    <w:rsid w:val="005541D4"/>
    <w:rsid w:val="00554A10"/>
    <w:rsid w:val="005550AC"/>
    <w:rsid w:val="005550F9"/>
    <w:rsid w:val="005553BA"/>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4D9"/>
    <w:rsid w:val="005647F9"/>
    <w:rsid w:val="00564CE1"/>
    <w:rsid w:val="00565127"/>
    <w:rsid w:val="00566671"/>
    <w:rsid w:val="00566DAC"/>
    <w:rsid w:val="00566FEA"/>
    <w:rsid w:val="005676F5"/>
    <w:rsid w:val="00567C79"/>
    <w:rsid w:val="00570012"/>
    <w:rsid w:val="00570018"/>
    <w:rsid w:val="005702C1"/>
    <w:rsid w:val="005704B3"/>
    <w:rsid w:val="005705A3"/>
    <w:rsid w:val="00570A27"/>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4F4C"/>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20"/>
    <w:rsid w:val="00587F6A"/>
    <w:rsid w:val="00587FAB"/>
    <w:rsid w:val="0059071B"/>
    <w:rsid w:val="00590881"/>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AA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3F"/>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0FDA"/>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0F55"/>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2824"/>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6A"/>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0A9"/>
    <w:rsid w:val="00603830"/>
    <w:rsid w:val="006040D0"/>
    <w:rsid w:val="00604691"/>
    <w:rsid w:val="00604976"/>
    <w:rsid w:val="00604A64"/>
    <w:rsid w:val="00604ECD"/>
    <w:rsid w:val="00604F9B"/>
    <w:rsid w:val="00605B53"/>
    <w:rsid w:val="00605DA8"/>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2E3"/>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2F64"/>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E10"/>
    <w:rsid w:val="0063703B"/>
    <w:rsid w:val="006378C4"/>
    <w:rsid w:val="00640E50"/>
    <w:rsid w:val="00640EC7"/>
    <w:rsid w:val="00641975"/>
    <w:rsid w:val="00641FE4"/>
    <w:rsid w:val="0064219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1D3"/>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9C3"/>
    <w:rsid w:val="006637E3"/>
    <w:rsid w:val="006638C7"/>
    <w:rsid w:val="00664914"/>
    <w:rsid w:val="00664BF0"/>
    <w:rsid w:val="00664C0B"/>
    <w:rsid w:val="00665A3C"/>
    <w:rsid w:val="00665D0D"/>
    <w:rsid w:val="00665E16"/>
    <w:rsid w:val="00665FA5"/>
    <w:rsid w:val="006662EB"/>
    <w:rsid w:val="006669FB"/>
    <w:rsid w:val="00666DFB"/>
    <w:rsid w:val="0066740E"/>
    <w:rsid w:val="006679B3"/>
    <w:rsid w:val="0067011C"/>
    <w:rsid w:val="00670C77"/>
    <w:rsid w:val="00670F64"/>
    <w:rsid w:val="00671260"/>
    <w:rsid w:val="006712C2"/>
    <w:rsid w:val="00671492"/>
    <w:rsid w:val="00671650"/>
    <w:rsid w:val="006717E1"/>
    <w:rsid w:val="00671A66"/>
    <w:rsid w:val="00671CA8"/>
    <w:rsid w:val="00671D89"/>
    <w:rsid w:val="00671FFF"/>
    <w:rsid w:val="00672399"/>
    <w:rsid w:val="0067295F"/>
    <w:rsid w:val="00672BB1"/>
    <w:rsid w:val="00672D08"/>
    <w:rsid w:val="00673B0F"/>
    <w:rsid w:val="00673B43"/>
    <w:rsid w:val="00673F70"/>
    <w:rsid w:val="00674720"/>
    <w:rsid w:val="00674C30"/>
    <w:rsid w:val="00675015"/>
    <w:rsid w:val="00675203"/>
    <w:rsid w:val="00675E8D"/>
    <w:rsid w:val="006760A1"/>
    <w:rsid w:val="00676A93"/>
    <w:rsid w:val="00676B02"/>
    <w:rsid w:val="006770D4"/>
    <w:rsid w:val="006773B8"/>
    <w:rsid w:val="006773E8"/>
    <w:rsid w:val="00677CFC"/>
    <w:rsid w:val="00677D3D"/>
    <w:rsid w:val="00677DE9"/>
    <w:rsid w:val="006805BB"/>
    <w:rsid w:val="0068078B"/>
    <w:rsid w:val="00680CBA"/>
    <w:rsid w:val="006813EB"/>
    <w:rsid w:val="00681603"/>
    <w:rsid w:val="006817C4"/>
    <w:rsid w:val="006819A9"/>
    <w:rsid w:val="00681E17"/>
    <w:rsid w:val="00682292"/>
    <w:rsid w:val="00682478"/>
    <w:rsid w:val="006829E9"/>
    <w:rsid w:val="00682A59"/>
    <w:rsid w:val="00682BD8"/>
    <w:rsid w:val="00682C7C"/>
    <w:rsid w:val="0068306F"/>
    <w:rsid w:val="0068323C"/>
    <w:rsid w:val="0068345F"/>
    <w:rsid w:val="00683AD9"/>
    <w:rsid w:val="0068458E"/>
    <w:rsid w:val="006848E7"/>
    <w:rsid w:val="006850FB"/>
    <w:rsid w:val="006852CE"/>
    <w:rsid w:val="006854C2"/>
    <w:rsid w:val="00685B39"/>
    <w:rsid w:val="0068664E"/>
    <w:rsid w:val="00686997"/>
    <w:rsid w:val="00686BAD"/>
    <w:rsid w:val="00686C6D"/>
    <w:rsid w:val="00687233"/>
    <w:rsid w:val="006873BE"/>
    <w:rsid w:val="006876AA"/>
    <w:rsid w:val="006903C0"/>
    <w:rsid w:val="0069052A"/>
    <w:rsid w:val="006909B7"/>
    <w:rsid w:val="00690BA0"/>
    <w:rsid w:val="00690E5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8F0"/>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74"/>
    <w:rsid w:val="006B2C90"/>
    <w:rsid w:val="006B3157"/>
    <w:rsid w:val="006B36E4"/>
    <w:rsid w:val="006B41FB"/>
    <w:rsid w:val="006B4212"/>
    <w:rsid w:val="006B4566"/>
    <w:rsid w:val="006B460D"/>
    <w:rsid w:val="006B460E"/>
    <w:rsid w:val="006B46AE"/>
    <w:rsid w:val="006B46FC"/>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2D0F"/>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B3E"/>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6DDB"/>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3EE"/>
    <w:rsid w:val="006F64D1"/>
    <w:rsid w:val="006F650B"/>
    <w:rsid w:val="006F650C"/>
    <w:rsid w:val="006F65F8"/>
    <w:rsid w:val="006F6977"/>
    <w:rsid w:val="006F747F"/>
    <w:rsid w:val="0070005F"/>
    <w:rsid w:val="00700C18"/>
    <w:rsid w:val="007010C5"/>
    <w:rsid w:val="007011AB"/>
    <w:rsid w:val="00701595"/>
    <w:rsid w:val="00701BC0"/>
    <w:rsid w:val="00701F5E"/>
    <w:rsid w:val="007020F8"/>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259C"/>
    <w:rsid w:val="0071329F"/>
    <w:rsid w:val="00713B45"/>
    <w:rsid w:val="00714FD3"/>
    <w:rsid w:val="0071530E"/>
    <w:rsid w:val="00715952"/>
    <w:rsid w:val="00715EE8"/>
    <w:rsid w:val="00716791"/>
    <w:rsid w:val="00716795"/>
    <w:rsid w:val="007169A1"/>
    <w:rsid w:val="00716CA0"/>
    <w:rsid w:val="00716D36"/>
    <w:rsid w:val="007172B7"/>
    <w:rsid w:val="007178CC"/>
    <w:rsid w:val="00717B97"/>
    <w:rsid w:val="00720154"/>
    <w:rsid w:val="007202E0"/>
    <w:rsid w:val="00720716"/>
    <w:rsid w:val="007209C2"/>
    <w:rsid w:val="00720CF3"/>
    <w:rsid w:val="00720D32"/>
    <w:rsid w:val="00720D3D"/>
    <w:rsid w:val="007219AA"/>
    <w:rsid w:val="007219FD"/>
    <w:rsid w:val="00721A9C"/>
    <w:rsid w:val="007220E0"/>
    <w:rsid w:val="0072212E"/>
    <w:rsid w:val="007221FA"/>
    <w:rsid w:val="0072239F"/>
    <w:rsid w:val="0072260B"/>
    <w:rsid w:val="00722A0A"/>
    <w:rsid w:val="00722F51"/>
    <w:rsid w:val="007230EC"/>
    <w:rsid w:val="00723379"/>
    <w:rsid w:val="007233B6"/>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9FF"/>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CB4"/>
    <w:rsid w:val="00737D06"/>
    <w:rsid w:val="007402EF"/>
    <w:rsid w:val="007408FA"/>
    <w:rsid w:val="007408FC"/>
    <w:rsid w:val="0074145A"/>
    <w:rsid w:val="00741475"/>
    <w:rsid w:val="007418C9"/>
    <w:rsid w:val="00741B02"/>
    <w:rsid w:val="00741FE3"/>
    <w:rsid w:val="007420BB"/>
    <w:rsid w:val="0074211D"/>
    <w:rsid w:val="007423AB"/>
    <w:rsid w:val="00742476"/>
    <w:rsid w:val="007425E6"/>
    <w:rsid w:val="0074286B"/>
    <w:rsid w:val="00742974"/>
    <w:rsid w:val="00742E83"/>
    <w:rsid w:val="00743779"/>
    <w:rsid w:val="00743C5A"/>
    <w:rsid w:val="00743E88"/>
    <w:rsid w:val="007444C1"/>
    <w:rsid w:val="0074479B"/>
    <w:rsid w:val="00744B51"/>
    <w:rsid w:val="00744CCB"/>
    <w:rsid w:val="0074545B"/>
    <w:rsid w:val="00745643"/>
    <w:rsid w:val="007458C6"/>
    <w:rsid w:val="007459A9"/>
    <w:rsid w:val="00745DFB"/>
    <w:rsid w:val="00746166"/>
    <w:rsid w:val="00746362"/>
    <w:rsid w:val="00746592"/>
    <w:rsid w:val="007470BB"/>
    <w:rsid w:val="007473C4"/>
    <w:rsid w:val="007474E3"/>
    <w:rsid w:val="007477CB"/>
    <w:rsid w:val="0075075D"/>
    <w:rsid w:val="00750760"/>
    <w:rsid w:val="00750D2B"/>
    <w:rsid w:val="00750DDB"/>
    <w:rsid w:val="00750FCA"/>
    <w:rsid w:val="007512CC"/>
    <w:rsid w:val="00751B8F"/>
    <w:rsid w:val="00752085"/>
    <w:rsid w:val="00752437"/>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5C1"/>
    <w:rsid w:val="00756FFA"/>
    <w:rsid w:val="007579AE"/>
    <w:rsid w:val="007579E2"/>
    <w:rsid w:val="00760543"/>
    <w:rsid w:val="00760556"/>
    <w:rsid w:val="007608FB"/>
    <w:rsid w:val="00760BA0"/>
    <w:rsid w:val="007610EE"/>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584"/>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E93"/>
    <w:rsid w:val="00771F80"/>
    <w:rsid w:val="00772140"/>
    <w:rsid w:val="0077215A"/>
    <w:rsid w:val="0077220B"/>
    <w:rsid w:val="00772910"/>
    <w:rsid w:val="00772A08"/>
    <w:rsid w:val="00772BA3"/>
    <w:rsid w:val="00772C6B"/>
    <w:rsid w:val="00773376"/>
    <w:rsid w:val="007735FA"/>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63D"/>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6A6"/>
    <w:rsid w:val="00786862"/>
    <w:rsid w:val="00786B21"/>
    <w:rsid w:val="007875DF"/>
    <w:rsid w:val="00787867"/>
    <w:rsid w:val="007879D1"/>
    <w:rsid w:val="00787AC4"/>
    <w:rsid w:val="00787C50"/>
    <w:rsid w:val="0079025C"/>
    <w:rsid w:val="00790660"/>
    <w:rsid w:val="00790B01"/>
    <w:rsid w:val="00790B46"/>
    <w:rsid w:val="00790C4F"/>
    <w:rsid w:val="00790E9E"/>
    <w:rsid w:val="00790FAA"/>
    <w:rsid w:val="00791037"/>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2D7C"/>
    <w:rsid w:val="007A2DE1"/>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212"/>
    <w:rsid w:val="007B431B"/>
    <w:rsid w:val="007B4412"/>
    <w:rsid w:val="007B47D4"/>
    <w:rsid w:val="007B4823"/>
    <w:rsid w:val="007B4EC0"/>
    <w:rsid w:val="007B5135"/>
    <w:rsid w:val="007B5174"/>
    <w:rsid w:val="007B51F1"/>
    <w:rsid w:val="007B5837"/>
    <w:rsid w:val="007B5BC4"/>
    <w:rsid w:val="007B608C"/>
    <w:rsid w:val="007B6535"/>
    <w:rsid w:val="007B6996"/>
    <w:rsid w:val="007B6B03"/>
    <w:rsid w:val="007B6D2E"/>
    <w:rsid w:val="007B6D7A"/>
    <w:rsid w:val="007B6D8F"/>
    <w:rsid w:val="007B6DFF"/>
    <w:rsid w:val="007B74C4"/>
    <w:rsid w:val="007B7559"/>
    <w:rsid w:val="007B76C3"/>
    <w:rsid w:val="007B76F2"/>
    <w:rsid w:val="007B79DC"/>
    <w:rsid w:val="007B7A2B"/>
    <w:rsid w:val="007B7FF8"/>
    <w:rsid w:val="007C07A1"/>
    <w:rsid w:val="007C0961"/>
    <w:rsid w:val="007C098D"/>
    <w:rsid w:val="007C11ED"/>
    <w:rsid w:val="007C177D"/>
    <w:rsid w:val="007C1A65"/>
    <w:rsid w:val="007C2272"/>
    <w:rsid w:val="007C22CA"/>
    <w:rsid w:val="007C24B4"/>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BF1"/>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5B"/>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8CE"/>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AF5"/>
    <w:rsid w:val="007F1D7C"/>
    <w:rsid w:val="007F2545"/>
    <w:rsid w:val="007F26D5"/>
    <w:rsid w:val="007F297D"/>
    <w:rsid w:val="007F2BA6"/>
    <w:rsid w:val="007F3088"/>
    <w:rsid w:val="007F32C9"/>
    <w:rsid w:val="007F35A0"/>
    <w:rsid w:val="007F3BDB"/>
    <w:rsid w:val="007F4249"/>
    <w:rsid w:val="007F4643"/>
    <w:rsid w:val="007F52F1"/>
    <w:rsid w:val="007F57BA"/>
    <w:rsid w:val="007F5B9D"/>
    <w:rsid w:val="007F5E2A"/>
    <w:rsid w:val="007F66D7"/>
    <w:rsid w:val="007F68B8"/>
    <w:rsid w:val="007F6E3F"/>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BEE"/>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0FFB"/>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627"/>
    <w:rsid w:val="00824EDE"/>
    <w:rsid w:val="0082545D"/>
    <w:rsid w:val="00825489"/>
    <w:rsid w:val="00825C51"/>
    <w:rsid w:val="00825D71"/>
    <w:rsid w:val="00825DF1"/>
    <w:rsid w:val="0082647E"/>
    <w:rsid w:val="0082677C"/>
    <w:rsid w:val="008269BB"/>
    <w:rsid w:val="00826FF7"/>
    <w:rsid w:val="008273E7"/>
    <w:rsid w:val="00827625"/>
    <w:rsid w:val="008276EA"/>
    <w:rsid w:val="00827CEB"/>
    <w:rsid w:val="00827DC6"/>
    <w:rsid w:val="00830017"/>
    <w:rsid w:val="008300F0"/>
    <w:rsid w:val="00830404"/>
    <w:rsid w:val="008307A6"/>
    <w:rsid w:val="00830B7E"/>
    <w:rsid w:val="008310B1"/>
    <w:rsid w:val="0083118D"/>
    <w:rsid w:val="008313B0"/>
    <w:rsid w:val="00831538"/>
    <w:rsid w:val="00831A6B"/>
    <w:rsid w:val="00831CDE"/>
    <w:rsid w:val="00831F08"/>
    <w:rsid w:val="00831F50"/>
    <w:rsid w:val="0083212F"/>
    <w:rsid w:val="008321FA"/>
    <w:rsid w:val="008329DB"/>
    <w:rsid w:val="00832F4A"/>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20A"/>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5F"/>
    <w:rsid w:val="008448E9"/>
    <w:rsid w:val="00844B28"/>
    <w:rsid w:val="00844B85"/>
    <w:rsid w:val="00845010"/>
    <w:rsid w:val="0084503F"/>
    <w:rsid w:val="0084589F"/>
    <w:rsid w:val="0084645D"/>
    <w:rsid w:val="0084654E"/>
    <w:rsid w:val="00846560"/>
    <w:rsid w:val="00846CDC"/>
    <w:rsid w:val="00846F12"/>
    <w:rsid w:val="00846F26"/>
    <w:rsid w:val="00847067"/>
    <w:rsid w:val="00847157"/>
    <w:rsid w:val="00847A28"/>
    <w:rsid w:val="00850090"/>
    <w:rsid w:val="008500A9"/>
    <w:rsid w:val="00850830"/>
    <w:rsid w:val="00850A6C"/>
    <w:rsid w:val="00850DE6"/>
    <w:rsid w:val="0085205A"/>
    <w:rsid w:val="0085232C"/>
    <w:rsid w:val="00852345"/>
    <w:rsid w:val="00852C4A"/>
    <w:rsid w:val="00852C8B"/>
    <w:rsid w:val="00853053"/>
    <w:rsid w:val="008530B8"/>
    <w:rsid w:val="0085362D"/>
    <w:rsid w:val="008536DA"/>
    <w:rsid w:val="008538DB"/>
    <w:rsid w:val="00853987"/>
    <w:rsid w:val="00853B92"/>
    <w:rsid w:val="00853E90"/>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2DEC"/>
    <w:rsid w:val="008637EB"/>
    <w:rsid w:val="00863896"/>
    <w:rsid w:val="008638D3"/>
    <w:rsid w:val="00863AA4"/>
    <w:rsid w:val="00863B8B"/>
    <w:rsid w:val="00863F7E"/>
    <w:rsid w:val="008641E8"/>
    <w:rsid w:val="0086429F"/>
    <w:rsid w:val="00864302"/>
    <w:rsid w:val="00864309"/>
    <w:rsid w:val="0086451D"/>
    <w:rsid w:val="0086483B"/>
    <w:rsid w:val="00864DAF"/>
    <w:rsid w:val="00864E4E"/>
    <w:rsid w:val="00865097"/>
    <w:rsid w:val="008652B7"/>
    <w:rsid w:val="00865535"/>
    <w:rsid w:val="00865EBE"/>
    <w:rsid w:val="00865EE9"/>
    <w:rsid w:val="0086633F"/>
    <w:rsid w:val="0086636C"/>
    <w:rsid w:val="00866511"/>
    <w:rsid w:val="008666A0"/>
    <w:rsid w:val="008668BD"/>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66"/>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B21"/>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1DCD"/>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117"/>
    <w:rsid w:val="008B0618"/>
    <w:rsid w:val="008B0C16"/>
    <w:rsid w:val="008B12AF"/>
    <w:rsid w:val="008B140D"/>
    <w:rsid w:val="008B15F5"/>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86E"/>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894"/>
    <w:rsid w:val="008E5BC6"/>
    <w:rsid w:val="008E6A3D"/>
    <w:rsid w:val="008E6D8A"/>
    <w:rsid w:val="008E77A1"/>
    <w:rsid w:val="008E78E9"/>
    <w:rsid w:val="008E7C84"/>
    <w:rsid w:val="008E7C9D"/>
    <w:rsid w:val="008F0211"/>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7D"/>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3DE4"/>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345"/>
    <w:rsid w:val="00934640"/>
    <w:rsid w:val="009347B4"/>
    <w:rsid w:val="00934E7D"/>
    <w:rsid w:val="00934EB8"/>
    <w:rsid w:val="00935830"/>
    <w:rsid w:val="00935A91"/>
    <w:rsid w:val="009363B5"/>
    <w:rsid w:val="00936592"/>
    <w:rsid w:val="0093662C"/>
    <w:rsid w:val="009368A6"/>
    <w:rsid w:val="00936A6C"/>
    <w:rsid w:val="00936A74"/>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75"/>
    <w:rsid w:val="00951CE6"/>
    <w:rsid w:val="00951D98"/>
    <w:rsid w:val="009522DF"/>
    <w:rsid w:val="009523EA"/>
    <w:rsid w:val="0095266F"/>
    <w:rsid w:val="0095304D"/>
    <w:rsid w:val="009536CB"/>
    <w:rsid w:val="00953C2D"/>
    <w:rsid w:val="00953CA4"/>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EA2"/>
    <w:rsid w:val="0096015E"/>
    <w:rsid w:val="009602AB"/>
    <w:rsid w:val="00960449"/>
    <w:rsid w:val="009607FD"/>
    <w:rsid w:val="00960900"/>
    <w:rsid w:val="00960947"/>
    <w:rsid w:val="00960E04"/>
    <w:rsid w:val="00961169"/>
    <w:rsid w:val="00961250"/>
    <w:rsid w:val="009616C2"/>
    <w:rsid w:val="00961A1A"/>
    <w:rsid w:val="00961A4C"/>
    <w:rsid w:val="00961DDB"/>
    <w:rsid w:val="00961F8C"/>
    <w:rsid w:val="009621A5"/>
    <w:rsid w:val="009623CA"/>
    <w:rsid w:val="0096287B"/>
    <w:rsid w:val="009628F7"/>
    <w:rsid w:val="009637FD"/>
    <w:rsid w:val="00963DD1"/>
    <w:rsid w:val="0096411E"/>
    <w:rsid w:val="0096416C"/>
    <w:rsid w:val="009641AA"/>
    <w:rsid w:val="0096535C"/>
    <w:rsid w:val="0096561B"/>
    <w:rsid w:val="009658AB"/>
    <w:rsid w:val="00965BD5"/>
    <w:rsid w:val="00965C39"/>
    <w:rsid w:val="00965CE0"/>
    <w:rsid w:val="00965D80"/>
    <w:rsid w:val="00965E31"/>
    <w:rsid w:val="00966A50"/>
    <w:rsid w:val="00966CA6"/>
    <w:rsid w:val="00966ED7"/>
    <w:rsid w:val="00966EDA"/>
    <w:rsid w:val="00967571"/>
    <w:rsid w:val="00967ADB"/>
    <w:rsid w:val="00967C82"/>
    <w:rsid w:val="0097010A"/>
    <w:rsid w:val="009706D4"/>
    <w:rsid w:val="00970B6A"/>
    <w:rsid w:val="00970CC4"/>
    <w:rsid w:val="00970D7B"/>
    <w:rsid w:val="009718FE"/>
    <w:rsid w:val="00972956"/>
    <w:rsid w:val="00972B1E"/>
    <w:rsid w:val="00972B93"/>
    <w:rsid w:val="00972C5B"/>
    <w:rsid w:val="00972F49"/>
    <w:rsid w:val="00973700"/>
    <w:rsid w:val="00973960"/>
    <w:rsid w:val="00973C50"/>
    <w:rsid w:val="0097539B"/>
    <w:rsid w:val="00975C91"/>
    <w:rsid w:val="00975D72"/>
    <w:rsid w:val="00975ED3"/>
    <w:rsid w:val="00975F04"/>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0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977"/>
    <w:rsid w:val="00994EAF"/>
    <w:rsid w:val="00995139"/>
    <w:rsid w:val="009953FE"/>
    <w:rsid w:val="009959E3"/>
    <w:rsid w:val="0099603B"/>
    <w:rsid w:val="00996446"/>
    <w:rsid w:val="00997040"/>
    <w:rsid w:val="0099721E"/>
    <w:rsid w:val="00997271"/>
    <w:rsid w:val="00997461"/>
    <w:rsid w:val="00997A4A"/>
    <w:rsid w:val="009A0360"/>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808"/>
    <w:rsid w:val="009B09FF"/>
    <w:rsid w:val="009B0ED2"/>
    <w:rsid w:val="009B0F6A"/>
    <w:rsid w:val="009B1003"/>
    <w:rsid w:val="009B129D"/>
    <w:rsid w:val="009B1335"/>
    <w:rsid w:val="009B13AA"/>
    <w:rsid w:val="009B14D7"/>
    <w:rsid w:val="009B1665"/>
    <w:rsid w:val="009B241F"/>
    <w:rsid w:val="009B2529"/>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3A7"/>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5DE"/>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5A"/>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396"/>
    <w:rsid w:val="00A00531"/>
    <w:rsid w:val="00A014C6"/>
    <w:rsid w:val="00A02599"/>
    <w:rsid w:val="00A025B3"/>
    <w:rsid w:val="00A0276E"/>
    <w:rsid w:val="00A028C3"/>
    <w:rsid w:val="00A0310E"/>
    <w:rsid w:val="00A0424C"/>
    <w:rsid w:val="00A047C6"/>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4BD"/>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544"/>
    <w:rsid w:val="00A3084E"/>
    <w:rsid w:val="00A30995"/>
    <w:rsid w:val="00A30ABB"/>
    <w:rsid w:val="00A311E7"/>
    <w:rsid w:val="00A3137B"/>
    <w:rsid w:val="00A31534"/>
    <w:rsid w:val="00A3197D"/>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0FA2"/>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D1B"/>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8DA"/>
    <w:rsid w:val="00A50BC8"/>
    <w:rsid w:val="00A51361"/>
    <w:rsid w:val="00A51872"/>
    <w:rsid w:val="00A51A9F"/>
    <w:rsid w:val="00A52470"/>
    <w:rsid w:val="00A5290F"/>
    <w:rsid w:val="00A52E7D"/>
    <w:rsid w:val="00A52F90"/>
    <w:rsid w:val="00A53095"/>
    <w:rsid w:val="00A530FA"/>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2DC0"/>
    <w:rsid w:val="00A7303D"/>
    <w:rsid w:val="00A73291"/>
    <w:rsid w:val="00A7334C"/>
    <w:rsid w:val="00A73467"/>
    <w:rsid w:val="00A73763"/>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1EDE"/>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27"/>
    <w:rsid w:val="00A97D4C"/>
    <w:rsid w:val="00AA06C5"/>
    <w:rsid w:val="00AA094A"/>
    <w:rsid w:val="00AA0B93"/>
    <w:rsid w:val="00AA11DA"/>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3ED"/>
    <w:rsid w:val="00AC552C"/>
    <w:rsid w:val="00AC5B6A"/>
    <w:rsid w:val="00AC652C"/>
    <w:rsid w:val="00AC6554"/>
    <w:rsid w:val="00AC6722"/>
    <w:rsid w:val="00AC68D7"/>
    <w:rsid w:val="00AC6B19"/>
    <w:rsid w:val="00AC6B78"/>
    <w:rsid w:val="00AC6D0B"/>
    <w:rsid w:val="00AC6D19"/>
    <w:rsid w:val="00AC70C0"/>
    <w:rsid w:val="00AD02B7"/>
    <w:rsid w:val="00AD03D6"/>
    <w:rsid w:val="00AD0593"/>
    <w:rsid w:val="00AD05B0"/>
    <w:rsid w:val="00AD0B66"/>
    <w:rsid w:val="00AD135F"/>
    <w:rsid w:val="00AD1831"/>
    <w:rsid w:val="00AD18EE"/>
    <w:rsid w:val="00AD23CC"/>
    <w:rsid w:val="00AD2747"/>
    <w:rsid w:val="00AD3037"/>
    <w:rsid w:val="00AD30C5"/>
    <w:rsid w:val="00AD3296"/>
    <w:rsid w:val="00AD33BC"/>
    <w:rsid w:val="00AD391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3CA"/>
    <w:rsid w:val="00AF2484"/>
    <w:rsid w:val="00AF2BC0"/>
    <w:rsid w:val="00AF3EB6"/>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DE4"/>
    <w:rsid w:val="00B017D8"/>
    <w:rsid w:val="00B01A56"/>
    <w:rsid w:val="00B01E99"/>
    <w:rsid w:val="00B0234B"/>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30"/>
    <w:rsid w:val="00B0787B"/>
    <w:rsid w:val="00B07891"/>
    <w:rsid w:val="00B07980"/>
    <w:rsid w:val="00B07B63"/>
    <w:rsid w:val="00B07DA6"/>
    <w:rsid w:val="00B10795"/>
    <w:rsid w:val="00B10956"/>
    <w:rsid w:val="00B10E0B"/>
    <w:rsid w:val="00B11876"/>
    <w:rsid w:val="00B120C0"/>
    <w:rsid w:val="00B12289"/>
    <w:rsid w:val="00B124BB"/>
    <w:rsid w:val="00B12647"/>
    <w:rsid w:val="00B1270E"/>
    <w:rsid w:val="00B1287F"/>
    <w:rsid w:val="00B12922"/>
    <w:rsid w:val="00B12BBF"/>
    <w:rsid w:val="00B12F5A"/>
    <w:rsid w:val="00B1392B"/>
    <w:rsid w:val="00B13993"/>
    <w:rsid w:val="00B13AF4"/>
    <w:rsid w:val="00B13F63"/>
    <w:rsid w:val="00B14196"/>
    <w:rsid w:val="00B1487F"/>
    <w:rsid w:val="00B14921"/>
    <w:rsid w:val="00B14C18"/>
    <w:rsid w:val="00B14E80"/>
    <w:rsid w:val="00B1501A"/>
    <w:rsid w:val="00B15683"/>
    <w:rsid w:val="00B158D7"/>
    <w:rsid w:val="00B1590A"/>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53"/>
    <w:rsid w:val="00B24FBC"/>
    <w:rsid w:val="00B255FF"/>
    <w:rsid w:val="00B25AB2"/>
    <w:rsid w:val="00B2603B"/>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A9B"/>
    <w:rsid w:val="00B31C36"/>
    <w:rsid w:val="00B31D68"/>
    <w:rsid w:val="00B31F3C"/>
    <w:rsid w:val="00B32305"/>
    <w:rsid w:val="00B33139"/>
    <w:rsid w:val="00B3348E"/>
    <w:rsid w:val="00B336C5"/>
    <w:rsid w:val="00B33AEB"/>
    <w:rsid w:val="00B33B3A"/>
    <w:rsid w:val="00B33D84"/>
    <w:rsid w:val="00B341DF"/>
    <w:rsid w:val="00B34227"/>
    <w:rsid w:val="00B3429A"/>
    <w:rsid w:val="00B3450B"/>
    <w:rsid w:val="00B353BF"/>
    <w:rsid w:val="00B35C30"/>
    <w:rsid w:val="00B36423"/>
    <w:rsid w:val="00B3655F"/>
    <w:rsid w:val="00B36FC7"/>
    <w:rsid w:val="00B37033"/>
    <w:rsid w:val="00B370F3"/>
    <w:rsid w:val="00B37B74"/>
    <w:rsid w:val="00B37BA4"/>
    <w:rsid w:val="00B400F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76C"/>
    <w:rsid w:val="00B4780B"/>
    <w:rsid w:val="00B47AF6"/>
    <w:rsid w:val="00B47C79"/>
    <w:rsid w:val="00B50F32"/>
    <w:rsid w:val="00B512C9"/>
    <w:rsid w:val="00B52051"/>
    <w:rsid w:val="00B5221E"/>
    <w:rsid w:val="00B522DF"/>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9D6"/>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067"/>
    <w:rsid w:val="00B65160"/>
    <w:rsid w:val="00B6549C"/>
    <w:rsid w:val="00B6553F"/>
    <w:rsid w:val="00B6561B"/>
    <w:rsid w:val="00B6566B"/>
    <w:rsid w:val="00B656A5"/>
    <w:rsid w:val="00B65C8D"/>
    <w:rsid w:val="00B65DA8"/>
    <w:rsid w:val="00B65EFE"/>
    <w:rsid w:val="00B66B90"/>
    <w:rsid w:val="00B670BF"/>
    <w:rsid w:val="00B670E1"/>
    <w:rsid w:val="00B674B6"/>
    <w:rsid w:val="00B67A58"/>
    <w:rsid w:val="00B7023B"/>
    <w:rsid w:val="00B702FF"/>
    <w:rsid w:val="00B70436"/>
    <w:rsid w:val="00B70562"/>
    <w:rsid w:val="00B70D3B"/>
    <w:rsid w:val="00B70E2F"/>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A2A"/>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612"/>
    <w:rsid w:val="00BA4E19"/>
    <w:rsid w:val="00BA4EBC"/>
    <w:rsid w:val="00BA4FB0"/>
    <w:rsid w:val="00BA51E6"/>
    <w:rsid w:val="00BA54D2"/>
    <w:rsid w:val="00BA581B"/>
    <w:rsid w:val="00BA58A1"/>
    <w:rsid w:val="00BA62A0"/>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6A2"/>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DE8"/>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5C5"/>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95"/>
    <w:rsid w:val="00BD6D85"/>
    <w:rsid w:val="00BD6DEA"/>
    <w:rsid w:val="00BD7C73"/>
    <w:rsid w:val="00BE01AD"/>
    <w:rsid w:val="00BE04A5"/>
    <w:rsid w:val="00BE0A86"/>
    <w:rsid w:val="00BE0BE3"/>
    <w:rsid w:val="00BE0BEA"/>
    <w:rsid w:val="00BE1950"/>
    <w:rsid w:val="00BE19D7"/>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AAD"/>
    <w:rsid w:val="00BE5BF2"/>
    <w:rsid w:val="00BE64AA"/>
    <w:rsid w:val="00BE6801"/>
    <w:rsid w:val="00BE69BB"/>
    <w:rsid w:val="00BE6DFC"/>
    <w:rsid w:val="00BE7094"/>
    <w:rsid w:val="00BE7160"/>
    <w:rsid w:val="00BE7455"/>
    <w:rsid w:val="00BE780B"/>
    <w:rsid w:val="00BF01F9"/>
    <w:rsid w:val="00BF089E"/>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B3"/>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6917"/>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5DA6"/>
    <w:rsid w:val="00C05F36"/>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1E82"/>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C4F"/>
    <w:rsid w:val="00C30D8E"/>
    <w:rsid w:val="00C30DEB"/>
    <w:rsid w:val="00C30E89"/>
    <w:rsid w:val="00C31358"/>
    <w:rsid w:val="00C31439"/>
    <w:rsid w:val="00C31C12"/>
    <w:rsid w:val="00C31E6E"/>
    <w:rsid w:val="00C324FF"/>
    <w:rsid w:val="00C32704"/>
    <w:rsid w:val="00C3287B"/>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1E"/>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8FC"/>
    <w:rsid w:val="00C51B84"/>
    <w:rsid w:val="00C52067"/>
    <w:rsid w:val="00C52634"/>
    <w:rsid w:val="00C52B31"/>
    <w:rsid w:val="00C5304D"/>
    <w:rsid w:val="00C532A1"/>
    <w:rsid w:val="00C53388"/>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856"/>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E1A"/>
    <w:rsid w:val="00C70FF3"/>
    <w:rsid w:val="00C715E0"/>
    <w:rsid w:val="00C72E75"/>
    <w:rsid w:val="00C734A5"/>
    <w:rsid w:val="00C7376F"/>
    <w:rsid w:val="00C73B96"/>
    <w:rsid w:val="00C73C80"/>
    <w:rsid w:val="00C73FD8"/>
    <w:rsid w:val="00C74A5B"/>
    <w:rsid w:val="00C74D6F"/>
    <w:rsid w:val="00C74F1F"/>
    <w:rsid w:val="00C7526D"/>
    <w:rsid w:val="00C75A98"/>
    <w:rsid w:val="00C75E0F"/>
    <w:rsid w:val="00C76228"/>
    <w:rsid w:val="00C762BE"/>
    <w:rsid w:val="00C763B6"/>
    <w:rsid w:val="00C765D7"/>
    <w:rsid w:val="00C766E2"/>
    <w:rsid w:val="00C776AC"/>
    <w:rsid w:val="00C77B9A"/>
    <w:rsid w:val="00C80C33"/>
    <w:rsid w:val="00C80F2F"/>
    <w:rsid w:val="00C83B22"/>
    <w:rsid w:val="00C845B7"/>
    <w:rsid w:val="00C858A1"/>
    <w:rsid w:val="00C8600E"/>
    <w:rsid w:val="00C86505"/>
    <w:rsid w:val="00C86709"/>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9A9"/>
    <w:rsid w:val="00CA2A66"/>
    <w:rsid w:val="00CA2AD6"/>
    <w:rsid w:val="00CA2FBC"/>
    <w:rsid w:val="00CA3229"/>
    <w:rsid w:val="00CA34F9"/>
    <w:rsid w:val="00CA3758"/>
    <w:rsid w:val="00CA4545"/>
    <w:rsid w:val="00CA4884"/>
    <w:rsid w:val="00CA4B14"/>
    <w:rsid w:val="00CA59B8"/>
    <w:rsid w:val="00CA6653"/>
    <w:rsid w:val="00CA6CF5"/>
    <w:rsid w:val="00CA6EE9"/>
    <w:rsid w:val="00CA77E7"/>
    <w:rsid w:val="00CA7938"/>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4B0"/>
    <w:rsid w:val="00CC091C"/>
    <w:rsid w:val="00CC0B00"/>
    <w:rsid w:val="00CC10BA"/>
    <w:rsid w:val="00CC11E1"/>
    <w:rsid w:val="00CC1266"/>
    <w:rsid w:val="00CC18C6"/>
    <w:rsid w:val="00CC1AFD"/>
    <w:rsid w:val="00CC29B3"/>
    <w:rsid w:val="00CC2BDE"/>
    <w:rsid w:val="00CC2F9B"/>
    <w:rsid w:val="00CC31EC"/>
    <w:rsid w:val="00CC3C96"/>
    <w:rsid w:val="00CC43B2"/>
    <w:rsid w:val="00CC54F6"/>
    <w:rsid w:val="00CC5A45"/>
    <w:rsid w:val="00CC5BE8"/>
    <w:rsid w:val="00CC65DB"/>
    <w:rsid w:val="00CC673D"/>
    <w:rsid w:val="00CC67D4"/>
    <w:rsid w:val="00CC6E76"/>
    <w:rsid w:val="00CC70D8"/>
    <w:rsid w:val="00CC731B"/>
    <w:rsid w:val="00CC7676"/>
    <w:rsid w:val="00CC7832"/>
    <w:rsid w:val="00CC7838"/>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3A3"/>
    <w:rsid w:val="00CD7700"/>
    <w:rsid w:val="00CE035E"/>
    <w:rsid w:val="00CE0A71"/>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D13"/>
    <w:rsid w:val="00CE5F7A"/>
    <w:rsid w:val="00CE61A8"/>
    <w:rsid w:val="00CE6E54"/>
    <w:rsid w:val="00CE6F2A"/>
    <w:rsid w:val="00CE713D"/>
    <w:rsid w:val="00CE7997"/>
    <w:rsid w:val="00CE7BD0"/>
    <w:rsid w:val="00CE7E48"/>
    <w:rsid w:val="00CF0247"/>
    <w:rsid w:val="00CF036F"/>
    <w:rsid w:val="00CF063E"/>
    <w:rsid w:val="00CF065E"/>
    <w:rsid w:val="00CF12E0"/>
    <w:rsid w:val="00CF152E"/>
    <w:rsid w:val="00CF1F26"/>
    <w:rsid w:val="00CF1F40"/>
    <w:rsid w:val="00CF26A1"/>
    <w:rsid w:val="00CF2886"/>
    <w:rsid w:val="00CF2ABF"/>
    <w:rsid w:val="00CF2EBB"/>
    <w:rsid w:val="00CF3444"/>
    <w:rsid w:val="00CF3659"/>
    <w:rsid w:val="00CF3F6E"/>
    <w:rsid w:val="00CF4C20"/>
    <w:rsid w:val="00CF4C82"/>
    <w:rsid w:val="00CF5159"/>
    <w:rsid w:val="00CF57B2"/>
    <w:rsid w:val="00CF5C7A"/>
    <w:rsid w:val="00CF603F"/>
    <w:rsid w:val="00CF67DF"/>
    <w:rsid w:val="00CF68B1"/>
    <w:rsid w:val="00CF6922"/>
    <w:rsid w:val="00CF6C84"/>
    <w:rsid w:val="00CF6D76"/>
    <w:rsid w:val="00CF6F78"/>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2E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323"/>
    <w:rsid w:val="00D26CF0"/>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3E"/>
    <w:rsid w:val="00D41678"/>
    <w:rsid w:val="00D41FB8"/>
    <w:rsid w:val="00D42003"/>
    <w:rsid w:val="00D42E52"/>
    <w:rsid w:val="00D4337B"/>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591"/>
    <w:rsid w:val="00D4761C"/>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1F21"/>
    <w:rsid w:val="00D6241C"/>
    <w:rsid w:val="00D6249A"/>
    <w:rsid w:val="00D62C04"/>
    <w:rsid w:val="00D6301D"/>
    <w:rsid w:val="00D6315F"/>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05"/>
    <w:rsid w:val="00D747A7"/>
    <w:rsid w:val="00D7587C"/>
    <w:rsid w:val="00D7591E"/>
    <w:rsid w:val="00D75FF5"/>
    <w:rsid w:val="00D765B1"/>
    <w:rsid w:val="00D769DF"/>
    <w:rsid w:val="00D76CD4"/>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2CEC"/>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AB7"/>
    <w:rsid w:val="00D97B01"/>
    <w:rsid w:val="00D97C41"/>
    <w:rsid w:val="00D97EBB"/>
    <w:rsid w:val="00DA0680"/>
    <w:rsid w:val="00DA09FE"/>
    <w:rsid w:val="00DA0D82"/>
    <w:rsid w:val="00DA149E"/>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011"/>
    <w:rsid w:val="00DB0F93"/>
    <w:rsid w:val="00DB1645"/>
    <w:rsid w:val="00DB17F5"/>
    <w:rsid w:val="00DB19B1"/>
    <w:rsid w:val="00DB1D06"/>
    <w:rsid w:val="00DB230F"/>
    <w:rsid w:val="00DB278D"/>
    <w:rsid w:val="00DB2A8D"/>
    <w:rsid w:val="00DB2AD1"/>
    <w:rsid w:val="00DB2F5C"/>
    <w:rsid w:val="00DB38A0"/>
    <w:rsid w:val="00DB3C59"/>
    <w:rsid w:val="00DB3CBC"/>
    <w:rsid w:val="00DB4162"/>
    <w:rsid w:val="00DB49DE"/>
    <w:rsid w:val="00DB4AB0"/>
    <w:rsid w:val="00DB4BBB"/>
    <w:rsid w:val="00DB4BD2"/>
    <w:rsid w:val="00DB4EA5"/>
    <w:rsid w:val="00DB571D"/>
    <w:rsid w:val="00DB59FD"/>
    <w:rsid w:val="00DB5A9B"/>
    <w:rsid w:val="00DB60EF"/>
    <w:rsid w:val="00DB62AD"/>
    <w:rsid w:val="00DB6631"/>
    <w:rsid w:val="00DB67A2"/>
    <w:rsid w:val="00DB67E4"/>
    <w:rsid w:val="00DB690A"/>
    <w:rsid w:val="00DB6960"/>
    <w:rsid w:val="00DB6E34"/>
    <w:rsid w:val="00DB768E"/>
    <w:rsid w:val="00DB79E5"/>
    <w:rsid w:val="00DB7B81"/>
    <w:rsid w:val="00DB7BC4"/>
    <w:rsid w:val="00DC02B2"/>
    <w:rsid w:val="00DC04E1"/>
    <w:rsid w:val="00DC0E15"/>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006"/>
    <w:rsid w:val="00DD12E2"/>
    <w:rsid w:val="00DD16E7"/>
    <w:rsid w:val="00DD177B"/>
    <w:rsid w:val="00DD1CBF"/>
    <w:rsid w:val="00DD2260"/>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04"/>
    <w:rsid w:val="00DE20CE"/>
    <w:rsid w:val="00DE27B9"/>
    <w:rsid w:val="00DE291C"/>
    <w:rsid w:val="00DE3281"/>
    <w:rsid w:val="00DE32BD"/>
    <w:rsid w:val="00DE4C6A"/>
    <w:rsid w:val="00DE4F04"/>
    <w:rsid w:val="00DE522B"/>
    <w:rsid w:val="00DE5893"/>
    <w:rsid w:val="00DE5C5D"/>
    <w:rsid w:val="00DE710A"/>
    <w:rsid w:val="00DE79CA"/>
    <w:rsid w:val="00DE7F6D"/>
    <w:rsid w:val="00DF04F9"/>
    <w:rsid w:val="00DF0786"/>
    <w:rsid w:val="00DF07EB"/>
    <w:rsid w:val="00DF0B12"/>
    <w:rsid w:val="00DF0BEF"/>
    <w:rsid w:val="00DF0C0A"/>
    <w:rsid w:val="00DF0F8D"/>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6C9"/>
    <w:rsid w:val="00DF4993"/>
    <w:rsid w:val="00DF4B20"/>
    <w:rsid w:val="00DF4E4F"/>
    <w:rsid w:val="00DF52EB"/>
    <w:rsid w:val="00DF5489"/>
    <w:rsid w:val="00DF54C2"/>
    <w:rsid w:val="00DF5538"/>
    <w:rsid w:val="00DF58D4"/>
    <w:rsid w:val="00DF5C74"/>
    <w:rsid w:val="00DF5DCE"/>
    <w:rsid w:val="00DF5FCB"/>
    <w:rsid w:val="00DF67BA"/>
    <w:rsid w:val="00DF68B6"/>
    <w:rsid w:val="00DF7419"/>
    <w:rsid w:val="00DF7628"/>
    <w:rsid w:val="00DF7FED"/>
    <w:rsid w:val="00E00725"/>
    <w:rsid w:val="00E008B2"/>
    <w:rsid w:val="00E00B08"/>
    <w:rsid w:val="00E00D33"/>
    <w:rsid w:val="00E011D4"/>
    <w:rsid w:val="00E02865"/>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17"/>
    <w:rsid w:val="00E0783E"/>
    <w:rsid w:val="00E07915"/>
    <w:rsid w:val="00E104DE"/>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B91"/>
    <w:rsid w:val="00E22111"/>
    <w:rsid w:val="00E222FC"/>
    <w:rsid w:val="00E223D9"/>
    <w:rsid w:val="00E22CB9"/>
    <w:rsid w:val="00E22E8B"/>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A41"/>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235"/>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2F0"/>
    <w:rsid w:val="00E54971"/>
    <w:rsid w:val="00E549B0"/>
    <w:rsid w:val="00E54CA9"/>
    <w:rsid w:val="00E550C7"/>
    <w:rsid w:val="00E55516"/>
    <w:rsid w:val="00E55F48"/>
    <w:rsid w:val="00E562E6"/>
    <w:rsid w:val="00E56586"/>
    <w:rsid w:val="00E5662B"/>
    <w:rsid w:val="00E5721E"/>
    <w:rsid w:val="00E5734B"/>
    <w:rsid w:val="00E573AC"/>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5EF"/>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9EC"/>
    <w:rsid w:val="00E67BA4"/>
    <w:rsid w:val="00E70A71"/>
    <w:rsid w:val="00E70F61"/>
    <w:rsid w:val="00E7123A"/>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906"/>
    <w:rsid w:val="00E75FFA"/>
    <w:rsid w:val="00E76018"/>
    <w:rsid w:val="00E764C6"/>
    <w:rsid w:val="00E76598"/>
    <w:rsid w:val="00E768AA"/>
    <w:rsid w:val="00E776DD"/>
    <w:rsid w:val="00E77CAE"/>
    <w:rsid w:val="00E77DDD"/>
    <w:rsid w:val="00E8018B"/>
    <w:rsid w:val="00E803CB"/>
    <w:rsid w:val="00E80430"/>
    <w:rsid w:val="00E807E2"/>
    <w:rsid w:val="00E8081F"/>
    <w:rsid w:val="00E816AF"/>
    <w:rsid w:val="00E81BA8"/>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03"/>
    <w:rsid w:val="00E96FED"/>
    <w:rsid w:val="00E97294"/>
    <w:rsid w:val="00E97776"/>
    <w:rsid w:val="00E977FE"/>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1EF4"/>
    <w:rsid w:val="00EA2415"/>
    <w:rsid w:val="00EA28ED"/>
    <w:rsid w:val="00EA29DF"/>
    <w:rsid w:val="00EA3073"/>
    <w:rsid w:val="00EA3163"/>
    <w:rsid w:val="00EA3433"/>
    <w:rsid w:val="00EA3498"/>
    <w:rsid w:val="00EA397A"/>
    <w:rsid w:val="00EA3F5A"/>
    <w:rsid w:val="00EA4107"/>
    <w:rsid w:val="00EA4C44"/>
    <w:rsid w:val="00EA4D19"/>
    <w:rsid w:val="00EA4F8A"/>
    <w:rsid w:val="00EA54A9"/>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120"/>
    <w:rsid w:val="00EB49C9"/>
    <w:rsid w:val="00EB4B1A"/>
    <w:rsid w:val="00EB52AF"/>
    <w:rsid w:val="00EB5537"/>
    <w:rsid w:val="00EB5940"/>
    <w:rsid w:val="00EB5F11"/>
    <w:rsid w:val="00EB61ED"/>
    <w:rsid w:val="00EB65AC"/>
    <w:rsid w:val="00EB6BC8"/>
    <w:rsid w:val="00EB7173"/>
    <w:rsid w:val="00EB74D6"/>
    <w:rsid w:val="00EB7608"/>
    <w:rsid w:val="00EB760C"/>
    <w:rsid w:val="00EB7B62"/>
    <w:rsid w:val="00EC07D1"/>
    <w:rsid w:val="00EC08F4"/>
    <w:rsid w:val="00EC0A69"/>
    <w:rsid w:val="00EC0D4A"/>
    <w:rsid w:val="00EC1A00"/>
    <w:rsid w:val="00EC1C96"/>
    <w:rsid w:val="00EC32CF"/>
    <w:rsid w:val="00EC3971"/>
    <w:rsid w:val="00EC39A2"/>
    <w:rsid w:val="00EC4250"/>
    <w:rsid w:val="00EC446D"/>
    <w:rsid w:val="00EC483B"/>
    <w:rsid w:val="00EC4911"/>
    <w:rsid w:val="00EC50C9"/>
    <w:rsid w:val="00EC517D"/>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B20"/>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332"/>
    <w:rsid w:val="00EE2531"/>
    <w:rsid w:val="00EE2EAE"/>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341"/>
    <w:rsid w:val="00EF6455"/>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9DB"/>
    <w:rsid w:val="00F07A4A"/>
    <w:rsid w:val="00F07ADB"/>
    <w:rsid w:val="00F10954"/>
    <w:rsid w:val="00F11097"/>
    <w:rsid w:val="00F1116A"/>
    <w:rsid w:val="00F11189"/>
    <w:rsid w:val="00F11349"/>
    <w:rsid w:val="00F115B2"/>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37865"/>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4A52"/>
    <w:rsid w:val="00F451F3"/>
    <w:rsid w:val="00F4541A"/>
    <w:rsid w:val="00F45C9E"/>
    <w:rsid w:val="00F45CA1"/>
    <w:rsid w:val="00F46526"/>
    <w:rsid w:val="00F47012"/>
    <w:rsid w:val="00F47307"/>
    <w:rsid w:val="00F4763B"/>
    <w:rsid w:val="00F47BB9"/>
    <w:rsid w:val="00F47E7E"/>
    <w:rsid w:val="00F501F3"/>
    <w:rsid w:val="00F5023D"/>
    <w:rsid w:val="00F50674"/>
    <w:rsid w:val="00F50A03"/>
    <w:rsid w:val="00F50C6C"/>
    <w:rsid w:val="00F50F92"/>
    <w:rsid w:val="00F51056"/>
    <w:rsid w:val="00F51676"/>
    <w:rsid w:val="00F51D8D"/>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915"/>
    <w:rsid w:val="00F64D45"/>
    <w:rsid w:val="00F64D52"/>
    <w:rsid w:val="00F64F51"/>
    <w:rsid w:val="00F652DA"/>
    <w:rsid w:val="00F65312"/>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068"/>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5E5A"/>
    <w:rsid w:val="00F860DB"/>
    <w:rsid w:val="00F861CF"/>
    <w:rsid w:val="00F864E7"/>
    <w:rsid w:val="00F8670F"/>
    <w:rsid w:val="00F86963"/>
    <w:rsid w:val="00F87086"/>
    <w:rsid w:val="00F90134"/>
    <w:rsid w:val="00F906D4"/>
    <w:rsid w:val="00F907C7"/>
    <w:rsid w:val="00F90FA0"/>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4E8"/>
    <w:rsid w:val="00FA397C"/>
    <w:rsid w:val="00FA3D5B"/>
    <w:rsid w:val="00FA4C7D"/>
    <w:rsid w:val="00FA4ED6"/>
    <w:rsid w:val="00FA4FD7"/>
    <w:rsid w:val="00FA5717"/>
    <w:rsid w:val="00FA5750"/>
    <w:rsid w:val="00FA5863"/>
    <w:rsid w:val="00FA5874"/>
    <w:rsid w:val="00FA627B"/>
    <w:rsid w:val="00FA6476"/>
    <w:rsid w:val="00FA6A95"/>
    <w:rsid w:val="00FA6E13"/>
    <w:rsid w:val="00FA70CC"/>
    <w:rsid w:val="00FA7316"/>
    <w:rsid w:val="00FA77D4"/>
    <w:rsid w:val="00FA798A"/>
    <w:rsid w:val="00FA7E20"/>
    <w:rsid w:val="00FB0CF7"/>
    <w:rsid w:val="00FB0FF2"/>
    <w:rsid w:val="00FB18B5"/>
    <w:rsid w:val="00FB197F"/>
    <w:rsid w:val="00FB1A2F"/>
    <w:rsid w:val="00FB203C"/>
    <w:rsid w:val="00FB23DD"/>
    <w:rsid w:val="00FB2830"/>
    <w:rsid w:val="00FB312F"/>
    <w:rsid w:val="00FB35C3"/>
    <w:rsid w:val="00FB409D"/>
    <w:rsid w:val="00FB4272"/>
    <w:rsid w:val="00FB50D5"/>
    <w:rsid w:val="00FB546C"/>
    <w:rsid w:val="00FB580C"/>
    <w:rsid w:val="00FB584F"/>
    <w:rsid w:val="00FB5D61"/>
    <w:rsid w:val="00FB5D85"/>
    <w:rsid w:val="00FB5FB0"/>
    <w:rsid w:val="00FB6343"/>
    <w:rsid w:val="00FB6A75"/>
    <w:rsid w:val="00FB6BF7"/>
    <w:rsid w:val="00FB7213"/>
    <w:rsid w:val="00FB746B"/>
    <w:rsid w:val="00FB74A0"/>
    <w:rsid w:val="00FB7D96"/>
    <w:rsid w:val="00FC0142"/>
    <w:rsid w:val="00FC03A1"/>
    <w:rsid w:val="00FC0623"/>
    <w:rsid w:val="00FC0FEA"/>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2B"/>
    <w:rsid w:val="00FC7248"/>
    <w:rsid w:val="00FD0A87"/>
    <w:rsid w:val="00FD0F80"/>
    <w:rsid w:val="00FD1149"/>
    <w:rsid w:val="00FD19A1"/>
    <w:rsid w:val="00FD1C2F"/>
    <w:rsid w:val="00FD2043"/>
    <w:rsid w:val="00FD20F4"/>
    <w:rsid w:val="00FD245D"/>
    <w:rsid w:val="00FD28EB"/>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5FF9"/>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42F"/>
    <w:rsid w:val="00FF4786"/>
    <w:rsid w:val="00FF4BA5"/>
    <w:rsid w:val="00FF4D59"/>
    <w:rsid w:val="00FF5169"/>
    <w:rsid w:val="00FF5174"/>
    <w:rsid w:val="00FF5328"/>
    <w:rsid w:val="00FF5399"/>
    <w:rsid w:val="00FF58A7"/>
    <w:rsid w:val="00FF6263"/>
    <w:rsid w:val="00FF6A50"/>
    <w:rsid w:val="00FF6D0F"/>
    <w:rsid w:val="00FF6D9A"/>
    <w:rsid w:val="00FF74EF"/>
    <w:rsid w:val="00FF75FD"/>
    <w:rsid w:val="00FF786F"/>
    <w:rsid w:val="0DA6CD3B"/>
    <w:rsid w:val="0DC32A84"/>
    <w:rsid w:val="1CC89FCF"/>
    <w:rsid w:val="1D86629C"/>
    <w:rsid w:val="1FD22C23"/>
    <w:rsid w:val="20103C89"/>
    <w:rsid w:val="271F7D09"/>
    <w:rsid w:val="2E53261E"/>
    <w:rsid w:val="3099195B"/>
    <w:rsid w:val="3163BDAB"/>
    <w:rsid w:val="3E7F7CED"/>
    <w:rsid w:val="40BDC9F0"/>
    <w:rsid w:val="45982D2D"/>
    <w:rsid w:val="47156BBD"/>
    <w:rsid w:val="4727ED2E"/>
    <w:rsid w:val="48C3BD8F"/>
    <w:rsid w:val="4AFA1F2D"/>
    <w:rsid w:val="4BB53688"/>
    <w:rsid w:val="516D4FFC"/>
    <w:rsid w:val="5910F580"/>
    <w:rsid w:val="5AA4A875"/>
    <w:rsid w:val="5B925850"/>
    <w:rsid w:val="60B0452D"/>
    <w:rsid w:val="68258F59"/>
    <w:rsid w:val="6E163863"/>
    <w:rsid w:val="71987564"/>
    <w:rsid w:val="7319B47B"/>
    <w:rsid w:val="76D8197C"/>
    <w:rsid w:val="7D519859"/>
    <w:rsid w:val="7E54B4CD"/>
    <w:rsid w:val="7EA2F9C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35FECD98"/>
  <w15:docId w15:val="{E83446A7-391F-4305-8A69-85E78057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2B7"/>
  </w:style>
  <w:style w:type="paragraph" w:styleId="Heading1">
    <w:name w:val="heading 1"/>
    <w:basedOn w:val="CaptionImageorFigure"/>
    <w:next w:val="BodyText"/>
    <w:link w:val="Heading1Char"/>
    <w:qFormat/>
    <w:rsid w:val="00E573AC"/>
    <w:pPr>
      <w:spacing w:before="360" w:line="440" w:lineRule="exact"/>
      <w:outlineLvl w:val="0"/>
    </w:pPr>
    <w:rPr>
      <w:color w:val="004C97" w:themeColor="accent3"/>
      <w:sz w:val="36"/>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CC04B0"/>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2"/>
    <w:next w:val="BodyText"/>
    <w:qFormat/>
    <w:rsid w:val="00E573AC"/>
    <w:pPr>
      <w:spacing w:before="0" w:line="440" w:lineRule="exact"/>
    </w:pPr>
    <w:rPr>
      <w:sz w:val="36"/>
      <w:szCs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qFormat/>
    <w:rsid w:val="005702C1"/>
    <w:pPr>
      <w:numPr>
        <w:ilvl w:val="3"/>
        <w:numId w:val="13"/>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4"/>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E573AC"/>
    <w:rPr>
      <w:b/>
      <w:bCs/>
      <w:color w:val="004C97" w:themeColor="accent3"/>
      <w:sz w:val="36"/>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qFormat/>
    <w:rsid w:val="00895552"/>
    <w:pPr>
      <w:keepNext/>
    </w:pPr>
    <w:rPr>
      <w:color w:val="FF0000"/>
    </w:rPr>
  </w:style>
  <w:style w:type="paragraph" w:styleId="Revision">
    <w:name w:val="Revision"/>
    <w:hidden/>
    <w:uiPriority w:val="99"/>
    <w:semiHidden/>
    <w:rsid w:val="003E0AE3"/>
    <w:pPr>
      <w:spacing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1334">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vic.gov.au/strengthening-our-waste-and-recycling-system?redirectSrc=www.recycling.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ustomer.service@delwp.vic.gov.au"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png"/><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creativecommons.org/licenses/by/4.0/" TargetMode="External"/><Relationship Id="rId27" Type="http://schemas.openxmlformats.org/officeDocument/2006/relationships/header" Target="head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3B89A6A-EDB4-49AF-B270-92E2311C0B3B}">
    <t:Anchor>
      <t:Comment id="664410554"/>
    </t:Anchor>
    <t:History>
      <t:Event id="{60BA1AEE-54BF-4B6E-A469-2A532905C659}" time="2023-02-20T23:07:05.774Z">
        <t:Attribution userId="S::louise.bajada@delwp.vic.gov.au::a74145eb-e3b0-400c-aff6-67bee8c635a5" userProvider="AD" userName="Louise E Bajada (DEECA)"/>
        <t:Anchor>
          <t:Comment id="491768386"/>
        </t:Anchor>
        <t:Create/>
      </t:Event>
      <t:Event id="{99C2E152-E6DA-408B-BE19-C8A41E86A13F}" time="2023-02-20T23:07:05.774Z">
        <t:Attribution userId="S::louise.bajada@delwp.vic.gov.au::a74145eb-e3b0-400c-aff6-67bee8c635a5" userProvider="AD" userName="Louise E Bajada (DEECA)"/>
        <t:Anchor>
          <t:Comment id="491768386"/>
        </t:Anchor>
        <t:Assign userId="S::lorraine.lilley@delwp.vic.gov.au::d296aacc-2fe7-4c83-b4bb-6a6addb95fac" userProvider="AD" userName="Lorraine M Lilley (DEECA)"/>
      </t:Event>
      <t:Event id="{F76FCC5A-6303-44D4-BACC-BDA447830E2D}" time="2023-02-20T23:07:05.774Z">
        <t:Attribution userId="S::louise.bajada@delwp.vic.gov.au::a74145eb-e3b0-400c-aff6-67bee8c635a5" userProvider="AD" userName="Louise E Bajada (DEECA)"/>
        <t:Anchor>
          <t:Comment id="491768386"/>
        </t:Anchor>
        <t:SetTitle title="@Lorraine M Lilley (DEECA)"/>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DOCID861-1715029998-515</_dlc_DocId>
    <_dlc_DocIdUrl xmlns="a5f32de4-e402-4188-b034-e71ca7d22e54">
      <Url>https://delwpvicgovau.sharepoint.com/sites/ecm_861/_layouts/15/DocIdRedir.aspx?ID=DOCID861-1715029998-515</Url>
      <Description>DOCID861-1715029998-515</Description>
    </_dlc_DocIdUrl>
    <ABCSignatureRequired xmlns="cae37ace-7a49-4147-b024-43561a7a3263">false</ABCSignatureRequired>
    <ABCSignatureInstructions xmlns="cae37ace-7a49-4147-b024-43561a7a3263" xsi:nil="true"/>
    <lcf76f155ced4ddcb4097134ff3c332f xmlns="9a0f320d-79d4-4589-9114-a9c496c77e67"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b:Source>
    <b:Tag>ABSIE2022</b:Tag>
    <b:SourceType>Report</b:SourceType>
    <b:Guid>{1C42DB2B-2FD7-4D5A-9462-787AD5C6CB29}</b:Guid>
    <b:Author>
      <b:Author>
        <b:Corporate>ABS &amp; IE</b:Corporate>
      </b:Author>
    </b:Author>
    <b:Title>Australian Harmonized Export Commodity Classification (AHECC) data by month, classification and destination country</b:Title>
    <b:Year>2022</b:Year>
    <b:Publisher>Australian Bureau of Statistics (derived) and IndustryEdge</b:Publisher>
    <b:City>Canberra</b:City>
    <b:RefOrder>1</b:RefOrder>
  </b:Source>
</b:Sources>
</file>

<file path=customXml/item5.xml><?xml version="1.0" encoding="utf-8"?>
<?mso-contentType ?>
<SharedContentType xmlns="Microsoft.SharePoint.Taxonomy.ContentTypeSync" SourceId="797aeec6-0273-40f2-ab3e-beee73212332" ContentTypeId="0x0101" PreviousValue="false" LastSyncTimeStamp="2018-05-31T04:53:04.507Z"/>
</file>

<file path=customXml/item6.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6A22ECE43F669147842AB5282ADE9B0D" ma:contentTypeVersion="7" ma:contentTypeDescription="Attachment Document" ma:contentTypeScope="" ma:versionID="4bd4bbce28fb06474a0641195fc38598">
  <xsd:schema xmlns:xsd="http://www.w3.org/2001/XMLSchema" xmlns:xs="http://www.w3.org/2001/XMLSchema" xmlns:p="http://schemas.microsoft.com/office/2006/metadata/properties" xmlns:ns2="cae37ace-7a49-4147-b024-43561a7a3263" xmlns:ns3="a5f32de4-e402-4188-b034-e71ca7d22e54" xmlns:ns4="9a0f320d-79d4-4589-9114-a9c496c77e67" targetNamespace="http://schemas.microsoft.com/office/2006/metadata/properties" ma:root="true" ma:fieldsID="8885b7257315d6523503c2606b87ad23" ns2:_="" ns3:_="" ns4:_="">
    <xsd:import namespace="cae37ace-7a49-4147-b024-43561a7a3263"/>
    <xsd:import namespace="a5f32de4-e402-4188-b034-e71ca7d22e54"/>
    <xsd:import namespace="9a0f320d-79d4-4589-9114-a9c496c77e67"/>
    <xsd:element name="properties">
      <xsd:complexType>
        <xsd:sequence>
          <xsd:element name="documentManagement">
            <xsd:complexType>
              <xsd:all>
                <xsd:element ref="ns2:ABCSignatureRequired" minOccurs="0"/>
                <xsd:element ref="ns2:ABCSignatureInstructions" minOccurs="0"/>
                <xsd:element ref="ns3:_dlc_DocId" minOccurs="0"/>
                <xsd:element ref="ns3:_dlc_DocIdUrl" minOccurs="0"/>
                <xsd:element ref="ns3: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0f320d-79d4-4589-9114-a9c496c77e67"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BF137-4171-41F3-8870-1D2AF85E9942}">
  <ds:schemaRefs>
    <ds:schemaRef ds:uri="http://schemas.microsoft.com/sharepoint/v3/contenttype/forms"/>
  </ds:schemaRefs>
</ds:datastoreItem>
</file>

<file path=customXml/itemProps2.xml><?xml version="1.0" encoding="utf-8"?>
<ds:datastoreItem xmlns:ds="http://schemas.openxmlformats.org/officeDocument/2006/customXml" ds:itemID="{50E9FC67-C8AE-4C2D-AAFF-7F8C663C3F86}">
  <ds:schemaRefs>
    <ds:schemaRef ds:uri="9a0f320d-79d4-4589-9114-a9c496c77e67"/>
    <ds:schemaRef ds:uri="http://schemas.microsoft.com/office/2006/metadata/properties"/>
    <ds:schemaRef ds:uri="http://www.w3.org/XML/1998/namespace"/>
    <ds:schemaRef ds:uri="http://schemas.microsoft.com/office/2006/documentManagement/types"/>
    <ds:schemaRef ds:uri="a5f32de4-e402-4188-b034-e71ca7d22e54"/>
    <ds:schemaRef ds:uri="cae37ace-7a49-4147-b024-43561a7a3263"/>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5F1B5B8E-CA0C-457E-BBF2-8408CD6E50FB}">
  <ds:schemaRefs>
    <ds:schemaRef ds:uri="http://schemas.microsoft.com/sharepoint/events"/>
  </ds:schemaRefs>
</ds:datastoreItem>
</file>

<file path=customXml/itemProps4.xml><?xml version="1.0" encoding="utf-8"?>
<ds:datastoreItem xmlns:ds="http://schemas.openxmlformats.org/officeDocument/2006/customXml" ds:itemID="{63303EA2-6EA3-4552-A358-26B2C782F48A}">
  <ds:schemaRefs>
    <ds:schemaRef ds:uri="http://schemas.openxmlformats.org/officeDocument/2006/bibliography"/>
  </ds:schemaRefs>
</ds:datastoreItem>
</file>

<file path=customXml/itemProps5.xml><?xml version="1.0" encoding="utf-8"?>
<ds:datastoreItem xmlns:ds="http://schemas.openxmlformats.org/officeDocument/2006/customXml" ds:itemID="{1ACC21D8-2F43-4096-86E1-B827142FEDAA}">
  <ds:schemaRefs>
    <ds:schemaRef ds:uri="Microsoft.SharePoint.Taxonomy.ContentTypeSync"/>
  </ds:schemaRefs>
</ds:datastoreItem>
</file>

<file path=customXml/itemProps6.xml><?xml version="1.0" encoding="utf-8"?>
<ds:datastoreItem xmlns:ds="http://schemas.openxmlformats.org/officeDocument/2006/customXml" ds:itemID="{F8FE92B3-9884-4998-B79D-35405E2FD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9a0f320d-79d4-4589-9114-a9c496c77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2958</Words>
  <Characters>16865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19784</CharactersWithSpaces>
  <SharedDoc>false</SharedDoc>
  <HLinks>
    <vt:vector size="24" baseType="variant">
      <vt:variant>
        <vt:i4>6029383</vt:i4>
      </vt:variant>
      <vt:variant>
        <vt:i4>9</vt:i4>
      </vt:variant>
      <vt:variant>
        <vt:i4>0</vt:i4>
      </vt:variant>
      <vt:variant>
        <vt:i4>5</vt:i4>
      </vt:variant>
      <vt:variant>
        <vt:lpwstr>https://www.vic.gov.au/strengthening-our-waste-and-recycling-system?redirectSrc=www.recycling.vic.gov.au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Market Insights Report - Recovered Plastic Packaging.docx</dc:title>
  <dc:subject/>
  <dc:creator>Katherine S Lyttle (DELWP)</dc:creator>
  <cp:keywords/>
  <dc:description/>
  <cp:lastModifiedBy>Kath A Nunan (DEECA)</cp:lastModifiedBy>
  <cp:revision>2</cp:revision>
  <cp:lastPrinted>2023-07-18T15:28:00Z</cp:lastPrinted>
  <dcterms:created xsi:type="dcterms:W3CDTF">2023-08-25T00:03:00Z</dcterms:created>
  <dcterms:modified xsi:type="dcterms:W3CDTF">2023-08-25T00:03:00Z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0x010100ADB6A493CB944449B507A6E62846B95F006A22ECE43F669147842AB5282ADE9B0D</vt:lpwstr>
  </property>
  <property fmtid="{D5CDD505-2E9C-101B-9397-08002B2CF9AE}" pid="19" name="Records Class Project">
    <vt:lpwstr>14</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_dlc_DocIdItemGuid">
    <vt:lpwstr>1138a754-f421-401d-aee8-3981d76d2cc1</vt:lpwstr>
  </property>
  <property fmtid="{D5CDD505-2E9C-101B-9397-08002B2CF9AE}" pid="23" name="g91c59fb10974fa1a03160ad8386f0f4">
    <vt:lpwstr/>
  </property>
  <property fmtid="{D5CDD505-2E9C-101B-9397-08002B2CF9AE}" pid="24" name="Department Document Type">
    <vt:lpwstr/>
  </property>
  <property fmtid="{D5CDD505-2E9C-101B-9397-08002B2CF9AE}" pid="25" name="Record_x0020_Purpose">
    <vt:lpwstr/>
  </property>
  <property fmtid="{D5CDD505-2E9C-101B-9397-08002B2CF9AE}" pid="26" name="Record Purpose">
    <vt:lpwstr/>
  </property>
  <property fmtid="{D5CDD505-2E9C-101B-9397-08002B2CF9AE}" pid="27" name="MediaServiceImageTags">
    <vt:lpwstr/>
  </property>
  <property fmtid="{D5CDD505-2E9C-101B-9397-08002B2CF9AE}" pid="28" name="_docset_NoMedatataSyncRequired">
    <vt:lpwstr>False</vt:lpwstr>
  </property>
  <property fmtid="{D5CDD505-2E9C-101B-9397-08002B2CF9AE}" pid="29" name="_dlc_policyId">
    <vt:lpwstr>0x01010033CA797B395B2A4EA6ABFC5569ECA9B1|561776168</vt:lpwstr>
  </property>
  <property fmtid="{D5CDD505-2E9C-101B-9397-08002B2CF9AE}" pid="30" name="ItemRetentionFormula">
    <vt:lpwstr>&lt;formula id="Microsoft.Office.RecordsManagement.PolicyFeatures.Expiration.Formula.BuiltIn"&gt;&lt;number&gt;3&lt;/number&gt;&lt;property&gt;Created&lt;/property&gt;&lt;propertyId&gt;8c06beca-0777-48f7-91c7-6da68bc07b69&lt;/propertyId&gt;&lt;period&gt;days&lt;/period&gt;&lt;/formula&gt;</vt:lpwstr>
  </property>
  <property fmtid="{D5CDD505-2E9C-101B-9397-08002B2CF9AE}" pid="31" name="SharedWithUsers">
    <vt:lpwstr>190;#Slavka Scott (DEECA)</vt:lpwstr>
  </property>
  <property fmtid="{D5CDD505-2E9C-101B-9397-08002B2CF9AE}" pid="32" name="TaxCatchAll">
    <vt:lpwstr>2;#;#1;#;#14;#</vt:lpwstr>
  </property>
  <property fmtid="{D5CDD505-2E9C-101B-9397-08002B2CF9AE}" pid="33" name="_dlc_ExpireDate">
    <vt:filetime>2023-07-17T06:46:18Z</vt:filetime>
  </property>
  <property fmtid="{D5CDD505-2E9C-101B-9397-08002B2CF9AE}" pid="34" name="MSIP_Label_4257e2ab-f512-40e2-9c9a-c64247360765_Enabled">
    <vt:lpwstr>true</vt:lpwstr>
  </property>
  <property fmtid="{D5CDD505-2E9C-101B-9397-08002B2CF9AE}" pid="35" name="MSIP_Label_4257e2ab-f512-40e2-9c9a-c64247360765_SetDate">
    <vt:lpwstr>2023-08-25T00:03:06Z</vt:lpwstr>
  </property>
  <property fmtid="{D5CDD505-2E9C-101B-9397-08002B2CF9AE}" pid="36" name="MSIP_Label_4257e2ab-f512-40e2-9c9a-c64247360765_Method">
    <vt:lpwstr>Privileged</vt:lpwstr>
  </property>
  <property fmtid="{D5CDD505-2E9C-101B-9397-08002B2CF9AE}" pid="37" name="MSIP_Label_4257e2ab-f512-40e2-9c9a-c64247360765_Name">
    <vt:lpwstr>OFFICIAL</vt:lpwstr>
  </property>
  <property fmtid="{D5CDD505-2E9C-101B-9397-08002B2CF9AE}" pid="38" name="MSIP_Label_4257e2ab-f512-40e2-9c9a-c64247360765_SiteId">
    <vt:lpwstr>e8bdd6f7-fc18-4e48-a554-7f547927223b</vt:lpwstr>
  </property>
  <property fmtid="{D5CDD505-2E9C-101B-9397-08002B2CF9AE}" pid="39" name="MSIP_Label_4257e2ab-f512-40e2-9c9a-c64247360765_ActionId">
    <vt:lpwstr>581a1e1a-246f-46df-a8a3-63f6f444a906</vt:lpwstr>
  </property>
  <property fmtid="{D5CDD505-2E9C-101B-9397-08002B2CF9AE}" pid="40" name="MSIP_Label_4257e2ab-f512-40e2-9c9a-c64247360765_ContentBits">
    <vt:lpwstr>2</vt:lpwstr>
  </property>
</Properties>
</file>