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5157" w14:textId="77777777" w:rsidR="00673F17" w:rsidRPr="00673F17" w:rsidRDefault="00D31814" w:rsidP="00EB50C5">
      <w:pPr>
        <w:pStyle w:val="Subtitle"/>
        <w:ind w:right="-1"/>
        <w:rPr>
          <w:b/>
          <w:iCs w:val="0"/>
          <w:szCs w:val="44"/>
        </w:rPr>
      </w:pPr>
      <w:r w:rsidRPr="00673F17">
        <w:rPr>
          <w:b/>
          <w:iCs w:val="0"/>
          <w:szCs w:val="44"/>
        </w:rPr>
        <w:t xml:space="preserve">Attachment </w:t>
      </w:r>
      <w:r w:rsidR="00673F17" w:rsidRPr="00673F17">
        <w:rPr>
          <w:b/>
          <w:iCs w:val="0"/>
          <w:szCs w:val="44"/>
        </w:rPr>
        <w:t>7</w:t>
      </w:r>
    </w:p>
    <w:p w14:paraId="05E7227D" w14:textId="077E477E" w:rsidR="00EB50C5" w:rsidRDefault="00EB50C5" w:rsidP="00EB50C5">
      <w:pPr>
        <w:pStyle w:val="Subtitle"/>
        <w:ind w:right="-1"/>
        <w:rPr>
          <w:b/>
          <w:iCs w:val="0"/>
          <w:sz w:val="40"/>
          <w:szCs w:val="52"/>
        </w:rPr>
      </w:pPr>
      <w:r w:rsidRPr="00EB50C5">
        <w:rPr>
          <w:b/>
          <w:iCs w:val="0"/>
          <w:sz w:val="40"/>
          <w:szCs w:val="52"/>
        </w:rPr>
        <w:t>Paper and paperboard</w:t>
      </w:r>
      <w:r>
        <w:rPr>
          <w:b/>
          <w:iCs w:val="0"/>
          <w:sz w:val="40"/>
          <w:szCs w:val="52"/>
        </w:rPr>
        <w:t xml:space="preserve"> </w:t>
      </w:r>
      <w:r w:rsidR="002D7700">
        <w:rPr>
          <w:b/>
          <w:iCs w:val="0"/>
          <w:sz w:val="40"/>
          <w:szCs w:val="52"/>
        </w:rPr>
        <w:t>packaging</w:t>
      </w:r>
    </w:p>
    <w:p w14:paraId="37374395" w14:textId="37AEF491" w:rsidR="006959BC" w:rsidRPr="006959BC" w:rsidRDefault="00BE4C2A" w:rsidP="00BE4C2A">
      <w:pPr>
        <w:pStyle w:val="IntroFeatureText"/>
        <w:sectPr w:rsidR="006959BC" w:rsidRPr="006959BC" w:rsidSect="00AF174F">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1985" w:left="851" w:header="567" w:footer="907" w:gutter="0"/>
          <w:cols w:space="284"/>
          <w:titlePg/>
          <w:docGrid w:linePitch="360"/>
        </w:sectPr>
      </w:pPr>
      <w:r w:rsidRPr="2E08408E">
        <w:rPr>
          <w:rFonts w:asciiTheme="majorHAnsi" w:eastAsiaTheme="majorEastAsia" w:hAnsiTheme="majorHAnsi" w:cstheme="majorBidi"/>
          <w:color w:val="004C97" w:themeColor="accent3"/>
          <w:lang w:val="en-US"/>
        </w:rPr>
        <w:t>Market insights report</w:t>
      </w:r>
      <w:r w:rsidR="00673F17">
        <w:rPr>
          <w:rFonts w:asciiTheme="majorHAnsi" w:eastAsiaTheme="majorEastAsia" w:hAnsiTheme="majorHAnsi" w:cstheme="majorBidi"/>
          <w:color w:val="004C97" w:themeColor="accent3"/>
          <w:lang w:val="en-US"/>
        </w:rPr>
        <w:t xml:space="preserve"> – July 2023</w:t>
      </w:r>
      <w:r>
        <w:rPr>
          <w:rFonts w:asciiTheme="majorHAnsi" w:eastAsiaTheme="majorEastAsia" w:hAnsiTheme="majorHAnsi" w:cstheme="majorBidi"/>
          <w:color w:val="004C97" w:themeColor="accent3"/>
          <w:lang w:val="en-US"/>
        </w:rPr>
        <w:t xml:space="preserve"> </w:t>
      </w:r>
    </w:p>
    <w:p w14:paraId="1A4537B5" w14:textId="0168DF52" w:rsidR="00EB50C5" w:rsidRDefault="69311D72" w:rsidP="00EB50C5">
      <w:pPr>
        <w:pStyle w:val="Heading3"/>
      </w:pPr>
      <w:r>
        <w:t xml:space="preserve">Notable </w:t>
      </w:r>
      <w:r w:rsidR="002D7700">
        <w:t>m</w:t>
      </w:r>
      <w:r w:rsidR="00EB50C5">
        <w:t xml:space="preserve">arket developments </w:t>
      </w:r>
    </w:p>
    <w:p w14:paraId="6C51A14B" w14:textId="11F2FB2B" w:rsidR="00370B3E" w:rsidRPr="00370B3E" w:rsidRDefault="00370B3E" w:rsidP="00EB50C5">
      <w:pPr>
        <w:pStyle w:val="ListBullet"/>
      </w:pPr>
      <w:r w:rsidRPr="00370B3E">
        <w:rPr>
          <w:b/>
          <w:bCs/>
        </w:rPr>
        <w:t xml:space="preserve">Global pulp prices </w:t>
      </w:r>
      <w:r w:rsidR="003D48EA">
        <w:rPr>
          <w:b/>
          <w:bCs/>
        </w:rPr>
        <w:t xml:space="preserve">have </w:t>
      </w:r>
      <w:r w:rsidR="00195C19">
        <w:rPr>
          <w:b/>
          <w:bCs/>
        </w:rPr>
        <w:t xml:space="preserve">fallen </w:t>
      </w:r>
      <w:r w:rsidR="006E7D6E">
        <w:rPr>
          <w:b/>
          <w:bCs/>
        </w:rPr>
        <w:t>significantly</w:t>
      </w:r>
      <w:r w:rsidRPr="00370B3E">
        <w:rPr>
          <w:b/>
          <w:bCs/>
        </w:rPr>
        <w:t xml:space="preserve"> in </w:t>
      </w:r>
      <w:r w:rsidR="003D48EA">
        <w:rPr>
          <w:b/>
          <w:bCs/>
        </w:rPr>
        <w:t>the first half of 2023</w:t>
      </w:r>
      <w:r w:rsidRPr="00370B3E">
        <w:rPr>
          <w:b/>
          <w:bCs/>
        </w:rPr>
        <w:t>.</w:t>
      </w:r>
      <w:r>
        <w:t xml:space="preserve"> After reaching all-time highs in </w:t>
      </w:r>
      <w:r w:rsidR="003D48EA">
        <w:t>the July–December 2022 period</w:t>
      </w:r>
      <w:r>
        <w:t>, pulp prices fell in line with other commodities, as a result of the global slowdown.</w:t>
      </w:r>
    </w:p>
    <w:p w14:paraId="76A1A521" w14:textId="207C88D4" w:rsidR="00EB50C5" w:rsidRDefault="00EB50C5" w:rsidP="00EB50C5">
      <w:pPr>
        <w:pStyle w:val="ListBullet"/>
      </w:pPr>
      <w:r w:rsidRPr="00E22E51">
        <w:rPr>
          <w:b/>
          <w:bCs/>
        </w:rPr>
        <w:t xml:space="preserve">Mixed recovered paper prices </w:t>
      </w:r>
      <w:r w:rsidR="00370B3E">
        <w:rPr>
          <w:b/>
          <w:bCs/>
        </w:rPr>
        <w:t>were stable</w:t>
      </w:r>
      <w:r w:rsidRPr="00E22E51">
        <w:rPr>
          <w:b/>
          <w:bCs/>
        </w:rPr>
        <w:t xml:space="preserve"> in Asia</w:t>
      </w:r>
      <w:r w:rsidR="00370B3E">
        <w:rPr>
          <w:b/>
          <w:bCs/>
        </w:rPr>
        <w:t xml:space="preserve"> in the June quarter, but demand remains soft</w:t>
      </w:r>
      <w:r w:rsidRPr="00E22E51">
        <w:rPr>
          <w:b/>
          <w:bCs/>
        </w:rPr>
        <w:t>.</w:t>
      </w:r>
      <w:r>
        <w:t xml:space="preserve"> </w:t>
      </w:r>
    </w:p>
    <w:p w14:paraId="5C4D3316" w14:textId="1E50E5ED" w:rsidR="00EB50C5" w:rsidRDefault="00842376" w:rsidP="00EB50C5">
      <w:pPr>
        <w:pStyle w:val="ListBullet"/>
      </w:pPr>
      <w:r>
        <w:rPr>
          <w:b/>
          <w:bCs/>
        </w:rPr>
        <w:t>Local market conditions are also under demand-side pressure</w:t>
      </w:r>
      <w:r w:rsidR="00EB50C5" w:rsidRPr="00E22E51">
        <w:rPr>
          <w:b/>
          <w:bCs/>
        </w:rPr>
        <w:t>.</w:t>
      </w:r>
      <w:r w:rsidR="00EB50C5">
        <w:t xml:space="preserve"> A</w:t>
      </w:r>
      <w:r>
        <w:t xml:space="preserve">ustralia’s economic slowdown </w:t>
      </w:r>
      <w:r w:rsidR="00195C19">
        <w:t xml:space="preserve">may have </w:t>
      </w:r>
      <w:r>
        <w:t>begun to flow through to demand for recovered paper.</w:t>
      </w:r>
    </w:p>
    <w:p w14:paraId="037394EE" w14:textId="196FFF58" w:rsidR="004E75BD" w:rsidRDefault="004E75BD" w:rsidP="00EB50C5">
      <w:pPr>
        <w:pStyle w:val="ListBullet"/>
      </w:pPr>
      <w:r>
        <w:rPr>
          <w:b/>
          <w:bCs/>
        </w:rPr>
        <w:t>Opal Australian Paper’s closure of paper machines at the Maryvale mill has implications for recovered paper demand.</w:t>
      </w:r>
    </w:p>
    <w:p w14:paraId="62C14A30" w14:textId="139CDC57" w:rsidR="00EB50C5" w:rsidRPr="00EB50C5" w:rsidRDefault="00EB50C5" w:rsidP="00EB50C5">
      <w:pPr>
        <w:pStyle w:val="Heading3"/>
      </w:pPr>
      <w:r w:rsidRPr="00EB50C5">
        <w:t>Material overview and market summary</w:t>
      </w:r>
    </w:p>
    <w:p w14:paraId="214FF66A" w14:textId="59F5B317" w:rsidR="00E708AA" w:rsidRDefault="00842376" w:rsidP="00E708AA">
      <w:pPr>
        <w:pStyle w:val="BodyText"/>
      </w:pPr>
      <w:r>
        <w:t>The first half of 2023 saw global market and economic conditions deteriorate, feeding into softer demand for Australian recovered paper</w:t>
      </w:r>
      <w:r w:rsidR="00E708AA">
        <w:t xml:space="preserve">. </w:t>
      </w:r>
      <w:r>
        <w:t>Less demand for goods, inevitably resulted in reduced demand for packaging materials, especially the mainstay recycled corrugated boxes.</w:t>
      </w:r>
    </w:p>
    <w:p w14:paraId="6F04661A" w14:textId="063F42E5" w:rsidR="00E708AA" w:rsidRDefault="00842376" w:rsidP="000B6A13">
      <w:pPr>
        <w:pStyle w:val="BodyText"/>
      </w:pPr>
      <w:r>
        <w:t>Australia’s experience is little different right now, with some expectations market downturns may be lagging those elsewhere in the world.</w:t>
      </w:r>
    </w:p>
    <w:p w14:paraId="73D87231" w14:textId="01CB7622" w:rsidR="00E708AA" w:rsidRDefault="00E708AA" w:rsidP="00E708AA">
      <w:pPr>
        <w:pStyle w:val="BodyText"/>
      </w:pPr>
      <w:r>
        <w:t xml:space="preserve">Only </w:t>
      </w:r>
      <w:r w:rsidR="00842376">
        <w:t>two</w:t>
      </w:r>
      <w:r>
        <w:t xml:space="preserve"> major grades of recovered paper are traded in any significant volume: </w:t>
      </w:r>
      <w:r w:rsidR="00300E00">
        <w:t>old, corrugated</w:t>
      </w:r>
      <w:r>
        <w:t xml:space="preserve"> cardboard, including those sorted from kerbside collections and the mixed volume derived entirely from kerbside and municipal collections.</w:t>
      </w:r>
      <w:r w:rsidR="00F228F6">
        <w:t xml:space="preserve"> The packaging related</w:t>
      </w:r>
      <w:r w:rsidR="00AD78BD" w:rsidRPr="00AD78BD">
        <w:t xml:space="preserve"> </w:t>
      </w:r>
      <w:r w:rsidR="00AD78BD">
        <w:t>commercial and industrial</w:t>
      </w:r>
      <w:r w:rsidR="00F228F6">
        <w:t xml:space="preserve"> </w:t>
      </w:r>
      <w:r w:rsidR="00AD78BD">
        <w:t>(</w:t>
      </w:r>
      <w:r w:rsidR="00F228F6">
        <w:t>C&amp;I</w:t>
      </w:r>
      <w:r w:rsidR="00AD78BD">
        <w:t>)</w:t>
      </w:r>
      <w:r w:rsidR="00F228F6">
        <w:t xml:space="preserve"> materials, including liquid packaging board (LPB) and coated boards have stable markets, almost entirely for export.</w:t>
      </w:r>
    </w:p>
    <w:p w14:paraId="37385357" w14:textId="12FF1C6A" w:rsidR="00F228F6" w:rsidRDefault="00E708AA" w:rsidP="00E708AA">
      <w:pPr>
        <w:pStyle w:val="BodyText"/>
      </w:pPr>
      <w:r>
        <w:t xml:space="preserve">Other traditional grades derived from the C&amp;I stream are dwindling as printed media and communications continue to decline. </w:t>
      </w:r>
      <w:r w:rsidR="00F228F6">
        <w:t>In mid-2022, Opal Australian Paper ceased producing office and copy paper on the smaller of its two printing and communication paper machines at the Maryvale mill in the Latrobe Valley. That machine now produces packaging grades and is understood to use some recovered fibre.</w:t>
      </w:r>
    </w:p>
    <w:p w14:paraId="3B322264" w14:textId="3F061DA3" w:rsidR="00F228F6" w:rsidRDefault="00F228F6" w:rsidP="00E708AA">
      <w:pPr>
        <w:pStyle w:val="BodyText"/>
      </w:pPr>
      <w:r>
        <w:t xml:space="preserve">In early 2023, Opal closed the larger of the two machines, meaning there is no longer any office paper production in Australia. All supply into </w:t>
      </w:r>
      <w:r w:rsidR="00235741">
        <w:t>the market</w:t>
      </w:r>
      <w:r>
        <w:t xml:space="preserve"> is now imported.</w:t>
      </w:r>
    </w:p>
    <w:p w14:paraId="4FC49175" w14:textId="46CE56EE" w:rsidR="00842376" w:rsidRDefault="00F228F6" w:rsidP="00E708AA">
      <w:pPr>
        <w:pStyle w:val="BodyText"/>
      </w:pPr>
      <w:r>
        <w:t>Opal continues to operate three paper machines at the Maryvale mill, manufacturing a range of packaging paper grades. The smallest of those machines is slated to close in 2023.</w:t>
      </w:r>
    </w:p>
    <w:p w14:paraId="47AD2BB0" w14:textId="428F2ACF" w:rsidR="00F228F6" w:rsidRDefault="00F228F6" w:rsidP="00E708AA">
      <w:pPr>
        <w:pStyle w:val="BodyText"/>
      </w:pPr>
      <w:r>
        <w:t>The implications of Opal’s production profile changing and reducing are important for recovered paper demand and supply, for the following reasons:</w:t>
      </w:r>
    </w:p>
    <w:p w14:paraId="49231B8D" w14:textId="6685DC30" w:rsidR="00F228F6" w:rsidRDefault="004E75BD" w:rsidP="003D48EA">
      <w:pPr>
        <w:pStyle w:val="BodyText"/>
        <w:numPr>
          <w:ilvl w:val="0"/>
          <w:numId w:val="15"/>
        </w:numPr>
      </w:pPr>
      <w:r>
        <w:t>Demand for recovered white office paper at the Maryvale mill has ended, with the mill’s Deinking Plant no longer producing recycled pulp for use in recycled office paper grades.</w:t>
      </w:r>
    </w:p>
    <w:p w14:paraId="672D0F69" w14:textId="65DF428C" w:rsidR="004E75BD" w:rsidRDefault="004E75BD" w:rsidP="003D48EA">
      <w:pPr>
        <w:pStyle w:val="BodyText"/>
        <w:numPr>
          <w:ilvl w:val="0"/>
          <w:numId w:val="15"/>
        </w:numPr>
      </w:pPr>
      <w:r>
        <w:t xml:space="preserve">Demand for </w:t>
      </w:r>
      <w:r w:rsidR="00235741">
        <w:t>old, corrugated</w:t>
      </w:r>
      <w:r>
        <w:t xml:space="preserve"> cardboard has increased, because the Maryvale mill uses </w:t>
      </w:r>
      <w:r w:rsidR="00F440FB">
        <w:t>recovered paper on the repurposed paper machine that previously manufactured copy and office paper.</w:t>
      </w:r>
    </w:p>
    <w:p w14:paraId="428153FA" w14:textId="65DB98D1" w:rsidR="006959BC" w:rsidRDefault="00F028E7" w:rsidP="00E708AA">
      <w:pPr>
        <w:pStyle w:val="BodyText"/>
      </w:pPr>
      <w:r>
        <w:rPr>
          <w:noProof/>
        </w:rPr>
        <w:lastRenderedPageBreak/>
        <w:drawing>
          <wp:inline distT="0" distB="0" distL="0" distR="0" wp14:anchorId="5E4365BF" wp14:editId="48C56746">
            <wp:extent cx="4924425" cy="3078578"/>
            <wp:effectExtent l="0" t="0" r="0" b="7620"/>
            <wp:docPr id="2046530378" name="Picture 204653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8811" cy="3093823"/>
                    </a:xfrm>
                    <a:prstGeom prst="rect">
                      <a:avLst/>
                    </a:prstGeom>
                    <a:noFill/>
                  </pic:spPr>
                </pic:pic>
              </a:graphicData>
            </a:graphic>
          </wp:inline>
        </w:drawing>
      </w:r>
    </w:p>
    <w:p w14:paraId="589E1B13" w14:textId="3C8FC7F0" w:rsidR="00DB3371" w:rsidRDefault="00E708AA" w:rsidP="00E708AA">
      <w:pPr>
        <w:pStyle w:val="CaptionImageorFigure"/>
      </w:pPr>
      <w:r>
        <w:t>Figure 1: Destination of Victorian material recovery facility (MRF) outputs (tonnes per month) – kerbside paper and paperboard</w:t>
      </w:r>
      <w:r w:rsidR="00DB3371">
        <w:t xml:space="preserve">. </w:t>
      </w:r>
    </w:p>
    <w:p w14:paraId="7BEA0615" w14:textId="5C8096D5" w:rsidR="00E708AA" w:rsidRPr="003D48EA" w:rsidRDefault="00DB3371" w:rsidP="458935C2">
      <w:pPr>
        <w:pStyle w:val="PhotoCredit"/>
        <w:rPr>
          <w:sz w:val="18"/>
          <w:szCs w:val="18"/>
        </w:rPr>
      </w:pPr>
      <w:r w:rsidRPr="003D48EA">
        <w:rPr>
          <w:sz w:val="18"/>
          <w:szCs w:val="18"/>
        </w:rPr>
        <w:t xml:space="preserve">Source: </w:t>
      </w:r>
      <w:r w:rsidR="00E22E51" w:rsidRPr="003D48EA">
        <w:rPr>
          <w:sz w:val="18"/>
          <w:szCs w:val="18"/>
        </w:rPr>
        <w:t>Australian Bureau of Statistics (</w:t>
      </w:r>
      <w:r w:rsidRPr="003D48EA">
        <w:rPr>
          <w:sz w:val="18"/>
          <w:szCs w:val="18"/>
        </w:rPr>
        <w:t>ABS</w:t>
      </w:r>
      <w:r w:rsidR="00400250" w:rsidRPr="003D48EA">
        <w:rPr>
          <w:sz w:val="18"/>
          <w:szCs w:val="18"/>
        </w:rPr>
        <w:t>)</w:t>
      </w:r>
      <w:r w:rsidRPr="003D48EA">
        <w:rPr>
          <w:sz w:val="18"/>
          <w:szCs w:val="18"/>
        </w:rPr>
        <w:t xml:space="preserve"> (Australian Harmonized Export Commodity Classification (AHECC) data by month, </w:t>
      </w:r>
      <w:r w:rsidR="00BA6768" w:rsidRPr="003D48EA">
        <w:rPr>
          <w:sz w:val="18"/>
          <w:szCs w:val="18"/>
        </w:rPr>
        <w:t>classification,</w:t>
      </w:r>
      <w:r w:rsidRPr="003D48EA">
        <w:rPr>
          <w:sz w:val="18"/>
          <w:szCs w:val="18"/>
        </w:rPr>
        <w:t xml:space="preserve"> and destination country, 202</w:t>
      </w:r>
      <w:r w:rsidR="00DA11C7" w:rsidRPr="003D48EA">
        <w:rPr>
          <w:sz w:val="18"/>
          <w:szCs w:val="18"/>
        </w:rPr>
        <w:t>3</w:t>
      </w:r>
      <w:r w:rsidRPr="003D48EA">
        <w:rPr>
          <w:sz w:val="18"/>
          <w:szCs w:val="18"/>
        </w:rPr>
        <w:t>) and Blue Environment.</w:t>
      </w:r>
    </w:p>
    <w:p w14:paraId="5A131A12" w14:textId="20AEDC50" w:rsidR="00D30377" w:rsidRPr="003D48EA" w:rsidRDefault="00E708AA" w:rsidP="00D30377">
      <w:pPr>
        <w:pStyle w:val="SmallBodyText"/>
        <w:rPr>
          <w:sz w:val="18"/>
          <w:szCs w:val="18"/>
        </w:rPr>
      </w:pPr>
      <w:r w:rsidRPr="003D48EA">
        <w:rPr>
          <w:sz w:val="18"/>
          <w:szCs w:val="18"/>
        </w:rPr>
        <w:t xml:space="preserve">Note 1: Historical total monthly MRF outputs have been approximated in Figure 1 to enable comparison with monthly ABS customs export data. The overall trends are the key aspect of the figure. </w:t>
      </w:r>
    </w:p>
    <w:p w14:paraId="5377E182" w14:textId="6CD247A3" w:rsidR="00E708AA" w:rsidRDefault="00E708AA" w:rsidP="00D30377">
      <w:pPr>
        <w:pStyle w:val="SmallBodyText"/>
        <w:rPr>
          <w:sz w:val="18"/>
          <w:szCs w:val="18"/>
        </w:rPr>
      </w:pPr>
      <w:r w:rsidRPr="003D48EA">
        <w:rPr>
          <w:sz w:val="18"/>
          <w:szCs w:val="18"/>
        </w:rPr>
        <w:t>Note 2: The combined ‘Local reprocessing or storage’ estimate is indicative only, and these fates will be presented separately if this level of data becomes available. Landfill excludes disposal from storage and is an approximation based on annual waste to landfill rates.</w:t>
      </w:r>
    </w:p>
    <w:p w14:paraId="57BC26D1" w14:textId="77777777" w:rsidR="003D48EA" w:rsidRPr="003D48EA" w:rsidRDefault="003D48EA" w:rsidP="003D48EA">
      <w:pPr>
        <w:pStyle w:val="BodyText"/>
      </w:pPr>
    </w:p>
    <w:p w14:paraId="06F554EC" w14:textId="4731020F" w:rsidR="006959BC" w:rsidRDefault="006959BC" w:rsidP="00E27454">
      <w:pPr>
        <w:pStyle w:val="Heading3"/>
      </w:pPr>
      <w:r>
        <w:t>Prices, demand and supply</w:t>
      </w:r>
    </w:p>
    <w:p w14:paraId="0914B2D1" w14:textId="0F8EDDA9" w:rsidR="00F440FB" w:rsidRDefault="006959BC" w:rsidP="006959BC">
      <w:pPr>
        <w:pStyle w:val="BodyText"/>
      </w:pPr>
      <w:r>
        <w:t xml:space="preserve">Through to the end of </w:t>
      </w:r>
      <w:r w:rsidR="00F440FB">
        <w:t>May 2023</w:t>
      </w:r>
      <w:r>
        <w:t xml:space="preserve">, global fibre prices </w:t>
      </w:r>
      <w:r w:rsidR="00F440FB">
        <w:t xml:space="preserve">had fallen </w:t>
      </w:r>
      <w:r w:rsidR="002A72E6">
        <w:t>significantly</w:t>
      </w:r>
      <w:r w:rsidR="00F440FB">
        <w:t xml:space="preserve"> over the course of 2023, </w:t>
      </w:r>
      <w:r w:rsidR="002A72E6">
        <w:t xml:space="preserve">dropping </w:t>
      </w:r>
      <w:r w:rsidR="00F440FB">
        <w:t xml:space="preserve">from record highs posted in late 2022. </w:t>
      </w:r>
      <w:r>
        <w:t>Virgin wood fibre prices</w:t>
      </w:r>
      <w:r w:rsidR="00D11DC2">
        <w:t xml:space="preserve">, such </w:t>
      </w:r>
      <w:r w:rsidR="00E855DD">
        <w:t>as woodchips</w:t>
      </w:r>
      <w:r>
        <w:t xml:space="preserve"> </w:t>
      </w:r>
      <w:r w:rsidR="00F440FB">
        <w:t>have begun to experience collateral declines, but they are lagging the falls recorded for pulp. Recovered fibre prices are under similar pressure.</w:t>
      </w:r>
    </w:p>
    <w:p w14:paraId="0CC7A8D8" w14:textId="327892A7" w:rsidR="006959BC" w:rsidRDefault="00F440FB" w:rsidP="006959BC">
      <w:pPr>
        <w:pStyle w:val="BodyText"/>
      </w:pPr>
      <w:r>
        <w:t>From the start of 2023 to the end of May, the price of Bleached Eucalypt Kraft (BEK) pulp had declined</w:t>
      </w:r>
      <w:r w:rsidR="003D48EA">
        <w:t xml:space="preserve"> by </w:t>
      </w:r>
      <w:r>
        <w:t xml:space="preserve">41%, and </w:t>
      </w:r>
      <w:r w:rsidR="003D48EA">
        <w:t xml:space="preserve">for </w:t>
      </w:r>
      <w:r>
        <w:t>Bleached Softwood Kraft (BSK) by 25%</w:t>
      </w:r>
      <w:r w:rsidR="003D48EA">
        <w:t xml:space="preserve"> (which typically has more stable prices).</w:t>
      </w:r>
    </w:p>
    <w:p w14:paraId="750BF1A0" w14:textId="155DB30C" w:rsidR="006959BC" w:rsidRDefault="006959BC" w:rsidP="006959BC">
      <w:pPr>
        <w:pStyle w:val="BodyText"/>
      </w:pPr>
      <w:r>
        <w:t xml:space="preserve">Recovered fibre prices </w:t>
      </w:r>
      <w:r w:rsidR="00F440FB">
        <w:t>have stumbled lower</w:t>
      </w:r>
      <w:r w:rsidR="00FD6659">
        <w:t xml:space="preserve"> in international markets, with supply and demand both moderating as global economies </w:t>
      </w:r>
      <w:r w:rsidR="009C174E">
        <w:t>are impacted by</w:t>
      </w:r>
      <w:r w:rsidR="00FD6659">
        <w:t xml:space="preserve"> inflation and interest rates.</w:t>
      </w:r>
    </w:p>
    <w:p w14:paraId="5E6C023A" w14:textId="7E2DD07C" w:rsidR="006959BC" w:rsidRDefault="006959BC" w:rsidP="006959BC">
      <w:pPr>
        <w:pStyle w:val="Heading3"/>
      </w:pPr>
      <w:r>
        <w:t>Key end</w:t>
      </w:r>
      <w:r w:rsidR="00B87FC7">
        <w:t xml:space="preserve"> </w:t>
      </w:r>
      <w:r>
        <w:t xml:space="preserve">markets and related specifications </w:t>
      </w:r>
    </w:p>
    <w:p w14:paraId="4C18DD46" w14:textId="77777777" w:rsidR="009C550A" w:rsidRDefault="006959BC" w:rsidP="006959BC">
      <w:pPr>
        <w:pStyle w:val="BodyText"/>
      </w:pPr>
      <w:r w:rsidRPr="006959BC">
        <w:t>There are no new end</w:t>
      </w:r>
      <w:r w:rsidR="00B87FC7">
        <w:t xml:space="preserve"> </w:t>
      </w:r>
      <w:r w:rsidRPr="006959BC">
        <w:t>markets for kerbside recovered paper, despite increased attention on a small number of solutions</w:t>
      </w:r>
      <w:r w:rsidR="009C550A">
        <w:t>.</w:t>
      </w:r>
    </w:p>
    <w:p w14:paraId="5C89BB71" w14:textId="55056D2D" w:rsidR="009C550A" w:rsidRDefault="009C550A" w:rsidP="006959BC">
      <w:pPr>
        <w:pStyle w:val="BodyText"/>
      </w:pPr>
      <w:r>
        <w:t xml:space="preserve">Most prominent of those in the first half of 2023 has been </w:t>
      </w:r>
      <w:r w:rsidR="006959BC" w:rsidRPr="006959BC">
        <w:t>the production of solid board products</w:t>
      </w:r>
      <w:r>
        <w:t xml:space="preserve"> from liquid packaging and other coated boards</w:t>
      </w:r>
      <w:r w:rsidR="003D48EA">
        <w:t xml:space="preserve"> (see </w:t>
      </w:r>
      <w:hyperlink r:id="rId20" w:history="1">
        <w:r w:rsidR="003D48EA" w:rsidRPr="003D48EA">
          <w:rPr>
            <w:rStyle w:val="Hyperlink"/>
            <w:i/>
            <w:iCs/>
            <w:color w:val="0070C0"/>
          </w:rPr>
          <w:t>saveBOARD</w:t>
        </w:r>
      </w:hyperlink>
      <w:r w:rsidR="003D48EA">
        <w:t>)</w:t>
      </w:r>
      <w:r>
        <w:t xml:space="preserve">. </w:t>
      </w:r>
      <w:r w:rsidR="003D48EA">
        <w:t>T</w:t>
      </w:r>
      <w:r w:rsidR="00BD0189">
        <w:t>he Victorian Government has co-invested in a facility for this product, which is expected to be operational in late 2023 or early 2024.</w:t>
      </w:r>
    </w:p>
    <w:p w14:paraId="709E5AC9" w14:textId="327D18C0" w:rsidR="006959BC" w:rsidRPr="006959BC" w:rsidRDefault="009C550A" w:rsidP="006959BC">
      <w:pPr>
        <w:pStyle w:val="BodyText"/>
      </w:pPr>
      <w:r>
        <w:t>Other developments, like those involving moulded fibre and fibre-based insulation, can be small scale, but require very specific recovered feedstock. One key to the further deployment of these secondary solutions is improved sorting of the MSW stream of recovered paper.</w:t>
      </w:r>
    </w:p>
    <w:p w14:paraId="7021837C" w14:textId="77777777" w:rsidR="009C550A" w:rsidRDefault="006959BC" w:rsidP="006959BC">
      <w:pPr>
        <w:pStyle w:val="BodyText"/>
      </w:pPr>
      <w:r>
        <w:t xml:space="preserve">The greatest competition in recovered paper markets continues to </w:t>
      </w:r>
      <w:r w:rsidR="00914171">
        <w:t>be for</w:t>
      </w:r>
      <w:r>
        <w:t xml:space="preserve"> recovered office papers and newsprint, obtained from commercial sources, not kerbside sources. Local paper producers in packaging, </w:t>
      </w:r>
      <w:r w:rsidR="009C550A">
        <w:t>tissue</w:t>
      </w:r>
      <w:r>
        <w:t xml:space="preserve"> and pet care products, all seek office papers and newsprint for different purposes</w:t>
      </w:r>
      <w:r w:rsidR="009C550A">
        <w:t>.</w:t>
      </w:r>
    </w:p>
    <w:p w14:paraId="47FEA93E" w14:textId="15174090" w:rsidR="00E708AA" w:rsidRDefault="009C550A" w:rsidP="006959BC">
      <w:pPr>
        <w:pStyle w:val="BodyText"/>
      </w:pPr>
      <w:r>
        <w:lastRenderedPageBreak/>
        <w:t>The exit of production of recycled office papers – see above – by the Victorian producer, Opal Australian Paper, does remove a major competitor from the local market, but at the same time, consumption and recovery continue to decline, providing little comfort to the other buyers.</w:t>
      </w:r>
    </w:p>
    <w:p w14:paraId="4BF85D43" w14:textId="3F5B7B7E" w:rsidR="009C550A" w:rsidRDefault="009C550A" w:rsidP="006959BC">
      <w:pPr>
        <w:pStyle w:val="BodyText"/>
      </w:pPr>
      <w:r>
        <w:t xml:space="preserve">For recovered newsprint, very little of which is derived from the MSW stream, the major end-use application continues to be pet care products, whose underlying capacity to pay is significantly greater than any other known application. </w:t>
      </w:r>
    </w:p>
    <w:p w14:paraId="08559FE1" w14:textId="77777777" w:rsidR="006959BC" w:rsidRDefault="006959BC" w:rsidP="006959BC">
      <w:pPr>
        <w:pStyle w:val="Heading3"/>
      </w:pPr>
      <w:r>
        <w:t xml:space="preserve">Export and interstate market review </w:t>
      </w:r>
    </w:p>
    <w:p w14:paraId="3D0262C8" w14:textId="1B4548A6" w:rsidR="006D3912" w:rsidRDefault="006D3912" w:rsidP="006959BC">
      <w:pPr>
        <w:pStyle w:val="BodyText"/>
      </w:pPr>
      <w:r>
        <w:t xml:space="preserve">Victoria’s exports of recovered paper continue to average around 8,500 tonnes per month, as has been the case since the start of the pandemic at the beginning of 2020. Prior to that, exports had been </w:t>
      </w:r>
      <w:r w:rsidR="004A09CA">
        <w:t xml:space="preserve">trending </w:t>
      </w:r>
      <w:r>
        <w:t>dow</w:t>
      </w:r>
      <w:r w:rsidR="004A09CA">
        <w:t>n</w:t>
      </w:r>
      <w:r>
        <w:t>.</w:t>
      </w:r>
    </w:p>
    <w:p w14:paraId="4E2F6641" w14:textId="757920D6" w:rsidR="006D3912" w:rsidRDefault="006D3912" w:rsidP="006959BC">
      <w:pPr>
        <w:pStyle w:val="BodyText"/>
      </w:pPr>
      <w:r>
        <w:t xml:space="preserve">One reason for Victoria’s gradual reduction has been declining consumption and recovery of newsprint and office papers, but other factors have also been at play. </w:t>
      </w:r>
      <w:r w:rsidR="004A09CA">
        <w:t>I</w:t>
      </w:r>
      <w:r>
        <w:t>mport constraints to China, the emergence of new markets and increased efforts to operate more locally all reduced Victoria’s exports.</w:t>
      </w:r>
    </w:p>
    <w:p w14:paraId="258B5112" w14:textId="31D69237" w:rsidR="006D3912" w:rsidRDefault="006D3912" w:rsidP="006959BC">
      <w:pPr>
        <w:pStyle w:val="BodyText"/>
      </w:pPr>
      <w:r>
        <w:t xml:space="preserve">The latter point applies as much to other states, including South Australia. </w:t>
      </w:r>
      <w:r w:rsidR="004A09CA">
        <w:t>S</w:t>
      </w:r>
      <w:r w:rsidR="00D55F10">
        <w:t xml:space="preserve">outh </w:t>
      </w:r>
      <w:r w:rsidR="004A09CA">
        <w:t>A</w:t>
      </w:r>
      <w:r w:rsidR="00D55F10">
        <w:t>ustralia</w:t>
      </w:r>
      <w:r>
        <w:t xml:space="preserve"> routinely shipped large volumes of recovered paper to Victoria, where the major sorters and handlers were engaged in aggregation and optimisation exercises. They would assemble export loads in Melbourne, from volumes derived from multiple states, after ensuring domestic needs were met with their preferred supply.</w:t>
      </w:r>
    </w:p>
    <w:p w14:paraId="01F5BC0F" w14:textId="482D0B33" w:rsidR="006D3912" w:rsidRDefault="006D3912" w:rsidP="006959BC">
      <w:pPr>
        <w:pStyle w:val="BodyText"/>
      </w:pPr>
      <w:r>
        <w:t>As sorting and other practices have improved in other states, internal supply to Victoria, for that aggregation exercise has slowed. Exports from South Australia have for example, increased until the economic downturn began in mid-2022, reducing movement of goods and therefore the use and availability for recovery of a range of materials, including fibre packaging.</w:t>
      </w:r>
    </w:p>
    <w:p w14:paraId="70CBD816" w14:textId="6CB6CE37" w:rsidR="006D3912" w:rsidRDefault="006D3912" w:rsidP="006959BC">
      <w:pPr>
        <w:pStyle w:val="BodyText"/>
      </w:pPr>
      <w:r>
        <w:t xml:space="preserve">Industry is also of the view that an increased proportion of recovered paper is making its way ‘net-net’ to the nation’s paper and board mills focussed on production of corrugated packaging. Damaging forest fires in 2019-20 destroyed large areas of plantations that were providing new fibre for many purposes, including </w:t>
      </w:r>
      <w:r w:rsidR="00AE21B4">
        <w:t>the replacement fibre for packaging, when it has been recycled multiple times.</w:t>
      </w:r>
    </w:p>
    <w:p w14:paraId="198C6434" w14:textId="51E6EE12" w:rsidR="00AE21B4" w:rsidRDefault="00AE21B4" w:rsidP="006959BC">
      <w:pPr>
        <w:pStyle w:val="BodyText"/>
      </w:pPr>
      <w:r>
        <w:t>Less wood fibre means more use of recycled fibre, consequently reducing the volumes available for export.</w:t>
      </w:r>
    </w:p>
    <w:p w14:paraId="57E325F9" w14:textId="20ADFF7F" w:rsidR="006959BC" w:rsidRPr="006959BC" w:rsidRDefault="006959BC" w:rsidP="006959BC">
      <w:pPr>
        <w:pStyle w:val="BodyText"/>
      </w:pPr>
      <w:r w:rsidRPr="006959BC">
        <w:t xml:space="preserve">As Indonesia has grown its share of the Victorian (and Australian) export volumes, it has brought with it an unfamiliar experience for Australian trade: proximity. A major exporter advised recently they had been able to position their supply into the Indonesian market in part because of the </w:t>
      </w:r>
      <w:r w:rsidR="00914171">
        <w:t xml:space="preserve">cheaper </w:t>
      </w:r>
      <w:r w:rsidR="00914171" w:rsidRPr="006959BC">
        <w:t>freight</w:t>
      </w:r>
      <w:r w:rsidRPr="006959BC">
        <w:t xml:space="preserve"> cost </w:t>
      </w:r>
      <w:r w:rsidR="001F3A1A">
        <w:t xml:space="preserve">compared to </w:t>
      </w:r>
      <w:r w:rsidRPr="006959BC">
        <w:t>North America and Europe.</w:t>
      </w:r>
    </w:p>
    <w:p w14:paraId="24D92EC3" w14:textId="259F4450" w:rsidR="00AE21B4" w:rsidRDefault="00AE21B4" w:rsidP="006959BC">
      <w:pPr>
        <w:pStyle w:val="BodyText"/>
      </w:pPr>
      <w:r>
        <w:t>Victoria’s shipments of recovered paper to Indonesia – alongside those from much of Australia and most of New Zealand – have continued into 2023. Although they have declined marginally, these exports are expected to be a mainstay of export arrangements because the very large packaging paper and board mills utilising the fibre have a huge appetite for it.</w:t>
      </w:r>
    </w:p>
    <w:p w14:paraId="208120A4" w14:textId="601CEF6C" w:rsidR="006959BC" w:rsidRPr="006959BC" w:rsidRDefault="0008337C" w:rsidP="006959BC">
      <w:pPr>
        <w:pStyle w:val="BodyText"/>
      </w:pPr>
      <w:r>
        <w:rPr>
          <w:noProof/>
        </w:rPr>
        <w:lastRenderedPageBreak/>
        <w:drawing>
          <wp:inline distT="0" distB="0" distL="0" distR="0" wp14:anchorId="0DD7DF1A" wp14:editId="136D387E">
            <wp:extent cx="5773420" cy="3615055"/>
            <wp:effectExtent l="0" t="0" r="0" b="4445"/>
            <wp:docPr id="897821053" name="Picture 89782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14:paraId="690B878C" w14:textId="633FA970" w:rsidR="006959BC" w:rsidRDefault="006959BC" w:rsidP="006959BC">
      <w:pPr>
        <w:pStyle w:val="CaptionImageorFigure"/>
        <w:rPr>
          <w:rFonts w:eastAsia="Microsoft JhengHei"/>
        </w:rPr>
      </w:pPr>
      <w:r w:rsidRPr="458935C2">
        <w:rPr>
          <w:rFonts w:eastAsia="Microsoft JhengHei"/>
        </w:rPr>
        <w:t>Figure 2: Victorian recovered kerbside paper and paperboard, to export country (tonnes per month)</w:t>
      </w:r>
      <w:r w:rsidR="00D30377" w:rsidRPr="458935C2">
        <w:rPr>
          <w:rFonts w:eastAsia="Microsoft JhengHei"/>
        </w:rPr>
        <w:t>.</w:t>
      </w:r>
    </w:p>
    <w:p w14:paraId="134A5B74" w14:textId="4CB46259" w:rsidR="00197FFC" w:rsidRDefault="006959BC" w:rsidP="00DB3371">
      <w:pPr>
        <w:pStyle w:val="PhotoCredit"/>
      </w:pPr>
      <w:r>
        <w:t xml:space="preserve">Source: ABS and IndustryEdge (IE) (Australian Harmonized Export Commodity Classification (AHECC) data by month, </w:t>
      </w:r>
      <w:r w:rsidR="00BA6768">
        <w:t>classification,</w:t>
      </w:r>
      <w:r>
        <w:t xml:space="preserve"> and destination country, 202</w:t>
      </w:r>
      <w:r w:rsidR="00DA11C7">
        <w:t>3</w:t>
      </w:r>
      <w:r>
        <w:t>) and Blue Environment</w:t>
      </w:r>
      <w:r w:rsidR="00DB3371">
        <w:t>.</w:t>
      </w:r>
    </w:p>
    <w:p w14:paraId="3FCF46D8" w14:textId="77777777" w:rsidR="00197FFC" w:rsidRPr="00197FFC" w:rsidRDefault="00197FFC" w:rsidP="00197FFC">
      <w:pPr>
        <w:pStyle w:val="BodyText"/>
      </w:pPr>
    </w:p>
    <w:p w14:paraId="349F76C0" w14:textId="734CEE3A" w:rsidR="00197FFC" w:rsidRDefault="00197FFC" w:rsidP="00197FFC">
      <w:pPr>
        <w:pStyle w:val="CaptionImageorFigure"/>
      </w:pPr>
      <w:r>
        <w:t>Table 1: Annual Victorian recovered kerbside paper and paperboard, to export country</w:t>
      </w:r>
    </w:p>
    <w:tbl>
      <w:tblPr>
        <w:tblStyle w:val="TableGrid"/>
        <w:tblW w:w="5000" w:type="pct"/>
        <w:tblLook w:val="04A0" w:firstRow="1" w:lastRow="0" w:firstColumn="1" w:lastColumn="0" w:noHBand="0" w:noVBand="1"/>
      </w:tblPr>
      <w:tblGrid>
        <w:gridCol w:w="1134"/>
        <w:gridCol w:w="1134"/>
        <w:gridCol w:w="1135"/>
        <w:gridCol w:w="1135"/>
        <w:gridCol w:w="1135"/>
        <w:gridCol w:w="1135"/>
        <w:gridCol w:w="1135"/>
        <w:gridCol w:w="1135"/>
        <w:gridCol w:w="1127"/>
      </w:tblGrid>
      <w:tr w:rsidR="00197FFC" w:rsidRPr="00226E30" w14:paraId="707E583B" w14:textId="77777777" w:rsidTr="00DA11C7">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556" w:type="pct"/>
            <w:noWrap/>
            <w:hideMark/>
          </w:tcPr>
          <w:p w14:paraId="71F6A117" w14:textId="77777777" w:rsidR="00197FFC" w:rsidRPr="00197FFC" w:rsidRDefault="00197FFC" w:rsidP="00197FFC">
            <w:pPr>
              <w:pStyle w:val="TableHeadingLeft"/>
            </w:pPr>
            <w:bookmarkStart w:id="0" w:name="_Hlk122533190"/>
            <w:r w:rsidRPr="00197FFC">
              <w:t>Country</w:t>
            </w:r>
            <w:r w:rsidRPr="00197FFC">
              <w:rPr>
                <w:vertAlign w:val="superscript"/>
              </w:rPr>
              <w:t>a</w:t>
            </w:r>
          </w:p>
        </w:tc>
        <w:tc>
          <w:tcPr>
            <w:tcW w:w="556" w:type="pct"/>
            <w:hideMark/>
          </w:tcPr>
          <w:p w14:paraId="1D8ED7F5"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2015–16</w:t>
            </w:r>
          </w:p>
          <w:p w14:paraId="0BFF9B5D"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hideMark/>
          </w:tcPr>
          <w:p w14:paraId="67F7EB97"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2016–17</w:t>
            </w:r>
          </w:p>
          <w:p w14:paraId="2D15F186"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3DDF6A36"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2017–18</w:t>
            </w:r>
          </w:p>
          <w:p w14:paraId="3EFA6CDD"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282F2C8F"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2018–19</w:t>
            </w:r>
          </w:p>
          <w:p w14:paraId="34CD2E5C"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3E78530B"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2019–20</w:t>
            </w:r>
          </w:p>
          <w:p w14:paraId="29169BBF"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6361C48D"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2020–21</w:t>
            </w:r>
          </w:p>
          <w:p w14:paraId="38BE5114"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6" w:type="pct"/>
          </w:tcPr>
          <w:p w14:paraId="78394FC4"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2021–22</w:t>
            </w:r>
          </w:p>
          <w:p w14:paraId="49B61ACC"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c>
          <w:tcPr>
            <w:tcW w:w="552" w:type="pct"/>
          </w:tcPr>
          <w:p w14:paraId="6A2EE30B"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2022–23</w:t>
            </w:r>
            <w:r w:rsidRPr="00197FFC">
              <w:rPr>
                <w:vertAlign w:val="superscript"/>
              </w:rPr>
              <w:t>b</w:t>
            </w:r>
          </w:p>
          <w:p w14:paraId="23C8FC28" w14:textId="77777777" w:rsidR="00197FFC" w:rsidRPr="00197FFC" w:rsidRDefault="00197FFC" w:rsidP="00197FFC">
            <w:pPr>
              <w:pStyle w:val="TableHeadingLeft"/>
              <w:jc w:val="right"/>
              <w:cnfStyle w:val="100000000000" w:firstRow="1" w:lastRow="0" w:firstColumn="0" w:lastColumn="0" w:oddVBand="0" w:evenVBand="0" w:oddHBand="0" w:evenHBand="0" w:firstRowFirstColumn="0" w:firstRowLastColumn="0" w:lastRowFirstColumn="0" w:lastRowLastColumn="0"/>
            </w:pPr>
            <w:r w:rsidRPr="00197FFC">
              <w:t>(tonnes)</w:t>
            </w:r>
          </w:p>
        </w:tc>
      </w:tr>
      <w:tr w:rsidR="00B959B9" w:rsidRPr="00226E30" w14:paraId="22D3E71F" w14:textId="77777777" w:rsidTr="00DA11C7">
        <w:trPr>
          <w:trHeight w:val="286"/>
        </w:trPr>
        <w:tc>
          <w:tcPr>
            <w:tcW w:w="556" w:type="pct"/>
            <w:shd w:val="clear" w:color="auto" w:fill="DBF4F5" w:themeFill="background2"/>
            <w:noWrap/>
          </w:tcPr>
          <w:p w14:paraId="3A0BB723" w14:textId="11F3AEC8" w:rsidR="00B959B9" w:rsidRPr="004418F9" w:rsidRDefault="00B959B9" w:rsidP="00B959B9">
            <w:pPr>
              <w:pStyle w:val="TableTextLeft"/>
              <w:spacing w:line="240" w:lineRule="atLeast"/>
            </w:pPr>
            <w:r w:rsidRPr="004F74BF">
              <w:t>Indonesia</w:t>
            </w:r>
          </w:p>
        </w:tc>
        <w:tc>
          <w:tcPr>
            <w:tcW w:w="556" w:type="pct"/>
            <w:noWrap/>
          </w:tcPr>
          <w:p w14:paraId="6E7D7C2C" w14:textId="45EFCAFA" w:rsidR="00B959B9" w:rsidRPr="004418F9" w:rsidRDefault="00B959B9" w:rsidP="00B959B9">
            <w:pPr>
              <w:pStyle w:val="TableTextLeft"/>
              <w:spacing w:line="240" w:lineRule="atLeast"/>
              <w:jc w:val="right"/>
            </w:pPr>
            <w:r w:rsidRPr="003823A4">
              <w:t>45,000</w:t>
            </w:r>
          </w:p>
        </w:tc>
        <w:tc>
          <w:tcPr>
            <w:tcW w:w="556" w:type="pct"/>
            <w:shd w:val="clear" w:color="auto" w:fill="DBF4F5" w:themeFill="background2"/>
            <w:noWrap/>
          </w:tcPr>
          <w:p w14:paraId="5F11A89B" w14:textId="1C8F453D" w:rsidR="00B959B9" w:rsidRPr="004418F9" w:rsidRDefault="00B959B9" w:rsidP="00B959B9">
            <w:pPr>
              <w:pStyle w:val="TableTextLeft"/>
              <w:spacing w:line="240" w:lineRule="atLeast"/>
              <w:jc w:val="right"/>
            </w:pPr>
            <w:r w:rsidRPr="003823A4">
              <w:t>22,000</w:t>
            </w:r>
          </w:p>
        </w:tc>
        <w:tc>
          <w:tcPr>
            <w:tcW w:w="556" w:type="pct"/>
          </w:tcPr>
          <w:p w14:paraId="437E2FA1" w14:textId="6229904F" w:rsidR="00B959B9" w:rsidRPr="004418F9" w:rsidRDefault="00B959B9" w:rsidP="00B959B9">
            <w:pPr>
              <w:pStyle w:val="TableTextLeft"/>
              <w:spacing w:line="240" w:lineRule="atLeast"/>
              <w:jc w:val="right"/>
            </w:pPr>
            <w:r w:rsidRPr="003823A4">
              <w:t>34,000</w:t>
            </w:r>
          </w:p>
        </w:tc>
        <w:tc>
          <w:tcPr>
            <w:tcW w:w="556" w:type="pct"/>
            <w:shd w:val="clear" w:color="auto" w:fill="DBF4F5" w:themeFill="background2"/>
          </w:tcPr>
          <w:p w14:paraId="5AF60DDA" w14:textId="52F1545A" w:rsidR="00B959B9" w:rsidRPr="004418F9" w:rsidRDefault="00B959B9" w:rsidP="00B959B9">
            <w:pPr>
              <w:pStyle w:val="TableTextLeft"/>
              <w:spacing w:line="240" w:lineRule="atLeast"/>
              <w:jc w:val="right"/>
            </w:pPr>
            <w:r w:rsidRPr="003823A4">
              <w:t>32,000</w:t>
            </w:r>
          </w:p>
        </w:tc>
        <w:tc>
          <w:tcPr>
            <w:tcW w:w="556" w:type="pct"/>
          </w:tcPr>
          <w:p w14:paraId="2C7E4049" w14:textId="5260122A" w:rsidR="00B959B9" w:rsidRPr="004418F9" w:rsidRDefault="00B959B9" w:rsidP="00B959B9">
            <w:pPr>
              <w:pStyle w:val="TableTextLeft"/>
              <w:spacing w:line="240" w:lineRule="atLeast"/>
              <w:jc w:val="right"/>
            </w:pPr>
            <w:r w:rsidRPr="003823A4">
              <w:t>34,000</w:t>
            </w:r>
          </w:p>
        </w:tc>
        <w:tc>
          <w:tcPr>
            <w:tcW w:w="556" w:type="pct"/>
            <w:shd w:val="clear" w:color="auto" w:fill="DBF4F5" w:themeFill="background2"/>
          </w:tcPr>
          <w:p w14:paraId="0274ED11" w14:textId="54883DBB" w:rsidR="00B959B9" w:rsidRPr="004418F9" w:rsidRDefault="00B959B9" w:rsidP="00B959B9">
            <w:pPr>
              <w:pStyle w:val="TableTextLeft"/>
              <w:spacing w:line="240" w:lineRule="atLeast"/>
              <w:jc w:val="right"/>
            </w:pPr>
            <w:r w:rsidRPr="003823A4">
              <w:t>51,000</w:t>
            </w:r>
          </w:p>
        </w:tc>
        <w:tc>
          <w:tcPr>
            <w:tcW w:w="556" w:type="pct"/>
          </w:tcPr>
          <w:p w14:paraId="5AB74FA9" w14:textId="03744AB5" w:rsidR="00B959B9" w:rsidRPr="004418F9" w:rsidRDefault="00B959B9" w:rsidP="00B959B9">
            <w:pPr>
              <w:pStyle w:val="TableTextLeft"/>
              <w:spacing w:line="240" w:lineRule="atLeast"/>
              <w:jc w:val="right"/>
            </w:pPr>
            <w:r w:rsidRPr="003823A4">
              <w:t>68,000</w:t>
            </w:r>
          </w:p>
        </w:tc>
        <w:tc>
          <w:tcPr>
            <w:tcW w:w="552" w:type="pct"/>
            <w:shd w:val="clear" w:color="auto" w:fill="DBF4F5" w:themeFill="background2"/>
          </w:tcPr>
          <w:p w14:paraId="4577DFDC" w14:textId="26C441A5" w:rsidR="00B959B9" w:rsidRPr="004418F9" w:rsidRDefault="00B959B9" w:rsidP="00B959B9">
            <w:pPr>
              <w:pStyle w:val="TableTextLeft"/>
              <w:spacing w:line="240" w:lineRule="atLeast"/>
              <w:jc w:val="right"/>
            </w:pPr>
            <w:r w:rsidRPr="003823A4">
              <w:t>51,000</w:t>
            </w:r>
          </w:p>
        </w:tc>
      </w:tr>
      <w:tr w:rsidR="00B959B9" w:rsidRPr="00226E30" w14:paraId="7566D665" w14:textId="77777777" w:rsidTr="00DA11C7">
        <w:trPr>
          <w:trHeight w:val="286"/>
        </w:trPr>
        <w:tc>
          <w:tcPr>
            <w:tcW w:w="556" w:type="pct"/>
            <w:shd w:val="clear" w:color="auto" w:fill="DBF4F5" w:themeFill="background2"/>
            <w:noWrap/>
          </w:tcPr>
          <w:p w14:paraId="36564ED4" w14:textId="24453D19" w:rsidR="00B959B9" w:rsidRPr="004418F9" w:rsidRDefault="00B959B9" w:rsidP="00B959B9">
            <w:pPr>
              <w:pStyle w:val="TableTextLeft"/>
              <w:spacing w:line="240" w:lineRule="atLeast"/>
            </w:pPr>
            <w:r w:rsidRPr="004F74BF">
              <w:t>Malaysia</w:t>
            </w:r>
          </w:p>
        </w:tc>
        <w:tc>
          <w:tcPr>
            <w:tcW w:w="556" w:type="pct"/>
            <w:noWrap/>
          </w:tcPr>
          <w:p w14:paraId="281AE832" w14:textId="5C10D8D9" w:rsidR="00B959B9" w:rsidRPr="004418F9" w:rsidRDefault="00B959B9" w:rsidP="00B959B9">
            <w:pPr>
              <w:pStyle w:val="TableTextLeft"/>
              <w:spacing w:line="240" w:lineRule="atLeast"/>
              <w:jc w:val="right"/>
            </w:pPr>
            <w:r w:rsidRPr="003823A4">
              <w:t>1,000</w:t>
            </w:r>
          </w:p>
        </w:tc>
        <w:tc>
          <w:tcPr>
            <w:tcW w:w="556" w:type="pct"/>
            <w:shd w:val="clear" w:color="auto" w:fill="DBF4F5" w:themeFill="background2"/>
            <w:noWrap/>
          </w:tcPr>
          <w:p w14:paraId="2B4A7D17" w14:textId="193B7FA8" w:rsidR="00B959B9" w:rsidRPr="004418F9" w:rsidRDefault="00B959B9" w:rsidP="00B959B9">
            <w:pPr>
              <w:pStyle w:val="TableTextLeft"/>
              <w:spacing w:line="240" w:lineRule="atLeast"/>
              <w:jc w:val="right"/>
            </w:pPr>
            <w:r w:rsidRPr="003823A4">
              <w:t>2,000</w:t>
            </w:r>
          </w:p>
        </w:tc>
        <w:tc>
          <w:tcPr>
            <w:tcW w:w="556" w:type="pct"/>
          </w:tcPr>
          <w:p w14:paraId="63AD944D" w14:textId="1651503E" w:rsidR="00B959B9" w:rsidRPr="004418F9" w:rsidRDefault="00B959B9" w:rsidP="00B959B9">
            <w:pPr>
              <w:pStyle w:val="TableTextLeft"/>
              <w:spacing w:line="240" w:lineRule="atLeast"/>
              <w:jc w:val="right"/>
            </w:pPr>
            <w:r w:rsidRPr="003823A4">
              <w:t>10,000</w:t>
            </w:r>
          </w:p>
        </w:tc>
        <w:tc>
          <w:tcPr>
            <w:tcW w:w="556" w:type="pct"/>
            <w:shd w:val="clear" w:color="auto" w:fill="DBF4F5" w:themeFill="background2"/>
          </w:tcPr>
          <w:p w14:paraId="151F299D" w14:textId="77717BF5" w:rsidR="00B959B9" w:rsidRPr="004418F9" w:rsidRDefault="00B959B9" w:rsidP="00B959B9">
            <w:pPr>
              <w:pStyle w:val="TableTextLeft"/>
              <w:spacing w:line="240" w:lineRule="atLeast"/>
              <w:jc w:val="right"/>
            </w:pPr>
            <w:r w:rsidRPr="003823A4">
              <w:t>6,000</w:t>
            </w:r>
          </w:p>
        </w:tc>
        <w:tc>
          <w:tcPr>
            <w:tcW w:w="556" w:type="pct"/>
          </w:tcPr>
          <w:p w14:paraId="678C2521" w14:textId="305F6636" w:rsidR="00B959B9" w:rsidRPr="004418F9" w:rsidRDefault="00B959B9" w:rsidP="00B959B9">
            <w:pPr>
              <w:pStyle w:val="TableTextLeft"/>
              <w:spacing w:line="240" w:lineRule="atLeast"/>
              <w:jc w:val="right"/>
            </w:pPr>
            <w:r w:rsidRPr="003823A4">
              <w:t>16,000</w:t>
            </w:r>
          </w:p>
        </w:tc>
        <w:tc>
          <w:tcPr>
            <w:tcW w:w="556" w:type="pct"/>
            <w:shd w:val="clear" w:color="auto" w:fill="DBF4F5" w:themeFill="background2"/>
          </w:tcPr>
          <w:p w14:paraId="06794C91" w14:textId="0F7BAB47" w:rsidR="00B959B9" w:rsidRPr="004418F9" w:rsidRDefault="00B959B9" w:rsidP="00B959B9">
            <w:pPr>
              <w:pStyle w:val="TableTextLeft"/>
              <w:spacing w:line="240" w:lineRule="atLeast"/>
              <w:jc w:val="right"/>
            </w:pPr>
            <w:r w:rsidRPr="003823A4">
              <w:t>4,000</w:t>
            </w:r>
          </w:p>
        </w:tc>
        <w:tc>
          <w:tcPr>
            <w:tcW w:w="556" w:type="pct"/>
          </w:tcPr>
          <w:p w14:paraId="767B0787" w14:textId="72167AC8" w:rsidR="00B959B9" w:rsidRPr="004418F9" w:rsidRDefault="00B959B9" w:rsidP="00B959B9">
            <w:pPr>
              <w:pStyle w:val="TableTextLeft"/>
              <w:spacing w:line="240" w:lineRule="atLeast"/>
              <w:jc w:val="right"/>
            </w:pPr>
            <w:r w:rsidRPr="003823A4">
              <w:t>6,000</w:t>
            </w:r>
          </w:p>
        </w:tc>
        <w:tc>
          <w:tcPr>
            <w:tcW w:w="552" w:type="pct"/>
            <w:shd w:val="clear" w:color="auto" w:fill="DBF4F5" w:themeFill="background2"/>
          </w:tcPr>
          <w:p w14:paraId="68DCB05D" w14:textId="0A3DE3AC" w:rsidR="00B959B9" w:rsidRPr="004418F9" w:rsidRDefault="00B959B9" w:rsidP="00B959B9">
            <w:pPr>
              <w:pStyle w:val="TableTextLeft"/>
              <w:spacing w:line="240" w:lineRule="atLeast"/>
              <w:jc w:val="right"/>
            </w:pPr>
            <w:r w:rsidRPr="003823A4">
              <w:t>9,000</w:t>
            </w:r>
          </w:p>
        </w:tc>
      </w:tr>
      <w:tr w:rsidR="00B959B9" w:rsidRPr="00226E30" w14:paraId="1AB79B6B" w14:textId="77777777" w:rsidTr="00DA11C7">
        <w:trPr>
          <w:trHeight w:val="286"/>
        </w:trPr>
        <w:tc>
          <w:tcPr>
            <w:tcW w:w="556" w:type="pct"/>
            <w:shd w:val="clear" w:color="auto" w:fill="DBF4F5" w:themeFill="background2"/>
            <w:noWrap/>
          </w:tcPr>
          <w:p w14:paraId="053BCF24" w14:textId="0030834D" w:rsidR="00B959B9" w:rsidRPr="004418F9" w:rsidRDefault="00B959B9" w:rsidP="00B959B9">
            <w:pPr>
              <w:pStyle w:val="TableTextLeft"/>
              <w:spacing w:line="240" w:lineRule="atLeast"/>
            </w:pPr>
            <w:r w:rsidRPr="004F74BF">
              <w:t>Vietnam</w:t>
            </w:r>
          </w:p>
        </w:tc>
        <w:tc>
          <w:tcPr>
            <w:tcW w:w="556" w:type="pct"/>
            <w:noWrap/>
          </w:tcPr>
          <w:p w14:paraId="628641A9" w14:textId="479A702B" w:rsidR="00B959B9" w:rsidRPr="004418F9" w:rsidRDefault="00B959B9" w:rsidP="00B959B9">
            <w:pPr>
              <w:pStyle w:val="TableTextLeft"/>
              <w:spacing w:line="240" w:lineRule="atLeast"/>
              <w:jc w:val="right"/>
            </w:pPr>
            <w:r w:rsidRPr="003823A4">
              <w:t>2,000</w:t>
            </w:r>
          </w:p>
        </w:tc>
        <w:tc>
          <w:tcPr>
            <w:tcW w:w="556" w:type="pct"/>
            <w:shd w:val="clear" w:color="auto" w:fill="DBF4F5" w:themeFill="background2"/>
            <w:noWrap/>
          </w:tcPr>
          <w:p w14:paraId="5391E954" w14:textId="191B3EBB" w:rsidR="00B959B9" w:rsidRPr="004418F9" w:rsidRDefault="00B959B9" w:rsidP="00B959B9">
            <w:pPr>
              <w:pStyle w:val="TableTextLeft"/>
              <w:spacing w:line="240" w:lineRule="atLeast"/>
              <w:jc w:val="right"/>
            </w:pPr>
            <w:r w:rsidRPr="003823A4">
              <w:t>3,000</w:t>
            </w:r>
          </w:p>
        </w:tc>
        <w:tc>
          <w:tcPr>
            <w:tcW w:w="556" w:type="pct"/>
          </w:tcPr>
          <w:p w14:paraId="1FB11BCD" w14:textId="189BBB6C" w:rsidR="00B959B9" w:rsidRPr="004418F9" w:rsidRDefault="00B959B9" w:rsidP="00B959B9">
            <w:pPr>
              <w:pStyle w:val="TableTextLeft"/>
              <w:spacing w:line="240" w:lineRule="atLeast"/>
              <w:jc w:val="right"/>
            </w:pPr>
            <w:r w:rsidRPr="003823A4">
              <w:t>7,000</w:t>
            </w:r>
          </w:p>
        </w:tc>
        <w:tc>
          <w:tcPr>
            <w:tcW w:w="556" w:type="pct"/>
            <w:shd w:val="clear" w:color="auto" w:fill="DBF4F5" w:themeFill="background2"/>
          </w:tcPr>
          <w:p w14:paraId="68844A9B" w14:textId="131BD007" w:rsidR="00B959B9" w:rsidRPr="004418F9" w:rsidRDefault="00B959B9" w:rsidP="00B959B9">
            <w:pPr>
              <w:pStyle w:val="TableTextLeft"/>
              <w:spacing w:line="240" w:lineRule="atLeast"/>
              <w:jc w:val="right"/>
            </w:pPr>
            <w:r w:rsidRPr="003823A4">
              <w:t>12,000</w:t>
            </w:r>
          </w:p>
        </w:tc>
        <w:tc>
          <w:tcPr>
            <w:tcW w:w="556" w:type="pct"/>
          </w:tcPr>
          <w:p w14:paraId="362F12EC" w14:textId="33DE56E2" w:rsidR="00B959B9" w:rsidRPr="004418F9" w:rsidRDefault="00B959B9" w:rsidP="00B959B9">
            <w:pPr>
              <w:pStyle w:val="TableTextLeft"/>
              <w:spacing w:line="240" w:lineRule="atLeast"/>
              <w:jc w:val="right"/>
            </w:pPr>
            <w:r w:rsidRPr="003823A4">
              <w:t>7,000</w:t>
            </w:r>
          </w:p>
        </w:tc>
        <w:tc>
          <w:tcPr>
            <w:tcW w:w="556" w:type="pct"/>
            <w:shd w:val="clear" w:color="auto" w:fill="DBF4F5" w:themeFill="background2"/>
          </w:tcPr>
          <w:p w14:paraId="46F5AFD1" w14:textId="746B6452" w:rsidR="00B959B9" w:rsidRPr="004418F9" w:rsidRDefault="00B959B9" w:rsidP="00B959B9">
            <w:pPr>
              <w:pStyle w:val="TableTextLeft"/>
              <w:spacing w:line="240" w:lineRule="atLeast"/>
              <w:jc w:val="right"/>
            </w:pPr>
            <w:r w:rsidRPr="003823A4">
              <w:t>9,000</w:t>
            </w:r>
          </w:p>
        </w:tc>
        <w:tc>
          <w:tcPr>
            <w:tcW w:w="556" w:type="pct"/>
          </w:tcPr>
          <w:p w14:paraId="5A66B4B9" w14:textId="01FEE3C8" w:rsidR="00B959B9" w:rsidRPr="004418F9" w:rsidRDefault="00B959B9" w:rsidP="00B959B9">
            <w:pPr>
              <w:pStyle w:val="TableTextLeft"/>
              <w:spacing w:line="240" w:lineRule="atLeast"/>
              <w:jc w:val="right"/>
            </w:pPr>
            <w:r w:rsidRPr="003823A4">
              <w:t>9,000</w:t>
            </w:r>
          </w:p>
        </w:tc>
        <w:tc>
          <w:tcPr>
            <w:tcW w:w="552" w:type="pct"/>
            <w:shd w:val="clear" w:color="auto" w:fill="DBF4F5" w:themeFill="background2"/>
          </w:tcPr>
          <w:p w14:paraId="31300835" w14:textId="6BB4B6CF" w:rsidR="00B959B9" w:rsidRPr="004418F9" w:rsidRDefault="00B959B9" w:rsidP="00B959B9">
            <w:pPr>
              <w:pStyle w:val="TableTextLeft"/>
              <w:spacing w:line="240" w:lineRule="atLeast"/>
              <w:jc w:val="right"/>
            </w:pPr>
            <w:r w:rsidRPr="003823A4">
              <w:t>7,000</w:t>
            </w:r>
          </w:p>
        </w:tc>
      </w:tr>
      <w:tr w:rsidR="00B959B9" w:rsidRPr="00226E30" w14:paraId="4F25F9F1" w14:textId="77777777" w:rsidTr="00DA11C7">
        <w:trPr>
          <w:trHeight w:val="286"/>
        </w:trPr>
        <w:tc>
          <w:tcPr>
            <w:tcW w:w="556" w:type="pct"/>
            <w:shd w:val="clear" w:color="auto" w:fill="DBF4F5" w:themeFill="background2"/>
            <w:noWrap/>
          </w:tcPr>
          <w:p w14:paraId="10D21A43" w14:textId="3FCAF152" w:rsidR="00B959B9" w:rsidRPr="004418F9" w:rsidRDefault="00B959B9" w:rsidP="00B959B9">
            <w:pPr>
              <w:pStyle w:val="TableTextLeft"/>
              <w:spacing w:line="240" w:lineRule="atLeast"/>
            </w:pPr>
            <w:r w:rsidRPr="004F74BF">
              <w:t>Thailand</w:t>
            </w:r>
          </w:p>
        </w:tc>
        <w:tc>
          <w:tcPr>
            <w:tcW w:w="556" w:type="pct"/>
            <w:noWrap/>
          </w:tcPr>
          <w:p w14:paraId="67462D44" w14:textId="42EEB3A8" w:rsidR="00B959B9" w:rsidRPr="004418F9" w:rsidRDefault="00B959B9" w:rsidP="00B959B9">
            <w:pPr>
              <w:pStyle w:val="TableTextLeft"/>
              <w:spacing w:line="240" w:lineRule="atLeast"/>
              <w:jc w:val="right"/>
            </w:pPr>
            <w:r w:rsidRPr="003823A4">
              <w:t>2,000</w:t>
            </w:r>
          </w:p>
        </w:tc>
        <w:tc>
          <w:tcPr>
            <w:tcW w:w="556" w:type="pct"/>
            <w:shd w:val="clear" w:color="auto" w:fill="DBF4F5" w:themeFill="background2"/>
            <w:noWrap/>
          </w:tcPr>
          <w:p w14:paraId="0A437B00" w14:textId="6F0FB13A" w:rsidR="00B959B9" w:rsidRPr="004418F9" w:rsidRDefault="00B959B9" w:rsidP="00B959B9">
            <w:pPr>
              <w:pStyle w:val="TableTextLeft"/>
              <w:spacing w:line="240" w:lineRule="atLeast"/>
              <w:jc w:val="right"/>
            </w:pPr>
            <w:r w:rsidRPr="003823A4">
              <w:t>4,000</w:t>
            </w:r>
          </w:p>
        </w:tc>
        <w:tc>
          <w:tcPr>
            <w:tcW w:w="556" w:type="pct"/>
          </w:tcPr>
          <w:p w14:paraId="59D254B0" w14:textId="017CFDC5" w:rsidR="00B959B9" w:rsidRPr="004418F9" w:rsidRDefault="00B959B9" w:rsidP="00B959B9">
            <w:pPr>
              <w:pStyle w:val="TableTextLeft"/>
              <w:spacing w:line="240" w:lineRule="atLeast"/>
              <w:jc w:val="right"/>
            </w:pPr>
            <w:r w:rsidRPr="003823A4">
              <w:t>14,000</w:t>
            </w:r>
          </w:p>
        </w:tc>
        <w:tc>
          <w:tcPr>
            <w:tcW w:w="556" w:type="pct"/>
            <w:shd w:val="clear" w:color="auto" w:fill="DBF4F5" w:themeFill="background2"/>
          </w:tcPr>
          <w:p w14:paraId="7507CBC9" w14:textId="73D7E561" w:rsidR="00B959B9" w:rsidRPr="004418F9" w:rsidRDefault="00B959B9" w:rsidP="00B959B9">
            <w:pPr>
              <w:pStyle w:val="TableTextLeft"/>
              <w:spacing w:line="240" w:lineRule="atLeast"/>
              <w:jc w:val="right"/>
            </w:pPr>
            <w:r w:rsidRPr="003823A4">
              <w:t>11,000</w:t>
            </w:r>
          </w:p>
        </w:tc>
        <w:tc>
          <w:tcPr>
            <w:tcW w:w="556" w:type="pct"/>
          </w:tcPr>
          <w:p w14:paraId="4721D4C8" w14:textId="3E827D44" w:rsidR="00B959B9" w:rsidRPr="004418F9" w:rsidRDefault="00B959B9" w:rsidP="00B959B9">
            <w:pPr>
              <w:pStyle w:val="TableTextLeft"/>
              <w:spacing w:line="240" w:lineRule="atLeast"/>
              <w:jc w:val="right"/>
            </w:pPr>
            <w:r w:rsidRPr="003823A4">
              <w:t>24,000</w:t>
            </w:r>
          </w:p>
        </w:tc>
        <w:tc>
          <w:tcPr>
            <w:tcW w:w="556" w:type="pct"/>
            <w:shd w:val="clear" w:color="auto" w:fill="DBF4F5" w:themeFill="background2"/>
          </w:tcPr>
          <w:p w14:paraId="77ECD2BF" w14:textId="08EDAD60" w:rsidR="00B959B9" w:rsidRPr="004418F9" w:rsidRDefault="00B959B9" w:rsidP="00B959B9">
            <w:pPr>
              <w:pStyle w:val="TableTextLeft"/>
              <w:spacing w:line="240" w:lineRule="atLeast"/>
              <w:jc w:val="right"/>
            </w:pPr>
            <w:r w:rsidRPr="003823A4">
              <w:t>19,000</w:t>
            </w:r>
          </w:p>
        </w:tc>
        <w:tc>
          <w:tcPr>
            <w:tcW w:w="556" w:type="pct"/>
          </w:tcPr>
          <w:p w14:paraId="535DDE46" w14:textId="060712D4" w:rsidR="00B959B9" w:rsidRPr="004418F9" w:rsidRDefault="00B959B9" w:rsidP="00B959B9">
            <w:pPr>
              <w:pStyle w:val="TableTextLeft"/>
              <w:spacing w:line="240" w:lineRule="atLeast"/>
              <w:jc w:val="right"/>
            </w:pPr>
            <w:r w:rsidRPr="003823A4">
              <w:t>13,000</w:t>
            </w:r>
          </w:p>
        </w:tc>
        <w:tc>
          <w:tcPr>
            <w:tcW w:w="552" w:type="pct"/>
            <w:shd w:val="clear" w:color="auto" w:fill="DBF4F5" w:themeFill="background2"/>
          </w:tcPr>
          <w:p w14:paraId="53250B0E" w14:textId="78BFECFB" w:rsidR="00B959B9" w:rsidRPr="004418F9" w:rsidRDefault="00B959B9" w:rsidP="00B959B9">
            <w:pPr>
              <w:pStyle w:val="TableTextLeft"/>
              <w:spacing w:line="240" w:lineRule="atLeast"/>
              <w:jc w:val="right"/>
            </w:pPr>
            <w:r w:rsidRPr="003823A4">
              <w:t>8,000</w:t>
            </w:r>
          </w:p>
        </w:tc>
      </w:tr>
      <w:tr w:rsidR="00B959B9" w:rsidRPr="00226E30" w14:paraId="4A05AFB3" w14:textId="77777777" w:rsidTr="00DA11C7">
        <w:trPr>
          <w:trHeight w:val="286"/>
        </w:trPr>
        <w:tc>
          <w:tcPr>
            <w:tcW w:w="556" w:type="pct"/>
            <w:shd w:val="clear" w:color="auto" w:fill="DBF4F5" w:themeFill="background2"/>
            <w:noWrap/>
          </w:tcPr>
          <w:p w14:paraId="7EF274EE" w14:textId="69357137" w:rsidR="00B959B9" w:rsidRPr="004418F9" w:rsidRDefault="00B959B9" w:rsidP="00B959B9">
            <w:pPr>
              <w:pStyle w:val="TableTextLeft"/>
              <w:spacing w:line="240" w:lineRule="atLeast"/>
            </w:pPr>
            <w:r w:rsidRPr="004F74BF">
              <w:t>Korea</w:t>
            </w:r>
          </w:p>
        </w:tc>
        <w:tc>
          <w:tcPr>
            <w:tcW w:w="556" w:type="pct"/>
            <w:noWrap/>
          </w:tcPr>
          <w:p w14:paraId="367CBB42" w14:textId="13DE5AF5" w:rsidR="00B959B9" w:rsidRPr="004418F9" w:rsidRDefault="00B959B9" w:rsidP="00B959B9">
            <w:pPr>
              <w:pStyle w:val="TableTextLeft"/>
              <w:spacing w:line="240" w:lineRule="atLeast"/>
              <w:jc w:val="right"/>
            </w:pPr>
            <w:r w:rsidRPr="003823A4">
              <w:t>0</w:t>
            </w:r>
          </w:p>
        </w:tc>
        <w:tc>
          <w:tcPr>
            <w:tcW w:w="556" w:type="pct"/>
            <w:shd w:val="clear" w:color="auto" w:fill="DBF4F5" w:themeFill="background2"/>
            <w:noWrap/>
          </w:tcPr>
          <w:p w14:paraId="6A28A2EC" w14:textId="3D3F450A" w:rsidR="00B959B9" w:rsidRPr="004418F9" w:rsidRDefault="00B959B9" w:rsidP="00B959B9">
            <w:pPr>
              <w:pStyle w:val="TableTextLeft"/>
              <w:spacing w:line="240" w:lineRule="atLeast"/>
              <w:jc w:val="right"/>
            </w:pPr>
            <w:r w:rsidRPr="003823A4">
              <w:t>0</w:t>
            </w:r>
          </w:p>
        </w:tc>
        <w:tc>
          <w:tcPr>
            <w:tcW w:w="556" w:type="pct"/>
          </w:tcPr>
          <w:p w14:paraId="33FF30AB" w14:textId="5A121FA4" w:rsidR="00B959B9" w:rsidRPr="004418F9" w:rsidRDefault="00B959B9" w:rsidP="00B959B9">
            <w:pPr>
              <w:pStyle w:val="TableTextLeft"/>
              <w:spacing w:line="240" w:lineRule="atLeast"/>
              <w:jc w:val="right"/>
            </w:pPr>
            <w:r w:rsidRPr="003823A4">
              <w:t>1,000</w:t>
            </w:r>
          </w:p>
        </w:tc>
        <w:tc>
          <w:tcPr>
            <w:tcW w:w="556" w:type="pct"/>
            <w:shd w:val="clear" w:color="auto" w:fill="DBF4F5" w:themeFill="background2"/>
          </w:tcPr>
          <w:p w14:paraId="5FFAF067" w14:textId="442E1A6F" w:rsidR="00B959B9" w:rsidRPr="004418F9" w:rsidRDefault="00B959B9" w:rsidP="00B959B9">
            <w:pPr>
              <w:pStyle w:val="TableTextLeft"/>
              <w:spacing w:line="240" w:lineRule="atLeast"/>
              <w:jc w:val="right"/>
            </w:pPr>
            <w:r w:rsidRPr="003823A4">
              <w:t>1,000</w:t>
            </w:r>
          </w:p>
        </w:tc>
        <w:tc>
          <w:tcPr>
            <w:tcW w:w="556" w:type="pct"/>
          </w:tcPr>
          <w:p w14:paraId="38E588EB" w14:textId="4CBDD11E" w:rsidR="00B959B9" w:rsidRPr="004418F9" w:rsidRDefault="00B959B9" w:rsidP="00B959B9">
            <w:pPr>
              <w:pStyle w:val="TableTextLeft"/>
              <w:spacing w:line="240" w:lineRule="atLeast"/>
              <w:jc w:val="right"/>
            </w:pPr>
            <w:r w:rsidRPr="003823A4">
              <w:t>1,000</w:t>
            </w:r>
          </w:p>
        </w:tc>
        <w:tc>
          <w:tcPr>
            <w:tcW w:w="556" w:type="pct"/>
            <w:shd w:val="clear" w:color="auto" w:fill="DBF4F5" w:themeFill="background2"/>
          </w:tcPr>
          <w:p w14:paraId="58C26F9E" w14:textId="59A51542" w:rsidR="00B959B9" w:rsidRPr="004418F9" w:rsidRDefault="00B959B9" w:rsidP="00B959B9">
            <w:pPr>
              <w:pStyle w:val="TableTextLeft"/>
              <w:spacing w:line="240" w:lineRule="atLeast"/>
              <w:jc w:val="right"/>
            </w:pPr>
            <w:r w:rsidRPr="003823A4">
              <w:t>1,000</w:t>
            </w:r>
          </w:p>
        </w:tc>
        <w:tc>
          <w:tcPr>
            <w:tcW w:w="556" w:type="pct"/>
          </w:tcPr>
          <w:p w14:paraId="3640EED8" w14:textId="429AF294" w:rsidR="00B959B9" w:rsidRPr="004418F9" w:rsidRDefault="00B959B9" w:rsidP="00B959B9">
            <w:pPr>
              <w:pStyle w:val="TableTextLeft"/>
              <w:spacing w:line="240" w:lineRule="atLeast"/>
              <w:jc w:val="right"/>
            </w:pPr>
            <w:r w:rsidRPr="003823A4">
              <w:t>0</w:t>
            </w:r>
          </w:p>
        </w:tc>
        <w:tc>
          <w:tcPr>
            <w:tcW w:w="552" w:type="pct"/>
            <w:shd w:val="clear" w:color="auto" w:fill="DBF4F5" w:themeFill="background2"/>
          </w:tcPr>
          <w:p w14:paraId="7417A444" w14:textId="677621C6" w:rsidR="00B959B9" w:rsidRPr="004418F9" w:rsidRDefault="00B959B9" w:rsidP="00B959B9">
            <w:pPr>
              <w:pStyle w:val="TableTextLeft"/>
              <w:spacing w:line="240" w:lineRule="atLeast"/>
              <w:jc w:val="right"/>
            </w:pPr>
            <w:r w:rsidRPr="003823A4">
              <w:t>3,000</w:t>
            </w:r>
          </w:p>
        </w:tc>
      </w:tr>
      <w:tr w:rsidR="00B959B9" w:rsidRPr="00226E30" w14:paraId="1EE5E155" w14:textId="77777777" w:rsidTr="00DA11C7">
        <w:trPr>
          <w:trHeight w:val="286"/>
        </w:trPr>
        <w:tc>
          <w:tcPr>
            <w:tcW w:w="556" w:type="pct"/>
            <w:shd w:val="clear" w:color="auto" w:fill="DBF4F5" w:themeFill="background2"/>
            <w:noWrap/>
          </w:tcPr>
          <w:p w14:paraId="57324E8D" w14:textId="76E6814E" w:rsidR="00B959B9" w:rsidRPr="004418F9" w:rsidRDefault="00B959B9" w:rsidP="00B959B9">
            <w:pPr>
              <w:pStyle w:val="TableTextLeft"/>
              <w:spacing w:line="240" w:lineRule="atLeast"/>
            </w:pPr>
            <w:r w:rsidRPr="004F74BF">
              <w:t>China</w:t>
            </w:r>
          </w:p>
        </w:tc>
        <w:tc>
          <w:tcPr>
            <w:tcW w:w="556" w:type="pct"/>
            <w:noWrap/>
          </w:tcPr>
          <w:p w14:paraId="3FFC5FF9" w14:textId="5C26BDD7" w:rsidR="00B959B9" w:rsidRPr="004418F9" w:rsidRDefault="00B959B9" w:rsidP="00B959B9">
            <w:pPr>
              <w:pStyle w:val="TableTextLeft"/>
              <w:spacing w:line="240" w:lineRule="atLeast"/>
              <w:jc w:val="right"/>
            </w:pPr>
            <w:r w:rsidRPr="003823A4">
              <w:t>204,000</w:t>
            </w:r>
          </w:p>
        </w:tc>
        <w:tc>
          <w:tcPr>
            <w:tcW w:w="556" w:type="pct"/>
            <w:shd w:val="clear" w:color="auto" w:fill="DBF4F5" w:themeFill="background2"/>
            <w:noWrap/>
          </w:tcPr>
          <w:p w14:paraId="4FFAAABF" w14:textId="2151AFDD" w:rsidR="00B959B9" w:rsidRPr="004418F9" w:rsidRDefault="00B959B9" w:rsidP="00B959B9">
            <w:pPr>
              <w:pStyle w:val="TableTextLeft"/>
              <w:spacing w:line="240" w:lineRule="atLeast"/>
              <w:jc w:val="right"/>
            </w:pPr>
            <w:r w:rsidRPr="003823A4">
              <w:t>171,000</w:t>
            </w:r>
          </w:p>
        </w:tc>
        <w:tc>
          <w:tcPr>
            <w:tcW w:w="556" w:type="pct"/>
          </w:tcPr>
          <w:p w14:paraId="5E7552AD" w14:textId="5520E559" w:rsidR="00B959B9" w:rsidRPr="004418F9" w:rsidRDefault="00B959B9" w:rsidP="00B959B9">
            <w:pPr>
              <w:pStyle w:val="TableTextLeft"/>
              <w:spacing w:line="240" w:lineRule="atLeast"/>
              <w:jc w:val="right"/>
            </w:pPr>
            <w:r w:rsidRPr="003823A4">
              <w:t>67,000</w:t>
            </w:r>
          </w:p>
        </w:tc>
        <w:tc>
          <w:tcPr>
            <w:tcW w:w="556" w:type="pct"/>
            <w:shd w:val="clear" w:color="auto" w:fill="DBF4F5" w:themeFill="background2"/>
          </w:tcPr>
          <w:p w14:paraId="55F1A943" w14:textId="54870508" w:rsidR="00B959B9" w:rsidRPr="004418F9" w:rsidRDefault="00B959B9" w:rsidP="00B959B9">
            <w:pPr>
              <w:pStyle w:val="TableTextLeft"/>
              <w:spacing w:line="240" w:lineRule="atLeast"/>
              <w:jc w:val="right"/>
            </w:pPr>
            <w:r w:rsidRPr="003823A4">
              <w:t>48,000</w:t>
            </w:r>
          </w:p>
        </w:tc>
        <w:tc>
          <w:tcPr>
            <w:tcW w:w="556" w:type="pct"/>
          </w:tcPr>
          <w:p w14:paraId="32F75731" w14:textId="4D15F62E" w:rsidR="00B959B9" w:rsidRPr="004418F9" w:rsidRDefault="00B959B9" w:rsidP="00B959B9">
            <w:pPr>
              <w:pStyle w:val="TableTextLeft"/>
              <w:spacing w:line="240" w:lineRule="atLeast"/>
              <w:jc w:val="right"/>
            </w:pPr>
            <w:r w:rsidRPr="003823A4">
              <w:t>24,000</w:t>
            </w:r>
          </w:p>
        </w:tc>
        <w:tc>
          <w:tcPr>
            <w:tcW w:w="556" w:type="pct"/>
            <w:shd w:val="clear" w:color="auto" w:fill="DBF4F5" w:themeFill="background2"/>
          </w:tcPr>
          <w:p w14:paraId="55D8C333" w14:textId="25052E6A" w:rsidR="00B959B9" w:rsidRPr="004418F9" w:rsidRDefault="00B959B9" w:rsidP="00B959B9">
            <w:pPr>
              <w:pStyle w:val="TableTextLeft"/>
              <w:spacing w:line="240" w:lineRule="atLeast"/>
              <w:jc w:val="right"/>
            </w:pPr>
            <w:r w:rsidRPr="003823A4">
              <w:t>9,000</w:t>
            </w:r>
          </w:p>
        </w:tc>
        <w:tc>
          <w:tcPr>
            <w:tcW w:w="556" w:type="pct"/>
          </w:tcPr>
          <w:p w14:paraId="77C5518B" w14:textId="6DC75A05" w:rsidR="00B959B9" w:rsidRPr="004418F9" w:rsidRDefault="00B959B9" w:rsidP="00B959B9">
            <w:pPr>
              <w:pStyle w:val="TableTextLeft"/>
              <w:spacing w:line="240" w:lineRule="atLeast"/>
              <w:jc w:val="right"/>
            </w:pPr>
            <w:r w:rsidRPr="003823A4">
              <w:t>0</w:t>
            </w:r>
          </w:p>
        </w:tc>
        <w:tc>
          <w:tcPr>
            <w:tcW w:w="552" w:type="pct"/>
            <w:shd w:val="clear" w:color="auto" w:fill="DBF4F5" w:themeFill="background2"/>
          </w:tcPr>
          <w:p w14:paraId="67D62F6A" w14:textId="7C7E92D7" w:rsidR="00B959B9" w:rsidRPr="004418F9" w:rsidRDefault="00B959B9" w:rsidP="00B959B9">
            <w:pPr>
              <w:pStyle w:val="TableTextLeft"/>
              <w:spacing w:line="240" w:lineRule="atLeast"/>
              <w:jc w:val="right"/>
            </w:pPr>
            <w:r w:rsidRPr="003823A4">
              <w:t>0</w:t>
            </w:r>
          </w:p>
        </w:tc>
      </w:tr>
      <w:tr w:rsidR="00B959B9" w:rsidRPr="00226E30" w14:paraId="56EF9AE3" w14:textId="77777777" w:rsidTr="00DA11C7">
        <w:trPr>
          <w:trHeight w:val="286"/>
        </w:trPr>
        <w:tc>
          <w:tcPr>
            <w:tcW w:w="556" w:type="pct"/>
            <w:shd w:val="clear" w:color="auto" w:fill="DBF4F5" w:themeFill="background2"/>
            <w:noWrap/>
          </w:tcPr>
          <w:p w14:paraId="74023BF6" w14:textId="622FF2F2" w:rsidR="00B959B9" w:rsidRPr="00DA11C7" w:rsidRDefault="00B959B9" w:rsidP="00B959B9">
            <w:pPr>
              <w:pStyle w:val="TableTextLeft"/>
              <w:spacing w:line="240" w:lineRule="atLeast"/>
              <w:rPr>
                <w:szCs w:val="18"/>
              </w:rPr>
            </w:pPr>
            <w:r w:rsidRPr="004F74BF">
              <w:t>All other</w:t>
            </w:r>
          </w:p>
        </w:tc>
        <w:tc>
          <w:tcPr>
            <w:tcW w:w="556" w:type="pct"/>
            <w:noWrap/>
          </w:tcPr>
          <w:p w14:paraId="14C35484" w14:textId="4D29633D" w:rsidR="00B959B9" w:rsidRPr="00DA11C7" w:rsidRDefault="00B959B9" w:rsidP="00B959B9">
            <w:pPr>
              <w:pStyle w:val="TableTextLeft"/>
              <w:spacing w:line="240" w:lineRule="atLeast"/>
              <w:jc w:val="right"/>
              <w:rPr>
                <w:szCs w:val="18"/>
              </w:rPr>
            </w:pPr>
            <w:r w:rsidRPr="003823A4">
              <w:t>11,000</w:t>
            </w:r>
          </w:p>
        </w:tc>
        <w:tc>
          <w:tcPr>
            <w:tcW w:w="556" w:type="pct"/>
            <w:shd w:val="clear" w:color="auto" w:fill="DBF4F5" w:themeFill="background2"/>
            <w:noWrap/>
          </w:tcPr>
          <w:p w14:paraId="248E0114" w14:textId="395ECFA0" w:rsidR="00B959B9" w:rsidRPr="00DA11C7" w:rsidRDefault="00B959B9" w:rsidP="00B959B9">
            <w:pPr>
              <w:pStyle w:val="TableTextLeft"/>
              <w:spacing w:line="240" w:lineRule="atLeast"/>
              <w:jc w:val="right"/>
              <w:rPr>
                <w:szCs w:val="18"/>
              </w:rPr>
            </w:pPr>
            <w:r w:rsidRPr="003823A4">
              <w:t>15,000</w:t>
            </w:r>
          </w:p>
        </w:tc>
        <w:tc>
          <w:tcPr>
            <w:tcW w:w="556" w:type="pct"/>
          </w:tcPr>
          <w:p w14:paraId="76CC2DC9" w14:textId="6972EB8C" w:rsidR="00B959B9" w:rsidRPr="00DA11C7" w:rsidRDefault="00B959B9" w:rsidP="00B959B9">
            <w:pPr>
              <w:pStyle w:val="TableTextLeft"/>
              <w:spacing w:line="240" w:lineRule="atLeast"/>
              <w:jc w:val="right"/>
              <w:rPr>
                <w:szCs w:val="18"/>
              </w:rPr>
            </w:pPr>
            <w:r w:rsidRPr="003823A4">
              <w:t>16,000</w:t>
            </w:r>
          </w:p>
        </w:tc>
        <w:tc>
          <w:tcPr>
            <w:tcW w:w="556" w:type="pct"/>
            <w:shd w:val="clear" w:color="auto" w:fill="DBF4F5" w:themeFill="background2"/>
          </w:tcPr>
          <w:p w14:paraId="120569D7" w14:textId="77FB99A6" w:rsidR="00B959B9" w:rsidRPr="00DA11C7" w:rsidRDefault="00B959B9" w:rsidP="00B959B9">
            <w:pPr>
              <w:pStyle w:val="TableTextLeft"/>
              <w:spacing w:line="240" w:lineRule="atLeast"/>
              <w:jc w:val="right"/>
              <w:rPr>
                <w:szCs w:val="18"/>
              </w:rPr>
            </w:pPr>
            <w:r w:rsidRPr="003823A4">
              <w:t>20,000</w:t>
            </w:r>
          </w:p>
        </w:tc>
        <w:tc>
          <w:tcPr>
            <w:tcW w:w="556" w:type="pct"/>
          </w:tcPr>
          <w:p w14:paraId="74BA0D48" w14:textId="2F4A3484" w:rsidR="00B959B9" w:rsidRPr="00DA11C7" w:rsidRDefault="00B959B9" w:rsidP="00B959B9">
            <w:pPr>
              <w:pStyle w:val="TableTextLeft"/>
              <w:spacing w:line="240" w:lineRule="atLeast"/>
              <w:jc w:val="right"/>
              <w:rPr>
                <w:szCs w:val="18"/>
              </w:rPr>
            </w:pPr>
            <w:r w:rsidRPr="003823A4">
              <w:t>24,000</w:t>
            </w:r>
          </w:p>
        </w:tc>
        <w:tc>
          <w:tcPr>
            <w:tcW w:w="556" w:type="pct"/>
            <w:shd w:val="clear" w:color="auto" w:fill="DBF4F5" w:themeFill="background2"/>
          </w:tcPr>
          <w:p w14:paraId="209C7B7E" w14:textId="7EDE249A" w:rsidR="00B959B9" w:rsidRPr="00DA11C7" w:rsidRDefault="00B959B9" w:rsidP="00B959B9">
            <w:pPr>
              <w:pStyle w:val="TableTextLeft"/>
              <w:spacing w:line="240" w:lineRule="atLeast"/>
              <w:jc w:val="right"/>
              <w:rPr>
                <w:szCs w:val="18"/>
              </w:rPr>
            </w:pPr>
            <w:r w:rsidRPr="003823A4">
              <w:t>12,000</w:t>
            </w:r>
          </w:p>
        </w:tc>
        <w:tc>
          <w:tcPr>
            <w:tcW w:w="556" w:type="pct"/>
          </w:tcPr>
          <w:p w14:paraId="2E3A5FD3" w14:textId="4B212BC1" w:rsidR="00B959B9" w:rsidRPr="00DA11C7" w:rsidRDefault="00B959B9" w:rsidP="00B959B9">
            <w:pPr>
              <w:pStyle w:val="TableTextLeft"/>
              <w:spacing w:line="240" w:lineRule="atLeast"/>
              <w:jc w:val="right"/>
              <w:rPr>
                <w:szCs w:val="18"/>
              </w:rPr>
            </w:pPr>
            <w:r w:rsidRPr="003823A4">
              <w:t>5,000</w:t>
            </w:r>
          </w:p>
        </w:tc>
        <w:tc>
          <w:tcPr>
            <w:tcW w:w="552" w:type="pct"/>
            <w:shd w:val="clear" w:color="auto" w:fill="DBF4F5" w:themeFill="background2"/>
          </w:tcPr>
          <w:p w14:paraId="107AED55" w14:textId="3E0937EC" w:rsidR="00B959B9" w:rsidRPr="00DA11C7" w:rsidRDefault="00B959B9" w:rsidP="00B959B9">
            <w:pPr>
              <w:pStyle w:val="TableTextLeft"/>
              <w:spacing w:line="240" w:lineRule="atLeast"/>
              <w:jc w:val="right"/>
              <w:rPr>
                <w:szCs w:val="18"/>
              </w:rPr>
            </w:pPr>
            <w:r w:rsidRPr="003823A4">
              <w:t>3,000</w:t>
            </w:r>
          </w:p>
        </w:tc>
      </w:tr>
      <w:tr w:rsidR="000D378D" w:rsidRPr="000D378D" w14:paraId="4A64DDE8" w14:textId="77777777" w:rsidTr="00DA11C7">
        <w:trPr>
          <w:trHeight w:val="286"/>
        </w:trPr>
        <w:tc>
          <w:tcPr>
            <w:tcW w:w="556" w:type="pct"/>
            <w:shd w:val="clear" w:color="auto" w:fill="DBF4F5" w:themeFill="background2"/>
            <w:noWrap/>
          </w:tcPr>
          <w:p w14:paraId="4115DB78" w14:textId="77777777" w:rsidR="000D378D" w:rsidRPr="00DA11C7" w:rsidRDefault="000D378D" w:rsidP="000D378D">
            <w:pPr>
              <w:pStyle w:val="TableTextLeftBold"/>
              <w:rPr>
                <w:sz w:val="18"/>
                <w:szCs w:val="18"/>
              </w:rPr>
            </w:pPr>
            <w:r w:rsidRPr="00DA11C7">
              <w:rPr>
                <w:sz w:val="18"/>
                <w:szCs w:val="18"/>
              </w:rPr>
              <w:t>Total</w:t>
            </w:r>
          </w:p>
        </w:tc>
        <w:tc>
          <w:tcPr>
            <w:tcW w:w="556" w:type="pct"/>
            <w:noWrap/>
          </w:tcPr>
          <w:p w14:paraId="7E915EBC" w14:textId="4FFDD4DE" w:rsidR="000D378D" w:rsidRPr="000D378D" w:rsidRDefault="000D378D" w:rsidP="000D378D">
            <w:pPr>
              <w:pStyle w:val="TableTextLeftBold"/>
              <w:jc w:val="right"/>
              <w:rPr>
                <w:sz w:val="18"/>
                <w:szCs w:val="18"/>
              </w:rPr>
            </w:pPr>
            <w:r w:rsidRPr="000D378D">
              <w:rPr>
                <w:sz w:val="18"/>
                <w:szCs w:val="18"/>
              </w:rPr>
              <w:t>265,000</w:t>
            </w:r>
          </w:p>
        </w:tc>
        <w:tc>
          <w:tcPr>
            <w:tcW w:w="556" w:type="pct"/>
            <w:shd w:val="clear" w:color="auto" w:fill="DBF4F5" w:themeFill="background2"/>
            <w:noWrap/>
          </w:tcPr>
          <w:p w14:paraId="29EC51D4" w14:textId="33D61F11" w:rsidR="000D378D" w:rsidRPr="000D378D" w:rsidRDefault="000D378D" w:rsidP="000D378D">
            <w:pPr>
              <w:pStyle w:val="TableTextLeftBold"/>
              <w:jc w:val="right"/>
              <w:rPr>
                <w:sz w:val="18"/>
                <w:szCs w:val="18"/>
              </w:rPr>
            </w:pPr>
            <w:r w:rsidRPr="000D378D">
              <w:rPr>
                <w:sz w:val="18"/>
                <w:szCs w:val="18"/>
              </w:rPr>
              <w:t>217,000</w:t>
            </w:r>
          </w:p>
        </w:tc>
        <w:tc>
          <w:tcPr>
            <w:tcW w:w="556" w:type="pct"/>
          </w:tcPr>
          <w:p w14:paraId="6A0BEB7C" w14:textId="1DEDFC9E" w:rsidR="000D378D" w:rsidRPr="000D378D" w:rsidRDefault="000D378D" w:rsidP="000D378D">
            <w:pPr>
              <w:pStyle w:val="TableTextLeftBold"/>
              <w:jc w:val="right"/>
              <w:rPr>
                <w:sz w:val="18"/>
                <w:szCs w:val="18"/>
              </w:rPr>
            </w:pPr>
            <w:r w:rsidRPr="000D378D">
              <w:rPr>
                <w:sz w:val="18"/>
                <w:szCs w:val="18"/>
              </w:rPr>
              <w:t>149,000</w:t>
            </w:r>
          </w:p>
        </w:tc>
        <w:tc>
          <w:tcPr>
            <w:tcW w:w="556" w:type="pct"/>
            <w:shd w:val="clear" w:color="auto" w:fill="DBF4F5" w:themeFill="background2"/>
          </w:tcPr>
          <w:p w14:paraId="6655DA19" w14:textId="1435E2EE" w:rsidR="000D378D" w:rsidRPr="000D378D" w:rsidRDefault="000D378D" w:rsidP="000D378D">
            <w:pPr>
              <w:pStyle w:val="TableTextLeftBold"/>
              <w:jc w:val="right"/>
              <w:rPr>
                <w:sz w:val="18"/>
                <w:szCs w:val="18"/>
              </w:rPr>
            </w:pPr>
            <w:r w:rsidRPr="000D378D">
              <w:rPr>
                <w:sz w:val="18"/>
                <w:szCs w:val="18"/>
              </w:rPr>
              <w:t>130,000</w:t>
            </w:r>
          </w:p>
        </w:tc>
        <w:tc>
          <w:tcPr>
            <w:tcW w:w="556" w:type="pct"/>
          </w:tcPr>
          <w:p w14:paraId="069CDA0F" w14:textId="6EEF75E4" w:rsidR="000D378D" w:rsidRPr="000D378D" w:rsidRDefault="000D378D" w:rsidP="000D378D">
            <w:pPr>
              <w:pStyle w:val="TableTextLeftBold"/>
              <w:jc w:val="right"/>
              <w:rPr>
                <w:sz w:val="18"/>
                <w:szCs w:val="18"/>
              </w:rPr>
            </w:pPr>
            <w:r w:rsidRPr="000D378D">
              <w:rPr>
                <w:sz w:val="18"/>
                <w:szCs w:val="18"/>
              </w:rPr>
              <w:t>130,000</w:t>
            </w:r>
          </w:p>
        </w:tc>
        <w:tc>
          <w:tcPr>
            <w:tcW w:w="556" w:type="pct"/>
            <w:shd w:val="clear" w:color="auto" w:fill="DBF4F5" w:themeFill="background2"/>
          </w:tcPr>
          <w:p w14:paraId="4A663748" w14:textId="2675A901" w:rsidR="000D378D" w:rsidRPr="000D378D" w:rsidRDefault="000D378D" w:rsidP="000D378D">
            <w:pPr>
              <w:pStyle w:val="TableTextLeftBold"/>
              <w:jc w:val="right"/>
              <w:rPr>
                <w:sz w:val="18"/>
                <w:szCs w:val="18"/>
              </w:rPr>
            </w:pPr>
            <w:r w:rsidRPr="000D378D">
              <w:rPr>
                <w:sz w:val="18"/>
                <w:szCs w:val="18"/>
              </w:rPr>
              <w:t>105,000</w:t>
            </w:r>
          </w:p>
        </w:tc>
        <w:tc>
          <w:tcPr>
            <w:tcW w:w="556" w:type="pct"/>
          </w:tcPr>
          <w:p w14:paraId="4E63AA16" w14:textId="02286242" w:rsidR="000D378D" w:rsidRPr="000D378D" w:rsidRDefault="000D378D" w:rsidP="000D378D">
            <w:pPr>
              <w:pStyle w:val="TableTextLeftBold"/>
              <w:jc w:val="right"/>
              <w:rPr>
                <w:sz w:val="18"/>
                <w:szCs w:val="18"/>
              </w:rPr>
            </w:pPr>
            <w:r w:rsidRPr="000D378D">
              <w:rPr>
                <w:sz w:val="18"/>
                <w:szCs w:val="18"/>
              </w:rPr>
              <w:t>101,000</w:t>
            </w:r>
          </w:p>
        </w:tc>
        <w:tc>
          <w:tcPr>
            <w:tcW w:w="552" w:type="pct"/>
            <w:shd w:val="clear" w:color="auto" w:fill="DBF4F5" w:themeFill="background2"/>
          </w:tcPr>
          <w:p w14:paraId="6080DB2B" w14:textId="6DCEB52C" w:rsidR="000D378D" w:rsidRPr="000D378D" w:rsidRDefault="000D378D" w:rsidP="000D378D">
            <w:pPr>
              <w:pStyle w:val="TableTextLeftBold"/>
              <w:jc w:val="right"/>
              <w:rPr>
                <w:sz w:val="18"/>
                <w:szCs w:val="18"/>
              </w:rPr>
            </w:pPr>
            <w:r w:rsidRPr="000D378D">
              <w:rPr>
                <w:sz w:val="18"/>
                <w:szCs w:val="18"/>
              </w:rPr>
              <w:t>81,000</w:t>
            </w:r>
          </w:p>
        </w:tc>
      </w:tr>
    </w:tbl>
    <w:bookmarkEnd w:id="0"/>
    <w:p w14:paraId="1B5FB187" w14:textId="60C41023" w:rsidR="00EB50C5" w:rsidRPr="004A09CA" w:rsidRDefault="00197FFC">
      <w:pPr>
        <w:rPr>
          <w:rFonts w:cs="Times New Roman"/>
          <w:sz w:val="18"/>
          <w:szCs w:val="18"/>
          <w:lang w:eastAsia="en-US"/>
        </w:rPr>
      </w:pPr>
      <w:r w:rsidRPr="004A09CA">
        <w:rPr>
          <w:rFonts w:cs="Times New Roman"/>
          <w:sz w:val="18"/>
          <w:szCs w:val="18"/>
          <w:lang w:eastAsia="en-US"/>
        </w:rPr>
        <w:t>Source: ABS and IE (Australian Harmonized Export Commodity Classification (AHECC) data by month, classification and destination country, 202</w:t>
      </w:r>
      <w:r w:rsidR="00DA11C7" w:rsidRPr="004A09CA">
        <w:rPr>
          <w:rFonts w:cs="Times New Roman"/>
          <w:sz w:val="18"/>
          <w:szCs w:val="18"/>
          <w:lang w:eastAsia="en-US"/>
        </w:rPr>
        <w:t>3</w:t>
      </w:r>
      <w:r w:rsidRPr="004A09CA">
        <w:rPr>
          <w:rFonts w:cs="Times New Roman"/>
          <w:sz w:val="18"/>
          <w:szCs w:val="18"/>
          <w:lang w:eastAsia="en-US"/>
        </w:rPr>
        <w:t>) and Blue Environment.</w:t>
      </w:r>
    </w:p>
    <w:p w14:paraId="74B20B13" w14:textId="29A2AA90" w:rsidR="00197FFC" w:rsidRPr="004A09CA" w:rsidRDefault="00197FFC" w:rsidP="00197FFC">
      <w:pPr>
        <w:pStyle w:val="Footnotes"/>
        <w:rPr>
          <w:sz w:val="18"/>
          <w:szCs w:val="18"/>
        </w:rPr>
      </w:pPr>
      <w:r w:rsidRPr="004A09CA">
        <w:rPr>
          <w:sz w:val="18"/>
          <w:szCs w:val="18"/>
        </w:rPr>
        <w:t>Countries ranked by average of last 3 months of exports.</w:t>
      </w:r>
    </w:p>
    <w:p w14:paraId="6D5FC572" w14:textId="18DFAA91" w:rsidR="00197FFC" w:rsidRPr="004A09CA" w:rsidRDefault="00197FFC" w:rsidP="00197FFC">
      <w:pPr>
        <w:pStyle w:val="Footnotes"/>
        <w:rPr>
          <w:sz w:val="18"/>
          <w:szCs w:val="18"/>
        </w:rPr>
      </w:pPr>
      <w:r w:rsidRPr="004A09CA">
        <w:rPr>
          <w:sz w:val="18"/>
          <w:szCs w:val="18"/>
        </w:rPr>
        <w:t xml:space="preserve">Partial year across July 2022 to </w:t>
      </w:r>
      <w:r w:rsidR="00F57038" w:rsidRPr="004A09CA">
        <w:rPr>
          <w:sz w:val="18"/>
          <w:szCs w:val="18"/>
        </w:rPr>
        <w:t>March</w:t>
      </w:r>
      <w:r w:rsidRPr="004A09CA">
        <w:rPr>
          <w:sz w:val="18"/>
          <w:szCs w:val="18"/>
        </w:rPr>
        <w:t xml:space="preserve"> 202</w:t>
      </w:r>
      <w:r w:rsidR="00413C19" w:rsidRPr="004A09CA">
        <w:rPr>
          <w:sz w:val="18"/>
          <w:szCs w:val="18"/>
        </w:rPr>
        <w:t>3</w:t>
      </w:r>
      <w:r w:rsidRPr="004A09CA">
        <w:rPr>
          <w:sz w:val="18"/>
          <w:szCs w:val="18"/>
        </w:rPr>
        <w:t>.</w:t>
      </w:r>
    </w:p>
    <w:p w14:paraId="3A2058A0" w14:textId="77777777" w:rsidR="00824DB8" w:rsidRDefault="00824DB8">
      <w:pPr>
        <w:rPr>
          <w:b/>
          <w:bCs/>
        </w:rPr>
      </w:pPr>
      <w:r>
        <w:br w:type="page"/>
      </w:r>
    </w:p>
    <w:p w14:paraId="236FB6C0" w14:textId="7E746E71" w:rsidR="00197FFC" w:rsidRDefault="00D30377" w:rsidP="00D30377">
      <w:pPr>
        <w:pStyle w:val="CaptionImageorFigure"/>
      </w:pPr>
      <w:r>
        <w:lastRenderedPageBreak/>
        <w:t xml:space="preserve">Table 2: </w:t>
      </w:r>
      <w:r w:rsidR="5F4C0BD1">
        <w:t>Example</w:t>
      </w:r>
      <w:r>
        <w:t xml:space="preserve"> monthly change in Victorian recovered kerbside paper and paperboard, to export country</w:t>
      </w:r>
    </w:p>
    <w:tbl>
      <w:tblPr>
        <w:tblStyle w:val="TableGrid"/>
        <w:tblW w:w="0" w:type="auto"/>
        <w:tblLook w:val="04A0" w:firstRow="1" w:lastRow="0" w:firstColumn="1" w:lastColumn="0" w:noHBand="0" w:noVBand="1"/>
      </w:tblPr>
      <w:tblGrid>
        <w:gridCol w:w="1729"/>
        <w:gridCol w:w="1729"/>
        <w:gridCol w:w="1729"/>
        <w:gridCol w:w="1713"/>
      </w:tblGrid>
      <w:tr w:rsidR="00D30377" w:rsidRPr="00362D19" w14:paraId="5DF9EFA0" w14:textId="77777777" w:rsidTr="004A09CA">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1713" w:type="dxa"/>
            <w:noWrap/>
            <w:hideMark/>
          </w:tcPr>
          <w:p w14:paraId="42F2FB5F" w14:textId="77777777" w:rsidR="00D30377" w:rsidRPr="00D30377" w:rsidRDefault="00D30377" w:rsidP="00D30377">
            <w:pPr>
              <w:pStyle w:val="TableHeadingLeft"/>
            </w:pPr>
            <w:r w:rsidRPr="00D30377">
              <w:t>Country</w:t>
            </w:r>
          </w:p>
        </w:tc>
        <w:tc>
          <w:tcPr>
            <w:tcW w:w="1713" w:type="dxa"/>
            <w:hideMark/>
          </w:tcPr>
          <w:p w14:paraId="7EA23AC8" w14:textId="2BA8E342" w:rsidR="00D30377" w:rsidRPr="00D30377" w:rsidRDefault="00A21A5B" w:rsidP="00D30377">
            <w:pPr>
              <w:pStyle w:val="TableHeadingLeft"/>
              <w:jc w:val="right"/>
              <w:cnfStyle w:val="100000000000" w:firstRow="1" w:lastRow="0" w:firstColumn="0" w:lastColumn="0" w:oddVBand="0" w:evenVBand="0" w:oddHBand="0" w:evenHBand="0" w:firstRowFirstColumn="0" w:firstRowLastColumn="0" w:lastRowFirstColumn="0" w:lastRowLastColumn="0"/>
            </w:pPr>
            <w:r>
              <w:t>February</w:t>
            </w:r>
            <w:r w:rsidR="00D30377" w:rsidRPr="00D30377">
              <w:t xml:space="preserve"> 202</w:t>
            </w:r>
            <w:r>
              <w:t>3</w:t>
            </w:r>
          </w:p>
          <w:p w14:paraId="30B6119A" w14:textId="77777777" w:rsidR="00D30377" w:rsidRPr="00D30377" w:rsidRDefault="00D30377" w:rsidP="00D30377">
            <w:pPr>
              <w:pStyle w:val="TableHeadingLeft"/>
              <w:jc w:val="right"/>
              <w:cnfStyle w:val="100000000000" w:firstRow="1" w:lastRow="0" w:firstColumn="0" w:lastColumn="0" w:oddVBand="0" w:evenVBand="0" w:oddHBand="0" w:evenHBand="0" w:firstRowFirstColumn="0" w:firstRowLastColumn="0" w:lastRowFirstColumn="0" w:lastRowLastColumn="0"/>
            </w:pPr>
            <w:r w:rsidRPr="00D30377">
              <w:t>(tonnes)</w:t>
            </w:r>
          </w:p>
        </w:tc>
        <w:tc>
          <w:tcPr>
            <w:tcW w:w="1713" w:type="dxa"/>
            <w:hideMark/>
          </w:tcPr>
          <w:p w14:paraId="53CE2007" w14:textId="5566FBD9" w:rsidR="00D30377" w:rsidRPr="00D30377" w:rsidRDefault="008C5D61" w:rsidP="00D30377">
            <w:pPr>
              <w:pStyle w:val="TableHeadingLeft"/>
              <w:jc w:val="right"/>
              <w:cnfStyle w:val="100000000000" w:firstRow="1" w:lastRow="0" w:firstColumn="0" w:lastColumn="0" w:oddVBand="0" w:evenVBand="0" w:oddHBand="0" w:evenHBand="0" w:firstRowFirstColumn="0" w:firstRowLastColumn="0" w:lastRowFirstColumn="0" w:lastRowLastColumn="0"/>
            </w:pPr>
            <w:r>
              <w:t>March</w:t>
            </w:r>
            <w:r w:rsidR="00D30377" w:rsidRPr="00D30377">
              <w:t xml:space="preserve"> 202</w:t>
            </w:r>
            <w:r>
              <w:t>3</w:t>
            </w:r>
          </w:p>
          <w:p w14:paraId="25AF99A4" w14:textId="77777777" w:rsidR="00D30377" w:rsidRPr="00D30377" w:rsidRDefault="00D30377" w:rsidP="00D30377">
            <w:pPr>
              <w:pStyle w:val="TableHeadingLeft"/>
              <w:jc w:val="right"/>
              <w:cnfStyle w:val="100000000000" w:firstRow="1" w:lastRow="0" w:firstColumn="0" w:lastColumn="0" w:oddVBand="0" w:evenVBand="0" w:oddHBand="0" w:evenHBand="0" w:firstRowFirstColumn="0" w:firstRowLastColumn="0" w:lastRowFirstColumn="0" w:lastRowLastColumn="0"/>
            </w:pPr>
            <w:r w:rsidRPr="00D30377">
              <w:t>(tonnes)</w:t>
            </w:r>
          </w:p>
        </w:tc>
        <w:tc>
          <w:tcPr>
            <w:tcW w:w="1713" w:type="dxa"/>
          </w:tcPr>
          <w:p w14:paraId="228B0399" w14:textId="6ACC7807" w:rsidR="00400250" w:rsidRDefault="00400250" w:rsidP="00400250">
            <w:pPr>
              <w:pStyle w:val="TableHeadingLeft"/>
              <w:jc w:val="right"/>
              <w:cnfStyle w:val="100000000000" w:firstRow="1" w:lastRow="0" w:firstColumn="0" w:lastColumn="0" w:oddVBand="0" w:evenVBand="0" w:oddHBand="0" w:evenHBand="0" w:firstRowFirstColumn="0" w:firstRowLastColumn="0" w:lastRowFirstColumn="0" w:lastRowLastColumn="0"/>
            </w:pPr>
            <w:r>
              <w:t>Change</w:t>
            </w:r>
          </w:p>
          <w:p w14:paraId="64A9B7B8" w14:textId="4A15D68E" w:rsidR="00D30377" w:rsidRPr="00D30377" w:rsidRDefault="00400250" w:rsidP="00400250">
            <w:pPr>
              <w:pStyle w:val="TableHeadingLeft"/>
              <w:jc w:val="right"/>
              <w:cnfStyle w:val="100000000000" w:firstRow="1" w:lastRow="0" w:firstColumn="0" w:lastColumn="0" w:oddVBand="0" w:evenVBand="0" w:oddHBand="0" w:evenHBand="0" w:firstRowFirstColumn="0" w:firstRowLastColumn="0" w:lastRowFirstColumn="0" w:lastRowLastColumn="0"/>
            </w:pPr>
            <w:r>
              <w:t>(%)</w:t>
            </w:r>
          </w:p>
        </w:tc>
      </w:tr>
      <w:tr w:rsidR="00E12CBB" w:rsidRPr="00362D19" w14:paraId="4625AA2D" w14:textId="77777777" w:rsidTr="004A09CA">
        <w:trPr>
          <w:trHeight w:val="286"/>
        </w:trPr>
        <w:tc>
          <w:tcPr>
            <w:tcW w:w="1713" w:type="dxa"/>
            <w:shd w:val="clear" w:color="auto" w:fill="DBF4F5" w:themeFill="background2"/>
            <w:noWrap/>
          </w:tcPr>
          <w:p w14:paraId="586AA889" w14:textId="7597F9F4" w:rsidR="00E12CBB" w:rsidRPr="004418F9" w:rsidRDefault="00E12CBB" w:rsidP="00E12CBB">
            <w:pPr>
              <w:pStyle w:val="TableTextLeft"/>
            </w:pPr>
            <w:r w:rsidRPr="00B22BBE">
              <w:t>Indonesia</w:t>
            </w:r>
          </w:p>
        </w:tc>
        <w:tc>
          <w:tcPr>
            <w:tcW w:w="1713" w:type="dxa"/>
            <w:noWrap/>
          </w:tcPr>
          <w:p w14:paraId="0ED080B1" w14:textId="4F856903" w:rsidR="00E12CBB" w:rsidRPr="00D30377" w:rsidRDefault="00E12CBB" w:rsidP="00E12CBB">
            <w:pPr>
              <w:pStyle w:val="TableTextRight"/>
            </w:pPr>
            <w:r w:rsidRPr="00447032">
              <w:t>6,000</w:t>
            </w:r>
          </w:p>
        </w:tc>
        <w:tc>
          <w:tcPr>
            <w:tcW w:w="1713" w:type="dxa"/>
            <w:shd w:val="clear" w:color="auto" w:fill="DBF4F5" w:themeFill="background2"/>
            <w:noWrap/>
          </w:tcPr>
          <w:p w14:paraId="6FE5AF82" w14:textId="2EA85C97" w:rsidR="00E12CBB" w:rsidRPr="00D30377" w:rsidRDefault="00E12CBB" w:rsidP="00E12CBB">
            <w:pPr>
              <w:pStyle w:val="TableTextRight"/>
            </w:pPr>
            <w:r w:rsidRPr="00447032">
              <w:t>5,900</w:t>
            </w:r>
          </w:p>
        </w:tc>
        <w:tc>
          <w:tcPr>
            <w:tcW w:w="1713" w:type="dxa"/>
          </w:tcPr>
          <w:p w14:paraId="598B0AAE" w14:textId="4AC7C8EB" w:rsidR="00E12CBB" w:rsidRPr="00D30377" w:rsidRDefault="00E12CBB" w:rsidP="00E12CBB">
            <w:pPr>
              <w:pStyle w:val="TableTextRight"/>
            </w:pPr>
            <w:r w:rsidRPr="00447032">
              <w:t>-2%</w:t>
            </w:r>
          </w:p>
        </w:tc>
      </w:tr>
      <w:tr w:rsidR="00E12CBB" w:rsidRPr="00362D19" w14:paraId="4B9F8C2C" w14:textId="77777777" w:rsidTr="004A09CA">
        <w:trPr>
          <w:trHeight w:val="286"/>
        </w:trPr>
        <w:tc>
          <w:tcPr>
            <w:tcW w:w="1713" w:type="dxa"/>
            <w:shd w:val="clear" w:color="auto" w:fill="DBF4F5" w:themeFill="background2"/>
            <w:noWrap/>
          </w:tcPr>
          <w:p w14:paraId="2DFE4894" w14:textId="26A4968F" w:rsidR="00E12CBB" w:rsidRPr="004418F9" w:rsidRDefault="00E12CBB" w:rsidP="00E12CBB">
            <w:pPr>
              <w:pStyle w:val="TableTextLeft"/>
            </w:pPr>
            <w:r w:rsidRPr="00B22BBE">
              <w:t>Malaysia</w:t>
            </w:r>
          </w:p>
        </w:tc>
        <w:tc>
          <w:tcPr>
            <w:tcW w:w="1713" w:type="dxa"/>
            <w:noWrap/>
          </w:tcPr>
          <w:p w14:paraId="0F333381" w14:textId="0A059045" w:rsidR="00E12CBB" w:rsidRPr="00D30377" w:rsidRDefault="00E12CBB" w:rsidP="00E12CBB">
            <w:pPr>
              <w:pStyle w:val="TableTextRight"/>
            </w:pPr>
            <w:r w:rsidRPr="00447032">
              <w:t>1,400</w:t>
            </w:r>
          </w:p>
        </w:tc>
        <w:tc>
          <w:tcPr>
            <w:tcW w:w="1713" w:type="dxa"/>
            <w:shd w:val="clear" w:color="auto" w:fill="DBF4F5" w:themeFill="background2"/>
            <w:noWrap/>
          </w:tcPr>
          <w:p w14:paraId="3A4B9842" w14:textId="47375D57" w:rsidR="00E12CBB" w:rsidRPr="00D30377" w:rsidRDefault="00E12CBB" w:rsidP="00E12CBB">
            <w:pPr>
              <w:pStyle w:val="TableTextRight"/>
            </w:pPr>
            <w:r w:rsidRPr="00447032">
              <w:t>1,600</w:t>
            </w:r>
          </w:p>
        </w:tc>
        <w:tc>
          <w:tcPr>
            <w:tcW w:w="1713" w:type="dxa"/>
          </w:tcPr>
          <w:p w14:paraId="011CDEE4" w14:textId="79FC1033" w:rsidR="00E12CBB" w:rsidRPr="00D30377" w:rsidRDefault="00E12CBB" w:rsidP="00E12CBB">
            <w:pPr>
              <w:pStyle w:val="TableTextRight"/>
            </w:pPr>
            <w:r w:rsidRPr="00447032">
              <w:t>14%</w:t>
            </w:r>
          </w:p>
        </w:tc>
      </w:tr>
      <w:tr w:rsidR="00E12CBB" w:rsidRPr="00362D19" w14:paraId="6AC9D93B" w14:textId="77777777" w:rsidTr="004A09CA">
        <w:trPr>
          <w:trHeight w:val="286"/>
        </w:trPr>
        <w:tc>
          <w:tcPr>
            <w:tcW w:w="1713" w:type="dxa"/>
            <w:shd w:val="clear" w:color="auto" w:fill="DBF4F5" w:themeFill="background2"/>
            <w:noWrap/>
          </w:tcPr>
          <w:p w14:paraId="42D1486E" w14:textId="4DE1ED6E" w:rsidR="00E12CBB" w:rsidRPr="004418F9" w:rsidRDefault="00E12CBB" w:rsidP="00E12CBB">
            <w:pPr>
              <w:pStyle w:val="TableTextLeft"/>
            </w:pPr>
            <w:r w:rsidRPr="00B22BBE">
              <w:t>Vietnam</w:t>
            </w:r>
          </w:p>
        </w:tc>
        <w:tc>
          <w:tcPr>
            <w:tcW w:w="1713" w:type="dxa"/>
            <w:noWrap/>
          </w:tcPr>
          <w:p w14:paraId="71D47E19" w14:textId="52796781" w:rsidR="00E12CBB" w:rsidRPr="00D30377" w:rsidRDefault="00E12CBB" w:rsidP="00E12CBB">
            <w:pPr>
              <w:pStyle w:val="TableTextRight"/>
            </w:pPr>
            <w:r w:rsidRPr="00447032">
              <w:t>1,100</w:t>
            </w:r>
          </w:p>
        </w:tc>
        <w:tc>
          <w:tcPr>
            <w:tcW w:w="1713" w:type="dxa"/>
            <w:shd w:val="clear" w:color="auto" w:fill="DBF4F5" w:themeFill="background2"/>
            <w:noWrap/>
          </w:tcPr>
          <w:p w14:paraId="7FF672A0" w14:textId="7A67E4C5" w:rsidR="00E12CBB" w:rsidRPr="00D30377" w:rsidRDefault="00E12CBB" w:rsidP="00E12CBB">
            <w:pPr>
              <w:pStyle w:val="TableTextRight"/>
            </w:pPr>
            <w:r w:rsidRPr="00447032">
              <w:t>900</w:t>
            </w:r>
          </w:p>
        </w:tc>
        <w:tc>
          <w:tcPr>
            <w:tcW w:w="1713" w:type="dxa"/>
          </w:tcPr>
          <w:p w14:paraId="2C98538B" w14:textId="361AF6E7" w:rsidR="00E12CBB" w:rsidRPr="00D30377" w:rsidRDefault="00E12CBB" w:rsidP="00E12CBB">
            <w:pPr>
              <w:pStyle w:val="TableTextRight"/>
            </w:pPr>
            <w:r w:rsidRPr="00447032">
              <w:t>-18%</w:t>
            </w:r>
          </w:p>
        </w:tc>
      </w:tr>
      <w:tr w:rsidR="00E12CBB" w:rsidRPr="00362D19" w14:paraId="04B994E8" w14:textId="77777777" w:rsidTr="004A09CA">
        <w:trPr>
          <w:trHeight w:val="286"/>
        </w:trPr>
        <w:tc>
          <w:tcPr>
            <w:tcW w:w="1713" w:type="dxa"/>
            <w:shd w:val="clear" w:color="auto" w:fill="DBF4F5" w:themeFill="background2"/>
            <w:noWrap/>
          </w:tcPr>
          <w:p w14:paraId="5C9F8F30" w14:textId="14FE5DF3" w:rsidR="00E12CBB" w:rsidRPr="004418F9" w:rsidRDefault="00E12CBB" w:rsidP="00E12CBB">
            <w:pPr>
              <w:pStyle w:val="TableTextLeft"/>
            </w:pPr>
            <w:r w:rsidRPr="00B22BBE">
              <w:t>Thailand</w:t>
            </w:r>
          </w:p>
        </w:tc>
        <w:tc>
          <w:tcPr>
            <w:tcW w:w="1713" w:type="dxa"/>
            <w:noWrap/>
          </w:tcPr>
          <w:p w14:paraId="70450DDC" w14:textId="6FA275C6" w:rsidR="00E12CBB" w:rsidRPr="00D30377" w:rsidRDefault="00E12CBB" w:rsidP="00E12CBB">
            <w:pPr>
              <w:pStyle w:val="TableTextRight"/>
            </w:pPr>
            <w:r w:rsidRPr="00447032">
              <w:t>1,200</w:t>
            </w:r>
          </w:p>
        </w:tc>
        <w:tc>
          <w:tcPr>
            <w:tcW w:w="1713" w:type="dxa"/>
            <w:shd w:val="clear" w:color="auto" w:fill="DBF4F5" w:themeFill="background2"/>
            <w:noWrap/>
          </w:tcPr>
          <w:p w14:paraId="2431A091" w14:textId="2D772C3A" w:rsidR="00E12CBB" w:rsidRPr="00D30377" w:rsidRDefault="00E12CBB" w:rsidP="00E12CBB">
            <w:pPr>
              <w:pStyle w:val="TableTextRight"/>
            </w:pPr>
            <w:r w:rsidRPr="00447032">
              <w:t>1,000</w:t>
            </w:r>
          </w:p>
        </w:tc>
        <w:tc>
          <w:tcPr>
            <w:tcW w:w="1713" w:type="dxa"/>
          </w:tcPr>
          <w:p w14:paraId="1EE9A708" w14:textId="22B276AD" w:rsidR="00E12CBB" w:rsidRPr="00D30377" w:rsidRDefault="00E12CBB" w:rsidP="00E12CBB">
            <w:pPr>
              <w:pStyle w:val="TableTextRight"/>
            </w:pPr>
            <w:r w:rsidRPr="00447032">
              <w:t>-17%</w:t>
            </w:r>
          </w:p>
        </w:tc>
      </w:tr>
      <w:tr w:rsidR="00E12CBB" w:rsidRPr="00362D19" w14:paraId="014DCD7D" w14:textId="77777777" w:rsidTr="004A09CA">
        <w:trPr>
          <w:trHeight w:val="286"/>
        </w:trPr>
        <w:tc>
          <w:tcPr>
            <w:tcW w:w="1713" w:type="dxa"/>
            <w:shd w:val="clear" w:color="auto" w:fill="DBF4F5" w:themeFill="background2"/>
            <w:noWrap/>
          </w:tcPr>
          <w:p w14:paraId="5E924832" w14:textId="70A0C0EB" w:rsidR="00E12CBB" w:rsidRPr="004418F9" w:rsidRDefault="00E12CBB" w:rsidP="00E12CBB">
            <w:pPr>
              <w:pStyle w:val="TableTextLeft"/>
            </w:pPr>
            <w:r w:rsidRPr="00B22BBE">
              <w:t>Korea</w:t>
            </w:r>
          </w:p>
        </w:tc>
        <w:tc>
          <w:tcPr>
            <w:tcW w:w="1713" w:type="dxa"/>
            <w:noWrap/>
          </w:tcPr>
          <w:p w14:paraId="2CE87DAF" w14:textId="41E9709A" w:rsidR="00E12CBB" w:rsidRPr="00D30377" w:rsidRDefault="00E12CBB" w:rsidP="00E12CBB">
            <w:pPr>
              <w:pStyle w:val="TableTextRight"/>
            </w:pPr>
            <w:r w:rsidRPr="00447032">
              <w:t>500</w:t>
            </w:r>
          </w:p>
        </w:tc>
        <w:tc>
          <w:tcPr>
            <w:tcW w:w="1713" w:type="dxa"/>
            <w:shd w:val="clear" w:color="auto" w:fill="DBF4F5" w:themeFill="background2"/>
            <w:noWrap/>
          </w:tcPr>
          <w:p w14:paraId="6E2A5C0B" w14:textId="750E51CD" w:rsidR="00E12CBB" w:rsidRPr="00D30377" w:rsidRDefault="00E12CBB" w:rsidP="00E12CBB">
            <w:pPr>
              <w:pStyle w:val="TableTextRight"/>
            </w:pPr>
            <w:r w:rsidRPr="00447032">
              <w:t>400</w:t>
            </w:r>
          </w:p>
        </w:tc>
        <w:tc>
          <w:tcPr>
            <w:tcW w:w="1713" w:type="dxa"/>
          </w:tcPr>
          <w:p w14:paraId="6A19F80C" w14:textId="5D24750B" w:rsidR="00E12CBB" w:rsidRPr="00D30377" w:rsidRDefault="00E12CBB" w:rsidP="00E12CBB">
            <w:pPr>
              <w:pStyle w:val="TableTextRight"/>
            </w:pPr>
            <w:r w:rsidRPr="00447032">
              <w:t>-20%</w:t>
            </w:r>
          </w:p>
        </w:tc>
      </w:tr>
      <w:tr w:rsidR="00E12CBB" w:rsidRPr="00362D19" w14:paraId="34624D64" w14:textId="77777777" w:rsidTr="004A09CA">
        <w:trPr>
          <w:trHeight w:val="286"/>
        </w:trPr>
        <w:tc>
          <w:tcPr>
            <w:tcW w:w="1713" w:type="dxa"/>
            <w:shd w:val="clear" w:color="auto" w:fill="DBF4F5" w:themeFill="background2"/>
            <w:noWrap/>
          </w:tcPr>
          <w:p w14:paraId="20D0E1D2" w14:textId="7F999637" w:rsidR="00E12CBB" w:rsidRPr="004418F9" w:rsidRDefault="00E12CBB" w:rsidP="00E12CBB">
            <w:pPr>
              <w:pStyle w:val="TableTextLeft"/>
            </w:pPr>
            <w:r w:rsidRPr="00B22BBE">
              <w:t>China</w:t>
            </w:r>
          </w:p>
        </w:tc>
        <w:tc>
          <w:tcPr>
            <w:tcW w:w="1713" w:type="dxa"/>
            <w:noWrap/>
          </w:tcPr>
          <w:p w14:paraId="0873EB9E" w14:textId="6F936929" w:rsidR="00E12CBB" w:rsidRPr="00D30377" w:rsidRDefault="00E12CBB" w:rsidP="00E12CBB">
            <w:pPr>
              <w:pStyle w:val="TableTextRight"/>
            </w:pPr>
            <w:r w:rsidRPr="00447032">
              <w:t>0</w:t>
            </w:r>
          </w:p>
        </w:tc>
        <w:tc>
          <w:tcPr>
            <w:tcW w:w="1713" w:type="dxa"/>
            <w:shd w:val="clear" w:color="auto" w:fill="DBF4F5" w:themeFill="background2"/>
            <w:noWrap/>
          </w:tcPr>
          <w:p w14:paraId="6222BF76" w14:textId="0A1108F2" w:rsidR="00E12CBB" w:rsidRPr="00D30377" w:rsidRDefault="00E12CBB" w:rsidP="00E12CBB">
            <w:pPr>
              <w:pStyle w:val="TableTextRight"/>
            </w:pPr>
            <w:r w:rsidRPr="00447032">
              <w:t>100</w:t>
            </w:r>
          </w:p>
        </w:tc>
        <w:tc>
          <w:tcPr>
            <w:tcW w:w="1713" w:type="dxa"/>
          </w:tcPr>
          <w:p w14:paraId="6A17F6C2" w14:textId="18C6E48F" w:rsidR="00E12CBB" w:rsidRPr="00D30377" w:rsidRDefault="004A09CA" w:rsidP="00E12CBB">
            <w:pPr>
              <w:pStyle w:val="TableTextRight"/>
            </w:pPr>
            <w:r>
              <w:t>N/A</w:t>
            </w:r>
          </w:p>
        </w:tc>
      </w:tr>
      <w:tr w:rsidR="00E12CBB" w:rsidRPr="00362D19" w14:paraId="375CF528" w14:textId="77777777" w:rsidTr="004A09CA">
        <w:trPr>
          <w:trHeight w:val="286"/>
        </w:trPr>
        <w:tc>
          <w:tcPr>
            <w:tcW w:w="1713" w:type="dxa"/>
            <w:shd w:val="clear" w:color="auto" w:fill="DBF4F5" w:themeFill="background2"/>
            <w:noWrap/>
          </w:tcPr>
          <w:p w14:paraId="3A3FB1CC" w14:textId="15B05045" w:rsidR="00E12CBB" w:rsidRPr="004418F9" w:rsidRDefault="00E12CBB" w:rsidP="00E12CBB">
            <w:pPr>
              <w:pStyle w:val="TableTextLeft"/>
            </w:pPr>
            <w:r w:rsidRPr="00B22BBE">
              <w:t>All other</w:t>
            </w:r>
          </w:p>
        </w:tc>
        <w:tc>
          <w:tcPr>
            <w:tcW w:w="1713" w:type="dxa"/>
            <w:noWrap/>
          </w:tcPr>
          <w:p w14:paraId="3894A8FD" w14:textId="45A7685A" w:rsidR="00E12CBB" w:rsidRPr="00D30377" w:rsidRDefault="00E12CBB" w:rsidP="00E12CBB">
            <w:pPr>
              <w:pStyle w:val="TableTextRight"/>
            </w:pPr>
            <w:r w:rsidRPr="00447032">
              <w:t>400</w:t>
            </w:r>
          </w:p>
        </w:tc>
        <w:tc>
          <w:tcPr>
            <w:tcW w:w="1713" w:type="dxa"/>
            <w:shd w:val="clear" w:color="auto" w:fill="DBF4F5" w:themeFill="background2"/>
            <w:noWrap/>
          </w:tcPr>
          <w:p w14:paraId="3A23CF7F" w14:textId="3B19F1AD" w:rsidR="00E12CBB" w:rsidRPr="00D30377" w:rsidRDefault="00E12CBB" w:rsidP="00E12CBB">
            <w:pPr>
              <w:pStyle w:val="TableTextRight"/>
            </w:pPr>
            <w:r w:rsidRPr="00447032">
              <w:t>300</w:t>
            </w:r>
          </w:p>
        </w:tc>
        <w:tc>
          <w:tcPr>
            <w:tcW w:w="1713" w:type="dxa"/>
          </w:tcPr>
          <w:p w14:paraId="0ADC0FF6" w14:textId="17B2AFB0" w:rsidR="00E12CBB" w:rsidRPr="00D30377" w:rsidRDefault="00E12CBB" w:rsidP="00E12CBB">
            <w:pPr>
              <w:pStyle w:val="TableTextRight"/>
            </w:pPr>
            <w:r w:rsidRPr="00447032">
              <w:t>-25%</w:t>
            </w:r>
          </w:p>
        </w:tc>
      </w:tr>
      <w:tr w:rsidR="00E12CBB" w:rsidRPr="00362D19" w14:paraId="73CFEA4F" w14:textId="77777777" w:rsidTr="004A09CA">
        <w:trPr>
          <w:trHeight w:val="286"/>
        </w:trPr>
        <w:tc>
          <w:tcPr>
            <w:tcW w:w="1713" w:type="dxa"/>
            <w:shd w:val="clear" w:color="auto" w:fill="DBF4F5" w:themeFill="background2"/>
            <w:noWrap/>
          </w:tcPr>
          <w:p w14:paraId="0435E07E" w14:textId="77777777" w:rsidR="00E12CBB" w:rsidRPr="00362D19" w:rsidRDefault="00E12CBB" w:rsidP="00E12CBB">
            <w:pPr>
              <w:pStyle w:val="TableTextLeftBold"/>
              <w:rPr>
                <w:rFonts w:ascii="Arial" w:hAnsi="Arial" w:cs="Arial"/>
                <w:b w:val="0"/>
                <w:bCs/>
                <w:color w:val="000000"/>
                <w:sz w:val="18"/>
                <w:szCs w:val="18"/>
              </w:rPr>
            </w:pPr>
            <w:r w:rsidRPr="00362D19">
              <w:rPr>
                <w:rFonts w:ascii="Arial" w:hAnsi="Arial" w:cs="Arial"/>
                <w:bCs/>
                <w:color w:val="000000"/>
                <w:sz w:val="18"/>
                <w:szCs w:val="18"/>
              </w:rPr>
              <w:t>Total</w:t>
            </w:r>
          </w:p>
        </w:tc>
        <w:tc>
          <w:tcPr>
            <w:tcW w:w="1713" w:type="dxa"/>
            <w:noWrap/>
          </w:tcPr>
          <w:p w14:paraId="21F1F6E6" w14:textId="1F35DC15" w:rsidR="00E12CBB" w:rsidRPr="00E12CBB" w:rsidRDefault="00E12CBB" w:rsidP="00E12CBB">
            <w:pPr>
              <w:pStyle w:val="TableTextRight"/>
              <w:rPr>
                <w:b/>
                <w:bCs/>
              </w:rPr>
            </w:pPr>
            <w:r w:rsidRPr="00E12CBB">
              <w:rPr>
                <w:b/>
                <w:bCs/>
              </w:rPr>
              <w:t>10,600</w:t>
            </w:r>
          </w:p>
        </w:tc>
        <w:tc>
          <w:tcPr>
            <w:tcW w:w="1713" w:type="dxa"/>
            <w:shd w:val="clear" w:color="auto" w:fill="DBF4F5" w:themeFill="background2"/>
            <w:noWrap/>
          </w:tcPr>
          <w:p w14:paraId="5A99A713" w14:textId="34C3D734" w:rsidR="00E12CBB" w:rsidRPr="00E12CBB" w:rsidRDefault="00E12CBB" w:rsidP="00E12CBB">
            <w:pPr>
              <w:pStyle w:val="TableTextRight"/>
              <w:rPr>
                <w:b/>
                <w:bCs/>
              </w:rPr>
            </w:pPr>
            <w:r w:rsidRPr="00E12CBB">
              <w:rPr>
                <w:b/>
                <w:bCs/>
              </w:rPr>
              <w:t>10,200</w:t>
            </w:r>
          </w:p>
        </w:tc>
        <w:tc>
          <w:tcPr>
            <w:tcW w:w="1713" w:type="dxa"/>
          </w:tcPr>
          <w:p w14:paraId="53AB75B8" w14:textId="6C85515D" w:rsidR="00E12CBB" w:rsidRPr="00E12CBB" w:rsidRDefault="00E12CBB" w:rsidP="00E12CBB">
            <w:pPr>
              <w:pStyle w:val="TableTextRight"/>
              <w:rPr>
                <w:b/>
                <w:bCs/>
              </w:rPr>
            </w:pPr>
            <w:r w:rsidRPr="00E12CBB">
              <w:rPr>
                <w:b/>
                <w:bCs/>
              </w:rPr>
              <w:t>-4%</w:t>
            </w:r>
          </w:p>
        </w:tc>
      </w:tr>
    </w:tbl>
    <w:p w14:paraId="4227374F" w14:textId="213B0F47" w:rsidR="00D30377" w:rsidRDefault="00D30377" w:rsidP="00D30377">
      <w:pPr>
        <w:pStyle w:val="Heading3"/>
      </w:pPr>
      <w:r>
        <w:t>Market opportunities</w:t>
      </w:r>
    </w:p>
    <w:p w14:paraId="5DC274A4" w14:textId="61D6BEBE" w:rsidR="00D30377" w:rsidRDefault="00BD0189" w:rsidP="00BD0189">
      <w:pPr>
        <w:pStyle w:val="BodyText"/>
      </w:pPr>
      <w:r>
        <w:t>In addition to supply chain consolidations continuing, the market anticipates the application of export regulations and standards from mid-2024 will result in a revision to the underlying market structure.</w:t>
      </w:r>
    </w:p>
    <w:p w14:paraId="3E17B017" w14:textId="4269637D" w:rsidR="00BD0189" w:rsidRDefault="00BD0189" w:rsidP="00BD0189">
      <w:pPr>
        <w:pStyle w:val="BodyText"/>
      </w:pPr>
      <w:r>
        <w:t>Under this expected scenario, smaller collection facilities and MRFs would either be ineligible or would be incapable of meeting export licencing requirements. The consequence is likely to see a strengthening of the ‘hub and spoke’ model that starts in Victoria’s regions and essentially ends in Melbourne, either fated to supply local paper and paperboard producers, or at the Port of Melbourne, destined for shipment to Asia.</w:t>
      </w:r>
    </w:p>
    <w:p w14:paraId="1ACD4020" w14:textId="32E11A46" w:rsidR="00BD0189" w:rsidRDefault="00BD0189" w:rsidP="00BD0189">
      <w:pPr>
        <w:pStyle w:val="BodyText"/>
      </w:pPr>
      <w:r>
        <w:t>As set out above, where there are opportunities to establish new recycling opportunities in Victoria, analysis indicates they will all be directly linked to specific and reliable ‘positive sorting’ of the material they require to be successful.</w:t>
      </w:r>
    </w:p>
    <w:p w14:paraId="021AC76E" w14:textId="77777777" w:rsidR="008C349E" w:rsidRDefault="008C349E" w:rsidP="00BD0189">
      <w:pPr>
        <w:pStyle w:val="BodyText"/>
      </w:pPr>
    </w:p>
    <w:p w14:paraId="553E935F" w14:textId="77777777" w:rsidR="008C349E" w:rsidRDefault="008C349E" w:rsidP="00BD0189">
      <w:pPr>
        <w:pStyle w:val="BodyText"/>
      </w:pPr>
    </w:p>
    <w:p w14:paraId="27683DFC" w14:textId="05F4D46F" w:rsidR="00833D9B" w:rsidRPr="00FC722B" w:rsidRDefault="00833D9B" w:rsidP="00833D9B">
      <w:pPr>
        <w:pStyle w:val="Heading3"/>
        <w:rPr>
          <w:rFonts w:eastAsia="Arial"/>
        </w:rPr>
      </w:pPr>
      <w:r w:rsidRPr="00FC722B">
        <w:rPr>
          <w:rFonts w:eastAsia="Arial"/>
        </w:rPr>
        <w:t>Disclaimer</w:t>
      </w:r>
    </w:p>
    <w:p w14:paraId="651EA2DE" w14:textId="4F844629" w:rsidR="00833D9B" w:rsidRPr="00FC722B" w:rsidRDefault="00833D9B" w:rsidP="00833D9B">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w:t>
      </w:r>
      <w:r w:rsidR="00C1287E">
        <w:rPr>
          <w:rFonts w:eastAsia="Arial"/>
        </w:rPr>
        <w:t xml:space="preserve">IndustryEdge and </w:t>
      </w:r>
      <w:r w:rsidRPr="00FC722B">
        <w:rPr>
          <w:rFonts w:eastAsia="Arial"/>
        </w:rPr>
        <w:t>Blue Environment.</w:t>
      </w:r>
    </w:p>
    <w:p w14:paraId="635B12EF" w14:textId="454A46C7" w:rsidR="00833D9B" w:rsidRPr="00FC722B" w:rsidRDefault="00833D9B" w:rsidP="00833D9B">
      <w:pPr>
        <w:pStyle w:val="BodyText"/>
        <w:rPr>
          <w:rFonts w:eastAsia="Arial"/>
        </w:rPr>
      </w:pPr>
      <w:r w:rsidRPr="00FC722B">
        <w:rPr>
          <w:rFonts w:eastAsia="Arial"/>
        </w:rPr>
        <w:t>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as a result of placed upon the content of this publication</w:t>
      </w:r>
      <w:r w:rsidR="00B51B1F">
        <w:rPr>
          <w:rFonts w:eastAsia="Arial"/>
        </w:rPr>
        <w:t>.</w:t>
      </w:r>
    </w:p>
    <w:p w14:paraId="37F2576E" w14:textId="77777777" w:rsidR="00833D9B" w:rsidRPr="00FC722B" w:rsidRDefault="00833D9B" w:rsidP="00833D9B">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771B84F5" w14:textId="41606587" w:rsidR="00D30377" w:rsidRPr="00824DB8" w:rsidRDefault="00833D9B" w:rsidP="00D30377">
      <w:pPr>
        <w:pStyle w:val="BodyText"/>
        <w:rPr>
          <w:rFonts w:eastAsia="Arial"/>
        </w:rPr>
      </w:pPr>
      <w:r w:rsidRPr="00FC722B">
        <w:rPr>
          <w:rFonts w:eastAsia="Arial"/>
        </w:rPr>
        <w:t>Recycling Victoria does not accept any liability for loss or damage arising from your use of or reliance on the Data. The inclusion of information in this report does not constitute Recycling Victoria’s endorsement of any particular facility, or any associated organisation, product or service.</w:t>
      </w: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6B5727B5" w14:textId="77777777" w:rsidTr="458935C2">
        <w:trPr>
          <w:trHeight w:val="3175"/>
        </w:trPr>
        <w:tc>
          <w:tcPr>
            <w:tcW w:w="5216" w:type="dxa"/>
            <w:shd w:val="clear" w:color="auto" w:fill="auto"/>
          </w:tcPr>
          <w:p w14:paraId="63D31F2F" w14:textId="18ACF9A4" w:rsidR="00BF56B2" w:rsidRPr="00472CF9" w:rsidRDefault="00BF56B2" w:rsidP="00437A2E">
            <w:pPr>
              <w:pStyle w:val="SmallBodyText"/>
              <w:rPr>
                <w:sz w:val="14"/>
                <w:szCs w:val="22"/>
              </w:rPr>
            </w:pPr>
            <w:r w:rsidRPr="00472CF9">
              <w:rPr>
                <w:sz w:val="14"/>
                <w:szCs w:val="22"/>
              </w:rPr>
              <w:lastRenderedPageBreak/>
              <w:t xml:space="preserve">© The State of Victoria </w:t>
            </w:r>
            <w:r w:rsidR="00752437" w:rsidRPr="00752437">
              <w:rPr>
                <w:sz w:val="14"/>
                <w:szCs w:val="22"/>
              </w:rPr>
              <w:t>Department of Energy, Environment and Climate Action</w:t>
            </w:r>
            <w:r w:rsidR="00EB50C5">
              <w:rPr>
                <w:sz w:val="14"/>
                <w:szCs w:val="22"/>
              </w:rPr>
              <w:t xml:space="preserve"> </w:t>
            </w:r>
            <w:r w:rsidR="00EB50C5" w:rsidRPr="00EB50C5">
              <w:rPr>
                <w:sz w:val="14"/>
                <w:szCs w:val="22"/>
              </w:rPr>
              <w:t>2023</w:t>
            </w:r>
          </w:p>
          <w:p w14:paraId="35603E2B" w14:textId="015EE9AF" w:rsidR="00BF56B2" w:rsidRDefault="00BF56B2" w:rsidP="00437A2E">
            <w:pPr>
              <w:pStyle w:val="SmallBodyText"/>
              <w:rPr>
                <w:color w:val="auto"/>
                <w:sz w:val="14"/>
                <w:szCs w:val="14"/>
              </w:rPr>
            </w:pPr>
            <w:r w:rsidRPr="00472CF9">
              <w:rPr>
                <w:noProof/>
                <w:sz w:val="14"/>
                <w:szCs w:val="22"/>
              </w:rPr>
              <w:drawing>
                <wp:anchor distT="0" distB="0" distL="114300" distR="36195" simplePos="0" relativeHeight="251658241" behindDoc="0" locked="1" layoutInCell="1" allowOverlap="1" wp14:anchorId="1D6837BC" wp14:editId="40E4B0B3">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2">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3486A5D3" w:rsidRPr="00472CF9">
              <w:rPr>
                <w:sz w:val="14"/>
                <w:szCs w:val="14"/>
              </w:rPr>
              <w:t xml:space="preserve">This </w:t>
            </w:r>
            <w:r w:rsidR="37DF33D4">
              <w:rPr>
                <w:color w:val="auto"/>
                <w:sz w:val="14"/>
                <w:szCs w:val="14"/>
              </w:rPr>
              <w:t xml:space="preserve">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3" w:history="1">
              <w:r w:rsidR="57359F9F" w:rsidRPr="002A3A85">
                <w:rPr>
                  <w:rStyle w:val="Hyperlink"/>
                  <w:sz w:val="14"/>
                  <w:szCs w:val="14"/>
                </w:rPr>
                <w:t>http://creativecommons.org/licenses/by/4.0/</w:t>
              </w:r>
            </w:hyperlink>
          </w:p>
          <w:p w14:paraId="0244E564" w14:textId="77777777" w:rsidR="00594D12" w:rsidRPr="00472CF9" w:rsidRDefault="00594D12" w:rsidP="00437A2E">
            <w:pPr>
              <w:pStyle w:val="SmallBodyText"/>
              <w:rPr>
                <w:sz w:val="14"/>
                <w:szCs w:val="22"/>
              </w:rPr>
            </w:pPr>
          </w:p>
          <w:p w14:paraId="31A3DF65" w14:textId="77777777" w:rsidR="00BF56B2" w:rsidRPr="00472CF9" w:rsidRDefault="00BF56B2" w:rsidP="00437A2E">
            <w:pPr>
              <w:pStyle w:val="SmallHeading"/>
              <w:rPr>
                <w:sz w:val="14"/>
                <w:szCs w:val="22"/>
              </w:rPr>
            </w:pPr>
            <w:r w:rsidRPr="00472CF9">
              <w:rPr>
                <w:sz w:val="14"/>
                <w:szCs w:val="22"/>
              </w:rPr>
              <w:t>Disclaimer</w:t>
            </w:r>
          </w:p>
          <w:p w14:paraId="76BDE753"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6E605FD9" w14:textId="77777777" w:rsidR="00254A01" w:rsidRPr="00E97294" w:rsidRDefault="00254A01" w:rsidP="00437A2E">
            <w:pPr>
              <w:pStyle w:val="xAccessibilityHeading"/>
            </w:pPr>
            <w:bookmarkStart w:id="2" w:name="_Accessibility"/>
            <w:bookmarkEnd w:id="2"/>
            <w:r w:rsidRPr="00E97294">
              <w:t>Accessibility</w:t>
            </w:r>
          </w:p>
          <w:p w14:paraId="0249FC0D"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4" w:history="1">
              <w:r w:rsidRPr="00BF56B2">
                <w:rPr>
                  <w:rStyle w:val="Hyperlink"/>
                </w:rPr>
                <w:t>customer.service@delwp.vic.gov.au</w:t>
              </w:r>
            </w:hyperlink>
            <w:r w:rsidRPr="003C5C56">
              <w:t xml:space="preserve"> </w:t>
            </w:r>
            <w:r>
              <w:t xml:space="preserve">or via the National Relay Service on 133 677 </w:t>
            </w:r>
            <w:hyperlink r:id="rId25" w:history="1">
              <w:r w:rsidRPr="00BF56B2">
                <w:rPr>
                  <w:rStyle w:val="Hyperlink"/>
                </w:rPr>
                <w:t>www.relayservice.com.au</w:t>
              </w:r>
            </w:hyperlink>
            <w:r>
              <w:t xml:space="preserve">. This document is also available on the internet </w:t>
            </w:r>
            <w:r w:rsidR="00E977FE">
              <w:rPr>
                <w:color w:val="auto"/>
              </w:rPr>
              <w:t xml:space="preserve">at </w:t>
            </w:r>
            <w:hyperlink r:id="rId26" w:history="1">
              <w:r w:rsidR="00E977FE">
                <w:rPr>
                  <w:rStyle w:val="Hyperlink"/>
                </w:rPr>
                <w:t>www.recycling.vic.gov.au</w:t>
              </w:r>
            </w:hyperlink>
          </w:p>
        </w:tc>
      </w:tr>
    </w:tbl>
    <w:p w14:paraId="099B3250" w14:textId="77777777" w:rsidR="00254A01" w:rsidRDefault="007362BC" w:rsidP="00254A01">
      <w:pPr>
        <w:pStyle w:val="SmallBodyText"/>
      </w:pPr>
      <w:r w:rsidRPr="00204FF8">
        <w:rPr>
          <w:rStyle w:val="HiddenText"/>
        </w:rPr>
        <w:t>Keep all content above this instruction text line. Delete only when document formatting is complete.</w:t>
      </w:r>
      <w:r w:rsidR="00254A01">
        <w:t xml:space="preserve"> </w:t>
      </w:r>
    </w:p>
    <w:p w14:paraId="21E5CC4E" w14:textId="77777777" w:rsidR="006E1C8D" w:rsidRPr="00BF56B2" w:rsidRDefault="00437A2E" w:rsidP="00BF56B2">
      <w:pPr>
        <w:pStyle w:val="SmallBodyText"/>
      </w:pPr>
      <w:r w:rsidRPr="00AE6B68">
        <w:rPr>
          <w:b/>
          <w:bCs/>
          <w:noProof/>
          <w:sz w:val="28"/>
          <w:szCs w:val="32"/>
        </w:rPr>
        <w:drawing>
          <wp:anchor distT="0" distB="0" distL="114300" distR="114300" simplePos="0" relativeHeight="251658242" behindDoc="1" locked="0" layoutInCell="1" allowOverlap="1" wp14:anchorId="1AC52D05" wp14:editId="195CC627">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7"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rPr>
        <mc:AlternateContent>
          <mc:Choice Requires="wps">
            <w:drawing>
              <wp:anchor distT="0" distB="0" distL="114300" distR="114300" simplePos="0" relativeHeight="251658240" behindDoc="1" locked="1" layoutInCell="1" allowOverlap="1" wp14:anchorId="172A7587" wp14:editId="52EB67BA">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E225E" id="Rectangle 22" o:spid="_x0000_s1026" alt="&quot;&quot;" style="position:absolute;margin-left:0;margin-top:605.3pt;width:595.25pt;height:236.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fillcolor="#dbf4f5 [3214]" stroked="f" strokeweight="1.5pt">
                <v:stroke endcap="round"/>
                <w10:wrap anchorx="page" anchory="page"/>
                <w10:anchorlock/>
              </v:rect>
            </w:pict>
          </mc:Fallback>
        </mc:AlternateContent>
      </w:r>
    </w:p>
    <w:sectPr w:rsidR="006E1C8D" w:rsidRPr="00BF56B2" w:rsidSect="006959BC">
      <w:headerReference w:type="default" r:id="rId28"/>
      <w:footerReference w:type="default" r:id="rId29"/>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024A" w14:textId="77777777" w:rsidR="00A35678" w:rsidRDefault="00A35678">
      <w:r>
        <w:separator/>
      </w:r>
    </w:p>
    <w:p w14:paraId="788AB489" w14:textId="77777777" w:rsidR="00A35678" w:rsidRDefault="00A35678"/>
    <w:p w14:paraId="7C3CDC15" w14:textId="77777777" w:rsidR="00A35678" w:rsidRDefault="00A35678"/>
  </w:endnote>
  <w:endnote w:type="continuationSeparator" w:id="0">
    <w:p w14:paraId="755AD780" w14:textId="77777777" w:rsidR="00A35678" w:rsidRDefault="00A35678">
      <w:r>
        <w:continuationSeparator/>
      </w:r>
    </w:p>
    <w:p w14:paraId="390A3E3D" w14:textId="77777777" w:rsidR="00A35678" w:rsidRDefault="00A35678"/>
    <w:p w14:paraId="590283FF" w14:textId="77777777" w:rsidR="00A35678" w:rsidRDefault="00A35678"/>
  </w:endnote>
  <w:endnote w:type="continuationNotice" w:id="1">
    <w:p w14:paraId="104230E1" w14:textId="77777777" w:rsidR="00A35678" w:rsidRDefault="00A356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9361F" w14:textId="4E1E05D9" w:rsidR="00947066" w:rsidRPr="00AE6B68" w:rsidRDefault="00D474FE">
    <w:pPr>
      <w:pStyle w:val="Footer"/>
      <w:rPr>
        <w:b/>
        <w:bCs/>
        <w:color w:val="201547" w:themeColor="text2"/>
        <w:sz w:val="20"/>
        <w:szCs w:val="24"/>
      </w:rPr>
    </w:pPr>
    <w:r>
      <w:rPr>
        <w:noProof/>
      </w:rPr>
      <mc:AlternateContent>
        <mc:Choice Requires="wps">
          <w:drawing>
            <wp:anchor distT="0" distB="0" distL="114300" distR="114300" simplePos="0" relativeHeight="251661322" behindDoc="0" locked="0" layoutInCell="0" allowOverlap="1" wp14:anchorId="70D34759" wp14:editId="69BD705A">
              <wp:simplePos x="0" y="0"/>
              <wp:positionH relativeFrom="page">
                <wp:posOffset>0</wp:posOffset>
              </wp:positionH>
              <wp:positionV relativeFrom="page">
                <wp:posOffset>10229215</wp:posOffset>
              </wp:positionV>
              <wp:extent cx="7560945" cy="273050"/>
              <wp:effectExtent l="0" t="0" r="0" b="12700"/>
              <wp:wrapNone/>
              <wp:docPr id="12" name="MSIPCM58cd42b88a4bd94ffe0c6e47"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849D9" w14:textId="4B99F8A8" w:rsidR="00D474FE" w:rsidRPr="00D474FE" w:rsidRDefault="00D474FE" w:rsidP="00D474FE">
                          <w:pPr>
                            <w:jc w:val="center"/>
                            <w:rPr>
                              <w:rFonts w:ascii="Calibri" w:hAnsi="Calibri" w:cs="Calibri"/>
                              <w:color w:val="000000"/>
                              <w:sz w:val="24"/>
                            </w:rPr>
                          </w:pPr>
                          <w:r w:rsidRPr="00D474F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D34759" id="_x0000_t202" coordsize="21600,21600" o:spt="202" path="m,l,21600r21600,l21600,xe">
              <v:stroke joinstyle="miter"/>
              <v:path gradientshapeok="t" o:connecttype="rect"/>
            </v:shapetype>
            <v:shape id="MSIPCM58cd42b88a4bd94ffe0c6e47" o:spid="_x0000_s1026" type="#_x0000_t202" alt="{&quot;HashCode&quot;:1862493762,&quot;Height&quot;:842.0,&quot;Width&quot;:595.0,&quot;Placement&quot;:&quot;Footer&quot;,&quot;Index&quot;:&quot;OddAndEven&quot;,&quot;Section&quot;:1,&quot;Top&quot;:0.0,&quot;Left&quot;:0.0}" style="position:absolute;margin-left:0;margin-top:805.45pt;width:595.35pt;height:21.5pt;z-index:25166132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fill o:detectmouseclick="t"/>
              <v:textbox inset=",0,,0">
                <w:txbxContent>
                  <w:p w14:paraId="748849D9" w14:textId="4B99F8A8" w:rsidR="00D474FE" w:rsidRPr="00D474FE" w:rsidRDefault="00D474FE" w:rsidP="00D474FE">
                    <w:pPr>
                      <w:jc w:val="center"/>
                      <w:rPr>
                        <w:rFonts w:ascii="Calibri" w:hAnsi="Calibri" w:cs="Calibri"/>
                        <w:color w:val="000000"/>
                        <w:sz w:val="24"/>
                      </w:rPr>
                    </w:pPr>
                    <w:r w:rsidRPr="00D474FE">
                      <w:rPr>
                        <w:rFonts w:ascii="Calibri" w:hAnsi="Calibri" w:cs="Calibri"/>
                        <w:color w:val="000000"/>
                        <w:sz w:val="24"/>
                      </w:rPr>
                      <w:t>OFFICIAL</w:t>
                    </w:r>
                  </w:p>
                </w:txbxContent>
              </v:textbox>
              <w10:wrap anchorx="page" anchory="page"/>
            </v:shape>
          </w:pict>
        </mc:Fallback>
      </mc:AlternateContent>
    </w:r>
    <w:r w:rsidR="00A3348E">
      <w:rPr>
        <w:noProof/>
      </w:rPr>
      <mc:AlternateContent>
        <mc:Choice Requires="wps">
          <w:drawing>
            <wp:anchor distT="0" distB="0" distL="114300" distR="114300" simplePos="0" relativeHeight="251658249" behindDoc="0" locked="0" layoutInCell="0" allowOverlap="1" wp14:anchorId="4BCC6840" wp14:editId="5B32725A">
              <wp:simplePos x="0" y="0"/>
              <wp:positionH relativeFrom="page">
                <wp:posOffset>0</wp:posOffset>
              </wp:positionH>
              <wp:positionV relativeFrom="page">
                <wp:posOffset>10229215</wp:posOffset>
              </wp:positionV>
              <wp:extent cx="7560945" cy="273050"/>
              <wp:effectExtent l="0" t="0" r="0" b="12700"/>
              <wp:wrapNone/>
              <wp:docPr id="7" name="Text Box 7"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75D408" w14:textId="499BE523" w:rsidR="00A3348E" w:rsidRPr="00A3348E" w:rsidRDefault="00A3348E" w:rsidP="00A3348E">
                          <w:pPr>
                            <w:jc w:val="center"/>
                            <w:rPr>
                              <w:rFonts w:ascii="Calibri" w:hAnsi="Calibri" w:cs="Calibri"/>
                              <w:color w:val="000000"/>
                              <w:sz w:val="24"/>
                            </w:rPr>
                          </w:pPr>
                          <w:r w:rsidRPr="00A3348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CC6840" id="Text Box 7" o:spid="_x0000_s1027" type="#_x0000_t202" alt="{&quot;HashCode&quot;:-1264680268,&quot;Height&quot;:842.0,&quot;Width&quot;:595.0,&quot;Placement&quot;:&quot;Footer&quot;,&quot;Index&quot;:&quot;OddAndEven&quot;,&quot;Section&quot;:1,&quot;Top&quot;:0.0,&quot;Left&quot;:0.0}" style="position:absolute;margin-left:0;margin-top:805.4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975D408" w14:textId="499BE523" w:rsidR="00A3348E" w:rsidRPr="00A3348E" w:rsidRDefault="00A3348E" w:rsidP="00A3348E">
                    <w:pPr>
                      <w:jc w:val="center"/>
                      <w:rPr>
                        <w:rFonts w:ascii="Calibri" w:hAnsi="Calibri" w:cs="Calibri"/>
                        <w:color w:val="000000"/>
                        <w:sz w:val="24"/>
                      </w:rPr>
                    </w:pPr>
                    <w:r w:rsidRPr="00A3348E">
                      <w:rPr>
                        <w:rFonts w:ascii="Calibri" w:hAnsi="Calibri" w:cs="Calibri"/>
                        <w:color w:val="000000"/>
                        <w:sz w:val="24"/>
                      </w:rPr>
                      <w:t>OFFICIAL</w:t>
                    </w:r>
                  </w:p>
                </w:txbxContent>
              </v:textbox>
              <w10:wrap anchorx="page" anchory="page"/>
            </v:shape>
          </w:pict>
        </mc:Fallback>
      </mc:AlternateContent>
    </w:r>
    <w:r w:rsidR="001138E9">
      <w:rPr>
        <w:noProof/>
      </w:rPr>
      <mc:AlternateContent>
        <mc:Choice Requires="wps">
          <w:drawing>
            <wp:anchor distT="0" distB="0" distL="114300" distR="114300" simplePos="0" relativeHeight="251658245" behindDoc="0" locked="0" layoutInCell="0" allowOverlap="1" wp14:anchorId="7436A123" wp14:editId="052E4CBD">
              <wp:simplePos x="0" y="0"/>
              <wp:positionH relativeFrom="page">
                <wp:posOffset>0</wp:posOffset>
              </wp:positionH>
              <wp:positionV relativeFrom="page">
                <wp:posOffset>10229850</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52FEA" w14:textId="6CB5FF39"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436A123" id="Text Box 101" o:spid="_x0000_s1028" type="#_x0000_t202" alt="{&quot;HashCode&quot;:-1264680268,&quot;Height&quot;:842.0,&quot;Width&quot;:595.0,&quot;Placement&quot;:&quot;Footer&quot;,&quot;Index&quot;:&quot;OddAndEven&quot;,&quot;Section&quot;:1,&quot;Top&quot;:0.0,&quot;Left&quot;:0.0}" style="position:absolute;margin-left:0;margin-top:805.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" o:allowincell="f" filled="f" stroked="f" strokeweight=".5pt">
              <v:textbox inset=",0,,0">
                <w:txbxContent>
                  <w:p w14:paraId="2E352FEA" w14:textId="6CB5FF39"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v:textbox>
              <w10:wrap anchorx="page" anchory="page"/>
            </v:shape>
          </w:pict>
        </mc:Fallback>
      </mc:AlternateContent>
    </w:r>
    <w:sdt>
      <w:sdtPr>
        <w:id w:val="-2122751450"/>
        <w:docPartObj>
          <w:docPartGallery w:val="Page Numbers (Bottom of Page)"/>
          <w:docPartUnique/>
        </w:docPartObj>
      </w:sdtPr>
      <w:sdtEndPr>
        <w:rPr>
          <w:b/>
          <w:bCs/>
          <w:noProof/>
          <w:color w:val="201547" w:themeColor="text2"/>
          <w:sz w:val="32"/>
          <w:szCs w:val="40"/>
        </w:rPr>
      </w:sdtEndPr>
      <w:sdtContent>
        <w:r w:rsidR="00AE6B68" w:rsidRPr="00AE6B68">
          <w:rPr>
            <w:b/>
            <w:bCs/>
            <w:color w:val="201547" w:themeColor="text2"/>
            <w:sz w:val="20"/>
            <w:szCs w:val="24"/>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F24B" w14:textId="2F05BAC4" w:rsidR="00947066" w:rsidRDefault="00D474FE" w:rsidP="00296569">
    <w:pPr>
      <w:pStyle w:val="xWeb"/>
      <w:spacing w:after="960"/>
    </w:pPr>
    <w:r>
      <w:rPr>
        <w:noProof/>
        <w:sz w:val="18"/>
      </w:rPr>
      <mc:AlternateContent>
        <mc:Choice Requires="wps">
          <w:drawing>
            <wp:anchor distT="0" distB="0" distL="114300" distR="114300" simplePos="1" relativeHeight="251659274" behindDoc="0" locked="0" layoutInCell="0" allowOverlap="1" wp14:anchorId="09DAB5FE" wp14:editId="455F6B7A">
              <wp:simplePos x="0" y="10229453"/>
              <wp:positionH relativeFrom="page">
                <wp:posOffset>0</wp:posOffset>
              </wp:positionH>
              <wp:positionV relativeFrom="page">
                <wp:posOffset>10229215</wp:posOffset>
              </wp:positionV>
              <wp:extent cx="7560945" cy="273050"/>
              <wp:effectExtent l="0" t="0" r="0" b="12700"/>
              <wp:wrapNone/>
              <wp:docPr id="10" name="MSIPCM66dd49239301d47748ef0240"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0C1D7" w14:textId="1CECCACA" w:rsidR="00D474FE" w:rsidRPr="00D474FE" w:rsidRDefault="00D474FE" w:rsidP="00D474FE">
                          <w:pPr>
                            <w:jc w:val="center"/>
                            <w:rPr>
                              <w:rFonts w:ascii="Calibri" w:hAnsi="Calibri" w:cs="Calibri"/>
                              <w:color w:val="000000"/>
                              <w:sz w:val="24"/>
                            </w:rPr>
                          </w:pPr>
                          <w:r w:rsidRPr="00D474F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DAB5FE" id="_x0000_t202" coordsize="21600,21600" o:spt="202" path="m,l,21600r21600,l21600,xe">
              <v:stroke joinstyle="miter"/>
              <v:path gradientshapeok="t" o:connecttype="rect"/>
            </v:shapetype>
            <v:shape id="MSIPCM66dd49239301d47748ef0240" o:spid="_x0000_s1029" type="#_x0000_t202" alt="{&quot;HashCode&quot;:1862493762,&quot;Height&quot;:842.0,&quot;Width&quot;:595.0,&quot;Placement&quot;:&quot;Footer&quot;,&quot;Index&quot;:&quot;Primary&quot;,&quot;Section&quot;:1,&quot;Top&quot;:0.0,&quot;Left&quot;:0.0}" style="position:absolute;margin-left:0;margin-top:805.45pt;width:595.35pt;height:21.5pt;z-index:251659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fill o:detectmouseclick="t"/>
              <v:textbox inset=",0,,0">
                <w:txbxContent>
                  <w:p w14:paraId="3560C1D7" w14:textId="1CECCACA" w:rsidR="00D474FE" w:rsidRPr="00D474FE" w:rsidRDefault="00D474FE" w:rsidP="00D474FE">
                    <w:pPr>
                      <w:jc w:val="center"/>
                      <w:rPr>
                        <w:rFonts w:ascii="Calibri" w:hAnsi="Calibri" w:cs="Calibri"/>
                        <w:color w:val="000000"/>
                        <w:sz w:val="24"/>
                      </w:rPr>
                    </w:pPr>
                    <w:r w:rsidRPr="00D474FE">
                      <w:rPr>
                        <w:rFonts w:ascii="Calibri" w:hAnsi="Calibri" w:cs="Calibri"/>
                        <w:color w:val="000000"/>
                        <w:sz w:val="24"/>
                      </w:rPr>
                      <w:t>OFFICIAL</w:t>
                    </w:r>
                  </w:p>
                </w:txbxContent>
              </v:textbox>
              <w10:wrap anchorx="page" anchory="page"/>
            </v:shape>
          </w:pict>
        </mc:Fallback>
      </mc:AlternateContent>
    </w:r>
    <w:r w:rsidR="00A3348E">
      <w:rPr>
        <w:noProof/>
        <w:sz w:val="18"/>
      </w:rPr>
      <mc:AlternateContent>
        <mc:Choice Requires="wps">
          <w:drawing>
            <wp:anchor distT="0" distB="0" distL="114300" distR="114300" simplePos="1" relativeHeight="251658247" behindDoc="0" locked="0" layoutInCell="0" allowOverlap="1" wp14:anchorId="1852B871" wp14:editId="2DFB00B6">
              <wp:simplePos x="0" y="10229453"/>
              <wp:positionH relativeFrom="page">
                <wp:posOffset>0</wp:posOffset>
              </wp:positionH>
              <wp:positionV relativeFrom="page">
                <wp:posOffset>10229215</wp:posOffset>
              </wp:positionV>
              <wp:extent cx="7560945" cy="273050"/>
              <wp:effectExtent l="0" t="0" r="0" b="12700"/>
              <wp:wrapNone/>
              <wp:docPr id="1" name="Text Box 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C987C0" w14:textId="373DAA57" w:rsidR="00A3348E" w:rsidRPr="00A3348E" w:rsidRDefault="00A3348E" w:rsidP="00A3348E">
                          <w:pPr>
                            <w:jc w:val="center"/>
                            <w:rPr>
                              <w:rFonts w:ascii="Calibri" w:hAnsi="Calibri" w:cs="Calibri"/>
                              <w:color w:val="000000"/>
                              <w:sz w:val="24"/>
                            </w:rPr>
                          </w:pPr>
                          <w:r w:rsidRPr="00A3348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52B871" id="Text Box 1" o:spid="_x0000_s1030" type="#_x0000_t202" alt="{&quot;HashCode&quot;:-1264680268,&quot;Height&quot;:842.0,&quot;Width&quot;:595.0,&quot;Placement&quot;:&quot;Footer&quot;,&quot;Index&quot;:&quot;Primary&quot;,&quot;Section&quot;:1,&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6AC987C0" w14:textId="373DAA57" w:rsidR="00A3348E" w:rsidRPr="00A3348E" w:rsidRDefault="00A3348E" w:rsidP="00A3348E">
                    <w:pPr>
                      <w:jc w:val="center"/>
                      <w:rPr>
                        <w:rFonts w:ascii="Calibri" w:hAnsi="Calibri" w:cs="Calibri"/>
                        <w:color w:val="000000"/>
                        <w:sz w:val="24"/>
                      </w:rPr>
                    </w:pPr>
                    <w:r w:rsidRPr="00A3348E">
                      <w:rPr>
                        <w:rFonts w:ascii="Calibri" w:hAnsi="Calibri" w:cs="Calibri"/>
                        <w:color w:val="000000"/>
                        <w:sz w:val="24"/>
                      </w:rPr>
                      <w:t>OFFICIAL</w:t>
                    </w:r>
                  </w:p>
                </w:txbxContent>
              </v:textbox>
              <w10:wrap anchorx="page" anchory="page"/>
            </v:shape>
          </w:pict>
        </mc:Fallback>
      </mc:AlternateContent>
    </w:r>
    <w:r w:rsidR="00EA0C6A">
      <w:rPr>
        <w:noProof/>
        <w:sz w:val="18"/>
      </w:rPr>
      <mc:AlternateContent>
        <mc:Choice Requires="wps">
          <w:drawing>
            <wp:anchor distT="0" distB="0" distL="114300" distR="114300" simplePos="0" relativeHeight="251658243" behindDoc="0" locked="0" layoutInCell="0" allowOverlap="1" wp14:anchorId="59CB97D0" wp14:editId="68B800D6">
              <wp:simplePos x="0" y="0"/>
              <wp:positionH relativeFrom="page">
                <wp:posOffset>0</wp:posOffset>
              </wp:positionH>
              <wp:positionV relativeFrom="page">
                <wp:posOffset>10229850</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A7FB5" w14:textId="75C78EA7" w:rsidR="00EA0C6A"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CB97D0" id="Text Box 9" o:spid="_x0000_s1031" type="#_x0000_t202" alt="{&quot;HashCode&quot;:-1264680268,&quot;Height&quot;:842.0,&quot;Width&quot;:595.0,&quot;Placement&quot;:&quot;Footer&quot;,&quot;Index&quot;:&quot;Primary&quot;,&quot;Section&quot;:1,&quot;Top&quot;:0.0,&quot;Left&quot;:0.0}" style="position:absolute;margin-left:0;margin-top:805.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y7e1yGAIAACsEAAAOAAAAAAAAAAAAAAAAAC4CAABkcnMvZTJvRG9jLnhtbFBLAQItABQA&#10;BgAIAAAAIQA6h7a53wAAAAsBAAAPAAAAAAAAAAAAAAAAAHIEAABkcnMvZG93bnJldi54bWxQSwUG&#10;AAAAAAQABADzAAAAfgUAAAAA&#10;" o:allowincell="f" filled="f" stroked="f" strokeweight=".5pt">
              <v:textbox inset=",0,,0">
                <w:txbxContent>
                  <w:p w14:paraId="31FA7FB5" w14:textId="75C78EA7" w:rsidR="00EA0C6A"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965F" w14:textId="54B9F185" w:rsidR="00B40C2E" w:rsidRPr="002131E7" w:rsidRDefault="00D474FE" w:rsidP="000721CE">
    <w:pPr>
      <w:pStyle w:val="Footer"/>
      <w:rPr>
        <w:b/>
        <w:bCs/>
        <w:color w:val="201547" w:themeColor="text2"/>
        <w:sz w:val="24"/>
        <w:szCs w:val="32"/>
      </w:rPr>
    </w:pPr>
    <w:r>
      <w:rPr>
        <w:b/>
        <w:bCs/>
        <w:noProof/>
        <w:color w:val="201547" w:themeColor="text2"/>
        <w:sz w:val="28"/>
        <w:szCs w:val="32"/>
      </w:rPr>
      <mc:AlternateContent>
        <mc:Choice Requires="wps">
          <w:drawing>
            <wp:anchor distT="0" distB="0" distL="114300" distR="114300" simplePos="0" relativeHeight="251660298" behindDoc="0" locked="0" layoutInCell="0" allowOverlap="1" wp14:anchorId="7C7363D7" wp14:editId="4DB2FE3A">
              <wp:simplePos x="0" y="0"/>
              <wp:positionH relativeFrom="page">
                <wp:posOffset>0</wp:posOffset>
              </wp:positionH>
              <wp:positionV relativeFrom="page">
                <wp:posOffset>10229215</wp:posOffset>
              </wp:positionV>
              <wp:extent cx="7560945" cy="273050"/>
              <wp:effectExtent l="0" t="0" r="0" b="12700"/>
              <wp:wrapNone/>
              <wp:docPr id="11" name="MSIPCMd288475db4a56d4959e24b91"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04CF0" w14:textId="4C1AD107" w:rsidR="00D474FE" w:rsidRPr="00D474FE" w:rsidRDefault="00D474FE" w:rsidP="00D474FE">
                          <w:pPr>
                            <w:jc w:val="center"/>
                            <w:rPr>
                              <w:rFonts w:ascii="Calibri" w:hAnsi="Calibri" w:cs="Calibri"/>
                              <w:color w:val="000000"/>
                              <w:sz w:val="24"/>
                            </w:rPr>
                          </w:pPr>
                          <w:r w:rsidRPr="00D474F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7363D7" id="_x0000_t202" coordsize="21600,21600" o:spt="202" path="m,l,21600r21600,l21600,xe">
              <v:stroke joinstyle="miter"/>
              <v:path gradientshapeok="t" o:connecttype="rect"/>
            </v:shapetype>
            <v:shape id="MSIPCMd288475db4a56d4959e24b91" o:spid="_x0000_s1032" type="#_x0000_t202" alt="{&quot;HashCode&quot;:1862493762,&quot;Height&quot;:842.0,&quot;Width&quot;:595.0,&quot;Placement&quot;:&quot;Footer&quot;,&quot;Index&quot;:&quot;FirstPage&quot;,&quot;Section&quot;:1,&quot;Top&quot;:0.0,&quot;Left&quot;:0.0}" style="position:absolute;margin-left:0;margin-top:805.45pt;width:595.35pt;height:21.5pt;z-index:25166029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75604CF0" w14:textId="4C1AD107" w:rsidR="00D474FE" w:rsidRPr="00D474FE" w:rsidRDefault="00D474FE" w:rsidP="00D474FE">
                    <w:pPr>
                      <w:jc w:val="center"/>
                      <w:rPr>
                        <w:rFonts w:ascii="Calibri" w:hAnsi="Calibri" w:cs="Calibri"/>
                        <w:color w:val="000000"/>
                        <w:sz w:val="24"/>
                      </w:rPr>
                    </w:pPr>
                    <w:r w:rsidRPr="00D474FE">
                      <w:rPr>
                        <w:rFonts w:ascii="Calibri" w:hAnsi="Calibri" w:cs="Calibri"/>
                        <w:color w:val="000000"/>
                        <w:sz w:val="24"/>
                      </w:rPr>
                      <w:t>OFFICIAL</w:t>
                    </w:r>
                  </w:p>
                </w:txbxContent>
              </v:textbox>
              <w10:wrap anchorx="page" anchory="page"/>
            </v:shape>
          </w:pict>
        </mc:Fallback>
      </mc:AlternateContent>
    </w:r>
    <w:r w:rsidR="00A3348E">
      <w:rPr>
        <w:b/>
        <w:bCs/>
        <w:noProof/>
        <w:color w:val="201547" w:themeColor="text2"/>
        <w:sz w:val="28"/>
        <w:szCs w:val="32"/>
      </w:rPr>
      <mc:AlternateContent>
        <mc:Choice Requires="wps">
          <w:drawing>
            <wp:anchor distT="0" distB="0" distL="114300" distR="114300" simplePos="0" relativeHeight="251658248" behindDoc="0" locked="0" layoutInCell="0" allowOverlap="1" wp14:anchorId="2979DB56" wp14:editId="79A856B7">
              <wp:simplePos x="0" y="0"/>
              <wp:positionH relativeFrom="page">
                <wp:posOffset>0</wp:posOffset>
              </wp:positionH>
              <wp:positionV relativeFrom="page">
                <wp:posOffset>10229215</wp:posOffset>
              </wp:positionV>
              <wp:extent cx="7560945" cy="273050"/>
              <wp:effectExtent l="0" t="0" r="0" b="12700"/>
              <wp:wrapNone/>
              <wp:docPr id="2" name="Text Box 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493C6" w14:textId="75DC88ED" w:rsidR="00A3348E" w:rsidRPr="00A3348E" w:rsidRDefault="00A3348E" w:rsidP="00A3348E">
                          <w:pPr>
                            <w:jc w:val="center"/>
                            <w:rPr>
                              <w:rFonts w:ascii="Calibri" w:hAnsi="Calibri" w:cs="Calibri"/>
                              <w:color w:val="000000"/>
                              <w:sz w:val="24"/>
                            </w:rPr>
                          </w:pPr>
                          <w:r w:rsidRPr="00A3348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79DB56" id="Text Box 2" o:spid="_x0000_s1033" type="#_x0000_t202" alt="{&quot;HashCode&quot;:-1264680268,&quot;Height&quot;:842.0,&quot;Width&quot;:595.0,&quot;Placement&quot;:&quot;Footer&quot;,&quot;Index&quot;:&quot;FirstPage&quot;,&quot;Section&quot;:1,&quot;Top&quot;:0.0,&quot;Left&quot;:0.0}" style="position:absolute;margin-left:0;margin-top:805.45pt;width:595.3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199493C6" w14:textId="75DC88ED" w:rsidR="00A3348E" w:rsidRPr="00A3348E" w:rsidRDefault="00A3348E" w:rsidP="00A3348E">
                    <w:pPr>
                      <w:jc w:val="center"/>
                      <w:rPr>
                        <w:rFonts w:ascii="Calibri" w:hAnsi="Calibri" w:cs="Calibri"/>
                        <w:color w:val="000000"/>
                        <w:sz w:val="24"/>
                      </w:rPr>
                    </w:pPr>
                    <w:r w:rsidRPr="00A3348E">
                      <w:rPr>
                        <w:rFonts w:ascii="Calibri" w:hAnsi="Calibri" w:cs="Calibri"/>
                        <w:color w:val="000000"/>
                        <w:sz w:val="24"/>
                      </w:rPr>
                      <w:t>OFFICIAL</w:t>
                    </w:r>
                  </w:p>
                </w:txbxContent>
              </v:textbox>
              <w10:wrap anchorx="page" anchory="page"/>
            </v:shape>
          </w:pict>
        </mc:Fallback>
      </mc:AlternateContent>
    </w:r>
    <w:r w:rsidR="00AF174F" w:rsidRPr="002131E7">
      <w:rPr>
        <w:b/>
        <w:bCs/>
        <w:noProof/>
        <w:color w:val="201547" w:themeColor="text2"/>
        <w:sz w:val="28"/>
        <w:szCs w:val="32"/>
      </w:rPr>
      <w:drawing>
        <wp:anchor distT="0" distB="0" distL="114300" distR="114300" simplePos="0" relativeHeight="251658240" behindDoc="1" locked="0" layoutInCell="1" allowOverlap="1" wp14:anchorId="5FC1E8E4" wp14:editId="2D106ADD">
          <wp:simplePos x="0" y="0"/>
          <wp:positionH relativeFrom="page">
            <wp:align>right</wp:align>
          </wp:positionH>
          <wp:positionV relativeFrom="page">
            <wp:align>bottom</wp:align>
          </wp:positionV>
          <wp:extent cx="2491285" cy="906344"/>
          <wp:effectExtent l="0" t="0" r="0" b="0"/>
          <wp:wrapNone/>
          <wp:docPr id="6" name="Picture 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rPr>
      <mc:AlternateContent>
        <mc:Choice Requires="wps">
          <w:drawing>
            <wp:anchor distT="0" distB="0" distL="114300" distR="114300" simplePos="0" relativeHeight="251658244" behindDoc="0" locked="0" layoutInCell="0" allowOverlap="1" wp14:anchorId="69E079AC" wp14:editId="1F4E595E">
              <wp:simplePos x="0" y="0"/>
              <wp:positionH relativeFrom="page">
                <wp:posOffset>0</wp:posOffset>
              </wp:positionH>
              <wp:positionV relativeFrom="page">
                <wp:posOffset>10229850</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BB659" w14:textId="2D5AB28E"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E079AC" id="Text Box 100" o:spid="_x0000_s1034" type="#_x0000_t202" alt="{&quot;HashCode&quot;:-1264680268,&quot;Height&quot;:842.0,&quot;Width&quot;:595.0,&quot;Placement&quot;:&quot;Footer&quot;,&quot;Index&quot;:&quot;FirstPage&quot;,&quot;Section&quot;:1,&quot;Top&quot;:0.0,&quot;Left&quot;:0.0}" style="position:absolute;margin-left:0;margin-top:805.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BQwQr3GAIAACsEAAAOAAAAAAAAAAAAAAAAAC4CAABkcnMvZTJvRG9jLnhtbFBLAQItABQA&#10;BgAIAAAAIQA6h7a53wAAAAsBAAAPAAAAAAAAAAAAAAAAAHIEAABkcnMvZG93bnJldi54bWxQSwUG&#10;AAAAAAQABADzAAAAfgUAAAAA&#10;" o:allowincell="f" filled="f" stroked="f" strokeweight=".5pt">
              <v:textbox inset=",0,,0">
                <w:txbxContent>
                  <w:p w14:paraId="548BB659" w14:textId="2D5AB28E"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7BCE" w14:textId="526FB310" w:rsidR="007C3531" w:rsidRPr="007C3531" w:rsidRDefault="00D474FE" w:rsidP="00861EF9">
    <w:pPr>
      <w:pStyle w:val="Footer"/>
      <w:jc w:val="right"/>
      <w:rPr>
        <w:b/>
        <w:bCs/>
        <w:color w:val="201547" w:themeColor="text2"/>
        <w:sz w:val="20"/>
        <w:szCs w:val="24"/>
      </w:rPr>
    </w:pPr>
    <w:r>
      <w:rPr>
        <w:noProof/>
      </w:rPr>
      <mc:AlternateContent>
        <mc:Choice Requires="wps">
          <w:drawing>
            <wp:anchor distT="0" distB="0" distL="114300" distR="114300" simplePos="0" relativeHeight="251662346" behindDoc="0" locked="0" layoutInCell="0" allowOverlap="1" wp14:anchorId="22355929" wp14:editId="1B828D96">
              <wp:simplePos x="0" y="0"/>
              <wp:positionH relativeFrom="page">
                <wp:posOffset>0</wp:posOffset>
              </wp:positionH>
              <wp:positionV relativeFrom="page">
                <wp:posOffset>10229215</wp:posOffset>
              </wp:positionV>
              <wp:extent cx="7560945" cy="273050"/>
              <wp:effectExtent l="0" t="0" r="0" b="12700"/>
              <wp:wrapNone/>
              <wp:docPr id="13" name="MSIPCM3cfc422db6ff3aa0f678216e"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B076F2" w14:textId="1D40AADA" w:rsidR="00D474FE" w:rsidRPr="00D474FE" w:rsidRDefault="00D474FE" w:rsidP="00D474FE">
                          <w:pPr>
                            <w:jc w:val="center"/>
                            <w:rPr>
                              <w:rFonts w:ascii="Calibri" w:hAnsi="Calibri" w:cs="Calibri"/>
                              <w:color w:val="000000"/>
                              <w:sz w:val="24"/>
                            </w:rPr>
                          </w:pPr>
                          <w:r w:rsidRPr="00D474F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355929" id="_x0000_t202" coordsize="21600,21600" o:spt="202" path="m,l,21600r21600,l21600,xe">
              <v:stroke joinstyle="miter"/>
              <v:path gradientshapeok="t" o:connecttype="rect"/>
            </v:shapetype>
            <v:shape id="MSIPCM3cfc422db6ff3aa0f678216e" o:spid="_x0000_s1035"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fill o:detectmouseclick="t"/>
              <v:textbox inset=",0,,0">
                <w:txbxContent>
                  <w:p w14:paraId="5EB076F2" w14:textId="1D40AADA" w:rsidR="00D474FE" w:rsidRPr="00D474FE" w:rsidRDefault="00D474FE" w:rsidP="00D474FE">
                    <w:pPr>
                      <w:jc w:val="center"/>
                      <w:rPr>
                        <w:rFonts w:ascii="Calibri" w:hAnsi="Calibri" w:cs="Calibri"/>
                        <w:color w:val="000000"/>
                        <w:sz w:val="24"/>
                      </w:rPr>
                    </w:pPr>
                    <w:r w:rsidRPr="00D474FE">
                      <w:rPr>
                        <w:rFonts w:ascii="Calibri" w:hAnsi="Calibri" w:cs="Calibri"/>
                        <w:color w:val="000000"/>
                        <w:sz w:val="24"/>
                      </w:rPr>
                      <w:t>OFFICIAL</w:t>
                    </w:r>
                  </w:p>
                </w:txbxContent>
              </v:textbox>
              <w10:wrap anchorx="page" anchory="page"/>
            </v:shape>
          </w:pict>
        </mc:Fallback>
      </mc:AlternateContent>
    </w:r>
    <w:r w:rsidR="00A3348E">
      <w:rPr>
        <w:noProof/>
      </w:rPr>
      <mc:AlternateContent>
        <mc:Choice Requires="wps">
          <w:drawing>
            <wp:anchor distT="0" distB="0" distL="114300" distR="114300" simplePos="0" relativeHeight="251658250" behindDoc="0" locked="0" layoutInCell="0" allowOverlap="1" wp14:anchorId="204126A9" wp14:editId="51DEAAB8">
              <wp:simplePos x="0" y="0"/>
              <wp:positionH relativeFrom="page">
                <wp:posOffset>0</wp:posOffset>
              </wp:positionH>
              <wp:positionV relativeFrom="page">
                <wp:posOffset>10229215</wp:posOffset>
              </wp:positionV>
              <wp:extent cx="7560945" cy="273050"/>
              <wp:effectExtent l="0" t="0" r="0" b="12700"/>
              <wp:wrapNone/>
              <wp:docPr id="8" name="Text Box 8"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54BF1" w14:textId="11AAEE92" w:rsidR="00A3348E" w:rsidRPr="00A3348E" w:rsidRDefault="00A3348E" w:rsidP="00A3348E">
                          <w:pPr>
                            <w:jc w:val="center"/>
                            <w:rPr>
                              <w:rFonts w:ascii="Calibri" w:hAnsi="Calibri" w:cs="Calibri"/>
                              <w:color w:val="000000"/>
                              <w:sz w:val="24"/>
                            </w:rPr>
                          </w:pPr>
                          <w:r w:rsidRPr="00A3348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04126A9" id="Text Box 8" o:spid="_x0000_s1036"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01F54BF1" w14:textId="11AAEE92" w:rsidR="00A3348E" w:rsidRPr="00A3348E" w:rsidRDefault="00A3348E" w:rsidP="00A3348E">
                    <w:pPr>
                      <w:jc w:val="center"/>
                      <w:rPr>
                        <w:rFonts w:ascii="Calibri" w:hAnsi="Calibri" w:cs="Calibri"/>
                        <w:color w:val="000000"/>
                        <w:sz w:val="24"/>
                      </w:rPr>
                    </w:pPr>
                    <w:r w:rsidRPr="00A3348E">
                      <w:rPr>
                        <w:rFonts w:ascii="Calibri" w:hAnsi="Calibri" w:cs="Calibri"/>
                        <w:color w:val="000000"/>
                        <w:sz w:val="24"/>
                      </w:rPr>
                      <w:t>OFFICIAL</w:t>
                    </w:r>
                  </w:p>
                </w:txbxContent>
              </v:textbox>
              <w10:wrap anchorx="page" anchory="page"/>
            </v:shape>
          </w:pict>
        </mc:Fallback>
      </mc:AlternateContent>
    </w:r>
    <w:r w:rsidR="001138E9">
      <w:rPr>
        <w:noProof/>
      </w:rPr>
      <mc:AlternateContent>
        <mc:Choice Requires="wps">
          <w:drawing>
            <wp:anchor distT="0" distB="0" distL="114300" distR="114300" simplePos="0" relativeHeight="251658246" behindDoc="0" locked="0" layoutInCell="0" allowOverlap="1" wp14:anchorId="597794A7" wp14:editId="02AE9B24">
              <wp:simplePos x="0" y="0"/>
              <wp:positionH relativeFrom="page">
                <wp:posOffset>0</wp:posOffset>
              </wp:positionH>
              <wp:positionV relativeFrom="page">
                <wp:posOffset>10229850</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B1F11" w14:textId="59FEB222"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7794A7" id="Text Box 102" o:spid="_x0000_s1037" type="#_x0000_t202" alt="{&quot;HashCode&quot;:-1264680268,&quot;Height&quot;:842.0,&quot;Width&quot;:595.0,&quot;Placement&quot;:&quot;Footer&quot;,&quot;Index&quot;:&quot;Primary&quot;,&quot;Section&quot;:2,&quot;Top&quot;:0.0,&quot;Left&quot;:0.0}" style="position:absolute;left:0;text-align:left;margin-left:0;margin-top:805.5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x2Hg9GAIAACsEAAAOAAAAAAAAAAAAAAAAAC4CAABkcnMvZTJvRG9jLnhtbFBLAQItABQA&#10;BgAIAAAAIQA6h7a53wAAAAsBAAAPAAAAAAAAAAAAAAAAAHIEAABkcnMvZG93bnJldi54bWxQSwUG&#10;AAAAAAQABADzAAAAfgUAAAAA&#10;" o:allowincell="f" filled="f" stroked="f" strokeweight=".5pt">
              <v:textbox inset=",0,,0">
                <w:txbxContent>
                  <w:p w14:paraId="2A9B1F11" w14:textId="59FEB222" w:rsidR="001138E9" w:rsidRPr="00400250" w:rsidRDefault="00400250" w:rsidP="00400250">
                    <w:pPr>
                      <w:jc w:val="center"/>
                      <w:rPr>
                        <w:rFonts w:ascii="Calibri" w:hAnsi="Calibri" w:cs="Calibri"/>
                        <w:color w:val="000000"/>
                        <w:sz w:val="24"/>
                      </w:rPr>
                    </w:pPr>
                    <w:r w:rsidRPr="00400250">
                      <w:rPr>
                        <w:rFonts w:ascii="Calibri" w:hAnsi="Calibri" w:cs="Calibri"/>
                        <w:color w:val="000000"/>
                        <w:sz w:val="24"/>
                      </w:rPr>
                      <w:t>OFFICIAL</w:t>
                    </w:r>
                  </w:p>
                </w:txbxContent>
              </v:textbox>
              <w10:wrap anchorx="page" anchory="page"/>
            </v:shape>
          </w:pict>
        </mc:Fallback>
      </mc:AlternateContent>
    </w:r>
    <w:sdt>
      <w:sdtPr>
        <w:id w:val="-757904798"/>
        <w:docPartObj>
          <w:docPartGallery w:val="Page Numbers (Bottom of Page)"/>
          <w:docPartUnique/>
        </w:docPartObj>
      </w:sdtPr>
      <w:sdtEndPr>
        <w:rPr>
          <w:b/>
          <w:bCs/>
          <w:noProof/>
          <w:color w:val="201547" w:themeColor="text2"/>
          <w:sz w:val="20"/>
          <w:szCs w:val="24"/>
        </w:rPr>
      </w:sdtEndPr>
      <w:sdtContent>
        <w:r w:rsidR="007C3531" w:rsidRPr="007C3531">
          <w:rPr>
            <w:b/>
            <w:bCs/>
            <w:color w:val="201547" w:themeColor="text2"/>
            <w:sz w:val="20"/>
            <w:szCs w:val="24"/>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BEE91" w14:textId="77777777" w:rsidR="00A35678" w:rsidRPr="008F5280" w:rsidRDefault="00A35678" w:rsidP="008F5280">
      <w:pPr>
        <w:pStyle w:val="FootnoteSeparator"/>
      </w:pPr>
    </w:p>
    <w:p w14:paraId="737C3838" w14:textId="77777777" w:rsidR="00A35678" w:rsidRDefault="00A35678"/>
  </w:footnote>
  <w:footnote w:type="continuationSeparator" w:id="0">
    <w:p w14:paraId="464373C4" w14:textId="77777777" w:rsidR="00A35678" w:rsidRDefault="00A35678" w:rsidP="008F5280">
      <w:pPr>
        <w:pStyle w:val="FootnoteSeparator"/>
      </w:pPr>
    </w:p>
    <w:p w14:paraId="24BCF5B4" w14:textId="77777777" w:rsidR="00A35678" w:rsidRDefault="00A35678"/>
    <w:p w14:paraId="002AC985" w14:textId="77777777" w:rsidR="00A35678" w:rsidRDefault="00A35678"/>
  </w:footnote>
  <w:footnote w:type="continuationNotice" w:id="1">
    <w:p w14:paraId="7BD497D5" w14:textId="77777777" w:rsidR="00A35678" w:rsidRDefault="00A35678" w:rsidP="00D55628"/>
    <w:p w14:paraId="25D1BA22" w14:textId="77777777" w:rsidR="00A35678" w:rsidRDefault="00A35678"/>
    <w:p w14:paraId="79DE5F53" w14:textId="77777777" w:rsidR="00A35678" w:rsidRDefault="00A35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CDE7" w14:textId="77777777" w:rsidR="00C0443C" w:rsidRDefault="00C04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522A" w14:textId="77777777" w:rsidR="00501F49" w:rsidRDefault="00501F49" w:rsidP="00501F49">
    <w:pPr>
      <w:pStyle w:val="Header"/>
      <w:spacing w:before="240"/>
      <w:jc w:val="right"/>
    </w:pPr>
    <w:r>
      <w:rPr>
        <w:noProof/>
        <w:color w:val="004C97" w:themeColor="accent3"/>
      </w:rPr>
      <w:drawing>
        <wp:anchor distT="0" distB="0" distL="114300" distR="114300" simplePos="0" relativeHeight="251658241" behindDoc="1" locked="0" layoutInCell="1" allowOverlap="1" wp14:anchorId="219C33C2" wp14:editId="007A7066">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E6F" w14:textId="77777777" w:rsidR="007C3531" w:rsidRDefault="007C3531">
    <w:pPr>
      <w:pStyle w:val="Header"/>
    </w:pPr>
    <w:r>
      <w:rPr>
        <w:noProof/>
        <w:color w:val="004C97" w:themeColor="accent3"/>
      </w:rPr>
      <w:drawing>
        <wp:anchor distT="0" distB="0" distL="114300" distR="114300" simplePos="0" relativeHeight="251658242" behindDoc="1" locked="0" layoutInCell="1" allowOverlap="1" wp14:anchorId="7C4094AC" wp14:editId="54947E66">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8074"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decimal"/>
      <w:pStyle w:val="Heading3"/>
      <w:suff w:val="nothing"/>
      <w:lvlText w:val=""/>
      <w:lvlJc w:val="left"/>
      <w:pPr>
        <w:ind w:left="0" w:firstLine="0"/>
      </w:p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4" w15:restartNumberingAfterBreak="0">
    <w:nsid w:val="6359230E"/>
    <w:multiLevelType w:val="hybridMultilevel"/>
    <w:tmpl w:val="3BB27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8"/>
  </w:num>
  <w:num w:numId="2" w16cid:durableId="438643702">
    <w:abstractNumId w:val="16"/>
  </w:num>
  <w:num w:numId="3" w16cid:durableId="811873596">
    <w:abstractNumId w:val="13"/>
  </w:num>
  <w:num w:numId="4" w16cid:durableId="319582888">
    <w:abstractNumId w:val="19"/>
  </w:num>
  <w:num w:numId="5" w16cid:durableId="1076174753">
    <w:abstractNumId w:val="5"/>
  </w:num>
  <w:num w:numId="6" w16cid:durableId="292516072">
    <w:abstractNumId w:val="2"/>
  </w:num>
  <w:num w:numId="7" w16cid:durableId="1172524432">
    <w:abstractNumId w:val="1"/>
  </w:num>
  <w:num w:numId="8" w16cid:durableId="1315180453">
    <w:abstractNumId w:val="0"/>
  </w:num>
  <w:num w:numId="9" w16cid:durableId="1349404002">
    <w:abstractNumId w:val="17"/>
  </w:num>
  <w:num w:numId="10" w16cid:durableId="819467687">
    <w:abstractNumId w:val="3"/>
  </w:num>
  <w:num w:numId="11" w16cid:durableId="809905462">
    <w:abstractNumId w:val="6"/>
  </w:num>
  <w:num w:numId="12" w16cid:durableId="140854364">
    <w:abstractNumId w:val="4"/>
  </w:num>
  <w:num w:numId="13" w16cid:durableId="1597447447">
    <w:abstractNumId w:val="18"/>
  </w:num>
  <w:num w:numId="14" w16cid:durableId="718287114">
    <w:abstractNumId w:val="9"/>
  </w:num>
  <w:num w:numId="15" w16cid:durableId="193412550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EB50C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37C"/>
    <w:rsid w:val="000838A2"/>
    <w:rsid w:val="00083917"/>
    <w:rsid w:val="00083CD6"/>
    <w:rsid w:val="00084187"/>
    <w:rsid w:val="00084CB1"/>
    <w:rsid w:val="00085689"/>
    <w:rsid w:val="0008568F"/>
    <w:rsid w:val="0008745F"/>
    <w:rsid w:val="000908D6"/>
    <w:rsid w:val="0009125C"/>
    <w:rsid w:val="000913AD"/>
    <w:rsid w:val="00091722"/>
    <w:rsid w:val="00091F49"/>
    <w:rsid w:val="0009214D"/>
    <w:rsid w:val="000921C8"/>
    <w:rsid w:val="000925E5"/>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A13"/>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9A5"/>
    <w:rsid w:val="000C4E6D"/>
    <w:rsid w:val="000C55BE"/>
    <w:rsid w:val="000C57F2"/>
    <w:rsid w:val="000C59E2"/>
    <w:rsid w:val="000C5FDA"/>
    <w:rsid w:val="000C6231"/>
    <w:rsid w:val="000C707C"/>
    <w:rsid w:val="000C7611"/>
    <w:rsid w:val="000D050A"/>
    <w:rsid w:val="000D0526"/>
    <w:rsid w:val="000D06EA"/>
    <w:rsid w:val="000D0CA4"/>
    <w:rsid w:val="000D1A7B"/>
    <w:rsid w:val="000D1E7B"/>
    <w:rsid w:val="000D2526"/>
    <w:rsid w:val="000D2813"/>
    <w:rsid w:val="000D3282"/>
    <w:rsid w:val="000D378D"/>
    <w:rsid w:val="000D3AE8"/>
    <w:rsid w:val="000D3B59"/>
    <w:rsid w:val="000D3D33"/>
    <w:rsid w:val="000D3E39"/>
    <w:rsid w:val="000D3F7B"/>
    <w:rsid w:val="000D42D6"/>
    <w:rsid w:val="000D464F"/>
    <w:rsid w:val="000D4EC1"/>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272"/>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110"/>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A78"/>
    <w:rsid w:val="00124C3D"/>
    <w:rsid w:val="00124D82"/>
    <w:rsid w:val="00124E8F"/>
    <w:rsid w:val="001250AF"/>
    <w:rsid w:val="001253D5"/>
    <w:rsid w:val="00125A6C"/>
    <w:rsid w:val="00125C50"/>
    <w:rsid w:val="00125F99"/>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5E"/>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B7"/>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C19"/>
    <w:rsid w:val="00195EAE"/>
    <w:rsid w:val="00196016"/>
    <w:rsid w:val="00196165"/>
    <w:rsid w:val="00196393"/>
    <w:rsid w:val="00196667"/>
    <w:rsid w:val="001966C9"/>
    <w:rsid w:val="00197033"/>
    <w:rsid w:val="0019725F"/>
    <w:rsid w:val="00197717"/>
    <w:rsid w:val="001977C0"/>
    <w:rsid w:val="00197F7F"/>
    <w:rsid w:val="00197FFC"/>
    <w:rsid w:val="001A0827"/>
    <w:rsid w:val="001A0EF8"/>
    <w:rsid w:val="001A13E9"/>
    <w:rsid w:val="001A150E"/>
    <w:rsid w:val="001A18D2"/>
    <w:rsid w:val="001A245B"/>
    <w:rsid w:val="001A25AC"/>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841"/>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3F"/>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A1A"/>
    <w:rsid w:val="001F3D89"/>
    <w:rsid w:val="001F4052"/>
    <w:rsid w:val="001F43A6"/>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5C6"/>
    <w:rsid w:val="00210D74"/>
    <w:rsid w:val="00211046"/>
    <w:rsid w:val="002112B2"/>
    <w:rsid w:val="00211AE6"/>
    <w:rsid w:val="00211FE8"/>
    <w:rsid w:val="00212DA6"/>
    <w:rsid w:val="002131E7"/>
    <w:rsid w:val="00213289"/>
    <w:rsid w:val="002139D9"/>
    <w:rsid w:val="00213B45"/>
    <w:rsid w:val="00213C82"/>
    <w:rsid w:val="002140A7"/>
    <w:rsid w:val="002146CD"/>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C29"/>
    <w:rsid w:val="00235450"/>
    <w:rsid w:val="00235741"/>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9A1"/>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409"/>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6D9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1DB9"/>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2E6"/>
    <w:rsid w:val="002A783B"/>
    <w:rsid w:val="002A7AC5"/>
    <w:rsid w:val="002A7DF3"/>
    <w:rsid w:val="002B00B5"/>
    <w:rsid w:val="002B0CFA"/>
    <w:rsid w:val="002B171F"/>
    <w:rsid w:val="002B1C2D"/>
    <w:rsid w:val="002B1DB7"/>
    <w:rsid w:val="002B1DE7"/>
    <w:rsid w:val="002B1E9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70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332"/>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0E00"/>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FA5"/>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B3E"/>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8EA"/>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C4"/>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50"/>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28C"/>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3C19"/>
    <w:rsid w:val="004143E5"/>
    <w:rsid w:val="0041469A"/>
    <w:rsid w:val="0041497A"/>
    <w:rsid w:val="00415A0E"/>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288"/>
    <w:rsid w:val="00441569"/>
    <w:rsid w:val="004418F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1E1"/>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32E"/>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9CA"/>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04C"/>
    <w:rsid w:val="004B31E4"/>
    <w:rsid w:val="004B3987"/>
    <w:rsid w:val="004B3A9B"/>
    <w:rsid w:val="004B3C6B"/>
    <w:rsid w:val="004B441C"/>
    <w:rsid w:val="004B44C5"/>
    <w:rsid w:val="004B49CA"/>
    <w:rsid w:val="004B4B80"/>
    <w:rsid w:val="004B55DC"/>
    <w:rsid w:val="004B7FA5"/>
    <w:rsid w:val="004C0479"/>
    <w:rsid w:val="004C0A38"/>
    <w:rsid w:val="004C0A83"/>
    <w:rsid w:val="004C1076"/>
    <w:rsid w:val="004C112B"/>
    <w:rsid w:val="004C12BA"/>
    <w:rsid w:val="004C14AB"/>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527"/>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4FC"/>
    <w:rsid w:val="004E75BD"/>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04"/>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7F4"/>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1"/>
    <w:rsid w:val="00541EB7"/>
    <w:rsid w:val="00542945"/>
    <w:rsid w:val="00542AD5"/>
    <w:rsid w:val="00542EDE"/>
    <w:rsid w:val="00543326"/>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5F3"/>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4D12"/>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CB6"/>
    <w:rsid w:val="005C0FC8"/>
    <w:rsid w:val="005C104B"/>
    <w:rsid w:val="005C23E4"/>
    <w:rsid w:val="005C246E"/>
    <w:rsid w:val="005C2571"/>
    <w:rsid w:val="005C2763"/>
    <w:rsid w:val="005C28E9"/>
    <w:rsid w:val="005C2AAF"/>
    <w:rsid w:val="005C2C1D"/>
    <w:rsid w:val="005C2E37"/>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8C8"/>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2F02"/>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7A3"/>
    <w:rsid w:val="00617C5A"/>
    <w:rsid w:val="00617D36"/>
    <w:rsid w:val="00620448"/>
    <w:rsid w:val="00620A75"/>
    <w:rsid w:val="00620CBE"/>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4EE3"/>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3A"/>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17"/>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9B"/>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9BC"/>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1B"/>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5E8"/>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912"/>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E7D6E"/>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0D5C"/>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437"/>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10"/>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76F"/>
    <w:rsid w:val="00786862"/>
    <w:rsid w:val="00786B21"/>
    <w:rsid w:val="007875CA"/>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6A1"/>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8"/>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3F2B"/>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0E48"/>
    <w:rsid w:val="008110B6"/>
    <w:rsid w:val="0081130A"/>
    <w:rsid w:val="008113A3"/>
    <w:rsid w:val="008114B8"/>
    <w:rsid w:val="00811BE4"/>
    <w:rsid w:val="00812471"/>
    <w:rsid w:val="008125FD"/>
    <w:rsid w:val="00812815"/>
    <w:rsid w:val="00812942"/>
    <w:rsid w:val="00812A2A"/>
    <w:rsid w:val="00812B5F"/>
    <w:rsid w:val="008130E7"/>
    <w:rsid w:val="008134CB"/>
    <w:rsid w:val="0081365B"/>
    <w:rsid w:val="00813897"/>
    <w:rsid w:val="00813B7A"/>
    <w:rsid w:val="00813F7E"/>
    <w:rsid w:val="008141F0"/>
    <w:rsid w:val="008144C5"/>
    <w:rsid w:val="008148E4"/>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DB8"/>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9B"/>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76"/>
    <w:rsid w:val="008423CE"/>
    <w:rsid w:val="0084291E"/>
    <w:rsid w:val="00842D21"/>
    <w:rsid w:val="00843072"/>
    <w:rsid w:val="008432D3"/>
    <w:rsid w:val="008436A2"/>
    <w:rsid w:val="008445F6"/>
    <w:rsid w:val="008448E9"/>
    <w:rsid w:val="00844B28"/>
    <w:rsid w:val="00844B85"/>
    <w:rsid w:val="00845010"/>
    <w:rsid w:val="0084503F"/>
    <w:rsid w:val="0084589F"/>
    <w:rsid w:val="00845F37"/>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57A5B"/>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6EC4"/>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66F"/>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49E"/>
    <w:rsid w:val="008C39C5"/>
    <w:rsid w:val="008C3C77"/>
    <w:rsid w:val="008C4536"/>
    <w:rsid w:val="008C4692"/>
    <w:rsid w:val="008C4FA6"/>
    <w:rsid w:val="008C4FB4"/>
    <w:rsid w:val="008C513F"/>
    <w:rsid w:val="008C51E3"/>
    <w:rsid w:val="008C5417"/>
    <w:rsid w:val="008C5691"/>
    <w:rsid w:val="008C5778"/>
    <w:rsid w:val="008C5947"/>
    <w:rsid w:val="008C5D61"/>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3F37"/>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171"/>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7F7"/>
    <w:rsid w:val="00922B08"/>
    <w:rsid w:val="00922E8E"/>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2F"/>
    <w:rsid w:val="009C0693"/>
    <w:rsid w:val="009C0E41"/>
    <w:rsid w:val="009C174E"/>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50A"/>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D9C"/>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4BF7"/>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AF1"/>
    <w:rsid w:val="00A16B92"/>
    <w:rsid w:val="00A1747D"/>
    <w:rsid w:val="00A17AB7"/>
    <w:rsid w:val="00A17CDF"/>
    <w:rsid w:val="00A17DD5"/>
    <w:rsid w:val="00A208AA"/>
    <w:rsid w:val="00A209C4"/>
    <w:rsid w:val="00A20FFB"/>
    <w:rsid w:val="00A2103D"/>
    <w:rsid w:val="00A21346"/>
    <w:rsid w:val="00A2167F"/>
    <w:rsid w:val="00A219F9"/>
    <w:rsid w:val="00A21A5B"/>
    <w:rsid w:val="00A21F9F"/>
    <w:rsid w:val="00A226E6"/>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48E"/>
    <w:rsid w:val="00A33AF9"/>
    <w:rsid w:val="00A33B2D"/>
    <w:rsid w:val="00A33BC4"/>
    <w:rsid w:val="00A33F26"/>
    <w:rsid w:val="00A3438C"/>
    <w:rsid w:val="00A34864"/>
    <w:rsid w:val="00A348E4"/>
    <w:rsid w:val="00A35678"/>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B0A"/>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CE7"/>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87E22"/>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8BD"/>
    <w:rsid w:val="00AD7A28"/>
    <w:rsid w:val="00AD7C28"/>
    <w:rsid w:val="00AD7C88"/>
    <w:rsid w:val="00AD7D99"/>
    <w:rsid w:val="00AE0962"/>
    <w:rsid w:val="00AE0A91"/>
    <w:rsid w:val="00AE0FCB"/>
    <w:rsid w:val="00AE1B7D"/>
    <w:rsid w:val="00AE1C38"/>
    <w:rsid w:val="00AE1D21"/>
    <w:rsid w:val="00AE21B4"/>
    <w:rsid w:val="00AE2C29"/>
    <w:rsid w:val="00AE2FBA"/>
    <w:rsid w:val="00AE3189"/>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5D9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32"/>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1B1F"/>
    <w:rsid w:val="00B52051"/>
    <w:rsid w:val="00B5221E"/>
    <w:rsid w:val="00B5248C"/>
    <w:rsid w:val="00B526A3"/>
    <w:rsid w:val="00B52D73"/>
    <w:rsid w:val="00B52F1E"/>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FC7"/>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9B9"/>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768"/>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189"/>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F80"/>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C2A"/>
    <w:rsid w:val="00BE4F87"/>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43C"/>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87E"/>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C0"/>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076"/>
    <w:rsid w:val="00CB18A6"/>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4B0"/>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DC2"/>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8D2"/>
    <w:rsid w:val="00D23D0E"/>
    <w:rsid w:val="00D24D9F"/>
    <w:rsid w:val="00D25604"/>
    <w:rsid w:val="00D25B8C"/>
    <w:rsid w:val="00D26FC2"/>
    <w:rsid w:val="00D270B3"/>
    <w:rsid w:val="00D27135"/>
    <w:rsid w:val="00D2725B"/>
    <w:rsid w:val="00D30377"/>
    <w:rsid w:val="00D30DFC"/>
    <w:rsid w:val="00D3114A"/>
    <w:rsid w:val="00D31814"/>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4FE"/>
    <w:rsid w:val="00D4761C"/>
    <w:rsid w:val="00D47C8E"/>
    <w:rsid w:val="00D47FF7"/>
    <w:rsid w:val="00D500BD"/>
    <w:rsid w:val="00D503C0"/>
    <w:rsid w:val="00D50917"/>
    <w:rsid w:val="00D51001"/>
    <w:rsid w:val="00D5101B"/>
    <w:rsid w:val="00D519BB"/>
    <w:rsid w:val="00D51DD0"/>
    <w:rsid w:val="00D5273C"/>
    <w:rsid w:val="00D52958"/>
    <w:rsid w:val="00D52BDF"/>
    <w:rsid w:val="00D53636"/>
    <w:rsid w:val="00D536EF"/>
    <w:rsid w:val="00D538D4"/>
    <w:rsid w:val="00D538D8"/>
    <w:rsid w:val="00D54DBF"/>
    <w:rsid w:val="00D5556B"/>
    <w:rsid w:val="00D55628"/>
    <w:rsid w:val="00D55663"/>
    <w:rsid w:val="00D5594A"/>
    <w:rsid w:val="00D55C4A"/>
    <w:rsid w:val="00D55F10"/>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1C7"/>
    <w:rsid w:val="00DA1542"/>
    <w:rsid w:val="00DA172A"/>
    <w:rsid w:val="00DA1753"/>
    <w:rsid w:val="00DA1F6B"/>
    <w:rsid w:val="00DA1F8E"/>
    <w:rsid w:val="00DA2A2F"/>
    <w:rsid w:val="00DA2BA1"/>
    <w:rsid w:val="00DA365A"/>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653"/>
    <w:rsid w:val="00DB0F93"/>
    <w:rsid w:val="00DB17F5"/>
    <w:rsid w:val="00DB19B1"/>
    <w:rsid w:val="00DB1D06"/>
    <w:rsid w:val="00DB230F"/>
    <w:rsid w:val="00DB278D"/>
    <w:rsid w:val="00DB2A8D"/>
    <w:rsid w:val="00DB2AD1"/>
    <w:rsid w:val="00DB2F5C"/>
    <w:rsid w:val="00DB3371"/>
    <w:rsid w:val="00DB38A0"/>
    <w:rsid w:val="00DB3C59"/>
    <w:rsid w:val="00DB3CBC"/>
    <w:rsid w:val="00DB4162"/>
    <w:rsid w:val="00DB49DE"/>
    <w:rsid w:val="00DB4AB0"/>
    <w:rsid w:val="00DB4BD2"/>
    <w:rsid w:val="00DB4EA5"/>
    <w:rsid w:val="00DB571D"/>
    <w:rsid w:val="00DB59FD"/>
    <w:rsid w:val="00DB5A9B"/>
    <w:rsid w:val="00DB5E3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CBB"/>
    <w:rsid w:val="00E12E8A"/>
    <w:rsid w:val="00E132A2"/>
    <w:rsid w:val="00E135E3"/>
    <w:rsid w:val="00E140DB"/>
    <w:rsid w:val="00E14410"/>
    <w:rsid w:val="00E14756"/>
    <w:rsid w:val="00E1547E"/>
    <w:rsid w:val="00E154F2"/>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E51"/>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454"/>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3AC"/>
    <w:rsid w:val="00E57739"/>
    <w:rsid w:val="00E57777"/>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AA"/>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5DD"/>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0D2"/>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58D"/>
    <w:rsid w:val="00EB1712"/>
    <w:rsid w:val="00EB1E86"/>
    <w:rsid w:val="00EB2307"/>
    <w:rsid w:val="00EB3226"/>
    <w:rsid w:val="00EB3564"/>
    <w:rsid w:val="00EB38F4"/>
    <w:rsid w:val="00EB3C9C"/>
    <w:rsid w:val="00EB3DBF"/>
    <w:rsid w:val="00EB3EB1"/>
    <w:rsid w:val="00EB3F8C"/>
    <w:rsid w:val="00EB4036"/>
    <w:rsid w:val="00EB4B1A"/>
    <w:rsid w:val="00EB50C5"/>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312"/>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AB7"/>
    <w:rsid w:val="00EE36B2"/>
    <w:rsid w:val="00EE3A69"/>
    <w:rsid w:val="00EE3D13"/>
    <w:rsid w:val="00EE3D35"/>
    <w:rsid w:val="00EE3EBB"/>
    <w:rsid w:val="00EE4997"/>
    <w:rsid w:val="00EE4AFC"/>
    <w:rsid w:val="00EE5046"/>
    <w:rsid w:val="00EE5980"/>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8E7"/>
    <w:rsid w:val="00F02C33"/>
    <w:rsid w:val="00F02D86"/>
    <w:rsid w:val="00F03856"/>
    <w:rsid w:val="00F038E2"/>
    <w:rsid w:val="00F038F7"/>
    <w:rsid w:val="00F04172"/>
    <w:rsid w:val="00F041AE"/>
    <w:rsid w:val="00F041BD"/>
    <w:rsid w:val="00F04535"/>
    <w:rsid w:val="00F048BD"/>
    <w:rsid w:val="00F04D17"/>
    <w:rsid w:val="00F05150"/>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8F6"/>
    <w:rsid w:val="00F229EB"/>
    <w:rsid w:val="00F233FC"/>
    <w:rsid w:val="00F23E78"/>
    <w:rsid w:val="00F23EA0"/>
    <w:rsid w:val="00F24333"/>
    <w:rsid w:val="00F244FE"/>
    <w:rsid w:val="00F247C5"/>
    <w:rsid w:val="00F248B9"/>
    <w:rsid w:val="00F24944"/>
    <w:rsid w:val="00F24C06"/>
    <w:rsid w:val="00F24DDE"/>
    <w:rsid w:val="00F25171"/>
    <w:rsid w:val="00F25298"/>
    <w:rsid w:val="00F25616"/>
    <w:rsid w:val="00F25B71"/>
    <w:rsid w:val="00F25BE9"/>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0FB"/>
    <w:rsid w:val="00F44818"/>
    <w:rsid w:val="00F451F3"/>
    <w:rsid w:val="00F4541A"/>
    <w:rsid w:val="00F45AD0"/>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038"/>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709"/>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3E01"/>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659"/>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581"/>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FEBC848"/>
    <w:rsid w:val="183ECAFE"/>
    <w:rsid w:val="31B610D1"/>
    <w:rsid w:val="3486A5D3"/>
    <w:rsid w:val="37DF33D4"/>
    <w:rsid w:val="458935C2"/>
    <w:rsid w:val="57359F9F"/>
    <w:rsid w:val="5F4C0BD1"/>
    <w:rsid w:val="69311D72"/>
    <w:rsid w:val="755427A1"/>
    <w:rsid w:val="76D6AC4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3211802A"/>
  <w15:docId w15:val="{B25ADD25-5686-45F8-AA6B-612C7022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13"/>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4"/>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E708A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1335157">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vic.gov.au/strengthening-our-waste-and-recycling-system?redirectSrc=www.recycling.vic.gov.a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aveboard.com.a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emf"/><Relationship Id="rId27" Type="http://schemas.openxmlformats.org/officeDocument/2006/relationships/image" Target="media/image2.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6A22ECE43F669147842AB5282ADE9B0D" ma:contentTypeVersion="7" ma:contentTypeDescription="Attachment Document" ma:contentTypeScope="" ma:versionID="4bd4bbce28fb06474a0641195fc38598">
  <xsd:schema xmlns:xsd="http://www.w3.org/2001/XMLSchema" xmlns:xs="http://www.w3.org/2001/XMLSchema" xmlns:p="http://schemas.microsoft.com/office/2006/metadata/properties" xmlns:ns2="cae37ace-7a49-4147-b024-43561a7a3263" xmlns:ns3="a5f32de4-e402-4188-b034-e71ca7d22e54" xmlns:ns4="9a0f320d-79d4-4589-9114-a9c496c77e67" targetNamespace="http://schemas.microsoft.com/office/2006/metadata/properties" ma:root="true" ma:fieldsID="8885b7257315d6523503c2606b87ad23" ns2:_="" ns3:_="" ns4:_="">
    <xsd:import namespace="cae37ace-7a49-4147-b024-43561a7a3263"/>
    <xsd:import namespace="a5f32de4-e402-4188-b034-e71ca7d22e54"/>
    <xsd:import namespace="9a0f320d-79d4-4589-9114-a9c496c77e67"/>
    <xsd:element name="properties">
      <xsd:complexType>
        <xsd:sequence>
          <xsd:element name="documentManagement">
            <xsd:complexType>
              <xsd:all>
                <xsd:element ref="ns2:ABCSignatureRequired" minOccurs="0"/>
                <xsd:element ref="ns2:ABCSignatureInstructions"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0f320d-79d4-4589-9114-a9c496c77e67"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DOCID861-1715029998-520</_dlc_DocId>
    <_dlc_DocIdUrl xmlns="a5f32de4-e402-4188-b034-e71ca7d22e54">
      <Url>https://delwpvicgovau.sharepoint.com/sites/ecm_861/_layouts/15/DocIdRedir.aspx?ID=DOCID861-1715029998-520</Url>
      <Description>DOCID861-1715029998-520</Description>
    </_dlc_DocIdUrl>
    <ABCSignatureRequired xmlns="cae37ace-7a49-4147-b024-43561a7a3263">false</ABCSignatureRequired>
    <ABCSignatureInstructions xmlns="cae37ace-7a49-4147-b024-43561a7a3263" xsi:nil="true"/>
    <lcf76f155ced4ddcb4097134ff3c332f xmlns="9a0f320d-79d4-4589-9114-a9c496c77e67" xsi:nil="true"/>
  </documentManagement>
</p:properties>
</file>

<file path=customXml/item6.xml><?xml version="1.0" encoding="utf-8"?>
<b:Sources xmlns:b="http://schemas.openxmlformats.org/officeDocument/2006/bibliography" xmlns="http://schemas.openxmlformats.org/officeDocument/2006/bibliography" SelectedStyle="\APA.XSL" StyleName="APA">
  <b:Source>
    <b:Tag>ABSIE2022</b:Tag>
    <b:SourceType>Report</b:SourceType>
    <b:Guid>{1C42DB2B-2FD7-4D5A-9462-787AD5C6CB29}</b:Guid>
    <b:Author>
      <b:Author>
        <b:Corporate>ABS &amp; IE</b:Corporate>
      </b:Author>
    </b:Author>
    <b:Title>Australian Harmonized Export Commodity Classification (AHECC) data by month, classification and destination country</b:Title>
    <b:Year>2022</b:Year>
    <b:Publisher>Australian Bureau of Statistics (derived) and IndustryEdge</b:Publisher>
    <b:City>Canberra</b:City>
    <b:RefOrder>1</b:RefOrder>
  </b:Source>
</b:Sources>
</file>

<file path=customXml/itemProps1.xml><?xml version="1.0" encoding="utf-8"?>
<ds:datastoreItem xmlns:ds="http://schemas.openxmlformats.org/officeDocument/2006/customXml" ds:itemID="{F3D68891-F31F-4EDD-85CD-2289E49E26D1}">
  <ds:schemaRefs>
    <ds:schemaRef ds:uri="Microsoft.SharePoint.Taxonomy.ContentTypeSync"/>
  </ds:schemaRefs>
</ds:datastoreItem>
</file>

<file path=customXml/itemProps2.xml><?xml version="1.0" encoding="utf-8"?>
<ds:datastoreItem xmlns:ds="http://schemas.openxmlformats.org/officeDocument/2006/customXml" ds:itemID="{F5BE8B7B-49E5-4749-BD15-95F08D24675F}">
  <ds:schemaRefs>
    <ds:schemaRef ds:uri="http://schemas.microsoft.com/sharepoint/events"/>
  </ds:schemaRefs>
</ds:datastoreItem>
</file>

<file path=customXml/itemProps3.xml><?xml version="1.0" encoding="utf-8"?>
<ds:datastoreItem xmlns:ds="http://schemas.openxmlformats.org/officeDocument/2006/customXml" ds:itemID="{CB491773-26A3-4057-B6E2-AF13C713FBF7}">
  <ds:schemaRefs>
    <ds:schemaRef ds:uri="http://schemas.microsoft.com/sharepoint/v3/contenttype/forms"/>
  </ds:schemaRefs>
</ds:datastoreItem>
</file>

<file path=customXml/itemProps4.xml><?xml version="1.0" encoding="utf-8"?>
<ds:datastoreItem xmlns:ds="http://schemas.openxmlformats.org/officeDocument/2006/customXml" ds:itemID="{8AB6E5A7-DF47-47AF-9026-F5B629CBD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9a0f320d-79d4-4589-9114-a9c496c77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357768-0E35-4F54-8454-C54A473F857D}">
  <ds:schemaRefs>
    <ds:schemaRef ds:uri="http://purl.org/dc/elements/1.1/"/>
    <ds:schemaRef ds:uri="9a0f320d-79d4-4589-9114-a9c496c77e67"/>
    <ds:schemaRef ds:uri="http://schemas.microsoft.com/office/2006/metadata/properties"/>
    <ds:schemaRef ds:uri="http://schemas.microsoft.com/office/infopath/2007/PartnerControls"/>
    <ds:schemaRef ds:uri="http://schemas.openxmlformats.org/package/2006/metadata/core-properties"/>
    <ds:schemaRef ds:uri="a5f32de4-e402-4188-b034-e71ca7d22e54"/>
    <ds:schemaRef ds:uri="cae37ace-7a49-4147-b024-43561a7a3263"/>
    <ds:schemaRef ds:uri="http://schemas.microsoft.com/office/2006/documentManagement/types"/>
    <ds:schemaRef ds:uri="http://www.w3.org/XML/1998/namespace"/>
    <ds:schemaRef ds:uri="http://purl.org/dc/dcmitype/"/>
    <ds:schemaRef ds:uri="http://purl.org/dc/terms/"/>
  </ds:schemaRefs>
</ds:datastoreItem>
</file>

<file path=customXml/itemProps6.xml><?xml version="1.0" encoding="utf-8"?>
<ds:datastoreItem xmlns:ds="http://schemas.openxmlformats.org/officeDocument/2006/customXml" ds:itemID="{ED7753B1-5C5B-4337-82E0-4EA470B6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2032</Words>
  <Characters>11586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13591</CharactersWithSpaces>
  <SharedDoc>false</SharedDoc>
  <HLinks>
    <vt:vector size="30" baseType="variant">
      <vt:variant>
        <vt:i4>6029383</vt:i4>
      </vt:variant>
      <vt:variant>
        <vt:i4>12</vt:i4>
      </vt:variant>
      <vt:variant>
        <vt:i4>0</vt:i4>
      </vt:variant>
      <vt:variant>
        <vt:i4>5</vt:i4>
      </vt:variant>
      <vt:variant>
        <vt:lpwstr>https://www.vic.gov.au/strengthening-our-waste-and-recycling-system?redirectSrc=www.recycling.vic.gov.au</vt:lpwstr>
      </vt:variant>
      <vt:variant>
        <vt:lpwstr/>
      </vt:variant>
      <vt:variant>
        <vt:i4>2490422</vt:i4>
      </vt:variant>
      <vt:variant>
        <vt:i4>9</vt:i4>
      </vt:variant>
      <vt:variant>
        <vt:i4>0</vt:i4>
      </vt:variant>
      <vt:variant>
        <vt:i4>5</vt:i4>
      </vt:variant>
      <vt:variant>
        <vt:lpwstr>http://www.relayservice.com.au/</vt:lpwstr>
      </vt:variant>
      <vt:variant>
        <vt:lpwstr/>
      </vt:variant>
      <vt:variant>
        <vt:i4>2687044</vt:i4>
      </vt:variant>
      <vt:variant>
        <vt:i4>6</vt:i4>
      </vt:variant>
      <vt:variant>
        <vt:i4>0</vt:i4>
      </vt:variant>
      <vt:variant>
        <vt:i4>5</vt:i4>
      </vt:variant>
      <vt:variant>
        <vt:lpwstr>mailto:customer.service@delwp.vic.gov.au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4915277</vt:i4>
      </vt:variant>
      <vt:variant>
        <vt:i4>0</vt:i4>
      </vt:variant>
      <vt:variant>
        <vt:i4>0</vt:i4>
      </vt:variant>
      <vt:variant>
        <vt:i4>5</vt:i4>
      </vt:variant>
      <vt:variant>
        <vt:lpwstr>https://www.saveboard.com.au/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 Market Insights Report - Recovered Paper Packaging.docx</dc:title>
  <dc:subject/>
  <dc:creator>Katherine S Lyttle (DELWP)</dc:creator>
  <cp:keywords/>
  <dc:description/>
  <cp:lastModifiedBy>Kath A Nunan (DEECA)</cp:lastModifiedBy>
  <cp:revision>2</cp:revision>
  <cp:lastPrinted>2023-07-18T15:30:00Z</cp:lastPrinted>
  <dcterms:created xsi:type="dcterms:W3CDTF">2023-08-25T00:06:00Z</dcterms:created>
  <dcterms:modified xsi:type="dcterms:W3CDTF">2023-08-25T00:06:00Z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0x010100ADB6A493CB944449B507A6E62846B95F006A22ECE43F669147842AB5282ADE9B0D</vt:lpwstr>
  </property>
  <property fmtid="{D5CDD505-2E9C-101B-9397-08002B2CF9AE}" pid="19" name="Records Class Project">
    <vt:lpwstr>14</vt:lpwstr>
  </property>
  <property fmtid="{D5CDD505-2E9C-101B-9397-08002B2CF9AE}" pid="20" name="Dissemination Limiting Marker">
    <vt:lpwstr>1;#FOUO|955eb6fc-b35a-4808-8aa5-31e514fa3f26</vt:lpwstr>
  </property>
  <property fmtid="{D5CDD505-2E9C-101B-9397-08002B2CF9AE}" pid="21" name="Security Classification">
    <vt:lpwstr>2;#Unclassified|7fa379f4-4aba-4692-ab80-7d39d3a23cf4</vt:lpwstr>
  </property>
  <property fmtid="{D5CDD505-2E9C-101B-9397-08002B2CF9AE}" pid="22" name="_dlc_DocIdItemGuid">
    <vt:lpwstr>7828afd9-3548-4add-a004-4ccf105f2b88</vt:lpwstr>
  </property>
  <property fmtid="{D5CDD505-2E9C-101B-9397-08002B2CF9AE}" pid="23" name="g91c59fb10974fa1a03160ad8386f0f4">
    <vt:lpwstr/>
  </property>
  <property fmtid="{D5CDD505-2E9C-101B-9397-08002B2CF9AE}" pid="24" name="Department Document Type">
    <vt:lpwstr/>
  </property>
  <property fmtid="{D5CDD505-2E9C-101B-9397-08002B2CF9AE}" pid="25" name="Record_x0020_Purpose">
    <vt:lpwstr/>
  </property>
  <property fmtid="{D5CDD505-2E9C-101B-9397-08002B2CF9AE}" pid="26" name="Record Purpose">
    <vt:lpwstr/>
  </property>
  <property fmtid="{D5CDD505-2E9C-101B-9397-08002B2CF9AE}" pid="27" name="MediaServiceImageTags">
    <vt:lpwstr/>
  </property>
  <property fmtid="{D5CDD505-2E9C-101B-9397-08002B2CF9AE}" pid="28" name="_docset_NoMedatataSyncRequired">
    <vt:lpwstr>False</vt:lpwstr>
  </property>
  <property fmtid="{D5CDD505-2E9C-101B-9397-08002B2CF9AE}" pid="29" name="_dlc_policyId">
    <vt:lpwstr>0x01010033CA797B395B2A4EA6ABFC5569ECA9B1|561776168</vt:lpwstr>
  </property>
  <property fmtid="{D5CDD505-2E9C-101B-9397-08002B2CF9AE}" pid="30" name="ItemRetentionFormula">
    <vt:lpwstr>&lt;formula id="Microsoft.Office.RecordsManagement.PolicyFeatures.Expiration.Formula.BuiltIn"&gt;&lt;number&gt;3&lt;/number&gt;&lt;property&gt;Created&lt;/property&gt;&lt;propertyId&gt;8c06beca-0777-48f7-91c7-6da68bc07b69&lt;/propertyId&gt;&lt;period&gt;days&lt;/period&gt;&lt;/formula&gt;</vt:lpwstr>
  </property>
  <property fmtid="{D5CDD505-2E9C-101B-9397-08002B2CF9AE}" pid="31" name="TaxCatchAll">
    <vt:lpwstr>2;#;#1;#;#14;#</vt:lpwstr>
  </property>
  <property fmtid="{D5CDD505-2E9C-101B-9397-08002B2CF9AE}" pid="32" name="_dlc_ExpireDate">
    <vt:filetime>2023-07-17T06:46:19Z</vt:filetime>
  </property>
  <property fmtid="{D5CDD505-2E9C-101B-9397-08002B2CF9AE}" pid="33" name="MSIP_Label_4257e2ab-f512-40e2-9c9a-c64247360765_Enabled">
    <vt:lpwstr>true</vt:lpwstr>
  </property>
  <property fmtid="{D5CDD505-2E9C-101B-9397-08002B2CF9AE}" pid="34" name="MSIP_Label_4257e2ab-f512-40e2-9c9a-c64247360765_SetDate">
    <vt:lpwstr>2023-08-25T00:06:34Z</vt:lpwstr>
  </property>
  <property fmtid="{D5CDD505-2E9C-101B-9397-08002B2CF9AE}" pid="35" name="MSIP_Label_4257e2ab-f512-40e2-9c9a-c64247360765_Method">
    <vt:lpwstr>Privileged</vt:lpwstr>
  </property>
  <property fmtid="{D5CDD505-2E9C-101B-9397-08002B2CF9AE}" pid="36" name="MSIP_Label_4257e2ab-f512-40e2-9c9a-c64247360765_Name">
    <vt:lpwstr>OFFICIAL</vt:lpwstr>
  </property>
  <property fmtid="{D5CDD505-2E9C-101B-9397-08002B2CF9AE}" pid="37" name="MSIP_Label_4257e2ab-f512-40e2-9c9a-c64247360765_SiteId">
    <vt:lpwstr>e8bdd6f7-fc18-4e48-a554-7f547927223b</vt:lpwstr>
  </property>
  <property fmtid="{D5CDD505-2E9C-101B-9397-08002B2CF9AE}" pid="38" name="MSIP_Label_4257e2ab-f512-40e2-9c9a-c64247360765_ActionId">
    <vt:lpwstr>13c40432-0103-4c30-bdc6-d7704d10b7e1</vt:lpwstr>
  </property>
  <property fmtid="{D5CDD505-2E9C-101B-9397-08002B2CF9AE}" pid="39" name="MSIP_Label_4257e2ab-f512-40e2-9c9a-c64247360765_ContentBits">
    <vt:lpwstr>2</vt:lpwstr>
  </property>
</Properties>
</file>