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242" w:rsidRPr="005B6242" w:rsidRDefault="005B6242" w:rsidP="005B6242">
      <w:pPr>
        <w:pStyle w:val="Title"/>
        <w:rPr>
          <w:lang w:val="en-GB"/>
        </w:rPr>
      </w:pPr>
      <w:bookmarkStart w:id="0" w:name="_GoBack"/>
      <w:bookmarkEnd w:id="0"/>
      <w:r w:rsidRPr="005B6242">
        <w:rPr>
          <w:lang w:val="en-GB"/>
        </w:rPr>
        <w:t>DEDJTR 2017-18 Annual Report</w:t>
      </w:r>
    </w:p>
    <w:p w:rsidR="005B6242" w:rsidRDefault="005B6242" w:rsidP="009F313F">
      <w:pPr>
        <w:pStyle w:val="Subtitle"/>
        <w:rPr>
          <w:lang w:val="en-GB"/>
        </w:rPr>
      </w:pPr>
      <w:bookmarkStart w:id="1" w:name="_Toc5098686"/>
      <w:r w:rsidRPr="005B6242">
        <w:rPr>
          <w:lang w:val="en-GB"/>
        </w:rPr>
        <w:t>APPENDIX 17</w:t>
      </w:r>
      <w:r w:rsidR="009F313F">
        <w:rPr>
          <w:lang w:val="en-GB"/>
        </w:rPr>
        <w:t xml:space="preserve"> – </w:t>
      </w:r>
      <w:r w:rsidRPr="005B6242">
        <w:rPr>
          <w:lang w:val="en-GB"/>
        </w:rPr>
        <w:t>Additional departmental information available on request</w:t>
      </w:r>
      <w:bookmarkEnd w:id="1"/>
    </w:p>
    <w:p w:rsidR="009F313F" w:rsidRDefault="009F313F" w:rsidP="009F313F">
      <w:pPr>
        <w:rPr>
          <w:lang w:val="en-GB"/>
        </w:rPr>
      </w:pPr>
    </w:p>
    <w:p w:rsidR="009F313F" w:rsidRPr="00AA6F8A" w:rsidRDefault="009F313F">
      <w:pPr>
        <w:pStyle w:val="TOC2"/>
        <w:tabs>
          <w:tab w:val="right" w:leader="dot" w:pos="10456"/>
        </w:tabs>
        <w:rPr>
          <w:rFonts w:ascii="Calibri" w:eastAsia="Times New Roman" w:hAnsi="Calibri" w:cs="Times New Roman"/>
          <w:noProof/>
          <w:spacing w:val="0"/>
          <w:sz w:val="24"/>
          <w:szCs w:val="24"/>
          <w:lang w:val="en-AU"/>
        </w:rPr>
      </w:pPr>
      <w:r>
        <w:rPr>
          <w:lang w:val="en-GB"/>
        </w:rPr>
        <w:fldChar w:fldCharType="begin"/>
      </w:r>
      <w:r>
        <w:rPr>
          <w:lang w:val="en-GB"/>
        </w:rPr>
        <w:instrText xml:space="preserve"> TOC \o "1-3" \h \z \u </w:instrText>
      </w:r>
      <w:r>
        <w:rPr>
          <w:lang w:val="en-GB"/>
        </w:rPr>
        <w:fldChar w:fldCharType="separate"/>
      </w:r>
    </w:p>
    <w:p w:rsidR="009F313F" w:rsidRPr="00AA6F8A" w:rsidRDefault="009F313F">
      <w:pPr>
        <w:pStyle w:val="TOC1"/>
        <w:tabs>
          <w:tab w:val="right" w:leader="dot" w:pos="10456"/>
        </w:tabs>
        <w:rPr>
          <w:rFonts w:ascii="Calibri" w:eastAsia="Times New Roman" w:hAnsi="Calibri" w:cs="Times New Roman"/>
          <w:b w:val="0"/>
          <w:noProof/>
          <w:spacing w:val="0"/>
          <w:sz w:val="24"/>
          <w:lang w:val="en-AU"/>
        </w:rPr>
      </w:pPr>
      <w:r>
        <w:rPr>
          <w:rStyle w:val="Hyperlink"/>
          <w:noProof/>
        </w:rPr>
        <w:br w:type="page"/>
      </w:r>
      <w:hyperlink w:anchor="_Toc5098687" w:history="1">
        <w:r w:rsidRPr="00D73E75">
          <w:rPr>
            <w:rStyle w:val="Hyperlink"/>
            <w:noProof/>
            <w:lang w:val="en-GB"/>
          </w:rPr>
          <w:t>1. Statement that declarations of pecuniary interests have been duly completed by all relevant officers of the department.</w:t>
        </w:r>
        <w:r>
          <w:rPr>
            <w:noProof/>
            <w:webHidden/>
          </w:rPr>
          <w:tab/>
        </w:r>
        <w:r>
          <w:rPr>
            <w:noProof/>
            <w:webHidden/>
          </w:rPr>
          <w:fldChar w:fldCharType="begin"/>
        </w:r>
        <w:r>
          <w:rPr>
            <w:noProof/>
            <w:webHidden/>
          </w:rPr>
          <w:instrText xml:space="preserve"> PAGEREF _Toc5098687 \h </w:instrText>
        </w:r>
        <w:r>
          <w:rPr>
            <w:noProof/>
            <w:webHidden/>
          </w:rPr>
        </w:r>
        <w:r>
          <w:rPr>
            <w:noProof/>
            <w:webHidden/>
          </w:rPr>
          <w:fldChar w:fldCharType="separate"/>
        </w:r>
        <w:r>
          <w:rPr>
            <w:noProof/>
            <w:webHidden/>
          </w:rPr>
          <w:t>3</w:t>
        </w:r>
        <w:r>
          <w:rPr>
            <w:noProof/>
            <w:webHidden/>
          </w:rPr>
          <w:fldChar w:fldCharType="end"/>
        </w:r>
      </w:hyperlink>
    </w:p>
    <w:p w:rsidR="009F313F" w:rsidRPr="00AA6F8A" w:rsidRDefault="009F313F">
      <w:pPr>
        <w:pStyle w:val="TOC1"/>
        <w:tabs>
          <w:tab w:val="right" w:leader="dot" w:pos="10456"/>
        </w:tabs>
        <w:rPr>
          <w:rFonts w:ascii="Calibri" w:eastAsia="Times New Roman" w:hAnsi="Calibri" w:cs="Times New Roman"/>
          <w:b w:val="0"/>
          <w:noProof/>
          <w:spacing w:val="0"/>
          <w:sz w:val="24"/>
          <w:lang w:val="en-AU"/>
        </w:rPr>
      </w:pPr>
      <w:hyperlink w:anchor="_Toc5098688" w:history="1">
        <w:r w:rsidRPr="00D73E75">
          <w:rPr>
            <w:rStyle w:val="Hyperlink"/>
            <w:noProof/>
            <w:lang w:val="en-GB"/>
          </w:rPr>
          <w:t>2. Details of shares held by a senior officer as nominee or held beneficially in a statutory authority or subsidiary.</w:t>
        </w:r>
        <w:r>
          <w:rPr>
            <w:noProof/>
            <w:webHidden/>
          </w:rPr>
          <w:tab/>
        </w:r>
        <w:r>
          <w:rPr>
            <w:noProof/>
            <w:webHidden/>
          </w:rPr>
          <w:fldChar w:fldCharType="begin"/>
        </w:r>
        <w:r>
          <w:rPr>
            <w:noProof/>
            <w:webHidden/>
          </w:rPr>
          <w:instrText xml:space="preserve"> PAGEREF _Toc5098688 \h </w:instrText>
        </w:r>
        <w:r>
          <w:rPr>
            <w:noProof/>
            <w:webHidden/>
          </w:rPr>
        </w:r>
        <w:r>
          <w:rPr>
            <w:noProof/>
            <w:webHidden/>
          </w:rPr>
          <w:fldChar w:fldCharType="separate"/>
        </w:r>
        <w:r>
          <w:rPr>
            <w:noProof/>
            <w:webHidden/>
          </w:rPr>
          <w:t>3</w:t>
        </w:r>
        <w:r>
          <w:rPr>
            <w:noProof/>
            <w:webHidden/>
          </w:rPr>
          <w:fldChar w:fldCharType="end"/>
        </w:r>
      </w:hyperlink>
    </w:p>
    <w:p w:rsidR="009F313F" w:rsidRPr="00AA6F8A" w:rsidRDefault="009F313F">
      <w:pPr>
        <w:pStyle w:val="TOC1"/>
        <w:tabs>
          <w:tab w:val="right" w:leader="dot" w:pos="10456"/>
        </w:tabs>
        <w:rPr>
          <w:rFonts w:ascii="Calibri" w:eastAsia="Times New Roman" w:hAnsi="Calibri" w:cs="Times New Roman"/>
          <w:b w:val="0"/>
          <w:noProof/>
          <w:spacing w:val="0"/>
          <w:sz w:val="24"/>
          <w:lang w:val="en-AU"/>
        </w:rPr>
      </w:pPr>
      <w:hyperlink w:anchor="_Toc5098689" w:history="1">
        <w:r w:rsidRPr="00D73E75">
          <w:rPr>
            <w:rStyle w:val="Hyperlink"/>
            <w:noProof/>
            <w:lang w:val="en-GB"/>
          </w:rPr>
          <w:t>3. Details of publications produced by the department about the department, and how these can be obtained.</w:t>
        </w:r>
        <w:r>
          <w:rPr>
            <w:noProof/>
            <w:webHidden/>
          </w:rPr>
          <w:tab/>
        </w:r>
        <w:r>
          <w:rPr>
            <w:noProof/>
            <w:webHidden/>
          </w:rPr>
          <w:fldChar w:fldCharType="begin"/>
        </w:r>
        <w:r>
          <w:rPr>
            <w:noProof/>
            <w:webHidden/>
          </w:rPr>
          <w:instrText xml:space="preserve"> PAGEREF _Toc5098689 \h </w:instrText>
        </w:r>
        <w:r>
          <w:rPr>
            <w:noProof/>
            <w:webHidden/>
          </w:rPr>
        </w:r>
        <w:r>
          <w:rPr>
            <w:noProof/>
            <w:webHidden/>
          </w:rPr>
          <w:fldChar w:fldCharType="separate"/>
        </w:r>
        <w:r>
          <w:rPr>
            <w:noProof/>
            <w:webHidden/>
          </w:rPr>
          <w:t>3</w:t>
        </w:r>
        <w:r>
          <w:rPr>
            <w:noProof/>
            <w:webHidden/>
          </w:rPr>
          <w:fldChar w:fldCharType="end"/>
        </w:r>
      </w:hyperlink>
    </w:p>
    <w:p w:rsidR="009F313F" w:rsidRPr="00AA6F8A" w:rsidRDefault="009F313F">
      <w:pPr>
        <w:pStyle w:val="TOC1"/>
        <w:tabs>
          <w:tab w:val="right" w:leader="dot" w:pos="10456"/>
        </w:tabs>
        <w:rPr>
          <w:rFonts w:ascii="Calibri" w:eastAsia="Times New Roman" w:hAnsi="Calibri" w:cs="Times New Roman"/>
          <w:b w:val="0"/>
          <w:noProof/>
          <w:spacing w:val="0"/>
          <w:sz w:val="24"/>
          <w:lang w:val="en-AU"/>
        </w:rPr>
      </w:pPr>
      <w:hyperlink w:anchor="_Toc5098690" w:history="1">
        <w:r w:rsidRPr="00D73E75">
          <w:rPr>
            <w:rStyle w:val="Hyperlink"/>
            <w:noProof/>
            <w:lang w:val="en-GB"/>
          </w:rPr>
          <w:t>4. Details of changes in prices, fees, charges, rates and levies charged by the department.</w:t>
        </w:r>
        <w:r>
          <w:rPr>
            <w:noProof/>
            <w:webHidden/>
          </w:rPr>
          <w:tab/>
        </w:r>
        <w:r>
          <w:rPr>
            <w:noProof/>
            <w:webHidden/>
          </w:rPr>
          <w:fldChar w:fldCharType="begin"/>
        </w:r>
        <w:r>
          <w:rPr>
            <w:noProof/>
            <w:webHidden/>
          </w:rPr>
          <w:instrText xml:space="preserve"> PAGEREF _Toc5098690 \h </w:instrText>
        </w:r>
        <w:r>
          <w:rPr>
            <w:noProof/>
            <w:webHidden/>
          </w:rPr>
        </w:r>
        <w:r>
          <w:rPr>
            <w:noProof/>
            <w:webHidden/>
          </w:rPr>
          <w:fldChar w:fldCharType="separate"/>
        </w:r>
        <w:r>
          <w:rPr>
            <w:noProof/>
            <w:webHidden/>
          </w:rPr>
          <w:t>3</w:t>
        </w:r>
        <w:r>
          <w:rPr>
            <w:noProof/>
            <w:webHidden/>
          </w:rPr>
          <w:fldChar w:fldCharType="end"/>
        </w:r>
      </w:hyperlink>
    </w:p>
    <w:p w:rsidR="009F313F" w:rsidRPr="00AA6F8A" w:rsidRDefault="009F313F">
      <w:pPr>
        <w:pStyle w:val="TOC2"/>
        <w:tabs>
          <w:tab w:val="right" w:leader="dot" w:pos="10456"/>
        </w:tabs>
        <w:rPr>
          <w:rFonts w:ascii="Calibri" w:eastAsia="Times New Roman" w:hAnsi="Calibri" w:cs="Times New Roman"/>
          <w:noProof/>
          <w:spacing w:val="0"/>
          <w:sz w:val="24"/>
          <w:szCs w:val="24"/>
          <w:lang w:val="en-AU"/>
        </w:rPr>
      </w:pPr>
      <w:hyperlink w:anchor="_Toc5098691" w:history="1">
        <w:r w:rsidRPr="00D73E75">
          <w:rPr>
            <w:rStyle w:val="Hyperlink"/>
            <w:noProof/>
            <w:lang w:val="en-GB"/>
          </w:rPr>
          <w:t>Agriculture and Biosecurity Fees and Penalties</w:t>
        </w:r>
        <w:r>
          <w:rPr>
            <w:noProof/>
            <w:webHidden/>
          </w:rPr>
          <w:tab/>
        </w:r>
        <w:r>
          <w:rPr>
            <w:noProof/>
            <w:webHidden/>
          </w:rPr>
          <w:fldChar w:fldCharType="begin"/>
        </w:r>
        <w:r>
          <w:rPr>
            <w:noProof/>
            <w:webHidden/>
          </w:rPr>
          <w:instrText xml:space="preserve"> PAGEREF _Toc5098691 \h </w:instrText>
        </w:r>
        <w:r>
          <w:rPr>
            <w:noProof/>
            <w:webHidden/>
          </w:rPr>
        </w:r>
        <w:r>
          <w:rPr>
            <w:noProof/>
            <w:webHidden/>
          </w:rPr>
          <w:fldChar w:fldCharType="separate"/>
        </w:r>
        <w:r>
          <w:rPr>
            <w:noProof/>
            <w:webHidden/>
          </w:rPr>
          <w:t>3</w:t>
        </w:r>
        <w:r>
          <w:rPr>
            <w:noProof/>
            <w:webHidden/>
          </w:rPr>
          <w:fldChar w:fldCharType="end"/>
        </w:r>
      </w:hyperlink>
    </w:p>
    <w:p w:rsidR="009F313F" w:rsidRPr="00AA6F8A" w:rsidRDefault="009F313F">
      <w:pPr>
        <w:pStyle w:val="TOC2"/>
        <w:tabs>
          <w:tab w:val="right" w:leader="dot" w:pos="10456"/>
        </w:tabs>
        <w:rPr>
          <w:rFonts w:ascii="Calibri" w:eastAsia="Times New Roman" w:hAnsi="Calibri" w:cs="Times New Roman"/>
          <w:noProof/>
          <w:spacing w:val="0"/>
          <w:sz w:val="24"/>
          <w:szCs w:val="24"/>
          <w:lang w:val="en-AU"/>
        </w:rPr>
      </w:pPr>
      <w:hyperlink w:anchor="_Toc5098692" w:history="1">
        <w:r w:rsidRPr="00D73E75">
          <w:rPr>
            <w:rStyle w:val="Hyperlink"/>
            <w:noProof/>
            <w:lang w:val="en-GB"/>
          </w:rPr>
          <w:t>Earth Resources Fees and Charges 2017-18</w:t>
        </w:r>
        <w:r>
          <w:rPr>
            <w:noProof/>
            <w:webHidden/>
          </w:rPr>
          <w:tab/>
        </w:r>
        <w:r>
          <w:rPr>
            <w:noProof/>
            <w:webHidden/>
          </w:rPr>
          <w:fldChar w:fldCharType="begin"/>
        </w:r>
        <w:r>
          <w:rPr>
            <w:noProof/>
            <w:webHidden/>
          </w:rPr>
          <w:instrText xml:space="preserve"> PAGEREF _Toc5098692 \h </w:instrText>
        </w:r>
        <w:r>
          <w:rPr>
            <w:noProof/>
            <w:webHidden/>
          </w:rPr>
        </w:r>
        <w:r>
          <w:rPr>
            <w:noProof/>
            <w:webHidden/>
          </w:rPr>
          <w:fldChar w:fldCharType="separate"/>
        </w:r>
        <w:r>
          <w:rPr>
            <w:noProof/>
            <w:webHidden/>
          </w:rPr>
          <w:t>4</w:t>
        </w:r>
        <w:r>
          <w:rPr>
            <w:noProof/>
            <w:webHidden/>
          </w:rPr>
          <w:fldChar w:fldCharType="end"/>
        </w:r>
      </w:hyperlink>
    </w:p>
    <w:p w:rsidR="009F313F" w:rsidRPr="00AA6F8A" w:rsidRDefault="009F313F">
      <w:pPr>
        <w:pStyle w:val="TOC1"/>
        <w:tabs>
          <w:tab w:val="right" w:leader="dot" w:pos="10456"/>
        </w:tabs>
        <w:rPr>
          <w:rFonts w:ascii="Calibri" w:eastAsia="Times New Roman" w:hAnsi="Calibri" w:cs="Times New Roman"/>
          <w:b w:val="0"/>
          <w:noProof/>
          <w:spacing w:val="0"/>
          <w:sz w:val="24"/>
          <w:lang w:val="en-AU"/>
        </w:rPr>
      </w:pPr>
      <w:hyperlink w:anchor="_Toc5098693" w:history="1">
        <w:r w:rsidRPr="00D73E75">
          <w:rPr>
            <w:rStyle w:val="Hyperlink"/>
            <w:noProof/>
            <w:lang w:val="en-GB"/>
          </w:rPr>
          <w:t>5. Details of any major external reviews carried out on the department.</w:t>
        </w:r>
        <w:r>
          <w:rPr>
            <w:noProof/>
            <w:webHidden/>
          </w:rPr>
          <w:tab/>
        </w:r>
        <w:r>
          <w:rPr>
            <w:noProof/>
            <w:webHidden/>
          </w:rPr>
          <w:fldChar w:fldCharType="begin"/>
        </w:r>
        <w:r>
          <w:rPr>
            <w:noProof/>
            <w:webHidden/>
          </w:rPr>
          <w:instrText xml:space="preserve"> PAGEREF _Toc5098693 \h </w:instrText>
        </w:r>
        <w:r>
          <w:rPr>
            <w:noProof/>
            <w:webHidden/>
          </w:rPr>
        </w:r>
        <w:r>
          <w:rPr>
            <w:noProof/>
            <w:webHidden/>
          </w:rPr>
          <w:fldChar w:fldCharType="separate"/>
        </w:r>
        <w:r>
          <w:rPr>
            <w:noProof/>
            <w:webHidden/>
          </w:rPr>
          <w:t>4</w:t>
        </w:r>
        <w:r>
          <w:rPr>
            <w:noProof/>
            <w:webHidden/>
          </w:rPr>
          <w:fldChar w:fldCharType="end"/>
        </w:r>
      </w:hyperlink>
    </w:p>
    <w:p w:rsidR="009F313F" w:rsidRPr="00AA6F8A" w:rsidRDefault="009F313F">
      <w:pPr>
        <w:pStyle w:val="TOC1"/>
        <w:tabs>
          <w:tab w:val="right" w:leader="dot" w:pos="10456"/>
        </w:tabs>
        <w:rPr>
          <w:rFonts w:ascii="Calibri" w:eastAsia="Times New Roman" w:hAnsi="Calibri" w:cs="Times New Roman"/>
          <w:b w:val="0"/>
          <w:noProof/>
          <w:spacing w:val="0"/>
          <w:sz w:val="24"/>
          <w:lang w:val="en-AU"/>
        </w:rPr>
      </w:pPr>
      <w:hyperlink w:anchor="_Toc5098694" w:history="1">
        <w:r w:rsidRPr="00D73E75">
          <w:rPr>
            <w:rStyle w:val="Hyperlink"/>
            <w:noProof/>
            <w:lang w:val="en-GB"/>
          </w:rPr>
          <w:t>6. Details of major research and development activities undertaken by the department.</w:t>
        </w:r>
        <w:r>
          <w:rPr>
            <w:noProof/>
            <w:webHidden/>
          </w:rPr>
          <w:tab/>
        </w:r>
        <w:r>
          <w:rPr>
            <w:noProof/>
            <w:webHidden/>
          </w:rPr>
          <w:fldChar w:fldCharType="begin"/>
        </w:r>
        <w:r>
          <w:rPr>
            <w:noProof/>
            <w:webHidden/>
          </w:rPr>
          <w:instrText xml:space="preserve"> PAGEREF _Toc5098694 \h </w:instrText>
        </w:r>
        <w:r>
          <w:rPr>
            <w:noProof/>
            <w:webHidden/>
          </w:rPr>
        </w:r>
        <w:r>
          <w:rPr>
            <w:noProof/>
            <w:webHidden/>
          </w:rPr>
          <w:fldChar w:fldCharType="separate"/>
        </w:r>
        <w:r>
          <w:rPr>
            <w:noProof/>
            <w:webHidden/>
          </w:rPr>
          <w:t>7</w:t>
        </w:r>
        <w:r>
          <w:rPr>
            <w:noProof/>
            <w:webHidden/>
          </w:rPr>
          <w:fldChar w:fldCharType="end"/>
        </w:r>
      </w:hyperlink>
    </w:p>
    <w:p w:rsidR="009F313F" w:rsidRPr="00AA6F8A" w:rsidRDefault="009F313F">
      <w:pPr>
        <w:pStyle w:val="TOC1"/>
        <w:tabs>
          <w:tab w:val="right" w:leader="dot" w:pos="10456"/>
        </w:tabs>
        <w:rPr>
          <w:rFonts w:ascii="Calibri" w:eastAsia="Times New Roman" w:hAnsi="Calibri" w:cs="Times New Roman"/>
          <w:b w:val="0"/>
          <w:noProof/>
          <w:spacing w:val="0"/>
          <w:sz w:val="24"/>
          <w:lang w:val="en-AU"/>
        </w:rPr>
      </w:pPr>
      <w:hyperlink w:anchor="_Toc5098695" w:history="1">
        <w:r w:rsidRPr="00D73E75">
          <w:rPr>
            <w:rStyle w:val="Hyperlink"/>
            <w:noProof/>
            <w:lang w:val="en-GB"/>
          </w:rPr>
          <w:t>7. Details of overseas visits undertaken including a summary of the objectives and outcomes of each visit.</w:t>
        </w:r>
        <w:r>
          <w:rPr>
            <w:noProof/>
            <w:webHidden/>
          </w:rPr>
          <w:tab/>
        </w:r>
        <w:r>
          <w:rPr>
            <w:noProof/>
            <w:webHidden/>
          </w:rPr>
          <w:fldChar w:fldCharType="begin"/>
        </w:r>
        <w:r>
          <w:rPr>
            <w:noProof/>
            <w:webHidden/>
          </w:rPr>
          <w:instrText xml:space="preserve"> PAGEREF _Toc5098695 \h </w:instrText>
        </w:r>
        <w:r>
          <w:rPr>
            <w:noProof/>
            <w:webHidden/>
          </w:rPr>
        </w:r>
        <w:r>
          <w:rPr>
            <w:noProof/>
            <w:webHidden/>
          </w:rPr>
          <w:fldChar w:fldCharType="separate"/>
        </w:r>
        <w:r>
          <w:rPr>
            <w:noProof/>
            <w:webHidden/>
          </w:rPr>
          <w:t>12</w:t>
        </w:r>
        <w:r>
          <w:rPr>
            <w:noProof/>
            <w:webHidden/>
          </w:rPr>
          <w:fldChar w:fldCharType="end"/>
        </w:r>
      </w:hyperlink>
    </w:p>
    <w:p w:rsidR="009F313F" w:rsidRPr="00AA6F8A" w:rsidRDefault="009F313F">
      <w:pPr>
        <w:pStyle w:val="TOC1"/>
        <w:tabs>
          <w:tab w:val="right" w:leader="dot" w:pos="10456"/>
        </w:tabs>
        <w:rPr>
          <w:rFonts w:ascii="Calibri" w:eastAsia="Times New Roman" w:hAnsi="Calibri" w:cs="Times New Roman"/>
          <w:b w:val="0"/>
          <w:noProof/>
          <w:spacing w:val="0"/>
          <w:sz w:val="24"/>
          <w:lang w:val="en-AU"/>
        </w:rPr>
      </w:pPr>
      <w:hyperlink w:anchor="_Toc5098696" w:history="1">
        <w:r w:rsidRPr="00D73E75">
          <w:rPr>
            <w:rStyle w:val="Hyperlink"/>
            <w:noProof/>
            <w:lang w:val="en-GB"/>
          </w:rPr>
          <w:t>8. Details of major promotional, public relations and marketing activities undertaken by the department to develop community awareness of the department and its services.</w:t>
        </w:r>
        <w:r>
          <w:rPr>
            <w:noProof/>
            <w:webHidden/>
          </w:rPr>
          <w:tab/>
        </w:r>
        <w:r>
          <w:rPr>
            <w:noProof/>
            <w:webHidden/>
          </w:rPr>
          <w:fldChar w:fldCharType="begin"/>
        </w:r>
        <w:r>
          <w:rPr>
            <w:noProof/>
            <w:webHidden/>
          </w:rPr>
          <w:instrText xml:space="preserve"> PAGEREF _Toc5098696 \h </w:instrText>
        </w:r>
        <w:r>
          <w:rPr>
            <w:noProof/>
            <w:webHidden/>
          </w:rPr>
        </w:r>
        <w:r>
          <w:rPr>
            <w:noProof/>
            <w:webHidden/>
          </w:rPr>
          <w:fldChar w:fldCharType="separate"/>
        </w:r>
        <w:r>
          <w:rPr>
            <w:noProof/>
            <w:webHidden/>
          </w:rPr>
          <w:t>38</w:t>
        </w:r>
        <w:r>
          <w:rPr>
            <w:noProof/>
            <w:webHidden/>
          </w:rPr>
          <w:fldChar w:fldCharType="end"/>
        </w:r>
      </w:hyperlink>
    </w:p>
    <w:p w:rsidR="009F313F" w:rsidRPr="00AA6F8A" w:rsidRDefault="009F313F">
      <w:pPr>
        <w:pStyle w:val="TOC1"/>
        <w:tabs>
          <w:tab w:val="right" w:leader="dot" w:pos="10456"/>
        </w:tabs>
        <w:rPr>
          <w:rFonts w:ascii="Calibri" w:eastAsia="Times New Roman" w:hAnsi="Calibri" w:cs="Times New Roman"/>
          <w:b w:val="0"/>
          <w:noProof/>
          <w:spacing w:val="0"/>
          <w:sz w:val="24"/>
          <w:lang w:val="en-AU"/>
        </w:rPr>
      </w:pPr>
      <w:hyperlink w:anchor="_Toc5098697" w:history="1">
        <w:r w:rsidRPr="00D73E75">
          <w:rPr>
            <w:rStyle w:val="Hyperlink"/>
            <w:noProof/>
            <w:lang w:val="en-GB"/>
          </w:rPr>
          <w:t>9. Details of assessments and measures undertaken to improve the occupational health and safety of employees.</w:t>
        </w:r>
        <w:r>
          <w:rPr>
            <w:noProof/>
            <w:webHidden/>
          </w:rPr>
          <w:tab/>
        </w:r>
        <w:r>
          <w:rPr>
            <w:noProof/>
            <w:webHidden/>
          </w:rPr>
          <w:fldChar w:fldCharType="begin"/>
        </w:r>
        <w:r>
          <w:rPr>
            <w:noProof/>
            <w:webHidden/>
          </w:rPr>
          <w:instrText xml:space="preserve"> PAGEREF _Toc5098697 \h </w:instrText>
        </w:r>
        <w:r>
          <w:rPr>
            <w:noProof/>
            <w:webHidden/>
          </w:rPr>
        </w:r>
        <w:r>
          <w:rPr>
            <w:noProof/>
            <w:webHidden/>
          </w:rPr>
          <w:fldChar w:fldCharType="separate"/>
        </w:r>
        <w:r>
          <w:rPr>
            <w:noProof/>
            <w:webHidden/>
          </w:rPr>
          <w:t>39</w:t>
        </w:r>
        <w:r>
          <w:rPr>
            <w:noProof/>
            <w:webHidden/>
          </w:rPr>
          <w:fldChar w:fldCharType="end"/>
        </w:r>
      </w:hyperlink>
    </w:p>
    <w:p w:rsidR="009F313F" w:rsidRPr="00AA6F8A" w:rsidRDefault="009F313F">
      <w:pPr>
        <w:pStyle w:val="TOC1"/>
        <w:tabs>
          <w:tab w:val="right" w:leader="dot" w:pos="10456"/>
        </w:tabs>
        <w:rPr>
          <w:rFonts w:ascii="Calibri" w:eastAsia="Times New Roman" w:hAnsi="Calibri" w:cs="Times New Roman"/>
          <w:b w:val="0"/>
          <w:noProof/>
          <w:spacing w:val="0"/>
          <w:sz w:val="24"/>
          <w:lang w:val="en-AU"/>
        </w:rPr>
      </w:pPr>
      <w:hyperlink w:anchor="_Toc5098698" w:history="1">
        <w:r w:rsidRPr="00D73E75">
          <w:rPr>
            <w:rStyle w:val="Hyperlink"/>
            <w:noProof/>
            <w:lang w:val="en-GB"/>
          </w:rPr>
          <w:t>10. General statement on industrial relations within the department and details of time lost through industrial accidents or disputes.</w:t>
        </w:r>
        <w:r>
          <w:rPr>
            <w:noProof/>
            <w:webHidden/>
          </w:rPr>
          <w:tab/>
        </w:r>
        <w:r>
          <w:rPr>
            <w:noProof/>
            <w:webHidden/>
          </w:rPr>
          <w:fldChar w:fldCharType="begin"/>
        </w:r>
        <w:r>
          <w:rPr>
            <w:noProof/>
            <w:webHidden/>
          </w:rPr>
          <w:instrText xml:space="preserve"> PAGEREF _Toc5098698 \h </w:instrText>
        </w:r>
        <w:r>
          <w:rPr>
            <w:noProof/>
            <w:webHidden/>
          </w:rPr>
        </w:r>
        <w:r>
          <w:rPr>
            <w:noProof/>
            <w:webHidden/>
          </w:rPr>
          <w:fldChar w:fldCharType="separate"/>
        </w:r>
        <w:r>
          <w:rPr>
            <w:noProof/>
            <w:webHidden/>
          </w:rPr>
          <w:t>39</w:t>
        </w:r>
        <w:r>
          <w:rPr>
            <w:noProof/>
            <w:webHidden/>
          </w:rPr>
          <w:fldChar w:fldCharType="end"/>
        </w:r>
      </w:hyperlink>
    </w:p>
    <w:p w:rsidR="009F313F" w:rsidRPr="00AA6F8A" w:rsidRDefault="009F313F">
      <w:pPr>
        <w:pStyle w:val="TOC1"/>
        <w:tabs>
          <w:tab w:val="right" w:leader="dot" w:pos="10456"/>
        </w:tabs>
        <w:rPr>
          <w:rFonts w:ascii="Calibri" w:eastAsia="Times New Roman" w:hAnsi="Calibri" w:cs="Times New Roman"/>
          <w:b w:val="0"/>
          <w:noProof/>
          <w:spacing w:val="0"/>
          <w:sz w:val="24"/>
          <w:lang w:val="en-AU"/>
        </w:rPr>
      </w:pPr>
      <w:hyperlink w:anchor="_Toc5098699" w:history="1">
        <w:r w:rsidRPr="00D73E75">
          <w:rPr>
            <w:rStyle w:val="Hyperlink"/>
            <w:noProof/>
            <w:lang w:val="en-GB"/>
          </w:rPr>
          <w:t>11. List of major committees sponsored by the department, the purposes of each committee and the extent to which the purposes have been achieved.</w:t>
        </w:r>
        <w:r>
          <w:rPr>
            <w:noProof/>
            <w:webHidden/>
          </w:rPr>
          <w:tab/>
        </w:r>
        <w:r>
          <w:rPr>
            <w:noProof/>
            <w:webHidden/>
          </w:rPr>
          <w:fldChar w:fldCharType="begin"/>
        </w:r>
        <w:r>
          <w:rPr>
            <w:noProof/>
            <w:webHidden/>
          </w:rPr>
          <w:instrText xml:space="preserve"> PAGEREF _Toc5098699 \h </w:instrText>
        </w:r>
        <w:r>
          <w:rPr>
            <w:noProof/>
            <w:webHidden/>
          </w:rPr>
        </w:r>
        <w:r>
          <w:rPr>
            <w:noProof/>
            <w:webHidden/>
          </w:rPr>
          <w:fldChar w:fldCharType="separate"/>
        </w:r>
        <w:r>
          <w:rPr>
            <w:noProof/>
            <w:webHidden/>
          </w:rPr>
          <w:t>39</w:t>
        </w:r>
        <w:r>
          <w:rPr>
            <w:noProof/>
            <w:webHidden/>
          </w:rPr>
          <w:fldChar w:fldCharType="end"/>
        </w:r>
      </w:hyperlink>
    </w:p>
    <w:p w:rsidR="009F313F" w:rsidRPr="00AA6F8A" w:rsidRDefault="009F313F">
      <w:pPr>
        <w:pStyle w:val="TOC1"/>
        <w:tabs>
          <w:tab w:val="right" w:leader="dot" w:pos="10456"/>
        </w:tabs>
        <w:rPr>
          <w:rFonts w:ascii="Calibri" w:eastAsia="Times New Roman" w:hAnsi="Calibri" w:cs="Times New Roman"/>
          <w:b w:val="0"/>
          <w:noProof/>
          <w:spacing w:val="0"/>
          <w:sz w:val="24"/>
          <w:lang w:val="en-AU"/>
        </w:rPr>
      </w:pPr>
      <w:hyperlink w:anchor="_Toc5098700" w:history="1">
        <w:r w:rsidRPr="00D73E75">
          <w:rPr>
            <w:rStyle w:val="Hyperlink"/>
            <w:noProof/>
            <w:lang w:val="en-GB"/>
          </w:rPr>
          <w:t>12. Details of all consultancies and contractors.</w:t>
        </w:r>
        <w:r>
          <w:rPr>
            <w:noProof/>
            <w:webHidden/>
          </w:rPr>
          <w:tab/>
        </w:r>
        <w:r>
          <w:rPr>
            <w:noProof/>
            <w:webHidden/>
          </w:rPr>
          <w:fldChar w:fldCharType="begin"/>
        </w:r>
        <w:r>
          <w:rPr>
            <w:noProof/>
            <w:webHidden/>
          </w:rPr>
          <w:instrText xml:space="preserve"> PAGEREF _Toc5098700 \h </w:instrText>
        </w:r>
        <w:r>
          <w:rPr>
            <w:noProof/>
            <w:webHidden/>
          </w:rPr>
        </w:r>
        <w:r>
          <w:rPr>
            <w:noProof/>
            <w:webHidden/>
          </w:rPr>
          <w:fldChar w:fldCharType="separate"/>
        </w:r>
        <w:r>
          <w:rPr>
            <w:noProof/>
            <w:webHidden/>
          </w:rPr>
          <w:t>52</w:t>
        </w:r>
        <w:r>
          <w:rPr>
            <w:noProof/>
            <w:webHidden/>
          </w:rPr>
          <w:fldChar w:fldCharType="end"/>
        </w:r>
      </w:hyperlink>
    </w:p>
    <w:p w:rsidR="009F313F" w:rsidRPr="009F313F" w:rsidRDefault="009F313F" w:rsidP="009F313F">
      <w:pPr>
        <w:rPr>
          <w:lang w:val="en-GB"/>
        </w:rPr>
      </w:pPr>
      <w:r>
        <w:rPr>
          <w:lang w:val="en-GB"/>
        </w:rPr>
        <w:fldChar w:fldCharType="end"/>
      </w:r>
    </w:p>
    <w:p w:rsidR="005B6242" w:rsidRPr="005B6242" w:rsidRDefault="009F313F" w:rsidP="009F313F">
      <w:pPr>
        <w:pStyle w:val="Heading1"/>
        <w:rPr>
          <w:lang w:val="en-GB"/>
        </w:rPr>
      </w:pPr>
      <w:r>
        <w:rPr>
          <w:lang w:val="en-GB"/>
        </w:rPr>
        <w:br w:type="page"/>
      </w:r>
      <w:bookmarkStart w:id="2" w:name="_Toc5098687"/>
      <w:r w:rsidR="005B6242" w:rsidRPr="005B6242">
        <w:rPr>
          <w:lang w:val="en-GB"/>
        </w:rPr>
        <w:t>1. Statement that declarations of pecuniary interests have been duly completed by all relevant officers of the department.</w:t>
      </w:r>
      <w:bookmarkEnd w:id="2"/>
      <w:r w:rsidR="005B6242" w:rsidRPr="005B6242">
        <w:rPr>
          <w:lang w:val="en-GB"/>
        </w:rPr>
        <w:t xml:space="preserve"> </w:t>
      </w:r>
    </w:p>
    <w:p w:rsidR="005B6242" w:rsidRPr="005B6242" w:rsidRDefault="005B6242" w:rsidP="005B6242">
      <w:pPr>
        <w:rPr>
          <w:lang w:val="en-GB"/>
        </w:rPr>
      </w:pPr>
      <w:r w:rsidRPr="005B6242">
        <w:rPr>
          <w:lang w:val="en-GB"/>
        </w:rPr>
        <w:t>Declarations of pecuniary interests have been duly completed by all relevant officers of the department.</w:t>
      </w:r>
    </w:p>
    <w:p w:rsidR="005B6242" w:rsidRPr="005B6242" w:rsidRDefault="005B6242" w:rsidP="005B6242">
      <w:pPr>
        <w:pStyle w:val="Heading1"/>
        <w:rPr>
          <w:lang w:val="en-GB"/>
        </w:rPr>
      </w:pPr>
      <w:bookmarkStart w:id="3" w:name="_Toc5098688"/>
      <w:r w:rsidRPr="005B6242">
        <w:rPr>
          <w:lang w:val="en-GB"/>
        </w:rPr>
        <w:t>2. Details of shares held by a senior officer as nominee or held beneficially in a statutory authority or subsidiary.</w:t>
      </w:r>
      <w:bookmarkEnd w:id="3"/>
    </w:p>
    <w:p w:rsidR="005B6242" w:rsidRPr="005B6242" w:rsidRDefault="005B6242" w:rsidP="005B6242">
      <w:pPr>
        <w:rPr>
          <w:lang w:val="en-GB"/>
        </w:rPr>
      </w:pPr>
      <w:r w:rsidRPr="005B6242">
        <w:rPr>
          <w:lang w:val="en-GB"/>
        </w:rPr>
        <w:t>No shares are held by a senior officer as nominee or held beneficially in a statutory authority or subsidiary.</w:t>
      </w:r>
    </w:p>
    <w:p w:rsidR="005B6242" w:rsidRPr="005B6242" w:rsidRDefault="005B6242" w:rsidP="005B6242">
      <w:pPr>
        <w:pStyle w:val="Heading1"/>
        <w:rPr>
          <w:lang w:val="en-GB"/>
        </w:rPr>
      </w:pPr>
      <w:bookmarkStart w:id="4" w:name="_Toc5098689"/>
      <w:r w:rsidRPr="005B6242">
        <w:rPr>
          <w:lang w:val="en-GB"/>
        </w:rPr>
        <w:t>3. Details of publications produced by the department about the department, and how these can be obtained.</w:t>
      </w:r>
      <w:bookmarkEnd w:id="4"/>
    </w:p>
    <w:tbl>
      <w:tblPr>
        <w:tblW w:w="0" w:type="auto"/>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3496"/>
        <w:gridCol w:w="3497"/>
        <w:gridCol w:w="3497"/>
      </w:tblGrid>
      <w:tr w:rsidR="005B6242" w:rsidRPr="005B6242" w:rsidTr="00AA6F8A">
        <w:tblPrEx>
          <w:tblCellMar>
            <w:top w:w="0" w:type="dxa"/>
            <w:left w:w="0" w:type="dxa"/>
            <w:bottom w:w="0" w:type="dxa"/>
            <w:right w:w="0" w:type="dxa"/>
          </w:tblCellMar>
        </w:tblPrEx>
        <w:trPr>
          <w:cantSplit/>
          <w:trHeight w:val="60"/>
          <w:tblHeader/>
        </w:trPr>
        <w:tc>
          <w:tcPr>
            <w:tcW w:w="3496" w:type="dxa"/>
            <w:tcMar>
              <w:top w:w="80" w:type="dxa"/>
              <w:left w:w="80" w:type="dxa"/>
              <w:bottom w:w="80" w:type="dxa"/>
              <w:right w:w="80" w:type="dxa"/>
            </w:tcMar>
          </w:tcPr>
          <w:p w:rsidR="005B6242" w:rsidRPr="005B6242" w:rsidRDefault="005B6242" w:rsidP="005B6242">
            <w:pPr>
              <w:pStyle w:val="TableHeading"/>
              <w:rPr>
                <w:lang w:val="en-GB"/>
              </w:rPr>
            </w:pPr>
            <w:r w:rsidRPr="005B6242">
              <w:rPr>
                <w:lang w:val="en-GB"/>
              </w:rPr>
              <w:t xml:space="preserve">Publications </w:t>
            </w:r>
          </w:p>
        </w:tc>
        <w:tc>
          <w:tcPr>
            <w:tcW w:w="3497" w:type="dxa"/>
            <w:tcMar>
              <w:top w:w="80" w:type="dxa"/>
              <w:left w:w="80" w:type="dxa"/>
              <w:bottom w:w="80" w:type="dxa"/>
              <w:right w:w="80" w:type="dxa"/>
            </w:tcMar>
          </w:tcPr>
          <w:p w:rsidR="005B6242" w:rsidRPr="005B6242" w:rsidRDefault="005B6242" w:rsidP="005B6242">
            <w:pPr>
              <w:pStyle w:val="TableHeading"/>
              <w:rPr>
                <w:lang w:val="en-GB"/>
              </w:rPr>
            </w:pPr>
            <w:r w:rsidRPr="005B6242">
              <w:rPr>
                <w:lang w:val="en-GB"/>
              </w:rPr>
              <w:t>Produced</w:t>
            </w:r>
          </w:p>
        </w:tc>
        <w:tc>
          <w:tcPr>
            <w:tcW w:w="3497" w:type="dxa"/>
            <w:tcMar>
              <w:top w:w="80" w:type="dxa"/>
              <w:left w:w="80" w:type="dxa"/>
              <w:bottom w:w="80" w:type="dxa"/>
              <w:right w:w="80" w:type="dxa"/>
            </w:tcMar>
          </w:tcPr>
          <w:p w:rsidR="005B6242" w:rsidRPr="005B6242" w:rsidRDefault="005B6242" w:rsidP="005B6242">
            <w:pPr>
              <w:pStyle w:val="TableHeading"/>
              <w:rPr>
                <w:lang w:val="en-GB"/>
              </w:rPr>
            </w:pPr>
            <w:r w:rsidRPr="005B6242">
              <w:rPr>
                <w:lang w:val="en-GB"/>
              </w:rPr>
              <w:t>How obtained</w:t>
            </w:r>
          </w:p>
        </w:tc>
      </w:tr>
      <w:tr w:rsidR="005B6242" w:rsidRPr="005B6242" w:rsidTr="00AA6F8A">
        <w:tblPrEx>
          <w:tblCellMar>
            <w:top w:w="0" w:type="dxa"/>
            <w:left w:w="0" w:type="dxa"/>
            <w:bottom w:w="0" w:type="dxa"/>
            <w:right w:w="0" w:type="dxa"/>
          </w:tblCellMar>
        </w:tblPrEx>
        <w:trPr>
          <w:cantSplit/>
          <w:trHeight w:val="60"/>
        </w:trPr>
        <w:tc>
          <w:tcPr>
            <w:tcW w:w="3496" w:type="dxa"/>
            <w:tcMar>
              <w:top w:w="80" w:type="dxa"/>
              <w:left w:w="80" w:type="dxa"/>
              <w:bottom w:w="80" w:type="dxa"/>
              <w:right w:w="80" w:type="dxa"/>
            </w:tcMar>
          </w:tcPr>
          <w:p w:rsidR="005B6242" w:rsidRPr="005B6242" w:rsidRDefault="005B6242" w:rsidP="005B6242">
            <w:pPr>
              <w:pStyle w:val="TableCopy"/>
              <w:rPr>
                <w:lang w:val="en-GB"/>
              </w:rPr>
            </w:pPr>
            <w:r w:rsidRPr="005B6242">
              <w:rPr>
                <w:lang w:val="en-GB"/>
              </w:rPr>
              <w:t>DEDJTR Annual Report 2016-17</w:t>
            </w:r>
          </w:p>
        </w:tc>
        <w:tc>
          <w:tcPr>
            <w:tcW w:w="3497" w:type="dxa"/>
            <w:tcMar>
              <w:top w:w="80" w:type="dxa"/>
              <w:left w:w="80" w:type="dxa"/>
              <w:bottom w:w="80" w:type="dxa"/>
              <w:right w:w="80" w:type="dxa"/>
            </w:tcMar>
          </w:tcPr>
          <w:p w:rsidR="005B6242" w:rsidRPr="005B6242" w:rsidRDefault="005B6242" w:rsidP="005B6242">
            <w:pPr>
              <w:pStyle w:val="TableCopy"/>
              <w:rPr>
                <w:lang w:val="en-GB"/>
              </w:rPr>
            </w:pPr>
            <w:r w:rsidRPr="005B6242">
              <w:rPr>
                <w:lang w:val="en-GB"/>
              </w:rPr>
              <w:t>September 2017</w:t>
            </w:r>
          </w:p>
        </w:tc>
        <w:tc>
          <w:tcPr>
            <w:tcW w:w="3497" w:type="dxa"/>
            <w:tcMar>
              <w:top w:w="80" w:type="dxa"/>
              <w:left w:w="80" w:type="dxa"/>
              <w:bottom w:w="80" w:type="dxa"/>
              <w:right w:w="80" w:type="dxa"/>
            </w:tcMar>
          </w:tcPr>
          <w:p w:rsidR="005B6242" w:rsidRPr="005B6242" w:rsidRDefault="005B6242" w:rsidP="005B6242">
            <w:pPr>
              <w:pStyle w:val="TableCopy"/>
              <w:rPr>
                <w:lang w:val="en-GB"/>
              </w:rPr>
            </w:pPr>
            <w:r w:rsidRPr="005B6242">
              <w:rPr>
                <w:lang w:val="en-GB"/>
              </w:rPr>
              <w:t xml:space="preserve">The annual report was tabled in parliament and is available on the department website: </w:t>
            </w:r>
            <w:hyperlink r:id="rId8" w:history="1">
              <w:r w:rsidRPr="005B6242">
                <w:rPr>
                  <w:rStyle w:val="Hyperlink"/>
                  <w:lang w:val="en-GB"/>
                </w:rPr>
                <w:t>economicdevelopment.vic.gov.au</w:t>
              </w:r>
            </w:hyperlink>
          </w:p>
        </w:tc>
      </w:tr>
      <w:tr w:rsidR="005B6242" w:rsidRPr="005B6242" w:rsidTr="00AA6F8A">
        <w:tblPrEx>
          <w:tblCellMar>
            <w:top w:w="0" w:type="dxa"/>
            <w:left w:w="0" w:type="dxa"/>
            <w:bottom w:w="0" w:type="dxa"/>
            <w:right w:w="0" w:type="dxa"/>
          </w:tblCellMar>
        </w:tblPrEx>
        <w:trPr>
          <w:cantSplit/>
          <w:trHeight w:val="60"/>
        </w:trPr>
        <w:tc>
          <w:tcPr>
            <w:tcW w:w="3496" w:type="dxa"/>
            <w:tcMar>
              <w:top w:w="80" w:type="dxa"/>
              <w:left w:w="80" w:type="dxa"/>
              <w:bottom w:w="80" w:type="dxa"/>
              <w:right w:w="80" w:type="dxa"/>
            </w:tcMar>
          </w:tcPr>
          <w:p w:rsidR="005B6242" w:rsidRPr="005B6242" w:rsidRDefault="005B6242" w:rsidP="005B6242">
            <w:pPr>
              <w:pStyle w:val="TableCopy"/>
              <w:rPr>
                <w:lang w:val="en-GB"/>
              </w:rPr>
            </w:pPr>
            <w:r w:rsidRPr="005B6242">
              <w:rPr>
                <w:lang w:val="en-GB"/>
              </w:rPr>
              <w:t>Strategic Plan 2017-18 Update</w:t>
            </w:r>
          </w:p>
        </w:tc>
        <w:tc>
          <w:tcPr>
            <w:tcW w:w="3497" w:type="dxa"/>
            <w:tcMar>
              <w:top w:w="80" w:type="dxa"/>
              <w:left w:w="80" w:type="dxa"/>
              <w:bottom w:w="80" w:type="dxa"/>
              <w:right w:w="80" w:type="dxa"/>
            </w:tcMar>
          </w:tcPr>
          <w:p w:rsidR="005B6242" w:rsidRPr="005B6242" w:rsidRDefault="005B6242" w:rsidP="005B6242">
            <w:pPr>
              <w:pStyle w:val="TableCopy"/>
              <w:rPr>
                <w:lang w:val="en-GB"/>
              </w:rPr>
            </w:pPr>
            <w:r w:rsidRPr="005B6242">
              <w:rPr>
                <w:lang w:val="en-GB"/>
              </w:rPr>
              <w:t>January 2018</w:t>
            </w:r>
          </w:p>
        </w:tc>
        <w:tc>
          <w:tcPr>
            <w:tcW w:w="3497" w:type="dxa"/>
            <w:tcMar>
              <w:top w:w="80" w:type="dxa"/>
              <w:left w:w="80" w:type="dxa"/>
              <w:bottom w:w="80" w:type="dxa"/>
              <w:right w:w="80" w:type="dxa"/>
            </w:tcMar>
          </w:tcPr>
          <w:p w:rsidR="005B6242" w:rsidRPr="005B6242" w:rsidRDefault="005B6242" w:rsidP="005B6242">
            <w:pPr>
              <w:pStyle w:val="TableCopy"/>
              <w:rPr>
                <w:lang w:val="en-GB"/>
              </w:rPr>
            </w:pPr>
            <w:r w:rsidRPr="005B6242">
              <w:rPr>
                <w:lang w:val="en-GB"/>
              </w:rPr>
              <w:t xml:space="preserve">The strategic plan is available on the department website: </w:t>
            </w:r>
            <w:hyperlink r:id="rId9" w:history="1">
              <w:r w:rsidRPr="005B6242">
                <w:rPr>
                  <w:rStyle w:val="Hyperlink"/>
                  <w:lang w:val="en-GB"/>
                </w:rPr>
                <w:t>economicdevelopment.vic.gov.au</w:t>
              </w:r>
            </w:hyperlink>
          </w:p>
        </w:tc>
      </w:tr>
    </w:tbl>
    <w:p w:rsidR="005B6242" w:rsidRPr="005B6242" w:rsidRDefault="005B6242" w:rsidP="005B6242">
      <w:pPr>
        <w:pStyle w:val="Heading1"/>
        <w:rPr>
          <w:lang w:val="en-GB"/>
        </w:rPr>
      </w:pPr>
      <w:bookmarkStart w:id="5" w:name="_Toc5098690"/>
      <w:r w:rsidRPr="005B6242">
        <w:rPr>
          <w:lang w:val="en-GB"/>
        </w:rPr>
        <w:t>4. Details of changes in prices, fees, charges, rates and levies charged by the department.</w:t>
      </w:r>
      <w:bookmarkEnd w:id="5"/>
      <w:r w:rsidRPr="005B6242">
        <w:rPr>
          <w:lang w:val="en-GB"/>
        </w:rPr>
        <w:t xml:space="preserve"> </w:t>
      </w:r>
    </w:p>
    <w:p w:rsidR="005B6242" w:rsidRPr="005B6242" w:rsidRDefault="005B6242" w:rsidP="005B6242">
      <w:pPr>
        <w:rPr>
          <w:lang w:val="en-GB"/>
        </w:rPr>
      </w:pPr>
      <w:r w:rsidRPr="005B6242">
        <w:rPr>
          <w:lang w:val="en-GB"/>
        </w:rPr>
        <w:t>The Government has committed to publish full lists of the indexed charges on the websites</w:t>
      </w:r>
      <w:r>
        <w:rPr>
          <w:lang w:val="en-GB"/>
        </w:rPr>
        <w:t xml:space="preserve"> </w:t>
      </w:r>
      <w:r w:rsidRPr="005B6242">
        <w:rPr>
          <w:lang w:val="en-GB"/>
        </w:rPr>
        <w:t>of each department. Data to be published on websites is not included here.</w:t>
      </w:r>
    </w:p>
    <w:p w:rsidR="005B6242" w:rsidRDefault="005B6242" w:rsidP="005B6242">
      <w:pPr>
        <w:rPr>
          <w:lang w:val="en-GB"/>
        </w:rPr>
      </w:pPr>
      <w:r w:rsidRPr="005B6242">
        <w:rPr>
          <w:lang w:val="en-GB"/>
        </w:rPr>
        <w:t xml:space="preserve">Information about Department of Economic Development, Jobs, Transport and Resources services that require a fee and how to pay a fine, or request a review of a fine, can be found at </w:t>
      </w:r>
      <w:hyperlink r:id="rId10" w:history="1">
        <w:r w:rsidRPr="005B6242">
          <w:rPr>
            <w:rStyle w:val="Hyperlink"/>
            <w:lang w:val="en-GB"/>
          </w:rPr>
          <w:t>https://economicdevelopment.vic.gov.au/about-us/fees-charges-fines</w:t>
        </w:r>
      </w:hyperlink>
    </w:p>
    <w:p w:rsidR="005B6242" w:rsidRPr="005B6242" w:rsidRDefault="005B6242" w:rsidP="00403A0D">
      <w:pPr>
        <w:pStyle w:val="Heading2"/>
        <w:rPr>
          <w:lang w:val="en-GB"/>
        </w:rPr>
      </w:pPr>
      <w:bookmarkStart w:id="6" w:name="_Toc5098691"/>
      <w:r w:rsidRPr="005B6242">
        <w:rPr>
          <w:lang w:val="en-GB"/>
        </w:rPr>
        <w:t>Agriculture and Biosecurity Fees and Penalties</w:t>
      </w:r>
      <w:bookmarkEnd w:id="6"/>
      <w:r w:rsidRPr="005B6242">
        <w:rPr>
          <w:lang w:val="en-GB"/>
        </w:rPr>
        <w:t xml:space="preserve"> </w:t>
      </w:r>
    </w:p>
    <w:p w:rsidR="005B6242" w:rsidRPr="005B6242" w:rsidRDefault="005B6242" w:rsidP="005B6242">
      <w:pPr>
        <w:rPr>
          <w:lang w:val="en-GB"/>
        </w:rPr>
      </w:pPr>
      <w:r w:rsidRPr="005B6242">
        <w:rPr>
          <w:lang w:val="en-GB"/>
        </w:rPr>
        <w:t xml:space="preserve">Fees and charges, relevant to biosecurity, are governed by the </w:t>
      </w:r>
      <w:r w:rsidRPr="005B6242">
        <w:rPr>
          <w:i/>
          <w:iCs/>
          <w:lang w:val="en-GB"/>
        </w:rPr>
        <w:t>Catchment and Land Protection Act 1994</w:t>
      </w:r>
      <w:r w:rsidRPr="005B6242">
        <w:rPr>
          <w:lang w:val="en-GB"/>
        </w:rPr>
        <w:t>, which is administered by DELWP.</w:t>
      </w:r>
    </w:p>
    <w:p w:rsidR="005B6242" w:rsidRPr="005B6242" w:rsidRDefault="005B6242" w:rsidP="005B6242">
      <w:pPr>
        <w:rPr>
          <w:lang w:val="en-GB"/>
        </w:rPr>
      </w:pPr>
      <w:r w:rsidRPr="005B6242">
        <w:rPr>
          <w:lang w:val="en-GB"/>
        </w:rPr>
        <w:t>There were changes during the 2017–18 financial year in prices, fees, charges, rates and levies charged by the entity due to amendments to the Prevention of Cruelty to Animals (Fees) Regulations 2016.</w:t>
      </w:r>
      <w:r w:rsidR="009F313F">
        <w:rPr>
          <w:lang w:val="en-GB"/>
        </w:rPr>
        <w:t xml:space="preserve"> </w:t>
      </w:r>
    </w:p>
    <w:p w:rsidR="005B6242" w:rsidRPr="005B6242" w:rsidRDefault="005B6242" w:rsidP="005B6242">
      <w:pPr>
        <w:rPr>
          <w:lang w:val="en-GB"/>
        </w:rPr>
      </w:pPr>
      <w:r w:rsidRPr="005B6242">
        <w:rPr>
          <w:lang w:val="en-GB"/>
        </w:rPr>
        <w:t>All data including information on indexation of fees and fines can be accessed via the department website:</w:t>
      </w:r>
      <w:r w:rsidR="00403A0D">
        <w:rPr>
          <w:lang w:val="en-GB"/>
        </w:rPr>
        <w:t xml:space="preserve"> </w:t>
      </w:r>
      <w:hyperlink r:id="rId11" w:history="1">
        <w:r w:rsidRPr="005B6242">
          <w:rPr>
            <w:rStyle w:val="Hyperlink"/>
            <w:lang w:val="en-GB"/>
          </w:rPr>
          <w:t>economicdevelopment.vic.gov.au</w:t>
        </w:r>
      </w:hyperlink>
    </w:p>
    <w:p w:rsidR="005B6242" w:rsidRPr="005B6242" w:rsidRDefault="005B6242" w:rsidP="00403A0D">
      <w:pPr>
        <w:pStyle w:val="Heading2"/>
        <w:rPr>
          <w:lang w:val="en-GB"/>
        </w:rPr>
      </w:pPr>
      <w:bookmarkStart w:id="7" w:name="_Toc5098692"/>
      <w:r w:rsidRPr="005B6242">
        <w:rPr>
          <w:lang w:val="en-GB"/>
        </w:rPr>
        <w:t>Earth Resources Fees and Charges 2017-18</w:t>
      </w:r>
      <w:bookmarkEnd w:id="7"/>
    </w:p>
    <w:p w:rsidR="005B6242" w:rsidRPr="005B6242" w:rsidRDefault="005B6242" w:rsidP="005B6242">
      <w:pPr>
        <w:rPr>
          <w:lang w:val="en-GB"/>
        </w:rPr>
      </w:pPr>
      <w:r w:rsidRPr="005B6242">
        <w:rPr>
          <w:lang w:val="en-GB"/>
        </w:rPr>
        <w:t xml:space="preserve">The standard fees and charges that apply to earth resources licensing and other regulatory requirements can be accessed via the Earth Resources Regulation web site: </w:t>
      </w:r>
      <w:hyperlink r:id="rId12" w:history="1">
        <w:r w:rsidRPr="00AE3C0B">
          <w:rPr>
            <w:rStyle w:val="Hyperlink"/>
            <w:lang w:val="en-GB"/>
          </w:rPr>
          <w:t>earthresources.vic.gov.au</w:t>
        </w:r>
      </w:hyperlink>
      <w:r w:rsidRPr="005B6242">
        <w:rPr>
          <w:lang w:val="en-GB"/>
        </w:rPr>
        <w:t xml:space="preserve">. Consistent with the automatic indexation </w:t>
      </w:r>
      <w:r w:rsidRPr="005B6242">
        <w:rPr>
          <w:lang w:val="en-GB"/>
        </w:rPr>
        <w:br/>
        <w:t xml:space="preserve">of fees and penalties, the full list of earth resources fees and penalties is made available every year. </w:t>
      </w:r>
    </w:p>
    <w:p w:rsidR="005B6242" w:rsidRPr="005B6242" w:rsidRDefault="005B6242" w:rsidP="00AE3C0B">
      <w:pPr>
        <w:pStyle w:val="Heading1"/>
        <w:rPr>
          <w:lang w:val="en-GB"/>
        </w:rPr>
      </w:pPr>
      <w:bookmarkStart w:id="8" w:name="_Toc5098693"/>
      <w:r w:rsidRPr="005B6242">
        <w:rPr>
          <w:lang w:val="en-GB"/>
        </w:rPr>
        <w:t>5. Details of any major external reviews carried out on the department.</w:t>
      </w:r>
      <w:bookmarkEnd w:id="8"/>
      <w:r w:rsidRPr="005B6242">
        <w:rPr>
          <w:lang w:val="en-GB"/>
        </w:rPr>
        <w:t xml:space="preserve"> </w:t>
      </w:r>
    </w:p>
    <w:tbl>
      <w:tblPr>
        <w:tblW w:w="0" w:type="auto"/>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701"/>
        <w:gridCol w:w="1984"/>
        <w:gridCol w:w="3402"/>
        <w:gridCol w:w="3403"/>
      </w:tblGrid>
      <w:tr w:rsidR="005B6242" w:rsidRPr="005B6242" w:rsidTr="00AA6F8A">
        <w:tblPrEx>
          <w:tblCellMar>
            <w:top w:w="0" w:type="dxa"/>
            <w:left w:w="0" w:type="dxa"/>
            <w:bottom w:w="0" w:type="dxa"/>
            <w:right w:w="0" w:type="dxa"/>
          </w:tblCellMar>
        </w:tblPrEx>
        <w:trPr>
          <w:cantSplit/>
          <w:trHeight w:val="60"/>
          <w:tblHeader/>
        </w:trPr>
        <w:tc>
          <w:tcPr>
            <w:tcW w:w="1701" w:type="dxa"/>
            <w:tcMar>
              <w:top w:w="80" w:type="dxa"/>
              <w:left w:w="80" w:type="dxa"/>
              <w:bottom w:w="80" w:type="dxa"/>
              <w:right w:w="80" w:type="dxa"/>
            </w:tcMar>
          </w:tcPr>
          <w:p w:rsidR="005B6242" w:rsidRPr="005B6242" w:rsidRDefault="005B6242" w:rsidP="00AE3C0B">
            <w:pPr>
              <w:pStyle w:val="TableHeading"/>
              <w:rPr>
                <w:lang w:val="en-GB"/>
              </w:rPr>
            </w:pPr>
            <w:r w:rsidRPr="005B6242">
              <w:rPr>
                <w:lang w:val="en-GB"/>
              </w:rPr>
              <w:t>Major review</w:t>
            </w:r>
          </w:p>
        </w:tc>
        <w:tc>
          <w:tcPr>
            <w:tcW w:w="1984" w:type="dxa"/>
            <w:tcMar>
              <w:top w:w="80" w:type="dxa"/>
              <w:left w:w="80" w:type="dxa"/>
              <w:bottom w:w="80" w:type="dxa"/>
              <w:right w:w="80" w:type="dxa"/>
            </w:tcMar>
          </w:tcPr>
          <w:p w:rsidR="005B6242" w:rsidRPr="005B6242" w:rsidRDefault="005B6242" w:rsidP="00AE3C0B">
            <w:pPr>
              <w:pStyle w:val="TableHeading"/>
              <w:rPr>
                <w:lang w:val="en-GB"/>
              </w:rPr>
            </w:pPr>
            <w:r w:rsidRPr="005B6242">
              <w:rPr>
                <w:lang w:val="en-GB"/>
              </w:rPr>
              <w:t>Conducted by</w:t>
            </w:r>
          </w:p>
        </w:tc>
        <w:tc>
          <w:tcPr>
            <w:tcW w:w="3402" w:type="dxa"/>
            <w:tcMar>
              <w:top w:w="80" w:type="dxa"/>
              <w:left w:w="80" w:type="dxa"/>
              <w:bottom w:w="80" w:type="dxa"/>
              <w:right w:w="80" w:type="dxa"/>
            </w:tcMar>
          </w:tcPr>
          <w:p w:rsidR="005B6242" w:rsidRPr="005B6242" w:rsidRDefault="005B6242" w:rsidP="00AE3C0B">
            <w:pPr>
              <w:pStyle w:val="TableHeading"/>
              <w:rPr>
                <w:lang w:val="en-GB"/>
              </w:rPr>
            </w:pPr>
            <w:r w:rsidRPr="005B6242">
              <w:rPr>
                <w:lang w:val="en-GB"/>
              </w:rPr>
              <w:t>Purpose</w:t>
            </w:r>
          </w:p>
        </w:tc>
        <w:tc>
          <w:tcPr>
            <w:tcW w:w="3403" w:type="dxa"/>
            <w:tcMar>
              <w:top w:w="80" w:type="dxa"/>
              <w:left w:w="80" w:type="dxa"/>
              <w:bottom w:w="80" w:type="dxa"/>
              <w:right w:w="80" w:type="dxa"/>
            </w:tcMar>
          </w:tcPr>
          <w:p w:rsidR="005B6242" w:rsidRPr="005B6242" w:rsidRDefault="005B6242" w:rsidP="00AE3C0B">
            <w:pPr>
              <w:pStyle w:val="TableHeading"/>
              <w:rPr>
                <w:lang w:val="en-GB"/>
              </w:rPr>
            </w:pPr>
            <w:r w:rsidRPr="005B6242">
              <w:rPr>
                <w:lang w:val="en-GB"/>
              </w:rPr>
              <w:t>Completed</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Assessing Benefits from the Regional Rail Link Project</w:t>
            </w:r>
          </w:p>
        </w:tc>
        <w:tc>
          <w:tcPr>
            <w:tcW w:w="1984"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Victorian Auditor- General’s Office</w:t>
            </w:r>
          </w:p>
        </w:tc>
        <w:tc>
          <w:tcPr>
            <w:tcW w:w="3402"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The Regional Rail Link (RRL) project was, at the time of its approval and delivery, one of the largest and most expensive rail projects ever built in Victoria, with an estimated final cost of $3.65 billion. Since opening, the project has untangled regional and metropolitan train lines by providing a dedicated high-speed corridor for V/Line trains to access the inner areas of Melbourne.</w:t>
            </w:r>
          </w:p>
          <w:p w:rsidR="005B6242" w:rsidRPr="005B6242" w:rsidRDefault="005B6242" w:rsidP="00AE3C0B">
            <w:pPr>
              <w:pStyle w:val="TableCopy"/>
              <w:rPr>
                <w:lang w:val="en-GB"/>
              </w:rPr>
            </w:pPr>
            <w:r w:rsidRPr="005B6242">
              <w:rPr>
                <w:lang w:val="en-GB"/>
              </w:rPr>
              <w:t>In this audit, VAGO assessed whether the RRL project is realising expected benefits.</w:t>
            </w:r>
          </w:p>
        </w:tc>
        <w:tc>
          <w:tcPr>
            <w:tcW w:w="3403"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Tabled 10 May 2018</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Follow Up of 2013-14 Performance Audit: Managing Victoria’s Native Forest Timber Resources</w:t>
            </w:r>
          </w:p>
        </w:tc>
        <w:tc>
          <w:tcPr>
            <w:tcW w:w="1984"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Victorian Auditor-General’s Office</w:t>
            </w:r>
          </w:p>
        </w:tc>
        <w:tc>
          <w:tcPr>
            <w:tcW w:w="3402"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 xml:space="preserve">To examine the extent to which DEDJTR and other responsible agencies had implemented actions that address recommendations from the previous performance audit directed towards the sustainable and productive management of Victoria’s public native forests. </w:t>
            </w:r>
          </w:p>
        </w:tc>
        <w:tc>
          <w:tcPr>
            <w:tcW w:w="3403"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The report was tabled in Parliament on 20 June 2018.</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Fraud and Corruption Control</w:t>
            </w:r>
          </w:p>
        </w:tc>
        <w:tc>
          <w:tcPr>
            <w:tcW w:w="1984"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Victorian Auditor- General’s Office</w:t>
            </w:r>
          </w:p>
          <w:p w:rsidR="005B6242" w:rsidRPr="005B6242" w:rsidRDefault="005B6242" w:rsidP="00AE3C0B">
            <w:pPr>
              <w:pStyle w:val="TableCopy"/>
              <w:rPr>
                <w:lang w:val="en-GB"/>
              </w:rPr>
            </w:pPr>
          </w:p>
        </w:tc>
        <w:tc>
          <w:tcPr>
            <w:tcW w:w="3402"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VAGO assessed whether the fraud and corruption controls were well designed and operating as intended in Melbourne Metro Rail Authority (MMRA), Public Transport Victoria (PTV) and Major Projects Victoria (MPV).</w:t>
            </w:r>
          </w:p>
        </w:tc>
        <w:tc>
          <w:tcPr>
            <w:tcW w:w="3403"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Tabled 29 March 2018</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 xml:space="preserve">ICT Disaster Recovery Planning </w:t>
            </w:r>
          </w:p>
        </w:tc>
        <w:tc>
          <w:tcPr>
            <w:tcW w:w="1984"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Victorian Auditor- General’s Office</w:t>
            </w:r>
          </w:p>
          <w:p w:rsidR="005B6242" w:rsidRPr="005B6242" w:rsidRDefault="005B6242" w:rsidP="00AE3C0B">
            <w:pPr>
              <w:pStyle w:val="TableCopy"/>
              <w:rPr>
                <w:lang w:val="en-GB"/>
              </w:rPr>
            </w:pPr>
          </w:p>
        </w:tc>
        <w:tc>
          <w:tcPr>
            <w:tcW w:w="3402"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 xml:space="preserve">VAGO examined whether the disaster recovery processes of government departments and Victoria Police </w:t>
            </w:r>
            <w:r w:rsidRPr="005B6242">
              <w:rPr>
                <w:lang w:val="en-GB"/>
              </w:rPr>
              <w:br/>
              <w:t xml:space="preserve">are likely to be effective in the event of a disruption. </w:t>
            </w:r>
          </w:p>
        </w:tc>
        <w:tc>
          <w:tcPr>
            <w:tcW w:w="3403"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Tabled 29 November 2017</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 xml:space="preserve">Inquiry into the control of invasive animals on crown land </w:t>
            </w:r>
          </w:p>
        </w:tc>
        <w:tc>
          <w:tcPr>
            <w:tcW w:w="1984"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Parliament of Victoria, Environment and Natural Resources and Regional Development Committee (ENRRDC)</w:t>
            </w:r>
          </w:p>
        </w:tc>
        <w:tc>
          <w:tcPr>
            <w:tcW w:w="3402"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To assess invasive species control by Parks Victoria and Other Agencies.</w:t>
            </w:r>
          </w:p>
        </w:tc>
        <w:tc>
          <w:tcPr>
            <w:tcW w:w="3403"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The ENRRDC Report was tabled in Parliament in June 2017.</w:t>
            </w:r>
          </w:p>
          <w:p w:rsidR="005B6242" w:rsidRPr="005B6242" w:rsidRDefault="005B6242" w:rsidP="00AE3C0B">
            <w:pPr>
              <w:pStyle w:val="TableCopy"/>
              <w:rPr>
                <w:lang w:val="en-GB"/>
              </w:rPr>
            </w:pPr>
            <w:r w:rsidRPr="005B6242">
              <w:rPr>
                <w:lang w:val="en-GB"/>
              </w:rPr>
              <w:t>The government response to the ENRRDC report was tabled in December 2017.</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Inquiry into the RSPCA Victoria</w:t>
            </w:r>
            <w:r w:rsidR="009F313F">
              <w:rPr>
                <w:lang w:val="en-GB"/>
              </w:rPr>
              <w:t xml:space="preserve"> </w:t>
            </w:r>
          </w:p>
        </w:tc>
        <w:tc>
          <w:tcPr>
            <w:tcW w:w="1984"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The Economy and Infrastructure Committee (EIC)</w:t>
            </w:r>
          </w:p>
        </w:tc>
        <w:tc>
          <w:tcPr>
            <w:tcW w:w="3402"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 xml:space="preserve">Inquire into, consider and report on the Royal Society for </w:t>
            </w:r>
            <w:r w:rsidR="00AE3C0B">
              <w:rPr>
                <w:lang w:val="en-GB"/>
              </w:rPr>
              <w:t>t</w:t>
            </w:r>
            <w:r w:rsidRPr="005B6242">
              <w:rPr>
                <w:lang w:val="en-GB"/>
              </w:rPr>
              <w:t>he Prevention of Cruelty to Animals</w:t>
            </w:r>
            <w:r w:rsidRPr="005B6242">
              <w:rPr>
                <w:rtl/>
                <w:lang w:bidi="ar-YE"/>
              </w:rPr>
              <w:t> </w:t>
            </w:r>
            <w:r w:rsidRPr="005B6242">
              <w:rPr>
                <w:lang w:val="en-GB"/>
              </w:rPr>
              <w:t>Victoria (Inc) in relation to:</w:t>
            </w:r>
          </w:p>
          <w:p w:rsidR="005B6242" w:rsidRPr="005B6242" w:rsidRDefault="005B6242" w:rsidP="00AE3C0B">
            <w:pPr>
              <w:pStyle w:val="TableBullet"/>
              <w:rPr>
                <w:lang w:val="en-GB"/>
              </w:rPr>
            </w:pPr>
            <w:r w:rsidRPr="005B6242">
              <w:rPr>
                <w:lang w:val="en-GB"/>
              </w:rPr>
              <w:t xml:space="preserve">the appropriateness and use of its powers pursuant to the </w:t>
            </w:r>
            <w:r w:rsidRPr="005B6242">
              <w:rPr>
                <w:i/>
                <w:iCs/>
                <w:lang w:val="en-GB"/>
              </w:rPr>
              <w:t>Prevention of Cruelty to Animals Act 1986</w:t>
            </w:r>
            <w:r w:rsidRPr="005B6242">
              <w:rPr>
                <w:lang w:val="en-GB"/>
              </w:rPr>
              <w:t>, including in the context of its other objectives and activities;  </w:t>
            </w:r>
          </w:p>
          <w:p w:rsidR="005B6242" w:rsidRPr="005B6242" w:rsidRDefault="005B6242" w:rsidP="00AE3C0B">
            <w:pPr>
              <w:pStyle w:val="TableBullet"/>
              <w:rPr>
                <w:lang w:val="en-GB"/>
              </w:rPr>
            </w:pPr>
            <w:r w:rsidRPr="005B6242">
              <w:rPr>
                <w:lang w:val="en-GB"/>
              </w:rPr>
              <w:t>the appropriateness and use of funding provided by the Victorian Government, including in the context of its other objectives and activities; and any other consequential matters the Committee may deem appropriate. </w:t>
            </w:r>
          </w:p>
        </w:tc>
        <w:tc>
          <w:tcPr>
            <w:tcW w:w="3403" w:type="dxa"/>
            <w:tcMar>
              <w:top w:w="80" w:type="dxa"/>
              <w:left w:w="80" w:type="dxa"/>
              <w:bottom w:w="80" w:type="dxa"/>
              <w:right w:w="80" w:type="dxa"/>
            </w:tcMar>
          </w:tcPr>
          <w:p w:rsidR="005B6242" w:rsidRPr="005B6242" w:rsidRDefault="005B6242" w:rsidP="00AE3C0B">
            <w:pPr>
              <w:pStyle w:val="TableCopy"/>
              <w:rPr>
                <w:rtl/>
                <w:lang w:bidi="ar-YE"/>
              </w:rPr>
            </w:pPr>
            <w:r w:rsidRPr="005B6242">
              <w:rPr>
                <w:lang w:val="en-GB"/>
              </w:rPr>
              <w:t>The EIC report was tabled in Parliament on 22 August 2017.</w:t>
            </w:r>
            <w:r w:rsidRPr="005B6242">
              <w:rPr>
                <w:rtl/>
                <w:lang w:bidi="ar-YE"/>
              </w:rPr>
              <w:t> </w:t>
            </w:r>
          </w:p>
          <w:p w:rsidR="005B6242" w:rsidRPr="005B6242" w:rsidRDefault="005B6242" w:rsidP="00AE3C0B">
            <w:pPr>
              <w:pStyle w:val="TableCopy"/>
              <w:rPr>
                <w:lang w:val="en-GB"/>
              </w:rPr>
            </w:pPr>
            <w:r w:rsidRPr="005B6242">
              <w:rPr>
                <w:lang w:val="en-GB"/>
              </w:rPr>
              <w:t>The government response to the EIC report was tabled</w:t>
            </w:r>
            <w:r w:rsidR="00AE3C0B">
              <w:rPr>
                <w:lang w:val="en-GB"/>
              </w:rPr>
              <w:t xml:space="preserve"> </w:t>
            </w:r>
            <w:r w:rsidRPr="005B6242">
              <w:rPr>
                <w:lang w:val="en-GB"/>
              </w:rPr>
              <w:t>in February 2018.</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 xml:space="preserve">Internal Audit Performance </w:t>
            </w:r>
          </w:p>
        </w:tc>
        <w:tc>
          <w:tcPr>
            <w:tcW w:w="1984"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Victorian Auditor- General’s Office</w:t>
            </w:r>
          </w:p>
          <w:p w:rsidR="005B6242" w:rsidRPr="005B6242" w:rsidRDefault="005B6242" w:rsidP="00AE3C0B">
            <w:pPr>
              <w:pStyle w:val="TableCopy"/>
              <w:rPr>
                <w:lang w:val="en-GB"/>
              </w:rPr>
            </w:pPr>
          </w:p>
        </w:tc>
        <w:tc>
          <w:tcPr>
            <w:tcW w:w="3402"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VAGO examined how effectively, efficiently and economically agencies use their internal audit resources to contribute to the management of organisational risk.</w:t>
            </w:r>
          </w:p>
        </w:tc>
        <w:tc>
          <w:tcPr>
            <w:tcW w:w="3403"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Tabled 9 August 2017</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Investigation into child sex offender Robert Whitehead’s involvement with Puffing Billy and other railway bodies</w:t>
            </w:r>
          </w:p>
        </w:tc>
        <w:tc>
          <w:tcPr>
            <w:tcW w:w="1984"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Victorian Ombudsman</w:t>
            </w:r>
          </w:p>
        </w:tc>
        <w:tc>
          <w:tcPr>
            <w:tcW w:w="3402"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To understand the circumstances surrounding the management failings of Puffing Billy and other organisations which enabled Robert Whitehead and other convicted sex offenders to remain as volunteers with access to victims.</w:t>
            </w:r>
          </w:p>
        </w:tc>
        <w:tc>
          <w:tcPr>
            <w:tcW w:w="3403"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 xml:space="preserve">The year-long investigation was released on 25 June 2018.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 xml:space="preserve">Local Government and Economic Development </w:t>
            </w:r>
          </w:p>
          <w:p w:rsidR="005B6242" w:rsidRPr="005B6242" w:rsidRDefault="005B6242" w:rsidP="00AE3C0B">
            <w:pPr>
              <w:pStyle w:val="TableCopy"/>
              <w:rPr>
                <w:lang w:val="en-GB"/>
              </w:rPr>
            </w:pPr>
          </w:p>
        </w:tc>
        <w:tc>
          <w:tcPr>
            <w:tcW w:w="1984"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Victorian Auditor- General’s Office</w:t>
            </w:r>
          </w:p>
          <w:p w:rsidR="005B6242" w:rsidRPr="005B6242" w:rsidRDefault="005B6242" w:rsidP="00AE3C0B">
            <w:pPr>
              <w:pStyle w:val="TableCopy"/>
              <w:rPr>
                <w:lang w:val="en-GB"/>
              </w:rPr>
            </w:pPr>
          </w:p>
        </w:tc>
        <w:tc>
          <w:tcPr>
            <w:tcW w:w="3402"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VAGO assessed whether the councils’ economic development activities help to improve the economic viability and sustainability of their municipalities. VAGO examined the role of Regional Development Victoria in working with local councils on economic development activities.</w:t>
            </w:r>
            <w:r w:rsidR="009F313F">
              <w:rPr>
                <w:lang w:val="en-GB"/>
              </w:rPr>
              <w:t xml:space="preserve"> </w:t>
            </w:r>
          </w:p>
        </w:tc>
        <w:tc>
          <w:tcPr>
            <w:tcW w:w="3403"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Tabled 8 March 2018</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Managing the Level Crossing Removal Program</w:t>
            </w:r>
          </w:p>
        </w:tc>
        <w:tc>
          <w:tcPr>
            <w:tcW w:w="1984"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Victorian Auditor-General’s Office</w:t>
            </w:r>
          </w:p>
        </w:tc>
        <w:tc>
          <w:tcPr>
            <w:tcW w:w="3402"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The level crossing removal program (LXRP) aims to contribute to long-term improvements to the road and rail network by easing transport congestion and delivering a safer and more efficient road network. This audit identifies risks, lessons and opportunities for improvement for future works. VAGO examined whether the LXRP is cost-effective in terms of whether it has improved, or is expected to improve, the safety and efficiency of the state’s road and rail network. VAGO’s audit focused on the role of the Level Crossing Removal Authority, Public Transport Victoria, and Transport for Victoria in providing oversight and strategic focus for the LXRP.</w:t>
            </w:r>
          </w:p>
        </w:tc>
        <w:tc>
          <w:tcPr>
            <w:tcW w:w="3403"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Tabled 14 December 2017</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Report on the Earth Resources Regulation – Continuous Improvement Project</w:t>
            </w:r>
          </w:p>
        </w:tc>
        <w:tc>
          <w:tcPr>
            <w:tcW w:w="1984"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Commissioner for Better Regulation</w:t>
            </w:r>
          </w:p>
        </w:tc>
        <w:tc>
          <w:tcPr>
            <w:tcW w:w="3402"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In July 2017, the Treasurer directed</w:t>
            </w:r>
            <w:r w:rsidR="00AE3C0B">
              <w:rPr>
                <w:lang w:val="en-GB"/>
              </w:rPr>
              <w:t xml:space="preserve"> </w:t>
            </w:r>
            <w:r w:rsidRPr="005B6242">
              <w:rPr>
                <w:lang w:val="en-GB"/>
              </w:rPr>
              <w:t>the Commissioner for Better Regulation to:</w:t>
            </w:r>
          </w:p>
          <w:p w:rsidR="005B6242" w:rsidRPr="005B6242" w:rsidRDefault="005B6242" w:rsidP="00AE3C0B">
            <w:pPr>
              <w:pStyle w:val="TableBullet"/>
              <w:rPr>
                <w:lang w:val="en-GB"/>
              </w:rPr>
            </w:pPr>
            <w:r w:rsidRPr="005B6242">
              <w:rPr>
                <w:lang w:val="en-GB"/>
              </w:rPr>
              <w:t>undertake a Continuous Improvement Project to support the implementation of ongoing reforms;</w:t>
            </w:r>
          </w:p>
          <w:p w:rsidR="005B6242" w:rsidRPr="005B6242" w:rsidRDefault="005B6242" w:rsidP="00AE3C0B">
            <w:pPr>
              <w:pStyle w:val="TableBullet"/>
              <w:rPr>
                <w:lang w:val="en-GB"/>
              </w:rPr>
            </w:pPr>
            <w:r w:rsidRPr="005B6242">
              <w:rPr>
                <w:lang w:val="en-GB"/>
              </w:rPr>
              <w:t>identify immediate opportunities for improvement in how the regulator operates and its regulatory arrangements;</w:t>
            </w:r>
          </w:p>
          <w:p w:rsidR="005B6242" w:rsidRPr="005B6242" w:rsidRDefault="005B6242" w:rsidP="00AE3C0B">
            <w:pPr>
              <w:pStyle w:val="TableBullet"/>
              <w:rPr>
                <w:lang w:val="en-GB"/>
              </w:rPr>
            </w:pPr>
            <w:r w:rsidRPr="005B6242">
              <w:rPr>
                <w:lang w:val="en-GB"/>
              </w:rPr>
              <w:t>improve the interaction between Earth Resources Regulation and other regulatory authorities; and</w:t>
            </w:r>
          </w:p>
          <w:p w:rsidR="005B6242" w:rsidRPr="005B6242" w:rsidRDefault="005B6242" w:rsidP="00AE3C0B">
            <w:pPr>
              <w:pStyle w:val="TableBullet"/>
              <w:rPr>
                <w:lang w:val="en-GB"/>
              </w:rPr>
            </w:pPr>
            <w:r w:rsidRPr="005B6242">
              <w:rPr>
                <w:lang w:val="en-GB"/>
              </w:rPr>
              <w:t xml:space="preserve">make recommendations for the future. </w:t>
            </w:r>
          </w:p>
        </w:tc>
        <w:tc>
          <w:tcPr>
            <w:tcW w:w="3403"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The Final Report (</w:t>
            </w:r>
            <w:r w:rsidRPr="005B6242">
              <w:rPr>
                <w:i/>
                <w:iCs/>
                <w:lang w:val="en-GB"/>
              </w:rPr>
              <w:t>Getting the Groundwork right</w:t>
            </w:r>
            <w:r w:rsidRPr="005B6242">
              <w:rPr>
                <w:lang w:val="en-GB"/>
              </w:rPr>
              <w:t>) was released on 20 December 2017.</w:t>
            </w:r>
          </w:p>
          <w:p w:rsidR="005B6242" w:rsidRPr="005B6242" w:rsidRDefault="005B6242" w:rsidP="00AE3C0B">
            <w:pPr>
              <w:pStyle w:val="TableCopy"/>
              <w:rPr>
                <w:lang w:val="en-GB"/>
              </w:rPr>
            </w:pPr>
            <w:r w:rsidRPr="005B6242">
              <w:rPr>
                <w:lang w:val="en-GB"/>
              </w:rPr>
              <w:t>The Implementation Plan was released 3 May 2018, detailing key actions to improve earth resources regulation.</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V/Line Passenger Services</w:t>
            </w:r>
          </w:p>
        </w:tc>
        <w:tc>
          <w:tcPr>
            <w:tcW w:w="1984"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Victorian Auditor-General’s Office</w:t>
            </w:r>
          </w:p>
        </w:tc>
        <w:tc>
          <w:tcPr>
            <w:tcW w:w="3402"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V/Line offers an important service to regional communities – it provides access to services, education and employment across the state. V/Line operates and maintains a fleet of 372 passenger trains and carriages, and 3 520 kilometres of rail track used by passenger and freight services. More than 1 250 V/Line-branded coach services also operate every week, connecting the rail network with regional communities not serviced by trains.</w:t>
            </w:r>
          </w:p>
          <w:p w:rsidR="005B6242" w:rsidRPr="005B6242" w:rsidRDefault="005B6242" w:rsidP="00AE3C0B">
            <w:pPr>
              <w:pStyle w:val="TableCopy"/>
              <w:rPr>
                <w:lang w:val="en-GB"/>
              </w:rPr>
            </w:pPr>
            <w:r w:rsidRPr="005B6242">
              <w:rPr>
                <w:lang w:val="en-GB"/>
              </w:rPr>
              <w:t>In 2015–16, V/Line carried 17.7 million passengers – 16.3 million on trains and 1.4 million on coaches – an increase of 88.3 per cent since 2006–07 and well beyond V/Line’s expectations. In this audit, VAGO assessed whether V/Line regional passenger services are efficient and meet the needs of public transport users, and whether it is adequately prepared to sustain and improve performance in the future.</w:t>
            </w:r>
          </w:p>
          <w:p w:rsidR="005B6242" w:rsidRPr="005B6242" w:rsidRDefault="005B6242" w:rsidP="00AE3C0B">
            <w:pPr>
              <w:pStyle w:val="TableCopy"/>
              <w:rPr>
                <w:lang w:val="en-GB"/>
              </w:rPr>
            </w:pPr>
            <w:r w:rsidRPr="005B6242">
              <w:rPr>
                <w:lang w:val="en-GB"/>
              </w:rPr>
              <w:t>VAGO focused on V/Line’s performance and how it is managing current and future challenges. VAGO also examined Public Transport Victoria’s (PTV) and the Department of Economic Development, Jobs, Transport and Resources’ (DEDJTR) roles in overseeing and monitoring V/Line’s operational performance and the Department of Treasury and Finance’s role in monitoring V/Line’s financial performance.</w:t>
            </w:r>
          </w:p>
        </w:tc>
        <w:tc>
          <w:tcPr>
            <w:tcW w:w="3403"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Tabled 9 August 2017</w:t>
            </w:r>
          </w:p>
        </w:tc>
      </w:tr>
    </w:tbl>
    <w:p w:rsidR="005B6242" w:rsidRPr="005B6242" w:rsidRDefault="005B6242" w:rsidP="00AE3C0B">
      <w:pPr>
        <w:pStyle w:val="Heading1"/>
        <w:rPr>
          <w:lang w:val="en-GB"/>
        </w:rPr>
      </w:pPr>
      <w:bookmarkStart w:id="9" w:name="_Toc5098694"/>
      <w:r w:rsidRPr="005B6242">
        <w:rPr>
          <w:lang w:val="en-GB"/>
        </w:rPr>
        <w:t>6. Details of major research and development activities undertaken by the department.</w:t>
      </w:r>
      <w:bookmarkEnd w:id="9"/>
    </w:p>
    <w:tbl>
      <w:tblPr>
        <w:tblW w:w="0" w:type="auto"/>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977"/>
        <w:gridCol w:w="2977"/>
        <w:gridCol w:w="4536"/>
      </w:tblGrid>
      <w:tr w:rsidR="005B6242" w:rsidRPr="005B6242" w:rsidTr="00AA6F8A">
        <w:tblPrEx>
          <w:tblCellMar>
            <w:top w:w="0" w:type="dxa"/>
            <w:left w:w="0" w:type="dxa"/>
            <w:bottom w:w="0" w:type="dxa"/>
            <w:right w:w="0" w:type="dxa"/>
          </w:tblCellMar>
        </w:tblPrEx>
        <w:trPr>
          <w:cantSplit/>
          <w:trHeight w:val="60"/>
          <w:tblHeader/>
        </w:trPr>
        <w:tc>
          <w:tcPr>
            <w:tcW w:w="2977" w:type="dxa"/>
            <w:tcMar>
              <w:top w:w="80" w:type="dxa"/>
              <w:left w:w="80" w:type="dxa"/>
              <w:bottom w:w="80" w:type="dxa"/>
              <w:right w:w="80" w:type="dxa"/>
            </w:tcMar>
          </w:tcPr>
          <w:p w:rsidR="005B6242" w:rsidRPr="005B6242" w:rsidRDefault="005B6242" w:rsidP="00AE3C0B">
            <w:pPr>
              <w:pStyle w:val="TableHeading"/>
              <w:rPr>
                <w:lang w:val="en-GB"/>
              </w:rPr>
            </w:pPr>
            <w:r w:rsidRPr="005B6242">
              <w:rPr>
                <w:lang w:val="en-GB"/>
              </w:rPr>
              <w:t>Research and development</w:t>
            </w:r>
          </w:p>
        </w:tc>
        <w:tc>
          <w:tcPr>
            <w:tcW w:w="2977" w:type="dxa"/>
            <w:tcMar>
              <w:top w:w="80" w:type="dxa"/>
              <w:left w:w="80" w:type="dxa"/>
              <w:bottom w:w="80" w:type="dxa"/>
              <w:right w:w="80" w:type="dxa"/>
            </w:tcMar>
          </w:tcPr>
          <w:p w:rsidR="005B6242" w:rsidRPr="005B6242" w:rsidRDefault="005B6242" w:rsidP="00AE3C0B">
            <w:pPr>
              <w:pStyle w:val="TableHeading"/>
              <w:rPr>
                <w:lang w:val="en-GB"/>
              </w:rPr>
            </w:pPr>
            <w:r w:rsidRPr="005B6242">
              <w:rPr>
                <w:lang w:val="en-GB"/>
              </w:rPr>
              <w:t>Conducted by</w:t>
            </w:r>
          </w:p>
        </w:tc>
        <w:tc>
          <w:tcPr>
            <w:tcW w:w="4536" w:type="dxa"/>
            <w:tcMar>
              <w:top w:w="80" w:type="dxa"/>
              <w:left w:w="80" w:type="dxa"/>
              <w:bottom w:w="80" w:type="dxa"/>
              <w:right w:w="80" w:type="dxa"/>
            </w:tcMar>
          </w:tcPr>
          <w:p w:rsidR="005B6242" w:rsidRPr="005B6242" w:rsidRDefault="005B6242" w:rsidP="00AE3C0B">
            <w:pPr>
              <w:pStyle w:val="TableHeading"/>
              <w:rPr>
                <w:lang w:val="en-GB"/>
              </w:rPr>
            </w:pPr>
            <w:r w:rsidRPr="005B6242">
              <w:rPr>
                <w:lang w:val="en-GB"/>
              </w:rPr>
              <w:t>Purpose</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Access to Finance Research Project, Stage 1</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 xml:space="preserve">Industry Development and Innovation and Ernst and Young (EY) </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EY was engaged to look at the lending landscape</w:t>
            </w:r>
            <w:r w:rsidR="00AE3C0B">
              <w:rPr>
                <w:lang w:val="en-GB"/>
              </w:rPr>
              <w:t xml:space="preserve"> </w:t>
            </w:r>
            <w:r w:rsidRPr="005B6242">
              <w:rPr>
                <w:lang w:val="en-GB"/>
              </w:rPr>
              <w:t>for start-ups and SMEs. The report focused on market failures, the role of government, policies in other jurisdictions and potential state intervention models.</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Advanced biosecurity diagnostics</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Support state and national diagnostic, post entry quarantine and biosecurity emergency response for high priority pests and diseases through the development and delivery of next generation diagnostic tests, disinfestation protocols and smart surveillance tools using new and mobile devices for enhanced pest and disease diagnosis at remote sites.</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Advanced dairy animal genetics</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To continuously improve the health and profitability of the Victorian dairy herd and doubling the rate of genetic gain by developing and providing better technologies and tools to farmers for animal selection.</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Advanced grains genetics</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To develop and apply knowledge, technologies and tools to accelerate rate of genetic gain in crop improvement, delivering grains germplasm and better varieties faster for increased productivity and profitability in the grains industry. Increase farm profitability by improving the production, quality and disease resistance of wheat, oil seeds and pulses by developing genetic technologies and germplasm.</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Advanced sheep genetics</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Develop and provide better technologies and tools</w:t>
            </w:r>
            <w:r w:rsidR="00AE3C0B">
              <w:rPr>
                <w:lang w:val="en-GB"/>
              </w:rPr>
              <w:t xml:space="preserve"> </w:t>
            </w:r>
            <w:r w:rsidRPr="005B6242">
              <w:rPr>
                <w:lang w:val="en-GB"/>
              </w:rPr>
              <w:t>for sheep selection to farmers to improve the health and profitability of animals and the market value of wool and lamb.</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Almond and pome and stone fruit integrated pest and disease management</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To develop and extend control, monitoring and management strategies and practices that support best practice on-farm integrated pest and disease management for the almond and pome and stone fruit industries.</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Almond and pome and stone fruit orchard management systems</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Improve the productivity and resilience of orchard management systems through the development and provision of key knowledge, tools and management recommendations to optimise orchard establishment, manage seasonal variability and ensure longer term profitability of the almond and pome and stone fruit industries.</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Assessing changes in wild dog density post aerial baiting in Eastern Victoria</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Arthur Rylah Research Institute</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To assess the change in density of wild dogs following the deployment of aerial baiting as part of an integrated management strategy.</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Australian Grains Genebank</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To manage the genetic resources that underpin the Australian grains industry, through the acquisition, maintenance and distribution of grains accessions</w:t>
            </w:r>
            <w:r w:rsidR="008C3EBD">
              <w:rPr>
                <w:lang w:val="en-GB"/>
              </w:rPr>
              <w:t xml:space="preserve"> </w:t>
            </w:r>
            <w:r w:rsidRPr="005B6242">
              <w:rPr>
                <w:lang w:val="en-GB"/>
              </w:rPr>
              <w:t>to research, pre-breeding and breeding sectors for the development of improved grains germplasm and varieties.</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Cereal integrated disease management</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 xml:space="preserve">To lead and co-ordinate national research programs into the epidemiology of major cereal pathogens and the evaluation of breeding lines and varieties for disease resistance </w:t>
            </w:r>
            <w:proofErr w:type="gramStart"/>
            <w:r w:rsidRPr="005B6242">
              <w:rPr>
                <w:lang w:val="en-GB"/>
              </w:rPr>
              <w:t>in order to</w:t>
            </w:r>
            <w:proofErr w:type="gramEnd"/>
            <w:r w:rsidRPr="005B6242">
              <w:rPr>
                <w:lang w:val="en-GB"/>
              </w:rPr>
              <w:t xml:space="preserve"> develop integrated disease management packages for Victorian cereal growers.</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Creative Impact</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dandolopartners</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To develop a clear, rigorous and replicable methodology for determining the economic, social</w:t>
            </w:r>
            <w:r w:rsidR="008C3EBD">
              <w:rPr>
                <w:lang w:val="en-GB"/>
              </w:rPr>
              <w:t xml:space="preserve"> </w:t>
            </w:r>
            <w:r w:rsidRPr="005B6242">
              <w:rPr>
                <w:lang w:val="en-GB"/>
              </w:rPr>
              <w:t xml:space="preserve">and cultural impact of the creative industries. </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Dairy feed resource allocation</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Increase total farm milk production by developing management strategies and tools to more effectively allocate feed resources, both supplement and pasture within the herd.</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Dairy knowledge management and delivery</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Assist dairy farmers and service providers make informed decisions using digital products specifically designed to meet user needs.</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HRZ grains production</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To develop and apply knowledge, technology and tools to design grain production systems that are targeted towards the rainfall conditions and longer growing seasons of the high rainfall zone (HRZ) of south west Victoria, thereby allowing farmers to realise the production potential of this area.</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Livestock production systems</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Develop flexible and productive lamb systems to improve profitability and international competitiveness while meeting product quality and animal welfare requirements.</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Managing climate volatility in grain production</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To generate knowledge of crop and disease responses anticipated under future climates and develop management guidelines for seasonal and extreme weather events to inform potential climate adaptation and mitigation strategies for grain growers.</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Map for Impact – The Victorian Social Enterprise Mapping Project</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PPSBE and Swinburne University</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Swinburne was engaged to produce:</w:t>
            </w:r>
          </w:p>
          <w:p w:rsidR="005B6242" w:rsidRPr="005B6242" w:rsidRDefault="005B6242" w:rsidP="008C3EBD">
            <w:pPr>
              <w:pStyle w:val="TableBullet"/>
              <w:rPr>
                <w:lang w:val="en-GB"/>
              </w:rPr>
            </w:pPr>
            <w:r w:rsidRPr="005B6242">
              <w:rPr>
                <w:lang w:val="en-GB"/>
              </w:rPr>
              <w:t>a searchable map of social enterprises across metropolitan and regional areas of Victoria;</w:t>
            </w:r>
          </w:p>
          <w:p w:rsidR="005B6242" w:rsidRPr="005B6242" w:rsidRDefault="005B6242" w:rsidP="008C3EBD">
            <w:pPr>
              <w:pStyle w:val="TableBullet"/>
              <w:rPr>
                <w:lang w:val="en-GB"/>
              </w:rPr>
            </w:pPr>
            <w:r w:rsidRPr="005B6242">
              <w:rPr>
                <w:lang w:val="en-GB"/>
              </w:rPr>
              <w:t>a database of Victorian social enterprises and intermediaries; and</w:t>
            </w:r>
          </w:p>
          <w:p w:rsidR="005B6242" w:rsidRPr="005B6242" w:rsidRDefault="005B6242" w:rsidP="00AE3C0B">
            <w:pPr>
              <w:pStyle w:val="TableCopy"/>
              <w:rPr>
                <w:lang w:val="en-GB"/>
              </w:rPr>
            </w:pPr>
            <w:r w:rsidRPr="005B6242">
              <w:rPr>
                <w:lang w:val="en-GB"/>
              </w:rPr>
              <w:t>a report that describes the organisational characteristics, activities and impacts of Victoria’s social enterprises.</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Medicinal cannabis</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 xml:space="preserve">To support the establishment of the medicinal cannabis industry in Victoria by delivering actions under the Industry Development Plan. </w:t>
            </w:r>
          </w:p>
          <w:p w:rsidR="005B6242" w:rsidRPr="005B6242" w:rsidRDefault="005B6242" w:rsidP="00AE3C0B">
            <w:pPr>
              <w:pStyle w:val="TableCopy"/>
              <w:rPr>
                <w:lang w:val="en-GB"/>
              </w:rPr>
            </w:pPr>
            <w:r w:rsidRPr="005B6242">
              <w:rPr>
                <w:lang w:val="en-GB"/>
              </w:rPr>
              <w:t>Develop and apply knowledge, technologies and</w:t>
            </w:r>
            <w:r w:rsidR="008C3EBD">
              <w:rPr>
                <w:lang w:val="en-GB"/>
              </w:rPr>
              <w:t xml:space="preserve"> </w:t>
            </w:r>
            <w:r w:rsidRPr="005B6242">
              <w:rPr>
                <w:lang w:val="en-GB"/>
              </w:rPr>
              <w:t>tools for the development and characterisation of medicinal cannabis strains as well as in their cultivation and manufacture.</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Melbourne Arts Precinct/NGVC</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Development Victoria</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To develop a staged development plan for the Melbourne Arts Precinct, supported by business cases for Arts Centre Melbourne Re-imagined and NGV Contemporary, including stage one investments.</w:t>
            </w:r>
            <w:r w:rsidR="009F313F">
              <w:rPr>
                <w:lang w:val="en-GB"/>
              </w:rPr>
              <w:t xml:space="preserve"> </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New biocontrol solutions for sustainable management of weeds impacting agricultural profitability</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Investigate potential biological control agents for two of Victoria’s worst weeds, Sagittaria and silverleaf nightshade which cause both productivity and environmental impacts.</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Pasture genetic improvement for dairy and livestock industries</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To improve the production and resilience of pastures by developing new pasture-breeding genetic innovations delivered through better forage grass varieties with enhanced yield, nutritive value and persistence to increase on-farm dairy industry profitability.</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 xml:space="preserve">Pasture management tools </w:t>
            </w:r>
            <w:r w:rsidRPr="005B6242">
              <w:rPr>
                <w:lang w:val="en-GB"/>
              </w:rPr>
              <w:br/>
              <w:t>for the dairy industry</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 xml:space="preserve">Improve productivity in the paddock by developing new management tools that improve on-farm agronomy decisions and enable improved forage cultivar selection. </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Premium quality fruit</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Develop and apply knowledge, technology and tools to design improved harvest, storage and handling systems that deliver premium quality stone and pome fruit that meet customer expectations and Asian market requirements.</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Productive soil, water and landscapes</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 xml:space="preserve">Develop and apply knowledge, technology and tools to address </w:t>
            </w:r>
            <w:proofErr w:type="gramStart"/>
            <w:r w:rsidRPr="005B6242">
              <w:rPr>
                <w:lang w:val="en-GB"/>
              </w:rPr>
              <w:t>soil based</w:t>
            </w:r>
            <w:proofErr w:type="gramEnd"/>
            <w:r w:rsidRPr="005B6242">
              <w:rPr>
                <w:lang w:val="en-GB"/>
              </w:rPr>
              <w:t xml:space="preserve"> constraints to agricultural production, to enhance nutrient and water use efficiency and develop novel information products that support the sustainable use of land, soil and water resources within agriculture.</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Pulse breeding</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To conduct breeding and varietal development and associated agronomy packages for lentil and field pea pulse crops, as part of the national Pulse Breeding Australia program. Pulses – in addition of being a high-value grain crop for export markets – are used in crop rotations as a disease break, and</w:t>
            </w:r>
            <w:r w:rsidR="008C3EBD">
              <w:rPr>
                <w:lang w:val="en-GB"/>
              </w:rPr>
              <w:t xml:space="preserve"> </w:t>
            </w:r>
            <w:r w:rsidRPr="005B6242">
              <w:rPr>
                <w:lang w:val="en-GB"/>
              </w:rPr>
              <w:t xml:space="preserve">to increase soil nitrogen. </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Regional research agronomy</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Increase industry skills and capacity to innovate by providing complete information packages on topics of high industry relevance and through the upskilling of graduates so they increase capacity available to the grains industry.</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Report of a Survey and Qualitative Analysis of Community Attitudes to Victoria’s Regions</w:t>
            </w:r>
          </w:p>
          <w:p w:rsidR="005B6242" w:rsidRPr="005B6242" w:rsidRDefault="005B6242" w:rsidP="00AE3C0B">
            <w:pPr>
              <w:pStyle w:val="TableCopy"/>
              <w:rPr>
                <w:lang w:val="en-GB"/>
              </w:rPr>
            </w:pP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 xml:space="preserve">Horizon Research </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To canvass the lived experience of people in Victoria’s regions and to understand the unique pressures that various types of families face within specific regional areas. The results of this survey and analysis provide new data to support engagement with the community, DEDJTR, other portfolios, and the three levels of government with the purpose of enhancing the development of regional Victoria.</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ScienceWorks ILM</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Museum Victoria</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To conduct an Information Logic Map process to inform future strategic direction of ScienceWorks.</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Soil and nutrient management for the grains industry</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Develop and provide better technologies, tools and knowledge to design farming practices that more efficiently use nutrients and water, enhance soil health and improve profit and risk management.</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Support for national animal biosecurity and incursion responses</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Provide ongoing animal diagnostic services and specialist technical advice to DEDJTR’s Biosecurity Branch, other state agencies and various national committees. Recognised National Reference Laboratory for Anthrax and Johne’s Disease.</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Support for national plant biosecurity and incursion responses</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Agriculture Victoria Research</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Provide ongoing plant diagnostic services and specialist technical advice to DEDJTR’s Biosecurity Branch, other state agencies and various national committees. Provision of laboratory support for state and national incursion responses including Giant Pine Scale (Victoria), Cucumber Green Mottle Mosaic Virus (Northern Territory and Queensland) and the provision of confirmatory diagnostics for the tomato potato psyllid (TPP) incursion in WA including testing for Candidatus Liberibacter solanacearum (CLso) and laboratory support for the Victorian “Autumn” survey for TPP and CLso.</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Victorian Festivals review</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LEK</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To review the role, delivery and operation of Victoria’s festivals to maintain a high quality, engaging, diverse and accessible, state-wide program to meet contemporary and future needs.</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Western Hub</w:t>
            </w:r>
          </w:p>
        </w:tc>
        <w:tc>
          <w:tcPr>
            <w:tcW w:w="2977"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SGS Economics</w:t>
            </w:r>
          </w:p>
        </w:tc>
        <w:tc>
          <w:tcPr>
            <w:tcW w:w="4536" w:type="dxa"/>
            <w:tcMar>
              <w:top w:w="80" w:type="dxa"/>
              <w:left w:w="80" w:type="dxa"/>
              <w:bottom w:w="80" w:type="dxa"/>
              <w:right w:w="80" w:type="dxa"/>
            </w:tcMar>
          </w:tcPr>
          <w:p w:rsidR="005B6242" w:rsidRPr="005B6242" w:rsidRDefault="005B6242" w:rsidP="00AE3C0B">
            <w:pPr>
              <w:pStyle w:val="TableCopy"/>
              <w:rPr>
                <w:lang w:val="en-GB"/>
              </w:rPr>
            </w:pPr>
            <w:r w:rsidRPr="005B6242">
              <w:rPr>
                <w:lang w:val="en-GB"/>
              </w:rPr>
              <w:t>To assess supply and demand of creative hubs in Melbourne’s inner West.</w:t>
            </w:r>
          </w:p>
        </w:tc>
      </w:tr>
    </w:tbl>
    <w:p w:rsidR="005B6242" w:rsidRPr="005B6242" w:rsidRDefault="005B6242" w:rsidP="008C3EBD">
      <w:pPr>
        <w:pStyle w:val="Heading1"/>
        <w:rPr>
          <w:lang w:val="en-GB"/>
        </w:rPr>
      </w:pPr>
      <w:bookmarkStart w:id="10" w:name="_Toc5098695"/>
      <w:r w:rsidRPr="005B6242">
        <w:rPr>
          <w:lang w:val="en-GB"/>
        </w:rPr>
        <w:t>7. Details of overseas visits undertaken including a summary of the objectives and outcomes of each visit.</w:t>
      </w:r>
      <w:bookmarkEnd w:id="10"/>
    </w:p>
    <w:tbl>
      <w:tblPr>
        <w:tblW w:w="0" w:type="auto"/>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701"/>
        <w:gridCol w:w="1701"/>
        <w:gridCol w:w="3544"/>
        <w:gridCol w:w="3544"/>
      </w:tblGrid>
      <w:tr w:rsidR="005B6242" w:rsidRPr="005B6242" w:rsidTr="00AA6F8A">
        <w:tblPrEx>
          <w:tblCellMar>
            <w:top w:w="0" w:type="dxa"/>
            <w:left w:w="0" w:type="dxa"/>
            <w:bottom w:w="0" w:type="dxa"/>
            <w:right w:w="0" w:type="dxa"/>
          </w:tblCellMar>
        </w:tblPrEx>
        <w:trPr>
          <w:cantSplit/>
          <w:trHeight w:val="60"/>
          <w:tblHeader/>
        </w:trPr>
        <w:tc>
          <w:tcPr>
            <w:tcW w:w="1701" w:type="dxa"/>
            <w:tcMar>
              <w:top w:w="80" w:type="dxa"/>
              <w:left w:w="80" w:type="dxa"/>
              <w:bottom w:w="80" w:type="dxa"/>
              <w:right w:w="80" w:type="dxa"/>
            </w:tcMar>
          </w:tcPr>
          <w:p w:rsidR="005B6242" w:rsidRPr="005B6242" w:rsidRDefault="005B6242" w:rsidP="008C3EBD">
            <w:pPr>
              <w:pStyle w:val="TableHeading"/>
              <w:rPr>
                <w:lang w:val="en-GB"/>
              </w:rPr>
            </w:pPr>
            <w:r w:rsidRPr="005B6242">
              <w:rPr>
                <w:lang w:val="en-GB"/>
              </w:rPr>
              <w:t>Title</w:t>
            </w:r>
          </w:p>
        </w:tc>
        <w:tc>
          <w:tcPr>
            <w:tcW w:w="1701" w:type="dxa"/>
            <w:tcMar>
              <w:top w:w="80" w:type="dxa"/>
              <w:left w:w="80" w:type="dxa"/>
              <w:bottom w:w="80" w:type="dxa"/>
              <w:right w:w="80" w:type="dxa"/>
            </w:tcMar>
          </w:tcPr>
          <w:p w:rsidR="005B6242" w:rsidRPr="005B6242" w:rsidRDefault="005B6242" w:rsidP="008C3EBD">
            <w:pPr>
              <w:pStyle w:val="TableHeading"/>
              <w:rPr>
                <w:lang w:val="en-GB"/>
              </w:rPr>
            </w:pPr>
            <w:r w:rsidRPr="005B6242">
              <w:rPr>
                <w:lang w:val="en-GB"/>
              </w:rPr>
              <w:t>Destination</w:t>
            </w:r>
          </w:p>
        </w:tc>
        <w:tc>
          <w:tcPr>
            <w:tcW w:w="3544" w:type="dxa"/>
            <w:tcMar>
              <w:top w:w="80" w:type="dxa"/>
              <w:left w:w="80" w:type="dxa"/>
              <w:bottom w:w="80" w:type="dxa"/>
              <w:right w:w="80" w:type="dxa"/>
            </w:tcMar>
          </w:tcPr>
          <w:p w:rsidR="005B6242" w:rsidRPr="005B6242" w:rsidRDefault="005B6242" w:rsidP="008C3EBD">
            <w:pPr>
              <w:pStyle w:val="TableHeading"/>
              <w:rPr>
                <w:lang w:val="en-GB"/>
              </w:rPr>
            </w:pPr>
            <w:r w:rsidRPr="005B6242">
              <w:rPr>
                <w:lang w:val="en-GB"/>
              </w:rPr>
              <w:t>Objective</w:t>
            </w:r>
          </w:p>
        </w:tc>
        <w:tc>
          <w:tcPr>
            <w:tcW w:w="3544" w:type="dxa"/>
            <w:tcMar>
              <w:top w:w="80" w:type="dxa"/>
              <w:left w:w="80" w:type="dxa"/>
              <w:bottom w:w="80" w:type="dxa"/>
              <w:right w:w="80" w:type="dxa"/>
            </w:tcMar>
          </w:tcPr>
          <w:p w:rsidR="005B6242" w:rsidRPr="005B6242" w:rsidRDefault="005B6242" w:rsidP="008C3EBD">
            <w:pPr>
              <w:pStyle w:val="TableHeading"/>
              <w:rPr>
                <w:lang w:val="en-GB"/>
              </w:rPr>
            </w:pPr>
            <w:r w:rsidRPr="005B6242">
              <w:rPr>
                <w:lang w:val="en-GB"/>
              </w:rPr>
              <w:t>Outcome</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Head, Transport for Victoria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Hong Kong</w:t>
            </w:r>
            <w:r w:rsidR="008C3EBD">
              <w:rPr>
                <w:lang w:val="en-GB"/>
              </w:rPr>
              <w:t xml:space="preserve"> </w:t>
            </w:r>
            <w:r w:rsidRPr="005B6242">
              <w:rPr>
                <w:lang w:val="en-GB"/>
              </w:rPr>
              <w:t>Nanjing</w:t>
            </w:r>
            <w:r w:rsidR="008C3EBD">
              <w:rPr>
                <w:lang w:val="en-GB"/>
              </w:rPr>
              <w:t xml:space="preserve"> </w:t>
            </w:r>
            <w:r w:rsidRPr="005B6242">
              <w:rPr>
                <w:lang w:val="en-GB"/>
              </w:rPr>
              <w:t>Changchun</w:t>
            </w:r>
            <w:r w:rsidR="008C3EBD">
              <w:rPr>
                <w:lang w:val="en-GB"/>
              </w:rPr>
              <w:t xml:space="preserve"> </w:t>
            </w:r>
            <w:r w:rsidRPr="005B6242">
              <w:rPr>
                <w:lang w:val="en-GB"/>
              </w:rPr>
              <w:t>Changhai</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promote transport infrastructure investment opportunities in Victoria and to engage with major Chinese investors and stakeholders</w:t>
            </w:r>
            <w:r w:rsidR="008C3EBD">
              <w:rPr>
                <w:lang w:val="en-GB"/>
              </w:rPr>
              <w:t xml:space="preserve"> </w:t>
            </w:r>
            <w:r w:rsidRPr="005B6242">
              <w:rPr>
                <w:lang w:val="en-GB"/>
              </w:rPr>
              <w:t xml:space="preserve">in Victoria’s transport Sector.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Benefits to the State included improved relationships and capability in areas of strategic interest particularly those relating to transport operations and the connections that support them.</w:t>
            </w:r>
            <w:r w:rsidR="009F313F">
              <w:rPr>
                <w:lang w:val="en-GB"/>
              </w:rPr>
              <w:t xml:space="preserve">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Secretary, DEDJTR</w:t>
            </w:r>
          </w:p>
          <w:p w:rsidR="005B6242" w:rsidRPr="005B6242" w:rsidRDefault="005B6242" w:rsidP="008C3EBD">
            <w:pPr>
              <w:pStyle w:val="TableCopy"/>
              <w:rPr>
                <w:lang w:val="en-GB"/>
              </w:rPr>
            </w:pP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China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Secretary participated in the Victoria Jiangsu Executive Leadership Exchange to strengthen relationships with senior government officials from Jiangsu.</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An intensive program of meetings with senior Jiangsu government representatives and departmental leaders was undertaken during the Victoria Jiangsu Executive Leadership Exchange that strengthened our relationship with Victoria's Sister-State. Meetings with Jiangsu government departments focused on building greater understanding on areas of mutual interest including science and technology research/innovation; smart cities; transport and vocational education.</w:t>
            </w:r>
            <w:r w:rsidR="009F313F">
              <w:rPr>
                <w:lang w:val="en-GB"/>
              </w:rPr>
              <w:t xml:space="preserve">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Secretary, DEDJTR</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Japan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Secretary Chaired the Hydrogen Energy Supply Chain Steering Committee (HESC) meeting in Tokyo to negotiate a grant agreement and meet with key government and industry partners and stakeholders.</w:t>
            </w:r>
            <w:r w:rsidR="009F313F">
              <w:rPr>
                <w:lang w:val="en-GB"/>
              </w:rPr>
              <w:t xml:space="preserve">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Led negotiations to progress the grant agreement with Hydrogen Energy Supply Chain project partners on behalf of the Victorian Government. Met with senior management from resource sectors to discuss opportunities for the State.</w:t>
            </w:r>
            <w:r w:rsidR="009F313F">
              <w:rPr>
                <w:lang w:val="en-GB"/>
              </w:rPr>
              <w:t xml:space="preserve">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Secretary, DEDJTR</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India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Secretary attended the Australia India Leadership Dialogue (AILD) in New Delhi and to visit Kerala, one of India's most innovative States in the fields of international education, health, ICT and sports –</w:t>
            </w:r>
            <w:r w:rsidR="009F313F">
              <w:rPr>
                <w:lang w:val="en-GB"/>
              </w:rPr>
              <w:t xml:space="preserve"> </w:t>
            </w:r>
            <w:r w:rsidRPr="005B6242">
              <w:rPr>
                <w:lang w:val="en-GB"/>
              </w:rPr>
              <w:t>key areas of focus in the Premier's India strategy.</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Attendance at the Australia India Leadership Dialogue offered meeting opportunities with senior Indian and Australian government representatives to further Victoria's relationship opportunities. By invitation at the corresponding Australia India Youth Dialogue, delivered a speech and led a discussion on ‘digital democracy in action’. In Kerala, meetings held with government departments of higher education, sports and youth affairs, electronics and information technology to further opportunities in this important country market for Victoria.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Secretary, DEDJTR</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Japan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Secretary invited as a special guest at the 4th Ministry of Economy, Trade and Industry (METI) Round Table for Studying Energy Situations to present on the transition of Victoria's energy sector and lessons that are relevant to the implementation of Japan's energy policy. Secretary also Chaired the Steering Committee for the Hydrogen Energy Supply Chain (HESC) pilot project.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Attended the 4th Ministry of Economy, Trade and Industry (METI) Round Table for Studying Energy Situations and presented on the role Victoria can offer to contribute to Japan's energy security relating to hydrogen production and Carbon Capture and Storage. Chaired the Steering Committee for the Hydrogen Energy Supply Chain (HESC) pilot project.</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Acting Deputy Secretary, Trade Victoria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India and Sri Lanka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provide high level support to the Minister for Trade and Investment during his visit to India and Sri Lanka and support the accompanying delegation of sport and health tech companies.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Delivered successful trade mission and met objectives of ministerial travel with six companies and $0.46 million of export sales outcomes.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Acting Deputy Secretary, Trade Victoria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China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provide high level support to the Minister for Trade and Investment during his visit to China and support two significant trade missions including SIAL and CIBE UCS participation and AFL Shanghai Game.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Delivered ministerial travel program successfully.</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Acting Director, International Education</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Japan and the Republic of Korea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conduct an international assignment as part of the VPS Asia Capabilities and Scholarships Program, which focuses on biotechnology and pharmaceuticals to improve the understanding of investment opportunities.</w:t>
            </w:r>
          </w:p>
          <w:p w:rsidR="005B6242" w:rsidRPr="005B6242" w:rsidRDefault="005B6242" w:rsidP="008C3EBD">
            <w:pPr>
              <w:pStyle w:val="TableCopy"/>
              <w:rPr>
                <w:lang w:val="en-GB"/>
              </w:rPr>
            </w:pPr>
            <w:r w:rsidRPr="005B6242">
              <w:rPr>
                <w:lang w:val="en-GB"/>
              </w:rPr>
              <w:t xml:space="preserve">The travel focused in investment and trade opportunities in the medtech and pharmaceuticals sector with Japan and Republic of Korea and improving understanding of cultural and contextual issues that inform best-practice engagement with both countries.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Met with Japanese and Korean associations, biotech accelerators and pharmaceutical companies to gain an understanding of the industry and opportunities for Australia. The outcomes influence which priority markets Victoria should focus on for the sector.</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Acting Executive Director, Invest Victoria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Japan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support the Minister for Industry and Employment at the Japan Australia Annual Joint Business Conference (JABCC) and to meet with key government and industry stakeholders.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Represented Victoria at the JABCC and engaged with several existing and prospective Japanese investors in the state.</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Acting Executive Director, Invest Victoria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United States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attend the US Department of </w:t>
            </w:r>
            <w:proofErr w:type="gramStart"/>
            <w:r w:rsidRPr="005B6242">
              <w:rPr>
                <w:lang w:val="en-GB"/>
              </w:rPr>
              <w:t>Commerce’s</w:t>
            </w:r>
            <w:proofErr w:type="gramEnd"/>
            <w:r w:rsidRPr="005B6242">
              <w:rPr>
                <w:lang w:val="en-GB"/>
              </w:rPr>
              <w:t xml:space="preserve"> Select United States Investment Summit in Washington DC to facilitate dialogue with senior representatives of numerous US economic development agencies about good practice investment attraction models, as well as promote discussion more broadly about investment in the Asia-Pacific region.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Built relationships with US based economic development agencies.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Acting Executive Director, Invest Victoria and Principal Solicitor, Legal and Legislation</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Japan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represent the department at negotiations with the Hydrogen Energy Supply Chain project partners In Tokyo.</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Progressed contract negotiations with the Hydrogen Energy Supply Chain project partners.</w:t>
            </w:r>
            <w:r w:rsidR="009F313F">
              <w:rPr>
                <w:lang w:val="en-GB"/>
              </w:rPr>
              <w:t xml:space="preserve">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Chief Corporate Strategy Officer</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Silicon Valley and Seattle, United States of America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Explore how some of the world’s</w:t>
            </w:r>
            <w:r w:rsidR="00E57278">
              <w:rPr>
                <w:lang w:val="en-GB"/>
              </w:rPr>
              <w:t xml:space="preserve"> </w:t>
            </w:r>
            <w:r w:rsidRPr="005B6242">
              <w:rPr>
                <w:lang w:val="en-GB"/>
              </w:rPr>
              <w:t>leading organisations are using emerging technologies to reimagine customer journeys, disrupt traditional engagement patterns with citizens, and innovate their service delivery models.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Discovered how the latest design thinking improves citizen experience and how emerging technologies enhance customer journeys.</w:t>
            </w:r>
          </w:p>
          <w:p w:rsidR="005B6242" w:rsidRPr="005B6242" w:rsidRDefault="005B6242" w:rsidP="008C3EBD">
            <w:pPr>
              <w:pStyle w:val="TableCopy"/>
              <w:rPr>
                <w:lang w:val="en-GB"/>
              </w:rPr>
            </w:pPr>
            <w:r w:rsidRPr="005B6242">
              <w:rPr>
                <w:lang w:val="en-GB"/>
              </w:rPr>
              <w:t>Benefitted from knowledge of the digital transformation of best-practice public sector jurisdictions and their priorities for the future.</w:t>
            </w:r>
          </w:p>
          <w:p w:rsidR="005B6242" w:rsidRPr="005B6242" w:rsidRDefault="005B6242" w:rsidP="008C3EBD">
            <w:pPr>
              <w:pStyle w:val="TableCopy"/>
              <w:rPr>
                <w:lang w:val="en-GB"/>
              </w:rPr>
            </w:pPr>
            <w:r w:rsidRPr="005B6242">
              <w:rPr>
                <w:lang w:val="en-GB"/>
              </w:rPr>
              <w:t>Learnt how digital native companies can use agile methods to organize for success.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Chief Executive Officer Rolling Stock Development Division</w:t>
            </w:r>
          </w:p>
          <w:p w:rsidR="005B6242" w:rsidRPr="005B6242" w:rsidRDefault="005B6242" w:rsidP="008C3EBD">
            <w:pPr>
              <w:pStyle w:val="TableCopy"/>
              <w:rPr>
                <w:lang w:val="en-GB"/>
              </w:rPr>
            </w:pPr>
            <w:r w:rsidRPr="005B6242">
              <w:rPr>
                <w:lang w:val="en-GB"/>
              </w:rPr>
              <w:t>Project Director High Capacity Metro Trains (HCMT)</w:t>
            </w:r>
          </w:p>
          <w:p w:rsidR="005B6242" w:rsidRPr="005B6242" w:rsidRDefault="005B6242" w:rsidP="008C3EBD">
            <w:pPr>
              <w:pStyle w:val="TableCopy"/>
              <w:rPr>
                <w:lang w:val="en-GB"/>
              </w:rPr>
            </w:pP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Changchun, China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An opportunity for inspection of the first two car bodies prior to leaving China. High level meetings to discuss and confirm commitments given contractually, ensuring timelines are met and confirm agreed delivery requirements.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Inspected CRRC’s manufacturing and testing facilities for the body shells in Changchun, prior to the body shells being shipped to Newport for full fit out.</w:t>
            </w:r>
          </w:p>
          <w:p w:rsidR="005B6242" w:rsidRPr="005B6242" w:rsidRDefault="005B6242" w:rsidP="008C3EBD">
            <w:pPr>
              <w:pStyle w:val="TableCopy"/>
              <w:rPr>
                <w:lang w:val="en-GB"/>
              </w:rPr>
            </w:pPr>
            <w:r w:rsidRPr="005B6242">
              <w:rPr>
                <w:lang w:val="en-GB"/>
              </w:rPr>
              <w:t>CRC’s Deputy Chair provided a briefing of CRRC’s progress to date, current testing processes and an update on the transport logistics/timing of the body shells to Newport. The inspections of the facilities in Changchun built on the opportunity to explore detailed delivery aspects of HCMT, one to one on the factory floor, which provided a level of assurity that the project is moving in the right direction.</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Chief Executive Officer, NELA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England</w:t>
            </w:r>
          </w:p>
          <w:p w:rsidR="005B6242" w:rsidRPr="005B6242" w:rsidRDefault="005B6242" w:rsidP="008C3EBD">
            <w:pPr>
              <w:pStyle w:val="TableCopy"/>
              <w:rPr>
                <w:lang w:val="en-GB"/>
              </w:rPr>
            </w:pPr>
            <w:r w:rsidRPr="005B6242">
              <w:rPr>
                <w:lang w:val="en-GB"/>
              </w:rPr>
              <w:t>France</w:t>
            </w:r>
          </w:p>
          <w:p w:rsidR="005B6242" w:rsidRPr="005B6242" w:rsidRDefault="005B6242" w:rsidP="008C3EBD">
            <w:pPr>
              <w:pStyle w:val="TableCopy"/>
              <w:rPr>
                <w:lang w:val="en-GB"/>
              </w:rPr>
            </w:pPr>
            <w:r w:rsidRPr="005B6242">
              <w:rPr>
                <w:lang w:val="en-GB"/>
              </w:rPr>
              <w:t>Germany</w:t>
            </w:r>
          </w:p>
          <w:p w:rsidR="005B6242" w:rsidRPr="005B6242" w:rsidRDefault="005B6242" w:rsidP="008C3EBD">
            <w:pPr>
              <w:pStyle w:val="TableCopy"/>
              <w:rPr>
                <w:lang w:val="en-GB"/>
              </w:rPr>
            </w:pPr>
            <w:r w:rsidRPr="005B6242">
              <w:rPr>
                <w:lang w:val="en-GB"/>
              </w:rPr>
              <w:t>Spain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Generate international market interest in the upcoming procurement of the North East Link Project and engage on opportunities for investment in Victoria.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Attended the Global Projects Forum in Berlin. Held meetings with key construction and investment organisations regarding opportunities to participate in the North East Link Project.</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Chief Executive Officer, Rolling Stock Development Division</w:t>
            </w:r>
          </w:p>
          <w:p w:rsidR="005B6242" w:rsidRPr="005B6242" w:rsidRDefault="005B6242" w:rsidP="008C3EBD">
            <w:pPr>
              <w:pStyle w:val="TableCopy"/>
              <w:rPr>
                <w:lang w:val="en-GB"/>
              </w:rPr>
            </w:pPr>
            <w:r w:rsidRPr="005B6242">
              <w:rPr>
                <w:lang w:val="en-GB"/>
              </w:rPr>
              <w:t>Project Director, High Capacity Metro Trains (HCMT) Changchun only</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Hong Kong and Changchun, China</w:t>
            </w:r>
          </w:p>
          <w:p w:rsidR="005B6242" w:rsidRPr="005B6242" w:rsidRDefault="005B6242" w:rsidP="008C3EBD">
            <w:pPr>
              <w:pStyle w:val="TableCopy"/>
              <w:rPr>
                <w:lang w:val="en-GB"/>
              </w:rPr>
            </w:pP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support the design and delivery of the HCMT Project, improve strategic capability of Transport for Victoria, and improve relationships between Victoria and China.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Inspected main factory and high-speed factory; testing area; production line for HCMT train, bogies, cabs.</w:t>
            </w:r>
          </w:p>
          <w:p w:rsidR="005B6242" w:rsidRPr="005B6242" w:rsidRDefault="005B6242" w:rsidP="008C3EBD">
            <w:pPr>
              <w:pStyle w:val="TableCopy"/>
              <w:rPr>
                <w:lang w:val="en-GB"/>
              </w:rPr>
            </w:pPr>
            <w:r w:rsidRPr="005B6242">
              <w:rPr>
                <w:lang w:val="en-GB"/>
              </w:rPr>
              <w:t>High level meetings held with CRRC Railway, Chairman and management, with positive Victorian investment and project outcomes.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Chief Executive, Agriculture Victoria and Director,</w:t>
            </w:r>
            <w:r w:rsidR="00E57278">
              <w:rPr>
                <w:lang w:val="en-GB"/>
              </w:rPr>
              <w:t xml:space="preserve"> </w:t>
            </w:r>
            <w:r w:rsidRPr="005B6242">
              <w:rPr>
                <w:lang w:val="en-GB"/>
              </w:rPr>
              <w:t>Agriculture and Food Industries Policy</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Netherlands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participate in the Agri-Food Tech Traction Tour, held by KPMG in association with AgFunder and the Kingdom of the Netherlands.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Facilitated establishment of relationships with leading Dutch AgTech businesses and research entities which provided insights into emerging agriculture technologies. This will inform the current and future design of Agriculture Victoria policy and programs.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Chief of Staff, Office of the Coordinator-General, MTIP</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China</w:t>
            </w:r>
          </w:p>
          <w:p w:rsidR="005B6242" w:rsidRPr="005B6242" w:rsidRDefault="005B6242" w:rsidP="008C3EBD">
            <w:pPr>
              <w:pStyle w:val="TableCopy"/>
              <w:rPr>
                <w:lang w:val="en-GB"/>
              </w:rPr>
            </w:pPr>
            <w:r w:rsidRPr="005B6242">
              <w:rPr>
                <w:lang w:val="en-GB"/>
              </w:rPr>
              <w:t>Korea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Accompany the Premier in promoting Victoria’s infrastructure pipeline to key international construction companies and investors.</w:t>
            </w:r>
          </w:p>
          <w:p w:rsidR="005B6242" w:rsidRPr="005B6242" w:rsidRDefault="005B6242" w:rsidP="008C3EBD">
            <w:pPr>
              <w:pStyle w:val="TableCopy"/>
              <w:rPr>
                <w:lang w:val="en-GB"/>
              </w:rPr>
            </w:pPr>
            <w:r w:rsidRPr="005B6242">
              <w:rPr>
                <w:lang w:val="en-GB"/>
              </w:rPr>
              <w:t>Generate international market interest in the upcoming procurement of the North East Link Project and the Victorian infrastructure pipeline more broadly.</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Visited the manufacturing site for the Tunnel Boring Machines for the Metro Tunnel and West Gate Tunnel Projects. Met with key infrastructure investors and construction companies to gauge market interest and capabilities.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Coordinator-General, MTIP</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England</w:t>
            </w:r>
          </w:p>
          <w:p w:rsidR="005B6242" w:rsidRPr="005B6242" w:rsidRDefault="005B6242" w:rsidP="008C3EBD">
            <w:pPr>
              <w:pStyle w:val="TableCopy"/>
              <w:rPr>
                <w:lang w:val="en-GB"/>
              </w:rPr>
            </w:pPr>
            <w:r w:rsidRPr="005B6242">
              <w:rPr>
                <w:lang w:val="en-GB"/>
              </w:rPr>
              <w:t>France</w:t>
            </w:r>
          </w:p>
          <w:p w:rsidR="005B6242" w:rsidRPr="005B6242" w:rsidRDefault="005B6242" w:rsidP="008C3EBD">
            <w:pPr>
              <w:pStyle w:val="TableCopy"/>
              <w:rPr>
                <w:lang w:val="en-GB"/>
              </w:rPr>
            </w:pPr>
            <w:r w:rsidRPr="005B6242">
              <w:rPr>
                <w:lang w:val="en-GB"/>
              </w:rPr>
              <w:t>Germany</w:t>
            </w:r>
          </w:p>
          <w:p w:rsidR="005B6242" w:rsidRPr="005B6242" w:rsidRDefault="005B6242" w:rsidP="008C3EBD">
            <w:pPr>
              <w:pStyle w:val="TableCopy"/>
              <w:rPr>
                <w:lang w:val="en-GB"/>
              </w:rPr>
            </w:pPr>
            <w:r w:rsidRPr="005B6242">
              <w:rPr>
                <w:lang w:val="en-GB"/>
              </w:rPr>
              <w:t>Spain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Generate international market interest in the upcoming procurement of the North East Link Project and engage on opportunities for investment in the Victorian infrastructure pipeline.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Attended the Global Projects Forum in Berlin. Held meetings with key construction and investment organisations regarding opportunities to participate in the North East Link Project and the Victorian infrastructure pipeline more broadly.</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Coordinator-General, MTIP</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China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Accompany the Minister for Public Transport and build a deeper understanding of how China administers its transport systems, and the capabilities of its transport industry.</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Built stronger relationships with key Chinese officials and industry representatives, including under its longstanding sister-state relationship with Jiangsu Province.</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Coordinator-General, MTIP</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China</w:t>
            </w:r>
          </w:p>
          <w:p w:rsidR="005B6242" w:rsidRPr="005B6242" w:rsidRDefault="005B6242" w:rsidP="008C3EBD">
            <w:pPr>
              <w:pStyle w:val="TableCopy"/>
              <w:rPr>
                <w:lang w:val="en-GB"/>
              </w:rPr>
            </w:pPr>
            <w:r w:rsidRPr="005B6242">
              <w:rPr>
                <w:lang w:val="en-GB"/>
              </w:rPr>
              <w:t>Korea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Accompany the Premier in promoting Victoria’s infrastructure pipeline to key international construction companies and investors.</w:t>
            </w:r>
          </w:p>
          <w:p w:rsidR="005B6242" w:rsidRPr="005B6242" w:rsidRDefault="005B6242" w:rsidP="008C3EBD">
            <w:pPr>
              <w:pStyle w:val="TableCopy"/>
              <w:rPr>
                <w:lang w:val="en-GB"/>
              </w:rPr>
            </w:pPr>
            <w:r w:rsidRPr="005B6242">
              <w:rPr>
                <w:lang w:val="en-GB"/>
              </w:rPr>
              <w:t>Generate international market interest in the upcoming procurement of the North East Link Project and the Victorian infrastructure pipeline more broadly.</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Visited the manufacturing site for the Tunnel Boring Machines for the Metro Tunnel and West Gate Tunnel Projects. Met with key infrastructure investors and construction companies to gauge market interest and capabilities.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Deputy Secretary</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Israel and Hong Kong</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accompany Minister for Creative Industries during meetings with major cultural stakeholders and the delegation at the 2017 Hong Kong Business of Design Week (HKBODW), where the Minister officiated at the handover to Melbourne as the partner city.</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Melbourne named as partner city for HKBODW 2018 - the first southern hemisphere city to be so. Secured international screen investment for Victoria and strengthened important international connections.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Deputy Secretary Resources and Technical Manager CarbonNet</w:t>
            </w:r>
            <w:r w:rsidR="009F313F">
              <w:rPr>
                <w:lang w:val="en-GB"/>
              </w:rPr>
              <w:t xml:space="preserve"> </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Japan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chair and attend the Hydrogen Energy Supply Chain Working Group meeting in Tokyo and to meet with representatives of the Japanese Government and the management of each of the consortium partners.</w:t>
            </w:r>
          </w:p>
          <w:p w:rsidR="005B6242" w:rsidRPr="005B6242" w:rsidRDefault="005B6242" w:rsidP="008C3EBD">
            <w:pPr>
              <w:pStyle w:val="TableCopy"/>
              <w:rPr>
                <w:lang w:val="en-GB"/>
              </w:rPr>
            </w:pPr>
            <w:r w:rsidRPr="005B6242">
              <w:rPr>
                <w:lang w:val="en-GB"/>
              </w:rPr>
              <w:t xml:space="preserve">The Hydrogen Energy Supply Chain Working Group is an important governance group that provides advice to the Steering Committee. The focus of the working group meeting is to negotiate a grant agreement and progress Hydrogen Engineering Australia’s (HEA) pilot Hydrogen Energy Supply Cain (HESC) project in Victoria.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Successful execution of a funding agreement between the State Government and HEA.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Deputy Secretary, Agriculture Victoria Research</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Norway</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deposit Australian Grains Genebank (AGG) material into the Svalbard Global Seed Vault, discuss climate change research related to genebank material, and participate in filming an ABC TV Landline story on the critical role of the AGG and Agriculture Victoria in underpinning global food security and grain crop production for Victoria.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Contributed to management of the genetic resources that underpin the Australian grains industry, through the acquisition, maintenance and distribution of grains accessions to research, pre-breeding and breeding sectors for the development of improved grains germplasm and varieties.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Deputy Secretary, Agriculture Victoria Research and four senior research scientists</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United States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attend and present at the Plant and Animal Genome Conference and attend contractually set Research and Development Committee meetings with Dow AgroSciences.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Contributed to development and application of knowledge, technologies and tools to accelerate rate of genetic gain in crop improvement, delivering grains germplasm and better varieties faster for increased productivity and profitability in the grains industry. Increase farm profitability by improving the production, quality and disease resistance of wheat, oil seeds and pulses by developing genetic technologies and germplasm.</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Deputy Secretary, Agriculture Victoria Research and Leader, Australian Grains Genebank</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Norway and</w:t>
            </w:r>
            <w:r w:rsidR="00E57278">
              <w:rPr>
                <w:lang w:val="en-GB"/>
              </w:rPr>
              <w:t xml:space="preserve"> </w:t>
            </w:r>
            <w:r w:rsidRPr="005B6242">
              <w:rPr>
                <w:lang w:val="en-GB"/>
              </w:rPr>
              <w:t>United Kingdom</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deposit Australian Grains Genebank germplasm into the Svalbard Global Seed Vault (SGSV) and hold discussions with the Crop Trust and The University Centre (Svalbard). </w:t>
            </w:r>
          </w:p>
          <w:p w:rsidR="005B6242" w:rsidRPr="005B6242" w:rsidRDefault="005B6242" w:rsidP="008C3EBD">
            <w:pPr>
              <w:pStyle w:val="TableCopy"/>
              <w:rPr>
                <w:lang w:val="en-GB"/>
              </w:rPr>
            </w:pPr>
            <w:r w:rsidRPr="005B6242">
              <w:rPr>
                <w:lang w:val="en-GB"/>
              </w:rPr>
              <w:t>To discuss joint projects with the Millennium Seed Bank in United Kingdom and to participate in the SGSV 10th year anniversary celebrations during the trip.</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Contributed to management of the genetic resources that underpin the Australian grains industry, through the acquisition, maintenance and distribution of grains accessions to research, pre-breeding and breeding sectors for the development of improved grains germplasm and varieties.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Deputy Secretary, Agriculture Victoria Research and Research Director, Genomics and Cellular Sciences</w:t>
            </w:r>
            <w:r w:rsidR="009F313F">
              <w:rPr>
                <w:lang w:val="en-GB"/>
              </w:rPr>
              <w:t xml:space="preserve"> </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United States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attend meetings with Corteva Agriscience executives in Iowa and agbiotech representatives attending BIO2018 in Boston.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Supported development and application of knowledge, technologies and tools to accelerate rate of genetic gain in crop improvement, delivering grains germplasm and better varieties faster for increased productivity and profitability in the grains industry. Increase farm profitability by improving the production, quality and disease resistance of wheat, oil seeds and pulses by developing genetic technologies and germplasm.</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Deputy Secretary, Agriculture Victoria Research and Research Director, Genomics and Cellular Sciences</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United States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meet with Corteva Agriscience executives in Iowa and agbiotech representatives attending BIO2018 in Boston. The meetings are required to expand the DEDJTR/AVS-Corteva collaboration including establishment of three new collaborative research and development projects.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Supported development and application of knowledge, technologies and tools to accelerate rate of genetic gain in crop improvement, delivering grains germplasm and better varieties</w:t>
            </w:r>
            <w:r w:rsidR="00E57278">
              <w:rPr>
                <w:lang w:val="en-GB"/>
              </w:rPr>
              <w:t xml:space="preserve"> </w:t>
            </w:r>
            <w:r w:rsidRPr="005B6242">
              <w:rPr>
                <w:lang w:val="en-GB"/>
              </w:rPr>
              <w:t>faster for increased productivity and profitability in the grains industry. Increase farm profitability by improving the production, quality and disease resistance of wheat, oil seeds and pulses by developing genetic technologies and germplasm.</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Deputy Secretary, Agriculture Victoria Research and Senior Research Scientist, Molecular Genetics</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Spain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attend and present at the 10th International Symposium of Fungal Endophytes of Grasses Conference, which is directly relevant to DEDJTR’s research and development programs in fungal endophytes of pasture grasses and specifically Agriculture Victoria Research’s ongoing research activities within the DairyBio and DairyFeedbase programs.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Contributed to improvement of the production and resilience of pastures by developing new pasture-breeding genetic innovations delivered through better forage grass varieties with enhanced yield, nutritive value and persistence to increase on-farm dairy industry profitability.</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Deputy Secretary, Industry Development and Innovation</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China and United States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accompany official overseas travel by the Minister for Industry and Employment.</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Improved understanding of Industry 4.0 and industry development through China’s experience of moving its manufacturing sector up the value chain. In the US, learnings from this visit will inform the development of Victoria’s ”0” emission and autonomous systems industry. Opportunities for trade and investment were identified in both the US and China.</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Deputy Secretary, Investment and Economic Projects</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Canada and Israel</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accompany the Minister for Agriculture and Regional Development to investigate leading approaches to medicinal cannabis and agricultural technologies. </w:t>
            </w:r>
          </w:p>
          <w:p w:rsidR="005B6242" w:rsidRPr="005B6242" w:rsidRDefault="005B6242" w:rsidP="008C3EBD">
            <w:pPr>
              <w:pStyle w:val="TableCopy"/>
              <w:rPr>
                <w:lang w:val="en-GB"/>
              </w:rPr>
            </w:pPr>
            <w:r w:rsidRPr="005B6242">
              <w:rPr>
                <w:lang w:val="en-GB"/>
              </w:rPr>
              <w:t>The visit to Canada provides an opportunity to examine the government’s approach to industry, rural and regional transition.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Supported the Minister in meetings with several Israeli and Canadian medicinal cannabis, agriculture technology and regional development companies and agencies.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Deputy Secretary, Investment and Economic Projects and Acting Executive Director, Invest Victoria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Japan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attend the Hydrogen Energy Supply Chain (HESC) Working Group meeting in Tokyo to support the Secretary, to negotiate a grant agreement and meet with Japanese Government.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Progressed negotiations for the Victorian Government’s participation in the HESC project.</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Deputy Secretary, Trade Victoria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United States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accompany the Minister for Small Business, Innovation and Trade to the United States to strengthen Victoria’s trade and investment opportunities and engage with key stakeholders and in-market representatives to build and further strengthen Victoria’s investment pipeline in key sectors such as financial services and technologies, biotechnology, and pharmaceuticals.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Met ministerial travel objectives successfully. Numerous meetings with key stakeholders held and Boston VGTI formally opened.</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Director Coal Resources Victoria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Japan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accompany the Secretary DEDJTR to provide support and technical advice as chair of the HESC Steering Committee.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Discussed and approved critical matters which were key to the successful execution of the Funding Agreement.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Director Coal Resources Victoria and Project Director CarbonNet</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Japan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attend Clean Coal Day (a 3-day technical conference) in Tokyo to present the Victorian Coal Statement to key stakeholders and to engage with key Japanese government, industry and peak body groups.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Improved understanding for Japanese stakeholders on the Victorian Government’s </w:t>
            </w:r>
            <w:r w:rsidRPr="005B6242">
              <w:rPr>
                <w:i/>
                <w:iCs/>
                <w:lang w:val="en-GB"/>
              </w:rPr>
              <w:t>Statement on the Future Uses of Brown Coal</w:t>
            </w:r>
            <w:r w:rsidRPr="005B6242">
              <w:rPr>
                <w:lang w:val="en-GB"/>
              </w:rPr>
              <w:t xml:space="preserve">, through delivery of a presentation. Increased networks through conference attendance. Improved knowledge on new low emissions coal technologies through a site visit.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Director Communications and Stakeholder Relations, NELA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England</w:t>
            </w:r>
          </w:p>
          <w:p w:rsidR="005B6242" w:rsidRPr="005B6242" w:rsidRDefault="005B6242" w:rsidP="008C3EBD">
            <w:pPr>
              <w:pStyle w:val="TableCopy"/>
              <w:rPr>
                <w:lang w:val="en-GB"/>
              </w:rPr>
            </w:pPr>
            <w:r w:rsidRPr="005B6242">
              <w:rPr>
                <w:lang w:val="en-GB"/>
              </w:rPr>
              <w:t>France</w:t>
            </w:r>
          </w:p>
          <w:p w:rsidR="005B6242" w:rsidRPr="005B6242" w:rsidRDefault="005B6242" w:rsidP="008C3EBD">
            <w:pPr>
              <w:pStyle w:val="TableCopy"/>
              <w:rPr>
                <w:lang w:val="en-GB"/>
              </w:rPr>
            </w:pPr>
            <w:r w:rsidRPr="005B6242">
              <w:rPr>
                <w:lang w:val="en-GB"/>
              </w:rPr>
              <w:t>Germany</w:t>
            </w:r>
          </w:p>
          <w:p w:rsidR="005B6242" w:rsidRPr="005B6242" w:rsidRDefault="005B6242" w:rsidP="008C3EBD">
            <w:pPr>
              <w:pStyle w:val="TableCopy"/>
              <w:rPr>
                <w:lang w:val="en-GB"/>
              </w:rPr>
            </w:pPr>
            <w:r w:rsidRPr="005B6242">
              <w:rPr>
                <w:lang w:val="en-GB"/>
              </w:rPr>
              <w:t>Spain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Generate international market interest in the upcoming procurement of the North East Link Project and engage on opportunities for investment in Victoria.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Attended the Global Projects Forum in Berlin. Held meetings with key construction and investment organisations regarding opportunities to participate in the North East Link Project.</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Director Retail</w:t>
            </w:r>
            <w:r w:rsidR="00E86D9D">
              <w:rPr>
                <w:lang w:val="en-GB"/>
              </w:rPr>
              <w:t xml:space="preserve"> </w:t>
            </w:r>
            <w:r w:rsidRPr="005B6242">
              <w:rPr>
                <w:lang w:val="en-GB"/>
              </w:rPr>
              <w:t>and Logistics</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Thailand</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attend the 10th International Conference on City Logistics (City Logistics 2017). The conference brought together global leadership on inner city urban congestion and showcased leading international solutions currently in planning or underway to tackle this growing issue. Key focus of the conference was to understand implications of last mile freight considerations potentially impacting Victoria.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Contributed to the Urban Consolidation Centre policy as part of the TFV Freight Strategy and established Partnership with Melbourne University for a Victorian pilot to tackle last mile CBD congestion constraints.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Director, Commercial and Legal Program, MTIP</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England</w:t>
            </w:r>
          </w:p>
          <w:p w:rsidR="005B6242" w:rsidRPr="005B6242" w:rsidRDefault="005B6242" w:rsidP="008C3EBD">
            <w:pPr>
              <w:pStyle w:val="TableCopy"/>
              <w:rPr>
                <w:lang w:val="en-GB"/>
              </w:rPr>
            </w:pPr>
            <w:r w:rsidRPr="005B6242">
              <w:rPr>
                <w:lang w:val="en-GB"/>
              </w:rPr>
              <w:t>France</w:t>
            </w:r>
          </w:p>
          <w:p w:rsidR="005B6242" w:rsidRPr="005B6242" w:rsidRDefault="005B6242" w:rsidP="008C3EBD">
            <w:pPr>
              <w:pStyle w:val="TableCopy"/>
              <w:rPr>
                <w:lang w:val="en-GB"/>
              </w:rPr>
            </w:pPr>
            <w:r w:rsidRPr="005B6242">
              <w:rPr>
                <w:lang w:val="en-GB"/>
              </w:rPr>
              <w:t>Germany</w:t>
            </w:r>
          </w:p>
          <w:p w:rsidR="005B6242" w:rsidRPr="005B6242" w:rsidRDefault="005B6242" w:rsidP="008C3EBD">
            <w:pPr>
              <w:pStyle w:val="TableCopy"/>
              <w:rPr>
                <w:lang w:val="en-GB"/>
              </w:rPr>
            </w:pPr>
            <w:r w:rsidRPr="005B6242">
              <w:rPr>
                <w:lang w:val="en-GB"/>
              </w:rPr>
              <w:t>Spain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Generate international market interest in the upcoming procurement of the North East Link Project and engage on opportunities for investment in the Victorian infrastructure pipeline.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Attended the Global Projects Forum in Berlin. Held meetings with key construction and investment organisations regarding opportunities to participate in the North East Link Project and the Victorian infrastructure pipeline more broadly.</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Director, Investment Engagement</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United Kingdom, France and UAE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accompany the Minister for Trade and Investment to UK and France to support investment attraction</w:t>
            </w:r>
            <w:r w:rsidR="00E57278">
              <w:rPr>
                <w:lang w:val="en-GB"/>
              </w:rPr>
              <w:t xml:space="preserve"> </w:t>
            </w:r>
            <w:r w:rsidRPr="005B6242">
              <w:rPr>
                <w:lang w:val="en-GB"/>
              </w:rPr>
              <w:t xml:space="preserve">in Victoria’s defence sector with industry and UK Government meetings, and site visits. </w:t>
            </w:r>
          </w:p>
          <w:p w:rsidR="005B6242" w:rsidRPr="005B6242" w:rsidRDefault="005B6242" w:rsidP="008C3EBD">
            <w:pPr>
              <w:pStyle w:val="TableCopy"/>
              <w:rPr>
                <w:lang w:val="en-GB"/>
              </w:rPr>
            </w:pPr>
            <w:r w:rsidRPr="005B6242">
              <w:rPr>
                <w:lang w:val="en-GB"/>
              </w:rPr>
              <w:t>To promote Victoria’s food and beverage export products and participate in Gulfood 2018 in the UAE.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Supported the Minister in discussions and at events with defence, technology and retail companies in United Kingdom, France and UAE to support investment attraction to Victoria.</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Director, Medical Technologies and Pharmaceuticals</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Canada and United States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accompany medtech and pharmaceuticals trade mission to Boston to: promote Victoria’s biotech sector; generate new investment and trade outcomes; further develop key sector relationships and initiatives; and inform Victorian policy development. </w:t>
            </w:r>
          </w:p>
          <w:p w:rsidR="005B6242" w:rsidRPr="005B6242" w:rsidRDefault="005B6242" w:rsidP="008C3EBD">
            <w:pPr>
              <w:pStyle w:val="TableCopy"/>
              <w:rPr>
                <w:lang w:val="en-GB"/>
              </w:rPr>
            </w:pPr>
            <w:r w:rsidRPr="005B6242">
              <w:rPr>
                <w:lang w:val="en-GB"/>
              </w:rPr>
              <w:t>To visit Mars Precinct and the Centre for Commercialisation of Regenerative Medicine (CCRM) in Toronto, attend a program of meetings and activities in Boston, and participate in the BIO Convention.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Provided insights into contemporary economic development for the biotech sector, informing policy. </w:t>
            </w:r>
          </w:p>
          <w:p w:rsidR="005B6242" w:rsidRPr="005B6242" w:rsidRDefault="005B6242" w:rsidP="008C3EBD">
            <w:pPr>
              <w:pStyle w:val="TableCopy"/>
              <w:rPr>
                <w:lang w:val="en-GB"/>
              </w:rPr>
            </w:pPr>
            <w:r w:rsidRPr="005B6242">
              <w:rPr>
                <w:lang w:val="en-GB"/>
              </w:rPr>
              <w:t>Delivered successful trade and investment mission involving 130+ delegates.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Director, Office of the Coordinator-General, MTIP</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China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Support the Coordinator-General in accompanying the Minister for Public Transport and build a deeper understanding of how China administers its transport systems, and the capabilities of its transport industry.</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Built stronger relationships with key Chinese officials and industry representatives, including under its longstanding sister-state relationship with Jiangsu Province.</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Director, Precinct Development and Projects</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China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act as DEDJTR lead for the inaugural all female Victorian trade delegation to China, to be led by the Minister for Women.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Delivered mission successfully with 14 companies participating.</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Director, Strategy, Screen and Design Branch</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Beijing, China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attend 2017 Beijing Design Week (BDW) and speak on Victoria’s design sector experience and capabilities as part of the Design Forum.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Presented at major international design festival, promoted Victoria’s design sector to international audience and strengthened important international connections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Director, Strategy, Screen and Design Branch</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Singapore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participate in the Singapore Design Council’s International Design Policy Roundtable at the invitation of the Singapore Design Council.</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Promoted Victoria’s design sector policy and strategy settings to international experts. Victoria was the only Australian jurisdiction to be invited and has received an invitation to the 2018 event.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Director, Strategy, Screen and Design Branch</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Hong Kong</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support the Deputy Secretary, the Minister for Creative Industries, and Victoria’s delegation participating in the 2017 Hong Kong Business of Design Week conference events.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Strengthened design links and business opportunities for Victoria’s design sector and made important international connections.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District Veterinary Officers (x2)</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Kathmandu (Nepal)</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attend the Foot and Mouth Disease (FMD) real-time training program in Nepal. The training program is organised by the Commonwealth Department of Agriculture and Water Resources.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Supported work being done in the Biosecurity and Agriculture Services branch in preparing for an emergency animal disease (EAD) outbreak. Real-time training in FMD in Nepal enables government veterinary and animal health staff to rapidly and accurately detect FMD. Completing the training has meant that Victoria has staff with the skills and capability to respond to an EAD outbreak faster, minimising associated impacts and costs. The participation in training also delivered against DEDJTR’s commitment to support the national animal and plant biosecurity strategy through participation in national and international events.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Executive Director, International Coordination</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Myanmar, Thailand, Indonesia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provide high level support to the Minister for Small Business, Innovation and Trade on his visit to Myanmar and Thailand to grow trade and investment opportunities and to visit the Jakarta VGTI to undertake two days of strategic planning.</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Met ministerial travel objectives and progressed South-East Asia regional plan.</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Food and Fibre Trade Specialist</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China (Shanghai)</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lead a trade mission of 30+ Victorian food and beverage companies exhibiting on the Victorian Government pavilion at SIAL Trade Show. </w:t>
            </w:r>
          </w:p>
          <w:p w:rsidR="005B6242" w:rsidRPr="005B6242" w:rsidRDefault="005B6242" w:rsidP="008C3EBD">
            <w:pPr>
              <w:pStyle w:val="TableCopy"/>
              <w:rPr>
                <w:lang w:val="en-GB"/>
              </w:rPr>
            </w:pPr>
            <w:r w:rsidRPr="005B6242">
              <w:rPr>
                <w:lang w:val="en-GB"/>
              </w:rPr>
              <w:t>To lead a two-day E-commerce for Victorian food and beverage companies, which includes a site visit and introduction to relevant E-commerce platforms interested in Victorian food and beverage products.</w:t>
            </w:r>
            <w:r w:rsidR="009F313F">
              <w:rPr>
                <w:lang w:val="en-GB"/>
              </w:rPr>
              <w:t xml:space="preserve">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Delivered successful mission with 30 Victorian companies participating.</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Leader, Australian Grains Genebank</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Malaysia and the Philippines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present an invited case study on genebank activities at the Genebank Operations Advanced Learning Masterclass. </w:t>
            </w:r>
          </w:p>
          <w:p w:rsidR="005B6242" w:rsidRPr="005B6242" w:rsidRDefault="005B6242" w:rsidP="008C3EBD">
            <w:pPr>
              <w:pStyle w:val="TableCopy"/>
              <w:rPr>
                <w:lang w:val="en-GB"/>
              </w:rPr>
            </w:pPr>
            <w:r w:rsidRPr="005B6242">
              <w:rPr>
                <w:lang w:val="en-GB"/>
              </w:rPr>
              <w:t>To conduct a study tour of advanced genebank and research activities in Philippines.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Supported arrangements to manage the genetic resources that underpin the Australian grains industry, through the acquisition, maintenance and distribution of grains accessions to research, pre-breeding and breeding sectors for the development of improved grains germplasm and varieties.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Leader, Australian Grains Genebank</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Norway and United Kingdom</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present a seminar on Australian Grains Genebank (AGG) activities on collection and conservation of crop wild relatives, and discuss collaborative projects with the Millennium Seed Bank. </w:t>
            </w:r>
          </w:p>
          <w:p w:rsidR="005B6242" w:rsidRPr="005B6242" w:rsidRDefault="005B6242" w:rsidP="008C3EBD">
            <w:pPr>
              <w:pStyle w:val="TableCopy"/>
              <w:rPr>
                <w:lang w:val="en-GB"/>
              </w:rPr>
            </w:pPr>
            <w:r w:rsidRPr="005B6242">
              <w:rPr>
                <w:lang w:val="en-GB"/>
              </w:rPr>
              <w:t>To deposit AGG material into the Svalbard Global Seed Vault, discuss climate change research related to genebank material, and participate in filming an ABC TV Landline story on the critical role of the Australian Grains Genebank and Agriculture Victoria in underpinning global food security and grain crop production for Victoria.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Contributed to management of the genetic resources that underpin the Australian grains industry, through the acquisition, maintenance and distribution of grains accessions to research, pre-breeding and breeding sectors for the development of improved grains germplasm and varieties.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Manager – Minerals Geological Survey of Victoria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Canada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promote Victoria’s mineral exploration investment opportunities to key decision makers at the Prospectors and Developers Association of Canada (PDAC) convention including highlighting the tender of new mineral exploration licence areas in the Stavely geological province in western Victoria.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Presented on copper and gold opportunities in Victoria. Twenty-six direct interactions with senior technical representatives regarding copper and gold opportunities in Victoria completed.</w:t>
            </w:r>
          </w:p>
          <w:p w:rsidR="005B6242" w:rsidRPr="005B6242" w:rsidRDefault="005B6242" w:rsidP="008C3EBD">
            <w:pPr>
              <w:pStyle w:val="TableCopy"/>
              <w:rPr>
                <w:lang w:val="en-GB"/>
              </w:rPr>
            </w:pP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Manager, Contemporary Music, Arts Investment Branch</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Memphis, United States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attend the Music Cities Convention to promote the Melbourne event, as Victoria successfully tendered to host the Music Cities Convention in Melbourne.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Promoted the music industry in Melbourne to key international industry stakeholders to maximise the impact of Melbourne’s hosting of the next convention.</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Manager, Strategy and Operations</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Chile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build relationships and contacts within the mining industry in Latin America through attending the Expomin mining conference to promote IMARC 2018 and to provide introductions, insights and assistance to Victorian companies participating in a METS trade Mission to ExpoMin as a subject matter expert.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Delivered successful mission to Expomin and provided significant exposure for IMARC generated during trip. 12 Victorian companies participated in the mission and have reported expected increased exports of over $7 million to date.</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Market Engagement Manager</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China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co-lead Victoria’s exclusive sponsorship of the ‘Agricultural Senior Business Leaders Delegation to China’, designed to unlock new trade and market access opportunities. </w:t>
            </w:r>
          </w:p>
          <w:p w:rsidR="005B6242" w:rsidRPr="005B6242" w:rsidRDefault="005B6242" w:rsidP="008C3EBD">
            <w:pPr>
              <w:pStyle w:val="TableCopy"/>
              <w:rPr>
                <w:lang w:val="en-GB"/>
              </w:rPr>
            </w:pPr>
            <w:r w:rsidRPr="005B6242">
              <w:rPr>
                <w:lang w:val="en-GB"/>
              </w:rPr>
              <w:t>To meet with key stakeholders in China’s food and fibre sector, together with the Beijing VGTI.</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Held key government to government meetings to advocate for increased market access to China for Victorian agricultural industries. Key stakeholder relationships built and Victoria’s standing as a key supporter of China’s Belt and Road initiative.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Market Engagement Manager</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United Arab Emirates, Iran and Morocco</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support the Minister for Trade and Investment and a delegation of Victorian companies at the Gulfood Trade Show, followed by a trip to Iran and Morocco to participate in Austrade-led trade missions.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Delivered successful trade mission with 52 companies participating and over $30 million in anticipated export sales reported.</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Market Engagement Manager</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Japan, South Korea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lead a trade mission of 31 Victorian food and beverage companies exhibiting on the Victorian Government pavilion at FoodEx Trade Show. </w:t>
            </w:r>
          </w:p>
          <w:p w:rsidR="005B6242" w:rsidRPr="005B6242" w:rsidRDefault="005B6242" w:rsidP="008C3EBD">
            <w:pPr>
              <w:pStyle w:val="TableCopy"/>
              <w:rPr>
                <w:lang w:val="en-GB"/>
              </w:rPr>
            </w:pPr>
            <w:r w:rsidRPr="005B6242">
              <w:rPr>
                <w:lang w:val="en-GB"/>
              </w:rPr>
              <w:t>To lead a delegation of six Victorian food and beverage companies participating in a targeted food and beverage showcase in Seoul, South Korea, which took place immediately after the FoodEx Trade Show.</w:t>
            </w:r>
            <w:r w:rsidR="009F313F">
              <w:rPr>
                <w:lang w:val="en-GB"/>
              </w:rPr>
              <w:t xml:space="preserve">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Mission successfully delivered. 31 Victorian companies participated in the FoodEx trade mission reporting expected increased sales of over $32 million.</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Market Engagement Manager</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Singapore, Thailand</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lead a trade mission of 30+ Victorian food and beverage companies exhibiting on the Victorian Government pavilion at the Food and Hotel Asia trade show in Singapore. </w:t>
            </w:r>
          </w:p>
          <w:p w:rsidR="005B6242" w:rsidRPr="005B6242" w:rsidRDefault="005B6242" w:rsidP="008C3EBD">
            <w:pPr>
              <w:pStyle w:val="TableCopy"/>
              <w:rPr>
                <w:lang w:val="en-GB"/>
              </w:rPr>
            </w:pPr>
            <w:r w:rsidRPr="005B6242">
              <w:rPr>
                <w:lang w:val="en-GB"/>
              </w:rPr>
              <w:t>To further progress Taste Australia horticulture marketing campaign in Thailand, including interview service providers for on-ground coordination of program, and lead round table with importers and retailers.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Delivered successful mission with 38 Victorian companies participating.</w:t>
            </w:r>
            <w:r w:rsidR="009F313F">
              <w:rPr>
                <w:lang w:val="en-GB"/>
              </w:rPr>
              <w:t xml:space="preserve"> </w:t>
            </w:r>
            <w:r w:rsidRPr="005B6242">
              <w:rPr>
                <w:lang w:val="en-GB"/>
              </w:rPr>
              <w:t>Participants have reported over $6 million in anticipated increased export sales from the mission.</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Operations Manager, International Offices</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Santiago, Chile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support the on-going operational establishment of the new Santiago VGTI.</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Work delivered to support the establishment of VGTI.</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Package Director, Rail Projects Victoria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United States of America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Engagement with the technical design team in the Rail Systems Alliance, Metro Tunnel Project.</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Undertook project briefings and alignment meetings for Communications Based Train Control and the Victorian rail network.</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Package Director, Rail Projects Victoria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Finland and Sweden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Engagement with the technical design team in the Rail Systems Alliance, Metro Tunnel Project.</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Undertook site visits, technical presentations and alignment meetings for Rail Control Systems and Automatic Train Supervision.</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Principal Officers, Emergency Animal Disease Preparedness (x2)</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Thailand</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undertake validation of a new in-field diagnostic assay for the exotic foot and mouth disease virus.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Validated research at the National Institute of Animal Health that identified a number of changes that could be made to the original Loop Mediated Isothermal Amplification protocol to ensure the test was easy to use in the field and accurate. The travel complemented a range of work that is being done to prepare Victoria for a foot and mouth disease incursion, ranging from policy development to operational readiness and is part of DEDJTR’s commitment to support national animal health preparedness activities.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Principal Project Specialist, Rail Projects Victoria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Germany, England, Finland and Sweden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Engagement with the technical design team in the Rail Systems Alliance, Metro Tunnel Project.</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Undertook site visits, technical presentations and alignment meetings for Rail Control Systems, Automatic Train Supervision and Safety validation.</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Principal Research Scientist, Computational Biology</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United States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attend and present at the American Dairy Science Association Conference in Pittsburgh, Pennsylvania. To meet with key researchers from Canada and United States to discuss research programs.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Contributed to continuous improvement of health and profitability of the Victorian dairy herd and doubling the rate of genetic gain by developing and providing better technologies and tools to farmers for animal selection.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Principal Veterinary Officer, Aquatic Animal Health</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France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visit the World Animal Health Organisation (OIE) headquarters in Paris as part of an international writing group preparing an OIE chapter for a new Aquatic Animal Health Code on Aquatic Animal Biosecurity.</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Developed knowledge of aquatic biosecurity issues from around the globe and assisted in further enhancing skills in this area. The travel complemented the crucial area of aquatic biosecurity in the Biosecurity and Agriculture Services branch. Involvement in writing the new chapter allowed the officer to help shape international biosecurity policy from an Australian/Victorian perspective.</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Project Director – Multilateral and Development Engagement</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Indonesia and the Philippines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explore new infrastructure connected opportunities for Victorian businesses. The travel aims to scope out infrastructure opportunities in Indonesia and the Philippines and identify potential opportunities for Victorian companies.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Completed successful mission on 25 June with 34 meetings undertaken with government officials, DFAT/Austrade, advisers, private sector developers and the Asian Development Bank. Work is underway to evaluate the mission and the meetings for infrastructure connected opportunities now or in the future for Victoria.</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Project officer</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Santiago</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work at the Santiago VGTI office and to provide project support to the office on a self-funded study trip.</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Provided support to several key projects for the Santiago office.</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Project Officer and Executive Assistant</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China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provide support and assistance to several Ministerial visits to China and support the Inaugural All Women’s Trade Mission to China.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Met objectives of Ministerial visits. Trade mission successfully delivered with 14 companies participating.</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Regional Director, Regional Directorate Barwon South West Region</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Malaysia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progress and finalise commercial negotiations for a potential twice daily scheduled Air Asia services between Avalon Airport and Kuala Lumpur.</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Successfully completed negotiations AirAsia with new service to commence soon.</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Regional Specialist - China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China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co-lead Victoria’s exclusive sponsorship of the ‘Agricultural Senior Business Leaders Delegation to China’, designed to unlock new trade and market access opportunities. </w:t>
            </w:r>
          </w:p>
          <w:p w:rsidR="005B6242" w:rsidRPr="005B6242" w:rsidRDefault="005B6242" w:rsidP="008C3EBD">
            <w:pPr>
              <w:pStyle w:val="TableCopy"/>
              <w:rPr>
                <w:lang w:val="en-GB"/>
              </w:rPr>
            </w:pPr>
            <w:r w:rsidRPr="005B6242">
              <w:rPr>
                <w:lang w:val="en-GB"/>
              </w:rPr>
              <w:t xml:space="preserve">To meet with investors from the China International Contractors Associations (CHINCA) and key stakeholders in China’s food and fibre sector, together with the Beijing VGTI.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Held key government-to-government meetings to advocate for increased market access to China for Victorian agricultural industries. Built key stakeholder relationships including with China’s Belt and Road initiative.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Regional Specialist - China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China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support the Premier and the Minister for Planning on their visits to China and assist the China VGTIs to manage the Premier’s and Minister’s visits.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Delivered ministerial travel programs successfully.</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Regional Specialist - Japan and Korea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Japan and Korea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build market knowledge and explore new avenues for the Victoria-Aichi and Victoria-Busan relationship, assist and participate in FoodEx Trade Mission, attend the Seoul Austrade Food and Beverage Showcase and participate in the City of Melbourne business mission to Osaka.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FoodEx Mission successfully delivered with 31 Victorian companies participating, reporting anticipated increased export sales of over $32 million.</w:t>
            </w:r>
          </w:p>
          <w:p w:rsidR="005B6242" w:rsidRPr="005B6242" w:rsidRDefault="005B6242" w:rsidP="008C3EBD">
            <w:pPr>
              <w:pStyle w:val="TableCopy"/>
              <w:rPr>
                <w:lang w:val="en-GB"/>
              </w:rPr>
            </w:pPr>
            <w:r w:rsidRPr="005B6242">
              <w:rPr>
                <w:lang w:val="en-GB"/>
              </w:rPr>
              <w:t>Developed increased understanding of opportunities in South Korea and Japan and strengthened relationships with key stakeholders.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Research Director, Microbial Sciences, Pests and Diseases</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Italy and England</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give an oral presentation at the World Association of Veterinary Laboratory Diagnosticians conference. </w:t>
            </w:r>
          </w:p>
          <w:p w:rsidR="005B6242" w:rsidRPr="005B6242" w:rsidRDefault="005B6242" w:rsidP="008C3EBD">
            <w:pPr>
              <w:pStyle w:val="TableCopy"/>
              <w:rPr>
                <w:lang w:val="en-GB"/>
              </w:rPr>
            </w:pPr>
            <w:r w:rsidRPr="005B6242">
              <w:rPr>
                <w:lang w:val="en-GB"/>
              </w:rPr>
              <w:t>To visit the Food and Environmental Research Agency in United Kingdom.</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Contributed to state and national diagnostic, post entry quarantine and biosecurity emergency response for high priority pests and diseases through the development and delivery of next generation diagnostic tests, disinfestation protocols and smart surveillance tools using new and mobile devices for enhanced pest and disease diagnosis at remote sites.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Research Leader, Invertebrate and Weed Sciences (x2)</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Japan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attend and present at the joint conference of the International Society of Chemical Ecology (ISCE) and the Asia-Pacific Association of Chemical Ecologists (APACE). </w:t>
            </w:r>
          </w:p>
          <w:p w:rsidR="005B6242" w:rsidRPr="005B6242" w:rsidRDefault="005B6242" w:rsidP="008C3EBD">
            <w:pPr>
              <w:pStyle w:val="TableCopy"/>
              <w:rPr>
                <w:lang w:val="en-GB"/>
              </w:rPr>
            </w:pPr>
            <w:r w:rsidRPr="005B6242">
              <w:rPr>
                <w:lang w:val="en-GB"/>
              </w:rPr>
              <w:t>To attend the Executive meeting of APACE to submit and support the bid to host APACE2023 conference in Melbourne.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Supported the investigation of potential biological control agents for Victoria’s worst weeds which cause both productivity and environmental impacts.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Research Leader, Molecular Plant Breeding</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Paris, Netherlands and Ireland</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present an invited keynote address at the 20th Triennial Conference of the European Association for Potato Research and to meet with colleagues in the Netherlands and Ireland to discuss future collaborations and research opportunities in the potato industry.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Contributed to increasing farm profitability by improving the production, quality and disease resistance of potatoes by developing genetic technologies and germplasm.</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Research Leader, Plant Pathology</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United States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attend and participate at the Fusarium Laboratory Workshop at Kansas State University.</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Supported contribution to state and national diagnostic, post entry quarantine and biosecurity emergency response for high priority pests and diseases through the development and delivery of next generation diagnostic tests, disinfestation protocols and smart surveillance tools using new and mobile devices for enhanced pest and disease diagnosis at remote sites.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Research Scientist, Dairy Nutrition</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Norway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visit the Norwegian Institute of Bioeconomy Research by invitation to provide expertise as a visiting scientist, participate in experimental research, and discuss potential collaboration.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Supported the lead and coordination of national research programs into the epidemiology of major cereal pathogens and the evaluation of breeding lines and varieties for disease resistance to develop integrated disease management packages for Victorian cereal growers.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Research Scientist, Dairy Production Sciences</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Scotland and Ireland</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present at the International Farm Management Association Congress. </w:t>
            </w:r>
          </w:p>
          <w:p w:rsidR="005B6242" w:rsidRPr="005B6242" w:rsidRDefault="005B6242" w:rsidP="008C3EBD">
            <w:pPr>
              <w:pStyle w:val="TableCopy"/>
              <w:rPr>
                <w:lang w:val="en-GB"/>
              </w:rPr>
            </w:pPr>
            <w:r w:rsidRPr="005B6242">
              <w:rPr>
                <w:lang w:val="en-GB"/>
              </w:rPr>
              <w:t>To meet with scientists from Teagasc to discuss the Irish pasture Profit Index.</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Contributed to knowledge to support increasing total farm milk production by developing management strategies and tools to more effectively allocate feed resources, both supplement and pasture within the herd.</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Research Scientist, Microbiology</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United States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attend and present at the International Association of Food Protection Conference in Tampa, United States.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Contributed to knowledge for ongoing animal diagnostic services and specialist technical advice to the department, other state agencies and various national committees.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Research Scientist, Microbiology</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Scotland</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attend and speak at the Euphresco Dickeya/Pectobacterium Workshop, Scientific Advice for Scottish Agriculture, following an outbreak in Victoria of Dickeya dianthicola. </w:t>
            </w:r>
          </w:p>
          <w:p w:rsidR="005B6242" w:rsidRPr="005B6242" w:rsidRDefault="005B6242" w:rsidP="008C3EBD">
            <w:pPr>
              <w:pStyle w:val="TableCopy"/>
              <w:rPr>
                <w:lang w:val="en-GB"/>
              </w:rPr>
            </w:pPr>
            <w:r w:rsidRPr="005B6242">
              <w:rPr>
                <w:lang w:val="en-GB"/>
              </w:rPr>
              <w:t>To meet with internationally recognised experts in the area to gather important information about the disease to help Victoria manage the outbreak effectively.</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Contributed to state and national diagnostic and biosecurity emergency response for high priority diseases through the development and delivery of next generation diagnostic tests, disinfestation protocols and smart surveillance tools.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Research Scientist, Microbiology</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Italy</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represent Australia at the Euphresco Workshop on ‘The Use of Next Generation Sequencing Technologies (NGS) for plant pest diagnostics’, by presenting an Australian perspective on the application of NGS technology and providing updates on current activities.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Contributed to state and national diagnostic, post entry quarantine and biosecurity emergency response for high priority pests and diseases through the development and delivery of next generation diagnostic tests, disinfestation protocols and smart surveillance tools using new and mobile devices for enhanced pest and disease diagnosis at remote sites.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Research Scientist, Microbiology</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France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attend the meeting of the International Plant Protection Convention Technical Panel on Diagnostic Protocols, as Australia’s representative on the sub-committee.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Contributed to state and national diagnostic, post entry quarantine and biosecurity emergency response for high priority pests and diseases through the development and delivery of next generation diagnostic tests, disinfestation protocols and smart surveillance tools using new and mobile devices for enhanced pest and disease diagnosis at remote sites.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Research Scientist, Microbiology</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United Kingdom, Spain and Portugal</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conduct research on the feasibility of biological control of European blackberry to fulfil project milestones contracted by CSIRO as part of the Rural Research and Development for Profit Round 1/MLA-led project. The purpose of the travel is to conduct field assessments in United Kingdom and southern Europe (Spain and Portugal) to determine the ecological host range of a prospective new biocontrol agent for blackberry in Australia and to increase collaboration with entomologists from the Centre for Agriculture and Biosciences International (CABI) in United Kingdom and CSIRO’s European team (Montpellier) on biocontrol of invertebrate pests and weeds of European origin and/or of joint concern.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Investigated potential biological control agents for Victoria’s worst weeds which cause both productivity and environmental impacts.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Research Scientist, Microbiology</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UK, Greece, Italy</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conduct research into the biological control of giant pine scale. </w:t>
            </w:r>
          </w:p>
          <w:p w:rsidR="005B6242" w:rsidRPr="005B6242" w:rsidRDefault="005B6242" w:rsidP="008C3EBD">
            <w:pPr>
              <w:pStyle w:val="TableCopy"/>
              <w:rPr>
                <w:lang w:val="en-GB"/>
              </w:rPr>
            </w:pPr>
            <w:r w:rsidRPr="005B6242">
              <w:rPr>
                <w:lang w:val="en-GB"/>
              </w:rPr>
              <w:t xml:space="preserve">To conduct field surveys of potential biological control agents in the pest’s native range of Greece and Italy, in conjunction with collaborators from CABI-Switzerland and the Hellenic Agricultural Organisation. </w:t>
            </w:r>
          </w:p>
          <w:p w:rsidR="005B6242" w:rsidRPr="005B6242" w:rsidRDefault="005B6242" w:rsidP="008C3EBD">
            <w:pPr>
              <w:pStyle w:val="TableCopy"/>
              <w:rPr>
                <w:lang w:val="en-GB"/>
              </w:rPr>
            </w:pPr>
            <w:r w:rsidRPr="005B6242">
              <w:rPr>
                <w:lang w:val="en-GB"/>
              </w:rPr>
              <w:t>To visit the CABI’s UK biological control laboratory to receive training on live culturing methods for the preferred biological control agent, and make arrangements for future live insect shipments to AgriBio’s insect quarantine facility.</w:t>
            </w:r>
            <w:r w:rsidR="009F313F">
              <w:rPr>
                <w:lang w:val="en-GB"/>
              </w:rPr>
              <w:t xml:space="preserve">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Supported provision of ongoing plant diagnostic services and specialist technical advice to department’s Biosecurity Unit, other state agencies and various national committees. Provision of laboratory support for state and national incursion responses including Giant Pine Scale (Victoria), Cucumber Green Mottle Mosaic Virus (Northern Territory and Queensland) and the provision of confirmatory diagnostics for the tomato potato psyllid (TPP) incursion in WA including testing for Candidatus Liberibacter solanacearum (CLso) and laboratory support for the Victorian ‘Autumn’ survey for TPP and CLso.</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Research Scientist, Molecular Genetics, Genomics and Cell Sciences</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Dublin, Ireland</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attend the International Society of Animal Genetics (ISAG) Conference as an invited speaker and attend a meeting on Functional Annotation of Animal Genomes at the same venue.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Contributed to continuous improvement of the health and profitability of the Victorian dairy herd and doubling the rate of genetic gain by developing and providing better technologies and tools to farmers for animal selection.</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Research Scientist, Molecular Genetics, Genomics and Cell Sciences</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San Diego, United States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attend the Plant and Animal Genome Conference and to present at a workshop on Functional Annotation of Animal Genomes.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Supported continuous improvement of the health and profitability of the Victorian dairy herd and doubling the rate of genetic gain by developing and providing better technologies and tools to farmers for animal selection.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Research Scientist, Plant Physiology</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Italy</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present two papers at the first International Symposium on flowering, Fruit Set and Alternate Bearing.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Contributed to development and application of knowledge, technology and tools to design improved harvest, storage and handling systems that deliver premium quality stone and pome fruit that meet customer expectations and Asian market requirements.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Research Scientist, Plant Vector Borne Diseases</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Madrid, Spain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present a paper at the International Hemipteran-Plant Interaction Symposium on unique insect, disease and plant interactions under future climate.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Generated knowledge of crop and disease responses anticipated under future climates and develop management guidelines for seasonal and extreme weather events to inform potential climate adaptation and mitigation strategies.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Research Scientist, Postharvest Plant Physiology</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China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manage and conduct quality and shelf life studies on Victorian stone fruit. The travel is to meet milestone and contractual requirements of the Serviced Supply Chains (SSC) Project.</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Contributed to development and application of knowledge, technology and tools to design improved harvest, storage and handling systems that deliver premium quality stone and pome fruit that meet customer expectations and Asian market requirements.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Research Scientist, Soils</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United States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present results of a research paper on nutrient management at the American Society of Agronomy Conference in Tampa. </w:t>
            </w:r>
          </w:p>
          <w:p w:rsidR="005B6242" w:rsidRPr="005B6242" w:rsidRDefault="005B6242" w:rsidP="008C3EBD">
            <w:pPr>
              <w:pStyle w:val="TableCopy"/>
              <w:rPr>
                <w:lang w:val="en-GB"/>
              </w:rPr>
            </w:pPr>
            <w:r w:rsidRPr="005B6242">
              <w:rPr>
                <w:lang w:val="en-GB"/>
              </w:rPr>
              <w:t xml:space="preserve">To visit the international research institutions in Georgia and Alabama to assist in informing future research under the Bilateral Agreement with the Grains Research and Development Corporation.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Supported development and provision of better technologies, tools and knowledge to design farming practices that more efficiently use nutrients and water, enhance soil health and improve profit and risk management.</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Investment Manager</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United States and Canada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visit key target companies including Lyft, Google and Canopy Growth Corporation, to advance lead generation activities in the medicinal cannabis and tech sectors. The visit to the United States focused on the tech/cyber security sector while the visit to Canada focused on the medicinal cannabis sector.</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Supported establishment of Australia’s first facility for cultivation, production and manufacture, under Good Manufacturing Practice accreditation, of medicinal cannabis to support the establishment of a medicinal cannabis industry in Victoria.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Investment Manager, Airlines</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Barcelona, Spain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attend the World Routes 2017 Development Forum and meet with key representatives of airline management.</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Progressed ongoing discussions with several airlines on new services to the state.</w:t>
            </w:r>
            <w:r w:rsidR="009F313F">
              <w:rPr>
                <w:lang w:val="en-GB"/>
              </w:rPr>
              <w:t xml:space="preserve"> </w:t>
            </w:r>
            <w:r w:rsidRPr="005B6242">
              <w:rPr>
                <w:lang w:val="en-GB"/>
              </w:rPr>
              <w:t>These opportunities may be realised over the coming months.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Investment Manager, Airlines</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India, Sri Lanka, Philippines, Indonesia and Singapore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meet with airlines and airports as the Victorian Government has been successful in attracting additional international airlines to Victoria.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Continued discussions with airlines in the region to secure new direct services to the state, that led</w:t>
            </w:r>
            <w:r w:rsidR="009F313F">
              <w:rPr>
                <w:lang w:val="en-GB"/>
              </w:rPr>
              <w:t xml:space="preserve"> </w:t>
            </w:r>
            <w:r w:rsidRPr="005B6242">
              <w:rPr>
                <w:lang w:val="en-GB"/>
              </w:rPr>
              <w:t>to an increase in services from Manila and Singapore to Melbourne and the introduction of a new airline, Cebu Pacific, to the state.</w:t>
            </w:r>
            <w:r w:rsidR="009F313F">
              <w:rPr>
                <w:lang w:val="en-GB"/>
              </w:rPr>
              <w:t xml:space="preserve">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Investment Manager, Airlines</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China and Korea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visit airlines in South Korea and China, accompanied by Melbourne Airport, to attract new airline services to Melbourne from China and Korea.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Continued discussions with airlines in the region to secure new direct services to the state.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Investment Manager, China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China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speak at the 9th International Infrastructure Investment and Construction Forum (IIICF) and visit potential major Chinese investors in the investment pipeline as well as provide training to China-based investment managers.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Met with six large Chinese infrastructure groups at the 9th IIICF. Visited eight major Chinese potential investors together with the in-market investment directors. Provided training to investment directors based in Hong Kong, Shanghai, Chengdu and Nanjing.</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Investment Manager, Invest Victoria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Japan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attend the Hydrogen Energy Supply Chain (HESC) Working Group meeting in Tokyo to progress Hydrogen Engineering Australia’s (HEA) pilot HESC project in Victoria.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Progressed negotiations for the Victorian Government’s participation in the HESC project.</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Investment Manager, The Americas (US, Canada, Latin America)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United States and Canada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visit key target companies and advance lead generation activities in the medicinal cannabis and tech sectors. The trip to the United States focused on the tech/cyber security sector while the trip to Canada focused on the medicinal cannabis sector.</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Engaged with key medicinal cannabis and technology companies regarding potential investment into Victoria and securing future company visits to Victoria to explore opportunities.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Manager Infrastructure, Agencies and Infrastructure Branch</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Denmark</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present a paper on the Collections Storage Victoria project at the 2017 International Museum Construction Conference and to undertake a program of site visits and relevant meetings.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Presented a paper at international conference, raised the profile of Victoria’s creative industries to an international audience and made important international connections.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Manager, Digital Games and Fashion, Strategy, Screen and Design Branch</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San Francisco, United States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lead Victoria’s delegation at the 2018 Game Developers Conference (GDC) and meet with potential investors and other relevant stakeholders.</w:t>
            </w:r>
          </w:p>
          <w:p w:rsidR="005B6242" w:rsidRPr="005B6242" w:rsidRDefault="005B6242" w:rsidP="008C3EBD">
            <w:pPr>
              <w:pStyle w:val="TableCopy"/>
              <w:rPr>
                <w:lang w:val="en-GB"/>
              </w:rPr>
            </w:pPr>
            <w:r w:rsidRPr="005B6242">
              <w:rPr>
                <w:lang w:val="en-GB"/>
              </w:rPr>
              <w:t xml:space="preserve">GDC is one of the digital games’ industry’s most important trade and business development events, bringing the most influential games companies, service providers and developers together for a week of events and specialised conference sessions.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Reported significant new business and export outcomes (estimated) over the next two years. </w:t>
            </w:r>
          </w:p>
          <w:p w:rsidR="005B6242" w:rsidRPr="005B6242" w:rsidRDefault="005B6242" w:rsidP="008C3EBD">
            <w:pPr>
              <w:pStyle w:val="TableCopy"/>
              <w:rPr>
                <w:lang w:val="en-GB"/>
              </w:rPr>
            </w:pPr>
            <w:r w:rsidRPr="005B6242">
              <w:rPr>
                <w:lang w:val="en-GB"/>
              </w:rPr>
              <w:t xml:space="preserve">Raised profile of Victoria’s digital games sector in large international market and met with potential investors.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Manager, ICT/Technology and Trade Specialist, ICT/Technology</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Singapore and Thailand</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manage and support the Victorian Government Digital Technology Trade Mission to CommunicAsia (Singapore and Thailand).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Mission successfully delivered with 31 Victorian companies participating.</w:t>
            </w:r>
            <w:r w:rsidR="009F313F">
              <w:rPr>
                <w:lang w:val="en-GB"/>
              </w:rPr>
              <w:t xml:space="preserve">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Officer, Emergency Preparedness, Animal Biosecurity</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United States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participate in the 6th International Symposium on Animal Mortality Management, as a member of the International Program Committee. The travel findings are expected to assist DEDJTR in developing the State’s capability to respond to Emergency Animal Disease (EAD) through recommendations into DEDJTR’s ongoing EAD preparedness planning and response activities.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Developed improved understanding of where DEDJTR should be investing resources to enhance our level of preparedness in the destruction, disposal and decontamination areas of animal emergency response. The trip affirmed that Victoria is on the right path in relation to preparedness although there remains a need to take on board lessons from experiences overseas.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Project Manager, Rail Projects Victoria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England, Spain, Switzerland and Singapore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Engagement of the insurance market.</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Supported the Victorian Managed Insurance Authority’s meetings with international reinsurers for the Metro Tunnel Project.</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Project Manager, Rail Projects Victoria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Singapore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Professional development.</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Undertook technical presentations and site visits relating to the development</w:t>
            </w:r>
            <w:r w:rsidR="00932CD4">
              <w:rPr>
                <w:lang w:val="en-GB"/>
              </w:rPr>
              <w:t xml:space="preserve"> </w:t>
            </w:r>
            <w:r w:rsidRPr="005B6242">
              <w:rPr>
                <w:lang w:val="en-GB"/>
              </w:rPr>
              <w:t>and deployment of Communications Based Train Control and High Capacity Signalling systems.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Project Manager, Rail Projects Victoria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Thailand</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Engagement with the technical design team in the Rail Systems Alliance, Metro Tunnel Project.</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Provided advice on the Victorian rail network and conducted meetings with senior representatives on network change management and systems integration.</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Project Manager, Rail Projects Victoria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United States of America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Engagement with the technical design team in the Rail Systems Alliance, Metro Tunnel Project.</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Undertook or participated in site visits, technical presentations and alignment meetings for Communications Based Train Control and the Victorian rail network.</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Project Manager, Rail Projects Victoria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Thailand</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Engagement with the technical design team in the Rail Systems Alliance, Metro Tunnel Project.</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Attended meetings with senior representatives to support technical design development.</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Project Officer</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China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undertake research into China’s booming sport economy and identify the trade opportunities for Victoria’s world class ecosystem. </w:t>
            </w:r>
          </w:p>
          <w:p w:rsidR="005B6242" w:rsidRPr="005B6242" w:rsidRDefault="005B6242" w:rsidP="008C3EBD">
            <w:pPr>
              <w:pStyle w:val="TableCopy"/>
              <w:rPr>
                <w:lang w:val="en-GB"/>
              </w:rPr>
            </w:pPr>
            <w:r w:rsidRPr="005B6242">
              <w:rPr>
                <w:lang w:val="en-GB"/>
              </w:rPr>
              <w:t>To meet with Chinese Government policy makers, sports related businesses and leading sport academics to learn the detail of where the Chinese Government intends to meet key targets for the 13th Five-Year Sports Development Plan.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Developed further understanding of the opportunities available in China’s sports economy for Victorian companies. Meeting held with key stakeholders to promote Victoria capabilities in this industry.</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Senior Project Officer, Digital Games and Fashion, Strategy, Screen and Design Branch </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San Francisco, United States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support Victoria’s digital games delegation at the 2018 Game Developers Conference, attend key conference events and meet with relevant stakeholders to maintain stakeholder relations.</w:t>
            </w:r>
          </w:p>
          <w:p w:rsidR="005B6242" w:rsidRPr="005B6242" w:rsidRDefault="005B6242" w:rsidP="008C3EBD">
            <w:pPr>
              <w:pStyle w:val="TableCopy"/>
              <w:rPr>
                <w:lang w:val="en-GB"/>
              </w:rPr>
            </w:pPr>
            <w:r w:rsidRPr="005B6242">
              <w:rPr>
                <w:lang w:val="en-GB"/>
              </w:rPr>
              <w:t xml:space="preserve">To promote international attendance at Melbourne International Games Week.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Reported significant new business and export outcomes (estimated) over the next two years. </w:t>
            </w:r>
          </w:p>
          <w:p w:rsidR="005B6242" w:rsidRPr="005B6242" w:rsidRDefault="005B6242" w:rsidP="008C3EBD">
            <w:pPr>
              <w:pStyle w:val="TableCopy"/>
              <w:rPr>
                <w:lang w:val="en-GB"/>
              </w:rPr>
            </w:pPr>
            <w:r w:rsidRPr="005B6242">
              <w:rPr>
                <w:lang w:val="en-GB"/>
              </w:rPr>
              <w:t>Raised profile of Victoria’s digital games sector in large international market and met with potential investors.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Research Officer, Tourism, Events and Visitor Economy Branch</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China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participate in the Destination Melbourne’s Check-in to China program, including an 11-day study to trip to Greater China. The program aims to help build a richer understanding of the Chinese tourism market.</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Presented learnings to the Victorian Tourism Research Group, and is currently developing a China market insights factsheet for publication.</w:t>
            </w:r>
            <w:r w:rsidR="009F313F">
              <w:rPr>
                <w:lang w:val="en-GB"/>
              </w:rPr>
              <w:t xml:space="preserve">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Research Scientist, Animal Production Sciences</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Chile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provide expertise and lead a two-day workshop in the technique for measuring methane from ruminants at the Pontifical Catholic University of Chile. The visit is part of a Material Transfer Agreement between DEDJTR and the Pontifical Catholic University of Chile.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Generated knowledge to inform potential climate adaptation and mitigation strategies for Victorian agriculture.</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Research Scientist, Animal Production Sciences</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Knoxville, Tennessee, United States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attend the annual conference of the American Dairy Science Association and to conduct formal meetings with global leaders in dairy nutrition, specifically scientists from Michigan State University and Iowa State University.</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Contributed to improving productivity in the paddock by developing new management tools that improve on-farm agronomy decisions and enable improved forage cultivar selection.</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Research Scientist, Animal Production Sciences (x2)</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Pittsburgh Pennsylvania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attend and present at the American Dairy Science Association Conference in June 2017, including attending satellite meetings with leading dairy scientists from the United States.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Increased total farm milk production by developing management strategies and tools to more effectively allocate feed resources, both supplement and pasture within the herd.</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Research Scientist, Computational Biology</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Vietnam</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work with a software supplier on a critical part of the DataGene software development project. DataGene calculates breeding values for use by the dairy industry and enabling animal improvement.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Assisted dairy farmers and service providers to make informed decisions using digital products specifically designed to meet user needs. </w:t>
            </w:r>
          </w:p>
          <w:p w:rsidR="005B6242" w:rsidRPr="005B6242" w:rsidRDefault="005B6242" w:rsidP="008C3EBD">
            <w:pPr>
              <w:pStyle w:val="TableCopy"/>
              <w:rPr>
                <w:lang w:val="en-GB"/>
              </w:rPr>
            </w:pPr>
            <w:r w:rsidRPr="005B6242">
              <w:rPr>
                <w:lang w:val="en-GB"/>
              </w:rPr>
              <w:t>Travelled to Vietnam for this project in October and December 2017, and January, March and June 2018 to complete the final stage of the development work.</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Research Scientist, Computational Biology</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Vietnam</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support a critical stage of a software development project. This software development is at a stage where all components need to be integrated, including new software, with all historic data migrated correctly for a first release of results to stakeholders. Travel initiated by the DataGene/Australian Dairy Herd Improvement Scheme, Technical Services Agreement signed in 2015.</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Assisted dairy farmers and service providers to make informed decisions using digital products specifically designed to meet user needs.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Research Scientist, Computational Biology (x2)</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Vietnam</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work with a software supplier contracted to support a critical stage of the DataGene software development project.</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Assisted dairy farmers and service providers to make informed decisions using digital products specifically designed to meet user needs.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Research Scientist, Horticulture</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California, United States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attend and present the current Victorian research program at the Almond Board of California’s annual technical conference.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Supported improvement to productivity and resilience of orchard management systems through the development and provision of key knowledge, tools and management recommendations to optimise orchard establishment, manage seasonal variability and ensure longer term profitability of the almond and pome and stone fruit industries.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Research Scientist, Microbiology</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Japan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attend and present a keynote address at the 6th International Cereal Nematodes Symposium.</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Supported the lead and coordination of national research programs into the epidemiology of major cereal pathogens and the evaluation of breeding lines and varieties for disease resistance to develop integrated disease management packages for Victorian cereal growers.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Research Scientist, Microbiology</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Canada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attend and present at the international Conference on Bacillus anthracis, Bacillus cereus and Bacillus thuringiensis (BACT2017).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Contributed to state and national diagnostic and biosecurity emergency response for high priority diseases through the development and delivery of next generation diagnostic tests, disinfestation protocols and smart surveillance tools.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Research Scientist, Microbiology</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United States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conduct a field study of a new biological control of the grazing and cropping weed silverleaf nightshade. This travel focuses on the risk to potato and Australian native species when exposed to the biological control agent under field conditions.</w:t>
            </w:r>
            <w:r w:rsidR="009F313F">
              <w:rPr>
                <w:lang w:val="en-GB"/>
              </w:rPr>
              <w:t xml:space="preserve">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Investigated potential biological control agents for silverleaf nightshade which cause both productivity and environmental impacts.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Research Scientist, Microbiology</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Chile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attend and present DEDJTR research during the 19th International Council for the Study of Viruses and Virus-like Diseases of the Grapevine (ICVG) Conference in Santiago, Chile.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Contributed to state and national diagnostic, post entry quarantine and biosecurity emergency response for high priority pests and diseases through the development and delivery of next generation diagnostic tests, disinfestation protocols and smart surveillance tools using new and mobile devices for enhanced pest and disease diagnosis at remote sites.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Research Scientist, Molecular Genetics</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Austria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present at the miCROPe 2017 conference in Vienna on beneficial microbes as a source of sustainable agrichemicals. </w:t>
            </w:r>
          </w:p>
          <w:p w:rsidR="005B6242" w:rsidRPr="005B6242" w:rsidRDefault="005B6242" w:rsidP="008C3EBD">
            <w:pPr>
              <w:pStyle w:val="TableCopy"/>
              <w:rPr>
                <w:lang w:val="en-GB"/>
              </w:rPr>
            </w:pPr>
            <w:r w:rsidRPr="005B6242">
              <w:rPr>
                <w:lang w:val="en-GB"/>
              </w:rPr>
              <w:t xml:space="preserve">To visit the leading research facilities in Graz and Tulln.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Contributed to state and national diagnostic, post entry quarantine and biosecurity emergency response for high priority pests and diseases through the development and delivery of next generation diagnostic tests, disinfestation protocols and smart surveillance tools using new and mobile devices for enhanced pest and disease diagnosis at remote sites.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Research Scientist, Soils and Land Management</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Denmark and the Netherlands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present a paper at the International Conference on Innovative Solutions for sustainable management of nitrogen at Aarhus University, Denmark. </w:t>
            </w:r>
          </w:p>
          <w:p w:rsidR="005B6242" w:rsidRPr="005B6242" w:rsidRDefault="005B6242" w:rsidP="008C3EBD">
            <w:pPr>
              <w:pStyle w:val="TableCopy"/>
              <w:rPr>
                <w:lang w:val="en-GB"/>
              </w:rPr>
            </w:pPr>
            <w:r w:rsidRPr="005B6242">
              <w:rPr>
                <w:lang w:val="en-GB"/>
              </w:rPr>
              <w:t xml:space="preserve">To visit the international collaborators at the Wageningen University in the Netherlands.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Contributed to development and provision of better technologies, tools and knowledge for farming practices that more efficiently use nutrients and water, enhance soil health and improve profit and risk management.</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Trade Manager</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London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manage and support a Technology Trade Mission, that promotes the international competitiveness and innovative capabilities of the Victorian technology industry. </w:t>
            </w:r>
          </w:p>
          <w:p w:rsidR="005B6242" w:rsidRPr="005B6242" w:rsidRDefault="005B6242" w:rsidP="008C3EBD">
            <w:pPr>
              <w:pStyle w:val="TableCopy"/>
              <w:rPr>
                <w:lang w:val="en-GB"/>
              </w:rPr>
            </w:pPr>
            <w:r w:rsidRPr="005B6242">
              <w:rPr>
                <w:lang w:val="en-GB"/>
              </w:rPr>
              <w:t>To pursue trade investment opportunities, creating increased exports and jobs for Victoria.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Delivered successful trade mission with 50 companies participating and currently being evaluated. Outcomes and results expected from mid/late July 2018</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Trade Manager</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Hong Kong, Taipei and Shenzhen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lead an Internet of Things Trade mission, which includes a tailored business matching program, networking forums, and site visits for 14 Victorian technology companies and approximately 20 delegates. The objective of this was to promote the international competitiveness and innovative capabilities of the Victorian technology industry and to pursue trade investment opportunities, including creating increased exports and jobs for Victorians.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13 companies participated reporting almost $9 million in expected increased export sales.</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Trade Manager - Health, Medtech Pharma</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Boston, United States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lead and support a delegation of up to 20 med tech and pharma companies to Boston and up to 70 selected companies and industry associations as part of the 2018 BIO International Convention in Boston. The mission focused on demonstrating Victorian capability in the medical technology, pharmaceutical and biotechnology sectors, gathering intelligence relating to how Victoria can build an industry focussed biotechnology ecosystem, similar to Boston, and promoting the relationships and business opportunities through a comprehensive business matching program.</w:t>
            </w:r>
            <w:r w:rsidR="009F313F">
              <w:rPr>
                <w:lang w:val="en-GB"/>
              </w:rPr>
              <w:t xml:space="preserve">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Delivered successful mission with over 120 delegates from 70 Victorian companies participating.</w:t>
            </w:r>
            <w:r w:rsidR="009F313F">
              <w:rPr>
                <w:lang w:val="en-GB"/>
              </w:rPr>
              <w:t xml:space="preserve">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Senior Trade Manager, Advanced Manufacturing</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United Kingdom, France and Germany</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manage and support a defence trade mission, which includes a tailored program of business meetings, networking events and site visits involving 27 Victorian defence companies. </w:t>
            </w:r>
          </w:p>
          <w:p w:rsidR="005B6242" w:rsidRPr="005B6242" w:rsidRDefault="005B6242" w:rsidP="008C3EBD">
            <w:pPr>
              <w:pStyle w:val="TableCopy"/>
              <w:rPr>
                <w:lang w:val="en-GB"/>
              </w:rPr>
            </w:pPr>
            <w:r w:rsidRPr="005B6242">
              <w:rPr>
                <w:lang w:val="en-GB"/>
              </w:rPr>
              <w:t>To attend the Eurosatory Trade Show in Paris as part of the trade mission and undertake first visit to Rheinmetall in Germany since the Victorian Government’s announcement on the Australian LAND 400 contract.</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Mission successfully delivered with 27 companies participating.</w:t>
            </w:r>
            <w:r w:rsidR="009F313F">
              <w:rPr>
                <w:lang w:val="en-GB"/>
              </w:rPr>
              <w:t xml:space="preserve">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Trade Officer - Advanced Manufacturing</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Europe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manage and support the Victoria delegation’s attendance at the International Defence Industry Exhibition MSPO and the Defence and Security Equipment International (DSEI) Exhibition.</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Delivered successful trade mission with 17 companies participating in bespoke programs.</w:t>
            </w:r>
            <w:r w:rsidR="009F313F">
              <w:rPr>
                <w:lang w:val="en-GB"/>
              </w:rPr>
              <w:t xml:space="preserve">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Trade Officer - Advanced Manufacturing</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Germany</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take part in the Siemens Australia delegation to the Hannover Messe exhibition. The travel expected to increase and strengthen relationships with key stakeholders and to gain strategic understanding of industrial trends around Industry 4.0 and industrial automation which will allow for better delivery of the Global Discovery Exchange initiative.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Participated in the Trade Mission and gave valuable insights into how future missions can be delivered to the region and developed stronger relationships with key stakeholders in the sector.</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Trade Specialist – Retail</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China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understand the e-commerce markets of Asia and observe the cultures of the countries and individuals who use e-commerce or e-technology to improve or simplify their daily lives. </w:t>
            </w:r>
          </w:p>
          <w:p w:rsidR="005B6242" w:rsidRPr="005B6242" w:rsidRDefault="005B6242" w:rsidP="008C3EBD">
            <w:pPr>
              <w:pStyle w:val="TableCopy"/>
              <w:rPr>
                <w:lang w:val="en-GB"/>
              </w:rPr>
            </w:pPr>
            <w:r w:rsidRPr="005B6242">
              <w:rPr>
                <w:lang w:val="en-GB"/>
              </w:rPr>
              <w:t xml:space="preserve">To identify opportunities for Victorian companies and re-establish existing e-business relationships and develop new ones. </w:t>
            </w:r>
          </w:p>
          <w:p w:rsidR="005B6242" w:rsidRPr="005B6242" w:rsidRDefault="005B6242" w:rsidP="008C3EBD">
            <w:pPr>
              <w:pStyle w:val="TableCopy"/>
              <w:rPr>
                <w:lang w:val="en-GB"/>
              </w:rPr>
            </w:pPr>
            <w:r w:rsidRPr="005B6242">
              <w:rPr>
                <w:lang w:val="en-GB"/>
              </w:rPr>
              <w:t>To expand e-commerce opportunities for Victorian companies across China, India and South-East Asia.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Reconnected and re-established relationships previously developed with e-commerce platforms in Asia and developed new relationships with other e-commerce platforms in new markets/countries. Over 10 platforms from five countries were engaged across the trip with five involved in further engagement with Victoria.</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Trade Specialist – Retail</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China</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To support the delivery of CIBE UCS Trade Mission promoting Victorian eCommerce companies.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Delivered successful mission with 23 Victorian companies participating.</w:t>
            </w:r>
            <w:r w:rsidR="009F313F">
              <w:rPr>
                <w:lang w:val="en-GB"/>
              </w:rPr>
              <w:t xml:space="preserve"> </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Trade Specialist, Food and Fibre</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Vietnam, Philippines and Hong Kong</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travel to Vietnam and the Philippines to progress the South Asia (SEA) Dairy Scholarship Program in collaboration with Dairy Australia, and interview potential service providers for the transition of the Now! In Season (NIS) program to a commercial model. </w:t>
            </w:r>
          </w:p>
          <w:p w:rsidR="005B6242" w:rsidRPr="005B6242" w:rsidRDefault="005B6242" w:rsidP="008C3EBD">
            <w:pPr>
              <w:pStyle w:val="TableCopy"/>
              <w:rPr>
                <w:lang w:val="en-GB"/>
              </w:rPr>
            </w:pPr>
            <w:r w:rsidRPr="005B6242">
              <w:rPr>
                <w:lang w:val="en-GB"/>
              </w:rPr>
              <w:t>To represent the NIS project team at Asia Fruit Logistica in Hong Kong for the launch of the new whole of horticulture brand and to support companies in attendance, including networking and developing business relationships.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Gained market insights and intelligence on the opportunities available to Victorian exporters in these markets.</w:t>
            </w:r>
            <w:r w:rsidR="009F313F">
              <w:rPr>
                <w:lang w:val="en-GB"/>
              </w:rPr>
              <w:t xml:space="preserve"> </w:t>
            </w:r>
            <w:r w:rsidRPr="005B6242">
              <w:rPr>
                <w:lang w:val="en-GB"/>
              </w:rPr>
              <w:t>Potential service providers for Now! In Season were identified and key government to government relationships were developed.</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Trade Specialist, Food and Fibre</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Middle East</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represent Victorian food products and companies and to interview potential service providers for the Taste Australia consumer marketing campaign. </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Taste program positively received, and in market new service providers successfully identified.</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Trade Specialist, Professional Services</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Singapore</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lead a trade mission of ten Victorian Fintech companies attending Money 20/20 Singapore. </w:t>
            </w:r>
          </w:p>
          <w:p w:rsidR="005B6242" w:rsidRPr="005B6242" w:rsidRDefault="005B6242" w:rsidP="008C3EBD">
            <w:pPr>
              <w:pStyle w:val="TableCopy"/>
              <w:rPr>
                <w:lang w:val="en-GB"/>
              </w:rPr>
            </w:pPr>
            <w:r w:rsidRPr="005B6242">
              <w:rPr>
                <w:lang w:val="en-GB"/>
              </w:rPr>
              <w:t>To introduce Victorian companies to ASEAN fintech and financial services ecosystem, including a day of site visits to Trade Victoria and Austrade facilities, as well as targeted business matching.</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Mission successfully delivered with nine Victorian companies participating.</w:t>
            </w:r>
            <w:r w:rsidR="009F313F">
              <w:rPr>
                <w:lang w:val="en-GB"/>
              </w:rPr>
              <w:t xml:space="preserve"> </w:t>
            </w:r>
            <w:r w:rsidRPr="005B6242">
              <w:rPr>
                <w:lang w:val="en-GB"/>
              </w:rPr>
              <w:t>Participants have reported anticipated increased export sales of over $4 million.</w:t>
            </w:r>
          </w:p>
        </w:tc>
      </w:tr>
      <w:tr w:rsidR="005B6242" w:rsidRPr="005B6242" w:rsidTr="00AA6F8A">
        <w:tblPrEx>
          <w:tblCellMar>
            <w:top w:w="0" w:type="dxa"/>
            <w:left w:w="0" w:type="dxa"/>
            <w:bottom w:w="0" w:type="dxa"/>
            <w:right w:w="0" w:type="dxa"/>
          </w:tblCellMar>
        </w:tblPrEx>
        <w:trPr>
          <w:cantSplit/>
          <w:trHeight w:val="60"/>
        </w:trPr>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TradeStart Adviser</w:t>
            </w:r>
          </w:p>
        </w:tc>
        <w:tc>
          <w:tcPr>
            <w:tcW w:w="1701"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Singapore and Thailand</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 xml:space="preserve">To accompany Trade Victoria’s trade mission to Food and Hotel Asia (FHA) in Singapore and to perform market research, including retail visits and meetings with food service companies in Singapore to get a better understanding of the competitive environment and opportunities for Victorian exporters. </w:t>
            </w:r>
          </w:p>
          <w:p w:rsidR="005B6242" w:rsidRPr="005B6242" w:rsidRDefault="005B6242" w:rsidP="008C3EBD">
            <w:pPr>
              <w:pStyle w:val="TableCopy"/>
              <w:rPr>
                <w:lang w:val="en-GB"/>
              </w:rPr>
            </w:pPr>
            <w:r w:rsidRPr="005B6242">
              <w:rPr>
                <w:lang w:val="en-GB"/>
              </w:rPr>
              <w:t xml:space="preserve">To make a presentation to Austrade Bangkok about the BSW and Grampians region, to increase the team’s awareness of the industry capabilities and export capacity in the two regions. </w:t>
            </w:r>
          </w:p>
          <w:p w:rsidR="005B6242" w:rsidRPr="005B6242" w:rsidRDefault="005B6242" w:rsidP="008C3EBD">
            <w:pPr>
              <w:pStyle w:val="TableCopy"/>
              <w:rPr>
                <w:lang w:val="en-GB"/>
              </w:rPr>
            </w:pPr>
            <w:r w:rsidRPr="005B6242">
              <w:rPr>
                <w:lang w:val="en-GB"/>
              </w:rPr>
              <w:t>To perform market research in Thailand, including retail visits and meetings with food service companies.</w:t>
            </w:r>
          </w:p>
        </w:tc>
        <w:tc>
          <w:tcPr>
            <w:tcW w:w="3544" w:type="dxa"/>
            <w:tcMar>
              <w:top w:w="80" w:type="dxa"/>
              <w:left w:w="80" w:type="dxa"/>
              <w:bottom w:w="80" w:type="dxa"/>
              <w:right w:w="80" w:type="dxa"/>
            </w:tcMar>
          </w:tcPr>
          <w:p w:rsidR="005B6242" w:rsidRPr="005B6242" w:rsidRDefault="005B6242" w:rsidP="008C3EBD">
            <w:pPr>
              <w:pStyle w:val="TableCopy"/>
              <w:rPr>
                <w:lang w:val="en-GB"/>
              </w:rPr>
            </w:pPr>
            <w:r w:rsidRPr="005B6242">
              <w:rPr>
                <w:lang w:val="en-GB"/>
              </w:rPr>
              <w:t>Performed in-market research in Singapore and Bangkok leading to improved understanding of the demand and competitive landscape.</w:t>
            </w:r>
            <w:r w:rsidR="009F313F">
              <w:rPr>
                <w:lang w:val="en-GB"/>
              </w:rPr>
              <w:t xml:space="preserve"> </w:t>
            </w:r>
          </w:p>
          <w:p w:rsidR="005B6242" w:rsidRPr="005B6242" w:rsidRDefault="005B6242" w:rsidP="008C3EBD">
            <w:pPr>
              <w:pStyle w:val="TableCopy"/>
              <w:rPr>
                <w:lang w:val="en-GB"/>
              </w:rPr>
            </w:pPr>
            <w:r w:rsidRPr="005B6242">
              <w:rPr>
                <w:lang w:val="en-GB"/>
              </w:rPr>
              <w:t>Presented to Austrade Bangkok increasing their knowledge of Barwon South West and Grampians regional capabilities. Regional TradeStart clients were also introduced to the Bangkok team.</w:t>
            </w:r>
          </w:p>
        </w:tc>
      </w:tr>
    </w:tbl>
    <w:p w:rsidR="005B6242" w:rsidRPr="005B6242" w:rsidRDefault="005B6242" w:rsidP="00CE567A">
      <w:pPr>
        <w:pStyle w:val="Heading1"/>
        <w:rPr>
          <w:lang w:val="en-GB"/>
        </w:rPr>
      </w:pPr>
      <w:bookmarkStart w:id="11" w:name="_Toc5098696"/>
      <w:r w:rsidRPr="005B6242">
        <w:rPr>
          <w:lang w:val="en-GB"/>
        </w:rPr>
        <w:t>8. Details of major promotional, public relations and marketing activities undertaken by the department to develop community awareness of the department and its services.</w:t>
      </w:r>
      <w:bookmarkEnd w:id="11"/>
      <w:r w:rsidRPr="005B6242">
        <w:rPr>
          <w:lang w:val="en-GB"/>
        </w:rPr>
        <w:t xml:space="preserve"> </w:t>
      </w:r>
    </w:p>
    <w:tbl>
      <w:tblPr>
        <w:tblW w:w="0" w:type="auto"/>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977"/>
        <w:gridCol w:w="4393"/>
        <w:gridCol w:w="3120"/>
      </w:tblGrid>
      <w:tr w:rsidR="005B6242" w:rsidRPr="005B6242" w:rsidTr="00AA6F8A">
        <w:tblPrEx>
          <w:tblCellMar>
            <w:top w:w="0" w:type="dxa"/>
            <w:left w:w="0" w:type="dxa"/>
            <w:bottom w:w="0" w:type="dxa"/>
            <w:right w:w="0" w:type="dxa"/>
          </w:tblCellMar>
        </w:tblPrEx>
        <w:trPr>
          <w:cantSplit/>
          <w:trHeight w:val="60"/>
          <w:tblHeader/>
        </w:trPr>
        <w:tc>
          <w:tcPr>
            <w:tcW w:w="2977" w:type="dxa"/>
            <w:tcMar>
              <w:top w:w="80" w:type="dxa"/>
              <w:left w:w="80" w:type="dxa"/>
              <w:bottom w:w="80" w:type="dxa"/>
              <w:right w:w="80" w:type="dxa"/>
            </w:tcMar>
          </w:tcPr>
          <w:p w:rsidR="005B6242" w:rsidRPr="005B6242" w:rsidRDefault="005B6242" w:rsidP="00CE567A">
            <w:pPr>
              <w:pStyle w:val="TableHeading"/>
              <w:rPr>
                <w:lang w:val="en-GB"/>
              </w:rPr>
            </w:pPr>
            <w:r w:rsidRPr="005B6242">
              <w:rPr>
                <w:lang w:val="en-GB"/>
              </w:rPr>
              <w:t>Major promotional, public relations or marketing activity</w:t>
            </w:r>
          </w:p>
        </w:tc>
        <w:tc>
          <w:tcPr>
            <w:tcW w:w="4393" w:type="dxa"/>
            <w:tcMar>
              <w:top w:w="80" w:type="dxa"/>
              <w:left w:w="80" w:type="dxa"/>
              <w:bottom w:w="80" w:type="dxa"/>
              <w:right w:w="80" w:type="dxa"/>
            </w:tcMar>
          </w:tcPr>
          <w:p w:rsidR="005B6242" w:rsidRPr="005B6242" w:rsidRDefault="005B6242" w:rsidP="00CE567A">
            <w:pPr>
              <w:pStyle w:val="TableHeading"/>
              <w:rPr>
                <w:lang w:val="en-GB"/>
              </w:rPr>
            </w:pPr>
            <w:r w:rsidRPr="005B6242">
              <w:rPr>
                <w:lang w:val="en-GB"/>
              </w:rPr>
              <w:t>Purpose</w:t>
            </w:r>
          </w:p>
        </w:tc>
        <w:tc>
          <w:tcPr>
            <w:tcW w:w="3120" w:type="dxa"/>
            <w:tcMar>
              <w:top w:w="80" w:type="dxa"/>
              <w:left w:w="80" w:type="dxa"/>
              <w:bottom w:w="80" w:type="dxa"/>
              <w:right w:w="80" w:type="dxa"/>
            </w:tcMar>
          </w:tcPr>
          <w:p w:rsidR="005B6242" w:rsidRPr="005B6242" w:rsidRDefault="005B6242" w:rsidP="00CE567A">
            <w:pPr>
              <w:pStyle w:val="TableHeading"/>
              <w:rPr>
                <w:lang w:val="en-GB"/>
              </w:rPr>
            </w:pPr>
            <w:r w:rsidRPr="005B6242">
              <w:rPr>
                <w:lang w:val="en-GB"/>
              </w:rPr>
              <w:t>Total Cost</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Automotive Transition Campaign </w:t>
            </w:r>
            <w:r w:rsidRPr="005B6242">
              <w:rPr>
                <w:i/>
                <w:iCs/>
                <w:lang w:val="en-GB"/>
              </w:rPr>
              <w:t>(Another door opens)</w:t>
            </w:r>
          </w:p>
        </w:tc>
        <w:tc>
          <w:tcPr>
            <w:tcW w:w="4393"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To promote the Victorian Government assistance available to retrenched workers in the lead up to the end of car manufacturing in Victoria (July-November 2017).</w:t>
            </w:r>
          </w:p>
        </w:tc>
        <w:tc>
          <w:tcPr>
            <w:tcW w:w="3120"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$262,612</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Electronic Identification of Sheep and Goats in Victoria</w:t>
            </w:r>
          </w:p>
        </w:tc>
        <w:tc>
          <w:tcPr>
            <w:tcW w:w="4393"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To communicate and promote the introduction of the electronic NLIS across the supply chain.</w:t>
            </w:r>
          </w:p>
        </w:tc>
        <w:tc>
          <w:tcPr>
            <w:tcW w:w="3120"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$117,265</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Metro Tunnel HQ – project visitor centre located at 125- 133 Swanston Street, Melbourne</w:t>
            </w:r>
          </w:p>
        </w:tc>
        <w:tc>
          <w:tcPr>
            <w:tcW w:w="4393"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public area of Metro Tunnel HQ encourages visitors to experience the project first hand, whether digging deep under the city to see our virtual tunnel boring machines, learning about the benefits of Victoria’s largest ever investment in public transport or finding up to date information about current and future travel disruptions. The upstairs learning space has been created to host stakeholder meetings and operate as a classroom environment for the Metro Tunnel education program, which provides an opportunity to extend student understanding of how public transport is changing and consider the career opportunities generated by large infrastructure projects.</w:t>
            </w:r>
          </w:p>
        </w:tc>
        <w:tc>
          <w:tcPr>
            <w:tcW w:w="3120"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All costs associated with Metro Tunnel HQ have been factored in to the Project’s budgeted cost. Metro Tunnel HQ fit out cost approximately</w:t>
            </w:r>
          </w:p>
          <w:p w:rsidR="005B6242" w:rsidRPr="005B6242" w:rsidRDefault="005B6242" w:rsidP="00CE567A">
            <w:pPr>
              <w:pStyle w:val="TableCopy"/>
              <w:rPr>
                <w:lang w:val="en-GB"/>
              </w:rPr>
            </w:pPr>
            <w:r w:rsidRPr="005B6242">
              <w:rPr>
                <w:lang w:val="en-GB"/>
              </w:rPr>
              <w:t>$1,500,000,</w:t>
            </w:r>
          </w:p>
          <w:p w:rsidR="005B6242" w:rsidRPr="005B6242" w:rsidRDefault="005B6242" w:rsidP="00CE567A">
            <w:pPr>
              <w:pStyle w:val="TableCopy"/>
              <w:rPr>
                <w:lang w:val="en-GB"/>
              </w:rPr>
            </w:pPr>
            <w:r w:rsidRPr="005B6242">
              <w:rPr>
                <w:lang w:val="en-GB"/>
              </w:rPr>
              <w:t>which included extensive remedial works required to bring the ceiling structure and wiring up to standard and make it safe for the public.</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Mission Possible Defence Advertising Campaign</w:t>
            </w:r>
          </w:p>
        </w:tc>
        <w:tc>
          <w:tcPr>
            <w:tcW w:w="4393"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To promote Victoria’s credentials as a state of defence excellence, to influence decision makers and investors. The campaign featured regional and metropolitan press and out of home activity.</w:t>
            </w:r>
          </w:p>
        </w:tc>
        <w:tc>
          <w:tcPr>
            <w:tcW w:w="3120"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$780,000</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Ready When You Are Regional Marketing Campaign </w:t>
            </w:r>
          </w:p>
        </w:tc>
        <w:tc>
          <w:tcPr>
            <w:tcW w:w="4393"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To promote regional Victoria in Melbourne as a great place to live, work and do business, encouraging Melburnians to consider regional Victoria as an ideal relocation destination.</w:t>
            </w:r>
          </w:p>
        </w:tc>
        <w:tc>
          <w:tcPr>
            <w:tcW w:w="3120"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$100,000</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Small Business Festival Victoria </w:t>
            </w:r>
          </w:p>
        </w:tc>
        <w:tc>
          <w:tcPr>
            <w:tcW w:w="4393"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To raise awareness and uptake of Small Business Festival events held across Victoria.</w:t>
            </w:r>
          </w:p>
        </w:tc>
        <w:tc>
          <w:tcPr>
            <w:tcW w:w="3120"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$465,731</w:t>
            </w:r>
          </w:p>
        </w:tc>
      </w:tr>
      <w:tr w:rsidR="005B6242" w:rsidRPr="005B6242" w:rsidTr="00AA6F8A">
        <w:tblPrEx>
          <w:tblCellMar>
            <w:top w:w="0" w:type="dxa"/>
            <w:left w:w="0" w:type="dxa"/>
            <w:bottom w:w="0" w:type="dxa"/>
            <w:right w:w="0" w:type="dxa"/>
          </w:tblCellMar>
        </w:tblPrEx>
        <w:trPr>
          <w:cantSplit/>
          <w:trHeight w:val="60"/>
        </w:trPr>
        <w:tc>
          <w:tcPr>
            <w:tcW w:w="297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Study Melbourne Brand international marketing campaign: There’s a place for you in Melbourne</w:t>
            </w:r>
          </w:p>
        </w:tc>
        <w:tc>
          <w:tcPr>
            <w:tcW w:w="4393"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To Strengthen Victoria’s position as a destination of choice for students in key overseas markets and to support priority growth regions and strategic market diversification. </w:t>
            </w:r>
          </w:p>
          <w:p w:rsidR="005B6242" w:rsidRPr="005B6242" w:rsidRDefault="005B6242" w:rsidP="00CE567A">
            <w:pPr>
              <w:pStyle w:val="TableCopy"/>
              <w:rPr>
                <w:lang w:val="en-GB"/>
              </w:rPr>
            </w:pPr>
            <w:r w:rsidRPr="005B6242">
              <w:rPr>
                <w:lang w:val="en-GB"/>
              </w:rPr>
              <w:t>To connect students to Study Melbourne and the Study Melbourne Student Centre, a Victorian government support service for international students.</w:t>
            </w:r>
          </w:p>
        </w:tc>
        <w:tc>
          <w:tcPr>
            <w:tcW w:w="3120"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$623,371</w:t>
            </w:r>
          </w:p>
        </w:tc>
      </w:tr>
    </w:tbl>
    <w:p w:rsidR="005B6242" w:rsidRPr="005B6242" w:rsidRDefault="005B6242" w:rsidP="00CE567A">
      <w:pPr>
        <w:pStyle w:val="Heading1"/>
        <w:rPr>
          <w:lang w:val="en-GB"/>
        </w:rPr>
      </w:pPr>
      <w:bookmarkStart w:id="12" w:name="_Toc5098697"/>
      <w:r w:rsidRPr="005B6242">
        <w:rPr>
          <w:lang w:val="en-GB"/>
        </w:rPr>
        <w:t>9. Details of assessments and measures undertaken to improve the occupational health and safety of employees.</w:t>
      </w:r>
      <w:bookmarkEnd w:id="12"/>
    </w:p>
    <w:p w:rsidR="005B6242" w:rsidRPr="005B6242" w:rsidRDefault="005B6242" w:rsidP="005B6242">
      <w:pPr>
        <w:rPr>
          <w:lang w:val="en-GB"/>
        </w:rPr>
      </w:pPr>
      <w:r w:rsidRPr="005B6242">
        <w:rPr>
          <w:lang w:val="en-GB"/>
        </w:rPr>
        <w:t>Information relating to assessments and measures undertaken to improve the occupational health and safety of employees is covered in the department’s 2017-18 Annual Report.</w:t>
      </w:r>
    </w:p>
    <w:p w:rsidR="005B6242" w:rsidRPr="005B6242" w:rsidRDefault="005B6242" w:rsidP="00CE567A">
      <w:pPr>
        <w:pStyle w:val="Heading1"/>
        <w:rPr>
          <w:lang w:val="en-GB"/>
        </w:rPr>
      </w:pPr>
      <w:bookmarkStart w:id="13" w:name="_Toc5098698"/>
      <w:r w:rsidRPr="005B6242">
        <w:rPr>
          <w:lang w:val="en-GB"/>
        </w:rPr>
        <w:t>10. General statement on industrial relations within the department and details of time lost through industrial accidents or disputes.</w:t>
      </w:r>
      <w:bookmarkEnd w:id="13"/>
    </w:p>
    <w:p w:rsidR="005B6242" w:rsidRPr="005B6242" w:rsidRDefault="005B6242" w:rsidP="005B6242">
      <w:pPr>
        <w:rPr>
          <w:lang w:val="en-GB"/>
        </w:rPr>
      </w:pPr>
      <w:r w:rsidRPr="005B6242">
        <w:rPr>
          <w:lang w:val="en-GB"/>
        </w:rPr>
        <w:t>Information relating to industrial accidents or disputes is covered in the department’s 2017-18 Annual Report.</w:t>
      </w:r>
    </w:p>
    <w:p w:rsidR="005B6242" w:rsidRPr="005B6242" w:rsidRDefault="005B6242" w:rsidP="00CE567A">
      <w:pPr>
        <w:pStyle w:val="Heading1"/>
        <w:rPr>
          <w:lang w:val="en-GB"/>
        </w:rPr>
      </w:pPr>
      <w:bookmarkStart w:id="14" w:name="_Toc5098699"/>
      <w:r w:rsidRPr="005B6242">
        <w:rPr>
          <w:lang w:val="en-GB"/>
        </w:rPr>
        <w:t>11. List of major committees sponsored by the department, the purposes of each committee and the extent to which the purposes have been achieved.</w:t>
      </w:r>
      <w:bookmarkEnd w:id="14"/>
      <w:r w:rsidRPr="005B6242">
        <w:rPr>
          <w:lang w:val="en-GB"/>
        </w:rPr>
        <w:t xml:space="preserve"> </w:t>
      </w:r>
    </w:p>
    <w:tbl>
      <w:tblPr>
        <w:tblW w:w="0" w:type="auto"/>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2268"/>
        <w:gridCol w:w="3685"/>
        <w:gridCol w:w="4537"/>
      </w:tblGrid>
      <w:tr w:rsidR="005B6242" w:rsidRPr="005B6242" w:rsidTr="00AA6F8A">
        <w:tblPrEx>
          <w:tblCellMar>
            <w:top w:w="0" w:type="dxa"/>
            <w:left w:w="0" w:type="dxa"/>
            <w:bottom w:w="0" w:type="dxa"/>
            <w:right w:w="0" w:type="dxa"/>
          </w:tblCellMar>
        </w:tblPrEx>
        <w:trPr>
          <w:cantSplit/>
          <w:trHeight w:val="60"/>
          <w:tblHeader/>
        </w:trPr>
        <w:tc>
          <w:tcPr>
            <w:tcW w:w="2268" w:type="dxa"/>
            <w:tcMar>
              <w:top w:w="80" w:type="dxa"/>
              <w:left w:w="80" w:type="dxa"/>
              <w:bottom w:w="80" w:type="dxa"/>
              <w:right w:w="80" w:type="dxa"/>
            </w:tcMar>
          </w:tcPr>
          <w:p w:rsidR="005B6242" w:rsidRPr="005B6242" w:rsidRDefault="005B6242" w:rsidP="00CE567A">
            <w:pPr>
              <w:pStyle w:val="TableHeading"/>
              <w:rPr>
                <w:lang w:val="en-GB"/>
              </w:rPr>
            </w:pPr>
            <w:r w:rsidRPr="005B6242">
              <w:rPr>
                <w:lang w:val="en-GB"/>
              </w:rPr>
              <w:t>Major Committee</w:t>
            </w:r>
          </w:p>
        </w:tc>
        <w:tc>
          <w:tcPr>
            <w:tcW w:w="3685" w:type="dxa"/>
            <w:tcMar>
              <w:top w:w="80" w:type="dxa"/>
              <w:left w:w="80" w:type="dxa"/>
              <w:bottom w:w="80" w:type="dxa"/>
              <w:right w:w="80" w:type="dxa"/>
            </w:tcMar>
          </w:tcPr>
          <w:p w:rsidR="005B6242" w:rsidRPr="005B6242" w:rsidRDefault="005B6242" w:rsidP="00CE567A">
            <w:pPr>
              <w:pStyle w:val="TableHeading"/>
              <w:rPr>
                <w:lang w:val="en-GB"/>
              </w:rPr>
            </w:pPr>
            <w:r w:rsidRPr="005B6242">
              <w:rPr>
                <w:lang w:val="en-GB"/>
              </w:rPr>
              <w:t>Purpose</w:t>
            </w:r>
          </w:p>
        </w:tc>
        <w:tc>
          <w:tcPr>
            <w:tcW w:w="4537" w:type="dxa"/>
            <w:tcMar>
              <w:top w:w="80" w:type="dxa"/>
              <w:left w:w="80" w:type="dxa"/>
              <w:bottom w:w="80" w:type="dxa"/>
              <w:right w:w="80" w:type="dxa"/>
            </w:tcMar>
          </w:tcPr>
          <w:p w:rsidR="005B6242" w:rsidRPr="005B6242" w:rsidRDefault="005B6242" w:rsidP="00CE567A">
            <w:pPr>
              <w:pStyle w:val="TableHeading"/>
              <w:rPr>
                <w:lang w:val="en-GB"/>
              </w:rPr>
            </w:pPr>
            <w:r w:rsidRPr="005B6242">
              <w:rPr>
                <w:lang w:val="en-GB"/>
              </w:rPr>
              <w:t>Extent of purpose achieved</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Advanced Manufacturing Advisory Council</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Established to provide advice to the Victorian Government on priority areas to shape a positive future for Victorian manufacturing. Expert members include representatives from industry, unions and academia.</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Council met four times in 2017-18. The Council is responsible for overseeing the development and implementation of the Advancing Victorian Manufacturing: A Blueprint for the Future statement, released in September 2017.</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Animal Welfare Advisory Committee</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Animal Welfare Advisory Committee (AWAC) is a committee established by the Minister for Agriculture to advise on matters associated with the welfare of animals.</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Professor Ron Slocombe was appointed as Chair in November 2017.</w:t>
            </w:r>
            <w:r w:rsidR="009F313F">
              <w:rPr>
                <w:lang w:val="en-GB"/>
              </w:rPr>
              <w:t xml:space="preserve"> </w:t>
            </w:r>
          </w:p>
          <w:p w:rsidR="005B6242" w:rsidRPr="005B6242" w:rsidRDefault="005B6242" w:rsidP="00CE567A">
            <w:pPr>
              <w:pStyle w:val="TableCopy"/>
              <w:rPr>
                <w:lang w:val="en-GB"/>
              </w:rPr>
            </w:pPr>
            <w:r w:rsidRPr="005B6242">
              <w:rPr>
                <w:lang w:val="en-GB"/>
              </w:rPr>
              <w:t>The Committee met five times during the 2017-18 period with one working group formed.</w:t>
            </w:r>
            <w:r w:rsidR="009F313F">
              <w:rPr>
                <w:lang w:val="en-GB"/>
              </w:rPr>
              <w:t xml:space="preserve"> </w:t>
            </w:r>
          </w:p>
          <w:p w:rsidR="005B6242" w:rsidRPr="005B6242" w:rsidRDefault="005B6242" w:rsidP="00CE567A">
            <w:pPr>
              <w:pStyle w:val="TableCopy"/>
              <w:rPr>
                <w:lang w:val="en-GB"/>
              </w:rPr>
            </w:pPr>
            <w:r w:rsidRPr="005B6242">
              <w:rPr>
                <w:lang w:val="en-GB"/>
              </w:rPr>
              <w:t>Achievements include:</w:t>
            </w:r>
          </w:p>
          <w:p w:rsidR="005B6242" w:rsidRPr="005B6242" w:rsidRDefault="005B6242" w:rsidP="00CE567A">
            <w:pPr>
              <w:pStyle w:val="TableBullet"/>
              <w:rPr>
                <w:lang w:val="en-GB"/>
              </w:rPr>
            </w:pPr>
            <w:r w:rsidRPr="005B6242">
              <w:rPr>
                <w:lang w:val="en-GB"/>
              </w:rPr>
              <w:t>Input to support development of Victoria’s first Animal Welfare Action Plan.</w:t>
            </w:r>
          </w:p>
          <w:p w:rsidR="005B6242" w:rsidRPr="005B6242" w:rsidRDefault="005B6242" w:rsidP="00CE567A">
            <w:pPr>
              <w:pStyle w:val="TableBullet"/>
              <w:rPr>
                <w:lang w:val="en-GB"/>
              </w:rPr>
            </w:pPr>
            <w:r w:rsidRPr="005B6242">
              <w:rPr>
                <w:lang w:val="en-GB"/>
              </w:rPr>
              <w:t>Advice to the Minister on the current knowledge base on the implications of virtual fencing technology for animal welfare.</w:t>
            </w:r>
          </w:p>
          <w:p w:rsidR="005B6242" w:rsidRPr="005B6242" w:rsidRDefault="005B6242" w:rsidP="00CE567A">
            <w:pPr>
              <w:pStyle w:val="TableBullet"/>
              <w:rPr>
                <w:lang w:val="en-GB"/>
              </w:rPr>
            </w:pPr>
            <w:r w:rsidRPr="005B6242">
              <w:rPr>
                <w:lang w:val="en-GB"/>
              </w:rPr>
              <w:t>Advice on options for a Rooftop Bird deterrent system.</w:t>
            </w:r>
          </w:p>
          <w:p w:rsidR="005B6242" w:rsidRPr="005B6242" w:rsidRDefault="005B6242" w:rsidP="00CE567A">
            <w:pPr>
              <w:pStyle w:val="TableBullet"/>
              <w:rPr>
                <w:lang w:val="en-GB"/>
              </w:rPr>
            </w:pPr>
            <w:r w:rsidRPr="005B6242">
              <w:rPr>
                <w:lang w:val="en-GB"/>
              </w:rPr>
              <w:t>Advice regarding planned legislative reform.</w:t>
            </w:r>
          </w:p>
          <w:p w:rsidR="005B6242" w:rsidRPr="005B6242" w:rsidRDefault="005B6242" w:rsidP="00CE567A">
            <w:pPr>
              <w:pStyle w:val="TableBullet"/>
              <w:rPr>
                <w:lang w:val="en-GB"/>
              </w:rPr>
            </w:pPr>
            <w:r w:rsidRPr="005B6242">
              <w:rPr>
                <w:lang w:val="en-GB"/>
              </w:rPr>
              <w:t>Advice to the department regarding Duty of Care Education.</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Apicultural Industry Advisory Committee</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The Apicultural Industry Advisory Committee (AIAC) is an industry- based committee of representatives which has an advisory function on payments for disease compensation and for industry development projects. AIAC is established under the </w:t>
            </w:r>
            <w:r w:rsidRPr="005B6242">
              <w:rPr>
                <w:i/>
                <w:iCs/>
                <w:lang w:val="en-GB"/>
              </w:rPr>
              <w:t>Livestock Disease Control Act 1994.</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AIAC has delivered significant benefits to industry, including:</w:t>
            </w:r>
          </w:p>
          <w:p w:rsidR="005B6242" w:rsidRPr="005B6242" w:rsidRDefault="005B6242" w:rsidP="00CE567A">
            <w:pPr>
              <w:pStyle w:val="TableBullet"/>
              <w:rPr>
                <w:lang w:val="en-GB"/>
              </w:rPr>
            </w:pPr>
            <w:r w:rsidRPr="005B6242">
              <w:rPr>
                <w:lang w:val="en-GB"/>
              </w:rPr>
              <w:t>Co-funding the Victorian Bee Biosecurity Officer, who is a key component of the National Bee Biosecurity Program, to promote compliance with the Australian Honey Bee Industry Biosecurity Code of Practice.</w:t>
            </w:r>
          </w:p>
          <w:p w:rsidR="005B6242" w:rsidRPr="005B6242" w:rsidRDefault="005B6242" w:rsidP="00CE567A">
            <w:pPr>
              <w:pStyle w:val="TableBullet"/>
              <w:rPr>
                <w:lang w:val="en-GB"/>
              </w:rPr>
            </w:pPr>
            <w:r w:rsidRPr="005B6242">
              <w:rPr>
                <w:lang w:val="en-GB"/>
              </w:rPr>
              <w:t>Provided funding for the design and printing of information notes specific to the honey bee industry.</w:t>
            </w:r>
          </w:p>
          <w:p w:rsidR="005B6242" w:rsidRPr="005B6242" w:rsidRDefault="005B6242" w:rsidP="00CE567A">
            <w:pPr>
              <w:pStyle w:val="TableBullet"/>
              <w:rPr>
                <w:lang w:val="en-GB"/>
              </w:rPr>
            </w:pPr>
            <w:r w:rsidRPr="005B6242">
              <w:rPr>
                <w:lang w:val="en-GB"/>
              </w:rPr>
              <w:t>Provided funding to support the printing and distribution of the Bee Biosecurity Code of Practice.</w:t>
            </w:r>
          </w:p>
          <w:p w:rsidR="005B6242" w:rsidRPr="005B6242" w:rsidRDefault="005B6242" w:rsidP="00CE567A">
            <w:pPr>
              <w:pStyle w:val="TableBullet"/>
              <w:rPr>
                <w:lang w:val="en-GB"/>
              </w:rPr>
            </w:pPr>
            <w:r w:rsidRPr="005B6242">
              <w:rPr>
                <w:lang w:val="en-GB"/>
              </w:rPr>
              <w:t>Provided funding for a key note speaker at the Victorian Apiarists’ Association Inc. annual conference that was held in June 2018.</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Audit, Risk and Integrity Committee (ARIC)</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Provide independent assurance to the Secretary on the department’s financial and performance reporting, risk oversight and management, internal control systems, and compliance with relevant laws and policies.</w:t>
            </w:r>
          </w:p>
          <w:p w:rsidR="005B6242" w:rsidRPr="005B6242" w:rsidRDefault="005B6242" w:rsidP="00CE567A">
            <w:pPr>
              <w:pStyle w:val="TableCopy"/>
              <w:rPr>
                <w:lang w:val="en-GB"/>
              </w:rPr>
            </w:pPr>
            <w:r w:rsidRPr="005B6242">
              <w:rPr>
                <w:lang w:val="en-GB"/>
              </w:rPr>
              <w:t xml:space="preserve">Standing Directions 3.2.1 and 3.2.2 of the Minister for Finance under section 8 of the </w:t>
            </w:r>
            <w:r w:rsidRPr="005B6242">
              <w:rPr>
                <w:i/>
                <w:iCs/>
                <w:lang w:val="en-GB"/>
              </w:rPr>
              <w:t>Financial Management Act 1994</w:t>
            </w:r>
            <w:r w:rsidRPr="005B6242">
              <w:rPr>
                <w:lang w:val="en-GB"/>
              </w:rPr>
              <w:t xml:space="preserve"> require the department to appoint an audit committee and to maintain an internal audit function as part of its governance arrangements.</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ARIC had four members during 2017/18, three independent and one internal. They met six times during 2017-18.</w:t>
            </w:r>
          </w:p>
          <w:p w:rsidR="005B6242" w:rsidRPr="005B6242" w:rsidRDefault="005B6242" w:rsidP="00CE567A">
            <w:pPr>
              <w:pStyle w:val="TableCopy"/>
              <w:rPr>
                <w:lang w:val="en-GB"/>
              </w:rPr>
            </w:pPr>
            <w:r w:rsidRPr="005B6242">
              <w:rPr>
                <w:lang w:val="en-GB"/>
              </w:rPr>
              <w:t>The ARIC Chair met with the Secretary after each meeting to discuss significant matters that were related to ARIC’s purpose.</w:t>
            </w:r>
          </w:p>
          <w:p w:rsidR="005B6242" w:rsidRPr="005B6242" w:rsidRDefault="005B6242" w:rsidP="00CE567A">
            <w:pPr>
              <w:pStyle w:val="TableCopy"/>
              <w:rPr>
                <w:lang w:val="en-GB"/>
              </w:rPr>
            </w:pPr>
            <w:r w:rsidRPr="005B6242">
              <w:rPr>
                <w:lang w:val="en-GB"/>
              </w:rPr>
              <w:t>During the year the ARIC:</w:t>
            </w:r>
          </w:p>
          <w:p w:rsidR="005B6242" w:rsidRPr="005B6242" w:rsidRDefault="005B6242" w:rsidP="00CE567A">
            <w:pPr>
              <w:pStyle w:val="TableBullet"/>
              <w:rPr>
                <w:lang w:val="en-GB"/>
              </w:rPr>
            </w:pPr>
            <w:r w:rsidRPr="005B6242">
              <w:rPr>
                <w:lang w:val="en-GB"/>
              </w:rPr>
              <w:t>endorsed the department’s internal audit plan for 2017-18</w:t>
            </w:r>
          </w:p>
          <w:p w:rsidR="005B6242" w:rsidRPr="005B6242" w:rsidRDefault="005B6242" w:rsidP="00CE567A">
            <w:pPr>
              <w:pStyle w:val="TableBullet"/>
              <w:rPr>
                <w:lang w:val="en-GB"/>
              </w:rPr>
            </w:pPr>
            <w:r w:rsidRPr="005B6242">
              <w:rPr>
                <w:lang w:val="en-GB"/>
              </w:rPr>
              <w:t xml:space="preserve">reviewed internal audit reports and the status of management actions to address findings in the internal audit reports </w:t>
            </w:r>
          </w:p>
          <w:p w:rsidR="005B6242" w:rsidRPr="005B6242" w:rsidRDefault="005B6242" w:rsidP="00CE567A">
            <w:pPr>
              <w:pStyle w:val="TableBullet"/>
              <w:rPr>
                <w:lang w:val="en-GB"/>
              </w:rPr>
            </w:pPr>
            <w:r w:rsidRPr="005B6242">
              <w:rPr>
                <w:lang w:val="en-GB"/>
              </w:rPr>
              <w:t xml:space="preserve">regularly reviewed changes to the department’s risk profile and risk treatment plans </w:t>
            </w:r>
          </w:p>
          <w:p w:rsidR="005B6242" w:rsidRPr="005B6242" w:rsidRDefault="005B6242" w:rsidP="00CE567A">
            <w:pPr>
              <w:pStyle w:val="TableBullet"/>
              <w:rPr>
                <w:lang w:val="en-GB"/>
              </w:rPr>
            </w:pPr>
            <w:r w:rsidRPr="005B6242">
              <w:rPr>
                <w:lang w:val="en-GB"/>
              </w:rPr>
              <w:t xml:space="preserve">reviewed and endorsed the department’s updated Internal Audit and ARIC Charters </w:t>
            </w:r>
          </w:p>
          <w:p w:rsidR="005B6242" w:rsidRPr="005B6242" w:rsidRDefault="005B6242" w:rsidP="00CE567A">
            <w:pPr>
              <w:pStyle w:val="TableBullet"/>
              <w:rPr>
                <w:lang w:val="en-GB"/>
              </w:rPr>
            </w:pPr>
            <w:r w:rsidRPr="005B6242">
              <w:rPr>
                <w:lang w:val="en-GB"/>
              </w:rPr>
              <w:t xml:space="preserve">liaised with the Victorian Auditor General’s Office including on financial-audit matters </w:t>
            </w:r>
          </w:p>
          <w:p w:rsidR="005B6242" w:rsidRPr="005B6242" w:rsidRDefault="005B6242" w:rsidP="00CE567A">
            <w:pPr>
              <w:pStyle w:val="TableBullet"/>
              <w:rPr>
                <w:lang w:val="en-GB"/>
              </w:rPr>
            </w:pPr>
            <w:r w:rsidRPr="005B6242">
              <w:rPr>
                <w:lang w:val="en-GB"/>
              </w:rPr>
              <w:t xml:space="preserve">endorsed the department’s financial statements prior to sign- off by the Secretary and the Chief Finance Officer </w:t>
            </w:r>
          </w:p>
          <w:p w:rsidR="005B6242" w:rsidRPr="005B6242" w:rsidRDefault="005B6242" w:rsidP="00CE567A">
            <w:pPr>
              <w:pStyle w:val="TableBullet"/>
              <w:rPr>
                <w:lang w:val="en-GB"/>
              </w:rPr>
            </w:pPr>
            <w:r w:rsidRPr="005B6242">
              <w:rPr>
                <w:lang w:val="en-GB"/>
              </w:rPr>
              <w:t>endorsed the department’s attestation of compliance with the Standing Directions of the Minister for Finance</w:t>
            </w:r>
          </w:p>
          <w:p w:rsidR="005B6242" w:rsidRPr="005B6242" w:rsidRDefault="005B6242" w:rsidP="00CE567A">
            <w:pPr>
              <w:pStyle w:val="TableBullet"/>
              <w:rPr>
                <w:lang w:val="en-GB"/>
              </w:rPr>
            </w:pPr>
            <w:r w:rsidRPr="005B6242">
              <w:rPr>
                <w:lang w:val="en-GB"/>
              </w:rPr>
              <w:t>endorsed the department’s annual risk and insurance management attestation prior to sign-off by the Secretary.</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Biosciences Research Centre Joint Venture Board </w:t>
            </w:r>
          </w:p>
          <w:p w:rsidR="005B6242" w:rsidRPr="005B6242" w:rsidRDefault="005B6242" w:rsidP="00CE567A">
            <w:pPr>
              <w:pStyle w:val="TableCopy"/>
              <w:rPr>
                <w:lang w:val="en-GB"/>
              </w:rPr>
            </w:pP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To oversee arrangements for ongoing management and use of the Biosciences Research Centre as an asset.</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board met bi-monthly in 2017–18 to ensure that the private sector service provider met its contractual obligations and that the Joint Venture partners met their obligations to the service provider.</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Box Hill Transit Interchange Steering Committee</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Victorian Government has established the Box Hill Transit Interchange Steering Committee to work towards a business case for the redevelopment of the interchange.</w:t>
            </w:r>
          </w:p>
          <w:p w:rsidR="005B6242" w:rsidRPr="005B6242" w:rsidRDefault="005B6242" w:rsidP="00CE567A">
            <w:pPr>
              <w:pStyle w:val="TableCopy"/>
              <w:rPr>
                <w:lang w:val="en-GB"/>
              </w:rPr>
            </w:pPr>
            <w:r w:rsidRPr="005B6242">
              <w:rPr>
                <w:lang w:val="en-GB"/>
              </w:rPr>
              <w:t>The committee will build on the work of the Ministerial Advisory Group, which provided options to the Minister for Public Transport to improve the interchange. It will meet monthly and is expected to provide a business case and recommendations to government by mid-2019.</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A range of upgrades have been made to the interchange in the past few years, including the addition of the Route 201 bus service – a direct link for students and locals between Box Hill Station and Deakin University.</w:t>
            </w:r>
          </w:p>
          <w:p w:rsidR="005B6242" w:rsidRPr="005B6242" w:rsidRDefault="005B6242" w:rsidP="00CE567A">
            <w:pPr>
              <w:pStyle w:val="TableCopy"/>
              <w:rPr>
                <w:lang w:val="en-GB"/>
              </w:rPr>
            </w:pPr>
            <w:r w:rsidRPr="005B6242">
              <w:rPr>
                <w:lang w:val="en-GB"/>
              </w:rPr>
              <w:t>Other upgrades include improving passenger safety in the bus interchange by adding pedestrian crossings and repainting bays, installing better ramps and additional signage to increase accessibility, fixing the roof and downpipes and expanding the presence of staff and security.</w:t>
            </w:r>
          </w:p>
          <w:p w:rsidR="005B6242" w:rsidRPr="005B6242" w:rsidRDefault="005B6242" w:rsidP="00CE567A">
            <w:pPr>
              <w:pStyle w:val="TableCopy"/>
              <w:rPr>
                <w:lang w:val="en-GB"/>
              </w:rPr>
            </w:pPr>
            <w:r w:rsidRPr="005B6242">
              <w:rPr>
                <w:lang w:val="en-GB"/>
              </w:rPr>
              <w:t>Works were completed to replace old lighting with LED lamps, improving safety and visibility for passengers, in late 2017.</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Building Industry Consultative</w:t>
            </w:r>
          </w:p>
          <w:p w:rsidR="005B6242" w:rsidRPr="005B6242" w:rsidRDefault="005B6242" w:rsidP="00CE567A">
            <w:pPr>
              <w:pStyle w:val="TableCopy"/>
              <w:rPr>
                <w:lang w:val="en-GB"/>
              </w:rPr>
            </w:pPr>
            <w:r w:rsidRPr="005B6242">
              <w:rPr>
                <w:lang w:val="en-GB"/>
              </w:rPr>
              <w:t>Council (BICC)</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A forum for discussion between employers, industry associations, unions and government on significant economic and industrial relations issues affecting the building and construction industry. </w:t>
            </w:r>
          </w:p>
          <w:p w:rsidR="005B6242" w:rsidRPr="005B6242" w:rsidRDefault="005B6242" w:rsidP="00CE567A">
            <w:pPr>
              <w:pStyle w:val="TableCopy"/>
              <w:rPr>
                <w:lang w:val="en-GB"/>
              </w:rPr>
            </w:pPr>
            <w:r w:rsidRPr="005B6242">
              <w:rPr>
                <w:lang w:val="en-GB"/>
              </w:rPr>
              <w:t>Responsible for supervising the operations of the Victorian Building Industry Disputes Panel (VBIDP).</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Purpose achieved – the BICC met five times in 2017–18, considered a range of building and construction issues</w:t>
            </w:r>
            <w:r w:rsidR="006116D1">
              <w:rPr>
                <w:lang w:val="en-GB"/>
              </w:rPr>
              <w:t xml:space="preserve"> </w:t>
            </w:r>
            <w:r w:rsidRPr="005B6242">
              <w:rPr>
                <w:lang w:val="en-GB"/>
              </w:rPr>
              <w:t>and provided feedback to the Victorian Government. It also continued to supervise the activities of the VBIDP.</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Business Improvement Committee (BIC)</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Business Improvement Committee</w:t>
            </w:r>
            <w:r w:rsidR="009F313F">
              <w:rPr>
                <w:lang w:val="en-GB"/>
              </w:rPr>
              <w:t xml:space="preserve"> </w:t>
            </w:r>
            <w:r w:rsidRPr="005B6242">
              <w:rPr>
                <w:lang w:val="en-GB"/>
              </w:rPr>
              <w:t>(BIC) of the DEDJTR Executive Board leads the department in developing strategies</w:t>
            </w:r>
            <w:r w:rsidR="006116D1">
              <w:rPr>
                <w:lang w:val="en-GB"/>
              </w:rPr>
              <w:t xml:space="preserve"> </w:t>
            </w:r>
            <w:r w:rsidRPr="005B6242">
              <w:rPr>
                <w:lang w:val="en-GB"/>
              </w:rPr>
              <w:t>to enhance the effectiveness and efficiency of cross-departmental enabling activities and operations.</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BIC has overseen the development and implementation of agreed cross-departmental business improvement initiatives and modernisation projects, considered the application of relevant WoVG initiatives, and reviewed cross-departmental corporate policies.</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Cattle Compensation Advisory Committee</w:t>
            </w:r>
          </w:p>
          <w:p w:rsidR="005B6242" w:rsidRPr="005B6242" w:rsidRDefault="005B6242" w:rsidP="00CE567A">
            <w:pPr>
              <w:pStyle w:val="TableCopy"/>
              <w:rPr>
                <w:lang w:val="en-GB"/>
              </w:rPr>
            </w:pP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The Cattle Compensation Advisory Committee (CCAC) is an industry-based committee of representatives that advises the Minister for Agriculture on how funds should be used, and any other matters referred to it by the minister. CCAC is established under the </w:t>
            </w:r>
            <w:r w:rsidRPr="005B6242">
              <w:rPr>
                <w:i/>
                <w:iCs/>
                <w:lang w:val="en-GB"/>
              </w:rPr>
              <w:t>Livestock Disease Control Act 1994</w:t>
            </w:r>
            <w:r w:rsidRPr="005B6242">
              <w:rPr>
                <w:lang w:val="en-GB"/>
              </w:rPr>
              <w:t>.</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CCAC delivered significant benefits to industry in 2017–18 including:</w:t>
            </w:r>
          </w:p>
          <w:p w:rsidR="005B6242" w:rsidRPr="005B6242" w:rsidRDefault="005B6242" w:rsidP="006116D1">
            <w:pPr>
              <w:pStyle w:val="TableBullet"/>
              <w:rPr>
                <w:lang w:val="en-GB"/>
              </w:rPr>
            </w:pPr>
            <w:r w:rsidRPr="005B6242">
              <w:rPr>
                <w:lang w:val="en-GB"/>
              </w:rPr>
              <w:t>Funding small pilot research projects by AgriBio.</w:t>
            </w:r>
          </w:p>
          <w:p w:rsidR="005B6242" w:rsidRPr="005B6242" w:rsidRDefault="005B6242" w:rsidP="006116D1">
            <w:pPr>
              <w:pStyle w:val="TableBullet"/>
              <w:rPr>
                <w:lang w:val="en-GB"/>
              </w:rPr>
            </w:pPr>
            <w:r w:rsidRPr="005B6242">
              <w:rPr>
                <w:lang w:val="en-GB"/>
              </w:rPr>
              <w:t>Funding animal disease investigation training for veterinarians in Victoria.</w:t>
            </w:r>
          </w:p>
          <w:p w:rsidR="005B6242" w:rsidRPr="005B6242" w:rsidRDefault="005B6242" w:rsidP="006116D1">
            <w:pPr>
              <w:pStyle w:val="TableBullet"/>
              <w:rPr>
                <w:lang w:val="en-GB"/>
              </w:rPr>
            </w:pPr>
            <w:r w:rsidRPr="005B6242">
              <w:rPr>
                <w:lang w:val="en-GB"/>
              </w:rPr>
              <w:t>Victoria’s significant disease investigation program, funded by the Cattle Compensation Fund, which contributed significantly to Victoria’s animal health surveillance system.</w:t>
            </w:r>
          </w:p>
          <w:p w:rsidR="005B6242" w:rsidRPr="005B6242" w:rsidRDefault="005B6242" w:rsidP="006116D1">
            <w:pPr>
              <w:pStyle w:val="TableBullet"/>
              <w:rPr>
                <w:lang w:val="en-GB"/>
              </w:rPr>
            </w:pPr>
            <w:r w:rsidRPr="005B6242">
              <w:rPr>
                <w:lang w:val="en-GB"/>
              </w:rPr>
              <w:t>Supported the National Livestock Identification System (Cattle) through the provision of a tag subsidy for cattle producers.</w:t>
            </w:r>
          </w:p>
          <w:p w:rsidR="005B6242" w:rsidRPr="005B6242" w:rsidRDefault="005B6242" w:rsidP="006116D1">
            <w:pPr>
              <w:pStyle w:val="TableBullet"/>
              <w:rPr>
                <w:lang w:val="en-GB"/>
              </w:rPr>
            </w:pPr>
            <w:r w:rsidRPr="005B6242">
              <w:rPr>
                <w:lang w:val="en-GB"/>
              </w:rPr>
              <w:t>Reviewed the Victorian bovine Johne’s disease test and control program and its replacement with a subsidised vaccine program.</w:t>
            </w:r>
          </w:p>
          <w:p w:rsidR="005B6242" w:rsidRPr="005B6242" w:rsidRDefault="005B6242" w:rsidP="006116D1">
            <w:pPr>
              <w:pStyle w:val="TableBullet"/>
              <w:rPr>
                <w:lang w:val="en-GB"/>
              </w:rPr>
            </w:pPr>
            <w:r w:rsidRPr="005B6242">
              <w:rPr>
                <w:lang w:val="en-GB"/>
              </w:rPr>
              <w:t xml:space="preserve">The Victorian Farmers Federation Livestock Project Officers Animal Health and Biosecurity Extension project which provided education workshops to livestock producers on farm biosecurity. </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Creative State Advisory Board</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The Creative State Advisory Board was established in April 2016 to take a leading role in the rollout of </w:t>
            </w:r>
            <w:r w:rsidRPr="005B6242">
              <w:rPr>
                <w:i/>
                <w:iCs/>
                <w:lang w:val="en-GB"/>
              </w:rPr>
              <w:t>Creative State</w:t>
            </w:r>
            <w:r w:rsidRPr="005B6242">
              <w:rPr>
                <w:lang w:val="en-GB"/>
              </w:rPr>
              <w:t>, to advise on the implementation of strategic projects and ensure that the sector has a strong voice in the implementation of the actions.</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The Board is chaired by the Minister for Creative Industries and has met quarterly since it was established. The Board has provided valuable input into individual strategic actions in </w:t>
            </w:r>
            <w:r w:rsidRPr="005B6242">
              <w:rPr>
                <w:i/>
                <w:iCs/>
                <w:lang w:val="en-GB"/>
              </w:rPr>
              <w:t>Creative State</w:t>
            </w:r>
            <w:r w:rsidRPr="005B6242">
              <w:rPr>
                <w:lang w:val="en-GB"/>
              </w:rPr>
              <w:t>. In addition, individual members have committed time and provided expertise outside of the formal meetings.</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Dairy Food Safety Victoria Selection Committee (DFSV)</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To make nominations for appointment by the Minister for Agriculture to the Dairy Food Safety Victoria Board in accordance with the </w:t>
            </w:r>
            <w:r w:rsidRPr="005B6242">
              <w:rPr>
                <w:i/>
                <w:iCs/>
                <w:lang w:val="en-GB"/>
              </w:rPr>
              <w:t>Dairy Act 2000</w:t>
            </w:r>
            <w:r w:rsidRPr="005B6242">
              <w:rPr>
                <w:lang w:val="en-GB"/>
              </w:rPr>
              <w:t>.</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Provided recommendations to appoint new members to DFSV.</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DEDJTR Executive Board (EB)</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EB is the department’s primary governance body. It is a forum where senior executives provide advice and assist the Secretary to make decisions in the key areas of strategy and planning, people and culture, organisation policy and performance (financial and operational) and resource allocation.</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EB also monitors the delivery of key priorities, ensures integration and alignment across groups and agencies, and drives strong leadership and a high performing culture across the department’s portfolios.</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Defence Council </w:t>
            </w:r>
            <w:r w:rsidRPr="005B6242">
              <w:rPr>
                <w:lang w:val="en-GB"/>
              </w:rPr>
              <w:br/>
              <w:t>Victoria (DCV)</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Advises the Victorian Government on strategies to develop and sustain Victoria’s defence industry capabilities. Its members represent a broad range of experience across defence operations, equipment acquisition and business and commercial practice.</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DCV has provided advice on implementing Victoria’s Defence Technologies Sector Strategy, and optimal approaches to securing work from Defence’s 2016 Integrated Investment Program, in particular the future maritime and land systems programs.</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Earth Resources Ministerial Advisory Council</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Provide strategic advice on the sustainable development of Victoria’s mining and resources industry.</w:t>
            </w:r>
          </w:p>
          <w:p w:rsidR="005B6242" w:rsidRPr="005B6242" w:rsidRDefault="005B6242" w:rsidP="00CE567A">
            <w:pPr>
              <w:pStyle w:val="TableCopy"/>
              <w:rPr>
                <w:lang w:val="en-GB"/>
              </w:rPr>
            </w:pP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Ministerial Advisory Council continues to review and advise on matters important to Victoria’s earth resources sector.</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Emergency Coordination Committee (ECC)</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Responsible for oversight of coordination and implementation of the emergency management capabilities for the department and its agencies, including:</w:t>
            </w:r>
          </w:p>
          <w:p w:rsidR="005B6242" w:rsidRPr="005B6242" w:rsidRDefault="005B6242" w:rsidP="00BF1A2A">
            <w:pPr>
              <w:pStyle w:val="TableBullet"/>
              <w:rPr>
                <w:lang w:val="en-GB"/>
              </w:rPr>
            </w:pPr>
            <w:r w:rsidRPr="005B6242">
              <w:rPr>
                <w:lang w:val="en-GB"/>
              </w:rPr>
              <w:t>a focus on prevention/ mitigation</w:t>
            </w:r>
          </w:p>
          <w:p w:rsidR="005B6242" w:rsidRPr="005B6242" w:rsidRDefault="005B6242" w:rsidP="00CE567A">
            <w:pPr>
              <w:pStyle w:val="TableCopy"/>
              <w:rPr>
                <w:lang w:val="en-GB"/>
              </w:rPr>
            </w:pPr>
            <w:r w:rsidRPr="005B6242">
              <w:rPr>
                <w:lang w:val="en-GB"/>
              </w:rPr>
              <w:t>of major external risks</w:t>
            </w:r>
          </w:p>
          <w:p w:rsidR="005B6242" w:rsidRPr="005B6242" w:rsidRDefault="005B6242" w:rsidP="00BF1A2A">
            <w:pPr>
              <w:pStyle w:val="TableBullet"/>
              <w:rPr>
                <w:lang w:val="en-GB"/>
              </w:rPr>
            </w:pPr>
            <w:r w:rsidRPr="005B6242">
              <w:rPr>
                <w:lang w:val="en-GB"/>
              </w:rPr>
              <w:t>preparedness for and responding to major emergencies and significant disruptive incidents guiding recovery arrangements.</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Emergency Coordination Committee’s (ECC) priorities in 2017-18 were:</w:t>
            </w:r>
          </w:p>
          <w:p w:rsidR="005B6242" w:rsidRPr="005B6242" w:rsidRDefault="005B6242" w:rsidP="00BF1A2A">
            <w:pPr>
              <w:pStyle w:val="TableBullet"/>
              <w:rPr>
                <w:lang w:val="en-GB"/>
              </w:rPr>
            </w:pPr>
            <w:r w:rsidRPr="005B6242">
              <w:rPr>
                <w:lang w:val="en-GB"/>
              </w:rPr>
              <w:t xml:space="preserve">review of the ECC governance structure </w:t>
            </w:r>
          </w:p>
          <w:p w:rsidR="005B6242" w:rsidRPr="005B6242" w:rsidRDefault="005B6242" w:rsidP="00BF1A2A">
            <w:pPr>
              <w:pStyle w:val="TableBullet"/>
              <w:rPr>
                <w:lang w:val="en-GB"/>
              </w:rPr>
            </w:pPr>
            <w:r w:rsidRPr="005B6242">
              <w:rPr>
                <w:lang w:val="en-GB"/>
              </w:rPr>
              <w:t>implementation of new subcommittees for Exercise Management, Critical Infrastructure and Business Continuity</w:t>
            </w:r>
          </w:p>
          <w:p w:rsidR="005B6242" w:rsidRPr="005B6242" w:rsidRDefault="005B6242" w:rsidP="00BF1A2A">
            <w:pPr>
              <w:pStyle w:val="TableBullet"/>
              <w:rPr>
                <w:lang w:val="en-GB"/>
              </w:rPr>
            </w:pPr>
            <w:r w:rsidRPr="005B6242">
              <w:rPr>
                <w:lang w:val="en-GB"/>
              </w:rPr>
              <w:t>coordination of appropriate DEDJTR involvement in State Crisis and Resilience Council Key Priorities 2017-18 and Strategic Action Plan projects</w:t>
            </w:r>
          </w:p>
          <w:p w:rsidR="005B6242" w:rsidRPr="005B6242" w:rsidRDefault="005B6242" w:rsidP="00BF1A2A">
            <w:pPr>
              <w:pStyle w:val="TableBullet"/>
              <w:rPr>
                <w:lang w:val="en-GB"/>
              </w:rPr>
            </w:pPr>
            <w:r w:rsidRPr="005B6242">
              <w:rPr>
                <w:lang w:val="en-GB"/>
              </w:rPr>
              <w:t>strengthening whole-of-department emergency management systems and processes</w:t>
            </w:r>
          </w:p>
          <w:p w:rsidR="005B6242" w:rsidRPr="005B6242" w:rsidRDefault="005B6242" w:rsidP="00BF1A2A">
            <w:pPr>
              <w:pStyle w:val="TableBullet"/>
              <w:rPr>
                <w:lang w:val="en-GB"/>
              </w:rPr>
            </w:pPr>
            <w:r w:rsidRPr="005B6242">
              <w:rPr>
                <w:lang w:val="en-GB"/>
              </w:rPr>
              <w:t>development and implementation of an annual exercise program.</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Equal Workplaces Advisory Council (EWAC)</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A key founding reform of the Victorian Gender Equality Strategy (VGES), the EWAC is charged with identifying</w:t>
            </w:r>
            <w:r w:rsidR="00BF1A2A">
              <w:rPr>
                <w:lang w:val="en-GB"/>
              </w:rPr>
              <w:t xml:space="preserve"> </w:t>
            </w:r>
            <w:r w:rsidRPr="005B6242">
              <w:rPr>
                <w:lang w:val="en-GB"/>
              </w:rPr>
              <w:t>government action that will promote the achievement of gender equality, including gendered occupational</w:t>
            </w:r>
            <w:r w:rsidR="00BF1A2A">
              <w:rPr>
                <w:lang w:val="en-GB"/>
              </w:rPr>
              <w:t xml:space="preserve"> </w:t>
            </w:r>
            <w:r w:rsidRPr="005B6242">
              <w:rPr>
                <w:lang w:val="en-GB"/>
              </w:rPr>
              <w:t>segregation, in Victorian workplaces.</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Purpose achieved –EWAC met 6 times during 2017-18 and held 6 sub-committee meetings. The Council developed a 12 month action plan to address pay inequity, provided advice in relation to a pilot gender equity audit in the VPS and contributed to the Victorian Workplace Gender Equity Summit, women@Work.</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Executive Employment, Remuneration and Development Committee (EERDC)</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Executive Employment, Remuneration and Development Committee’s purpose is to ensure there is oversight of employment and classification levels, including trends and a consistent and rigorous approach to setting and adjusting remuneration at the Executive Officer, Principal Scientist and Senior Technical Specialist level; and to support the ongoing development and retention of Executive Officer capability. It is chaired by the Secretary, and members include the Lead Deputy Secretary, Corporate Services, Executive Director, People and Workplace Services with appropriate independent expert when required.</w:t>
            </w:r>
            <w:r w:rsidR="009F313F">
              <w:rPr>
                <w:lang w:val="en-GB"/>
              </w:rPr>
              <w:t xml:space="preserve"> </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A committee has been established holding quarterly meetings with a clear Terms of Reference.</w:t>
            </w:r>
            <w:r w:rsidR="009F313F">
              <w:rPr>
                <w:lang w:val="en-GB"/>
              </w:rPr>
              <w:t xml:space="preserve"> </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Forestry Industry Council (FIC)</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Established under the </w:t>
            </w:r>
            <w:r w:rsidRPr="005B6242">
              <w:rPr>
                <w:i/>
                <w:iCs/>
                <w:lang w:val="en-GB"/>
              </w:rPr>
              <w:t>Victorian Owner Drivers and Forestry Contractors Act 2005</w:t>
            </w:r>
            <w:r w:rsidRPr="005B6242">
              <w:rPr>
                <w:lang w:val="en-GB"/>
              </w:rPr>
              <w:t xml:space="preserve"> to advise and make recommendations</w:t>
            </w:r>
          </w:p>
          <w:p w:rsidR="005B6242" w:rsidRPr="005B6242" w:rsidRDefault="005B6242" w:rsidP="00CE567A">
            <w:pPr>
              <w:pStyle w:val="TableCopy"/>
              <w:rPr>
                <w:lang w:val="en-GB"/>
              </w:rPr>
            </w:pPr>
            <w:r w:rsidRPr="005B6242">
              <w:rPr>
                <w:lang w:val="en-GB"/>
              </w:rPr>
              <w:t>to the Minister for Industrial Relations on model rates and cost schedules, model contracts, codes of practice and information materials for forestry contractors.</w:t>
            </w:r>
          </w:p>
          <w:p w:rsidR="005B6242" w:rsidRPr="005B6242" w:rsidRDefault="005B6242" w:rsidP="00CE567A">
            <w:pPr>
              <w:pStyle w:val="TableCopy"/>
              <w:rPr>
                <w:lang w:val="en-GB"/>
              </w:rPr>
            </w:pP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Purpose achieved – During 2017–18, the FIC updated model rates and costs schedules and settled the content of a new Victorian Forestry Contractors Information Booklet.</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Innovation Expert Panel (IEP)</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A non-statutory panel that advises on topical and emerging innovation trends and issues, disruptive technologies, and their potential to impact business and jobs growth across the economy.</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The IEP met four times in 2017-18. In the latter half of 2017, the IEP focussed on the issue of a lack of ‘job ready’ students in Victoria. The IEP delivered a report to the Minister in late 2017, which included initiatives to address the issue. </w:t>
            </w:r>
          </w:p>
          <w:p w:rsidR="005B6242" w:rsidRPr="005B6242" w:rsidRDefault="005B6242" w:rsidP="00CE567A">
            <w:pPr>
              <w:pStyle w:val="TableCopy"/>
              <w:rPr>
                <w:lang w:val="en-GB"/>
              </w:rPr>
            </w:pPr>
            <w:r w:rsidRPr="005B6242">
              <w:rPr>
                <w:lang w:val="en-GB"/>
              </w:rPr>
              <w:t>In 2018 the IEP’s focus has been on the issue of attracting digital technology talent to Victoria. The IEP will deliver a report to the Minister for Trade and Investment by early 2018-19, which includes initiatives designed to address the issue.</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International Education Ministerial Roundtable</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roundtable was formed to promote a coordinated and strategic approach to international education, and to support collaboration between government and the international education sector. The roundtable comprises stakeholders from across the schools, VET and tertiary sectors.</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In 2017–18, two meetings of the roundtable were convened, considering issues including international student safety, housing branding and marketing activities, and employability.</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Latrobe Valley Mine Rehabilitation Advisory Committee</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Provide advice to the minister regarding the development of the Latrobe Valley Regional Rehabilitation Strategy – a key action as part of the Hazelwood Mine Fire Inquiry Implementation Plan. The Committee also performs a key role in community and stakeholder engagement regarding mine rehabilitation in the Latrobe Valley.</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Committee continues to provide advice regarding the development of the Latrobe Valley Regional Rehabilitation Strategy.</w:t>
            </w:r>
            <w:r w:rsidR="009F313F">
              <w:rPr>
                <w:lang w:val="en-GB"/>
              </w:rPr>
              <w:t xml:space="preserve"> </w:t>
            </w:r>
            <w:r w:rsidRPr="005B6242">
              <w:rPr>
                <w:lang w:val="en-GB"/>
              </w:rPr>
              <w:t>Plays a key role in community engagement and acts as a conduit to broader stakeholder engagement on mine rehabilitation matters.</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Multicultural Business Ministerial Council</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A non-statutory council that utilises the business skills and opportunities presented by people from non-English speaking backgrounds to assist in developing policy and programs relevant to multicultural businesses.</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Council met twice in 2017–18. Members provided input on how government can engage effectively with businesses including multicultural businesses. In 2018, Mr</w:t>
            </w:r>
            <w:r w:rsidRPr="005B6242">
              <w:rPr>
                <w:rtl/>
                <w:lang w:bidi="ar-YE"/>
              </w:rPr>
              <w:t> </w:t>
            </w:r>
            <w:r w:rsidRPr="005B6242">
              <w:rPr>
                <w:lang w:val="en-GB"/>
              </w:rPr>
              <w:t>Huseyin Mustafa was appointed as Chair. In 2018, an Expression of Interest process for new members commenced.</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National Livestock Identification System Implementation Advisory Committee</w:t>
            </w:r>
          </w:p>
          <w:p w:rsidR="005B6242" w:rsidRPr="005B6242" w:rsidRDefault="005B6242" w:rsidP="00CE567A">
            <w:pPr>
              <w:pStyle w:val="TableCopy"/>
              <w:rPr>
                <w:lang w:val="en-GB"/>
              </w:rPr>
            </w:pP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The National Livestock Identification System Implementation Advisory Committee (NLISIAC) was established by the Minister for Agriculture to provide advice to the minister on the implementation of the National Livestock Identification System (NLIS) in Victoria for cattle. </w:t>
            </w:r>
          </w:p>
          <w:p w:rsidR="005B6242" w:rsidRPr="005B6242" w:rsidRDefault="005B6242" w:rsidP="00CE567A">
            <w:pPr>
              <w:pStyle w:val="TableCopy"/>
              <w:rPr>
                <w:lang w:val="en-GB"/>
              </w:rPr>
            </w:pPr>
            <w:r w:rsidRPr="005B6242">
              <w:rPr>
                <w:lang w:val="en-GB"/>
              </w:rPr>
              <w:t>The NLISIAC developed the timetable for the full implementation of the NLIS in Victoria, including recommendations in relation to mandatory tagging, and has an ongoing advisory role.</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NLISIAC delivered significant benefits to the cattle industry by:</w:t>
            </w:r>
          </w:p>
          <w:p w:rsidR="005B6242" w:rsidRPr="005B6242" w:rsidRDefault="005B6242" w:rsidP="00BF1A2A">
            <w:pPr>
              <w:pStyle w:val="TableBullet"/>
              <w:rPr>
                <w:lang w:val="en-GB"/>
              </w:rPr>
            </w:pPr>
            <w:r w:rsidRPr="005B6242">
              <w:rPr>
                <w:lang w:val="en-GB"/>
              </w:rPr>
              <w:t>Providing an independent source of livestock identification industry advice to the Minister for Agriculture on broad strategic issues affecting farming and animal industries dependent on domestic and export markets.</w:t>
            </w:r>
          </w:p>
          <w:p w:rsidR="005B6242" w:rsidRPr="005B6242" w:rsidRDefault="005B6242" w:rsidP="00BF1A2A">
            <w:pPr>
              <w:pStyle w:val="TableBullet"/>
              <w:rPr>
                <w:lang w:val="en-GB"/>
              </w:rPr>
            </w:pPr>
            <w:r w:rsidRPr="005B6242">
              <w:rPr>
                <w:lang w:val="en-GB"/>
              </w:rPr>
              <w:t>Fostering a unified, whole-of-industry approach to the development of Victoria’s livestock identification industries, drawing on support from various industry and stakeholder groups without lobbying for individual sectorial interests.</w:t>
            </w:r>
          </w:p>
          <w:p w:rsidR="005B6242" w:rsidRPr="005B6242" w:rsidRDefault="005B6242" w:rsidP="00BF1A2A">
            <w:pPr>
              <w:pStyle w:val="TableBullet"/>
              <w:rPr>
                <w:lang w:val="en-GB"/>
              </w:rPr>
            </w:pPr>
            <w:r w:rsidRPr="005B6242">
              <w:rPr>
                <w:lang w:val="en-GB"/>
              </w:rPr>
              <w:t>Responding to issues affecting Victoria’s livestock identification industries at the request of the Minister for Agriculture.</w:t>
            </w:r>
          </w:p>
          <w:p w:rsidR="005B6242" w:rsidRPr="005B6242" w:rsidRDefault="005B6242" w:rsidP="00BF1A2A">
            <w:pPr>
              <w:pStyle w:val="TableBullet"/>
              <w:rPr>
                <w:lang w:val="en-GB"/>
              </w:rPr>
            </w:pPr>
            <w:r w:rsidRPr="005B6242">
              <w:rPr>
                <w:lang w:val="en-GB"/>
              </w:rPr>
              <w:t>Supporting the department in the development of a livestock identification system, which will establish Victoria as world leader in livestock identification.</w:t>
            </w:r>
          </w:p>
          <w:p w:rsidR="005B6242" w:rsidRPr="005B6242" w:rsidRDefault="005B6242" w:rsidP="00BF1A2A">
            <w:pPr>
              <w:pStyle w:val="TableBullet"/>
              <w:rPr>
                <w:lang w:val="en-GB"/>
              </w:rPr>
            </w:pPr>
            <w:r w:rsidRPr="005B6242">
              <w:rPr>
                <w:lang w:val="en-GB"/>
              </w:rPr>
              <w:t>Strongly supporting the introduction and implementation of the electronic NLIS for sheep and goats.</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Planning for Sustainable Animal Industries Implementation Reference Group</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To provide advice to the department regarding the implementation of Planning for Sustainable Animal Industries (PSAI).</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group provided feedback on PSAI actions and contributed to the development of draft land use definitions and graduated planning controls.</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Policy and Planning Coordination</w:t>
            </w:r>
            <w:r w:rsidR="00BF1A2A">
              <w:rPr>
                <w:lang w:val="en-GB"/>
              </w:rPr>
              <w:t xml:space="preserve"> </w:t>
            </w:r>
            <w:r w:rsidRPr="005B6242">
              <w:rPr>
                <w:lang w:val="en-GB"/>
              </w:rPr>
              <w:t>Committee (PPCC)</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Policy and Planning Coordination Committee (PPCC) is responsible for ensuring the effective development and coordination of department-wide strategy and policy initiatives where cross-portfolio integration is required. The Committee provides a forum for discussion and testing of different perspectives on policy issues against a robust evidence base. The Committee advises the Executive Board (EB) on the Integrated Planning and Resources Cycle and ensures links between the department’s strategic plan, strategic risks and outcomes framework and the policies and strategies that the department develops.</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committee’s purpose was achieved.</w:t>
            </w:r>
          </w:p>
          <w:p w:rsidR="005B6242" w:rsidRPr="005B6242" w:rsidRDefault="005B6242" w:rsidP="00CE567A">
            <w:pPr>
              <w:pStyle w:val="TableCopy"/>
              <w:rPr>
                <w:lang w:val="en-GB"/>
              </w:rPr>
            </w:pPr>
            <w:r w:rsidRPr="005B6242">
              <w:rPr>
                <w:lang w:val="en-GB"/>
              </w:rPr>
              <w:t>It convened 15 times during 2017-18 providing advice on planning matters as well as cross-portfolio, department-wide strategies and policy initiatives at key stages of development.</w:t>
            </w:r>
          </w:p>
          <w:p w:rsidR="005B6242" w:rsidRPr="005B6242" w:rsidRDefault="005B6242" w:rsidP="00CE567A">
            <w:pPr>
              <w:pStyle w:val="TableCopy"/>
              <w:rPr>
                <w:lang w:val="en-GB"/>
              </w:rPr>
            </w:pPr>
            <w:r w:rsidRPr="005B6242">
              <w:rPr>
                <w:lang w:val="en-GB"/>
              </w:rPr>
              <w:t>The Committee replaced the Policy and Strategy Coordination Committee which met only once in 2017-18.</w:t>
            </w:r>
            <w:r w:rsidR="009F313F">
              <w:rPr>
                <w:lang w:val="en-GB"/>
              </w:rPr>
              <w:t xml:space="preserve"> </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PrimeSafe Selection Committee</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To make nominations for appointment by the Minister for Agriculture to the PrimeSafe Board in accordance with the </w:t>
            </w:r>
            <w:r w:rsidRPr="005B6242">
              <w:rPr>
                <w:i/>
                <w:iCs/>
                <w:lang w:val="en-GB"/>
              </w:rPr>
              <w:t>Meat Industry Act 1993</w:t>
            </w:r>
            <w:r w:rsidRPr="005B6242">
              <w:rPr>
                <w:lang w:val="en-GB"/>
              </w:rPr>
              <w:t>.</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Provided recommendations to appoint new members to PrimeSafe.</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Procurement Advisory Group (PAG)</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In early 2018, a Procurement Advisory Group (PAG) was established which comprises, the CPO, plus an independent Chair and an external probity advisor.</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Procurements of $3.5 million and above are referred to the advisory group for further discussion and recommendation, prior to final approval.</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Procurement Governance Committee (PGC)</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Supported the Chief Procurement Officer to monitor high-risk procurement activities of $3.5 million or greater for the department, as well as monitored key financial contracts and performance objectives in line with the department’s key priorities.</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committee reviewed all procurement proposals over $3.5 million for 2017-18. This committee was disbanded in January 2018 and the approval powers delegated to the Chief Procurement Officer (CPO) by the DEDJTR Executive Board.</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Regional Development Advisory Committee (RDAC)</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RDAC is prescribed in the </w:t>
            </w:r>
            <w:r w:rsidRPr="005B6242">
              <w:rPr>
                <w:i/>
                <w:iCs/>
                <w:lang w:val="en-GB"/>
              </w:rPr>
              <w:t xml:space="preserve">Regional Development Victoria Act 2002 </w:t>
            </w:r>
            <w:r w:rsidRPr="005B6242">
              <w:rPr>
                <w:lang w:val="en-GB"/>
              </w:rPr>
              <w:t>as an independent source of regional policy advice to the Minister for Regional Development. Members are required to represent all Victorian non-metropolitan regions and comprise a broad mix of skills and experience across economic and community development.</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RDAC was established in September 2016, with membership comprising the nine Chairs of the Regional Partnerships. The Committee has focused its work on state-wide, systemic priorities identified through the Regional Partnerships and at the direction of the Minister.</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Regional Partnerships</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Regional partnerships were established in July 2016 in Barwon, Central Highlands, Gippsland, Goulburn, Great South Coast, Loddon Campaspe, Ovens Murray, Mallee and Wimmera Southern Mallee. The partnerships provide strategic advice on government policy, service delivery and budget priorities across social, economic and environmental domains. Partnerships are comprised of a number of local business and community leaders, each local government CEO within the region, a link to the Commonwealth (through the relevant RDA committee) and a Deputy Secretary representing all Victorian government departments.</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Partnership members were inducted in August 2016 and developed regional priorities, spread over the short, medium and long term and across government portfolios. These priorities incorporated feedback from Regional Assemblies held in each region, which attracted 1470 people, and extensive community pre-engagement ahead of the Assemblies. </w:t>
            </w:r>
          </w:p>
          <w:p w:rsidR="005B6242" w:rsidRPr="005B6242" w:rsidRDefault="005B6242" w:rsidP="00CE567A">
            <w:pPr>
              <w:pStyle w:val="TableCopy"/>
              <w:rPr>
                <w:lang w:val="en-GB"/>
              </w:rPr>
            </w:pPr>
            <w:r w:rsidRPr="005B6242">
              <w:rPr>
                <w:lang w:val="en-GB"/>
              </w:rPr>
              <w:t>The 2017-18 Budget process took account of regional priorities and departments were required to develop implementation plans to progress these. Aside from broad-based infrastructure and service delivery commitments in regional Victoria that align with regional priorities, the Budget also allocated $29 million to develop and deliver on several specific regional priorities.</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Royal Melbourne Showgrounds Joint Venture</w:t>
            </w:r>
          </w:p>
          <w:p w:rsidR="005B6242" w:rsidRPr="005B6242" w:rsidRDefault="005B6242" w:rsidP="00CE567A">
            <w:pPr>
              <w:pStyle w:val="TableCopy"/>
              <w:rPr>
                <w:lang w:val="en-GB"/>
              </w:rPr>
            </w:pP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Royal Melbourne Showgrounds Joint Venture is a joint venture between the State of Victoria and the Royal Agricultural Society of Victoria (RASV) Limited to manage assets at the Royal Melbourne Showgrounds and direct appropriate redevelopment of the site.</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board met bi-monthly in 2017-18 to monitor the performance of the private sector contractors in managing and securing the Showgrounds assets. It achieved its purpose in overseeing the role of the RASV in managing commercial events at the Showgrounds and carrying out its role as landowner.</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Safety Consultative Committee (SCC)</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Departmental Safety Consultative Committee facilitates and promotes consultation amongst a representative group of its staff and management across the entire department that considers issues relating to the safety and wellbeing of its people, including the drafting of the department’s Safety and Wellbeing Strategy 2017-2020 and the Policy. The SCC monitors the effectiveness of the department’s safety and wellbeing management systems and makes recommendations to the Executive Board of any trends or prevention strategies that may be required. The SCC fulfils the requirement to provide safety and wellbeing consultation as required under the Victorian OHS legislation.</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SCC met quarterly during 2017-18. The purpose to promote consultation and make recommendations to the Executive Board was fulfilled.</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Sheep and Goat Compensation Advisory Committee </w:t>
            </w:r>
          </w:p>
          <w:p w:rsidR="005B6242" w:rsidRPr="005B6242" w:rsidRDefault="005B6242" w:rsidP="00CE567A">
            <w:pPr>
              <w:pStyle w:val="TableCopy"/>
              <w:rPr>
                <w:lang w:val="en-GB"/>
              </w:rPr>
            </w:pP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The Sheep and Goat Compensation Advisory Committee (SGCAC) provides recommendations to the Minister for Agriculture on how Sheep and Goat Compensation funds should be used, and any other matter referred to it by the minister. The Committee is established under the </w:t>
            </w:r>
            <w:r w:rsidRPr="005B6242">
              <w:rPr>
                <w:i/>
                <w:iCs/>
                <w:lang w:val="en-GB"/>
              </w:rPr>
              <w:t>Livestock Disease Control Act 1994</w:t>
            </w:r>
            <w:r w:rsidRPr="005B6242">
              <w:rPr>
                <w:lang w:val="en-GB"/>
              </w:rPr>
              <w:t>.</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SGCAC delivered significant benefits to the industry in 2017–18 including:</w:t>
            </w:r>
          </w:p>
          <w:p w:rsidR="005B6242" w:rsidRPr="005B6242" w:rsidRDefault="005B6242" w:rsidP="002244BB">
            <w:pPr>
              <w:pStyle w:val="TableBullet"/>
              <w:rPr>
                <w:lang w:val="en-GB"/>
              </w:rPr>
            </w:pPr>
            <w:r w:rsidRPr="005B6242">
              <w:rPr>
                <w:lang w:val="en-GB"/>
              </w:rPr>
              <w:t>Mail outs to provide abattoir feedback information to individual producers about various production-limiting diseases as monitored by the national Sheep Health Monitoring Program.</w:t>
            </w:r>
          </w:p>
          <w:p w:rsidR="005B6242" w:rsidRPr="005B6242" w:rsidRDefault="005B6242" w:rsidP="002244BB">
            <w:pPr>
              <w:pStyle w:val="TableBullet"/>
              <w:rPr>
                <w:lang w:val="en-GB"/>
              </w:rPr>
            </w:pPr>
            <w:r w:rsidRPr="005B6242">
              <w:rPr>
                <w:lang w:val="en-GB"/>
              </w:rPr>
              <w:t>Funding of research to develop improved diagnostics for footrot.</w:t>
            </w:r>
          </w:p>
          <w:p w:rsidR="005B6242" w:rsidRPr="005B6242" w:rsidRDefault="005B6242" w:rsidP="002244BB">
            <w:pPr>
              <w:pStyle w:val="TableBullet"/>
              <w:rPr>
                <w:lang w:val="en-GB"/>
              </w:rPr>
            </w:pPr>
            <w:r w:rsidRPr="005B6242">
              <w:rPr>
                <w:lang w:val="en-GB"/>
              </w:rPr>
              <w:t>Funding to increase the number of pathology samples examined at the University of Melbourne veterinary school.</w:t>
            </w:r>
          </w:p>
          <w:p w:rsidR="005B6242" w:rsidRPr="005B6242" w:rsidRDefault="005B6242" w:rsidP="002244BB">
            <w:pPr>
              <w:pStyle w:val="TableBullet"/>
              <w:rPr>
                <w:lang w:val="en-GB"/>
              </w:rPr>
            </w:pPr>
            <w:r w:rsidRPr="005B6242">
              <w:rPr>
                <w:lang w:val="en-GB"/>
              </w:rPr>
              <w:t>Funding for numerous surveillance projects to increase Victoria’s ability to rapidly detect and respond to emergency animal diseases.</w:t>
            </w:r>
          </w:p>
          <w:p w:rsidR="005B6242" w:rsidRPr="005B6242" w:rsidRDefault="005B6242" w:rsidP="002244BB">
            <w:pPr>
              <w:pStyle w:val="TableBullet"/>
              <w:rPr>
                <w:lang w:val="en-GB"/>
              </w:rPr>
            </w:pPr>
            <w:r w:rsidRPr="005B6242">
              <w:rPr>
                <w:lang w:val="en-GB"/>
              </w:rPr>
              <w:t>Funding animal disease investigation training for veterinarians in Victoria.</w:t>
            </w:r>
          </w:p>
          <w:p w:rsidR="005B6242" w:rsidRPr="005B6242" w:rsidRDefault="005B6242" w:rsidP="002244BB">
            <w:pPr>
              <w:pStyle w:val="TableBullet"/>
              <w:rPr>
                <w:lang w:val="en-GB"/>
              </w:rPr>
            </w:pPr>
            <w:r w:rsidRPr="005B6242">
              <w:rPr>
                <w:lang w:val="en-GB"/>
              </w:rPr>
              <w:t xml:space="preserve">Validation of a field test for the identification of anthrax in Victorian sheep. </w:t>
            </w:r>
          </w:p>
          <w:p w:rsidR="005B6242" w:rsidRPr="005B6242" w:rsidRDefault="005B6242" w:rsidP="002244BB">
            <w:pPr>
              <w:pStyle w:val="TableBullet"/>
              <w:rPr>
                <w:lang w:val="en-GB"/>
              </w:rPr>
            </w:pPr>
            <w:r w:rsidRPr="005B6242">
              <w:rPr>
                <w:lang w:val="en-GB"/>
              </w:rPr>
              <w:t>Support for the VFF Livestock Project Officers Animal Health and Biosecurity Extension project which provided education workshops to livestock producers on farm biosecurity.</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Sheep and Goat Identification Advisory Committee</w:t>
            </w:r>
          </w:p>
          <w:p w:rsidR="005B6242" w:rsidRPr="005B6242" w:rsidRDefault="005B6242" w:rsidP="00CE567A">
            <w:pPr>
              <w:pStyle w:val="TableCopy"/>
              <w:rPr>
                <w:lang w:val="en-GB"/>
              </w:rPr>
            </w:pP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Victoria is the first state in Australia to introduce an electronic identification National Livestock Identification System (NLIS) for sheep and goats. The Sheep and Goat Identification Advisory Committee (SGIAC) advises and reports to the Minister for Agriculture on any matters relating to the promotion and development of Victoria’s NLIS system for sheep and goats.</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SGIAC has actively supported the Minister for Agriculture by:</w:t>
            </w:r>
          </w:p>
          <w:p w:rsidR="005B6242" w:rsidRPr="005B6242" w:rsidRDefault="005B6242" w:rsidP="009F313F">
            <w:pPr>
              <w:pStyle w:val="TableBullet"/>
              <w:rPr>
                <w:lang w:val="en-GB"/>
              </w:rPr>
            </w:pPr>
            <w:r w:rsidRPr="005B6242">
              <w:rPr>
                <w:lang w:val="en-GB"/>
              </w:rPr>
              <w:t>Providing advice, promotion and advocacy on the implementation of the electronic NLIS for sheep and goats.</w:t>
            </w:r>
          </w:p>
          <w:p w:rsidR="005B6242" w:rsidRPr="005B6242" w:rsidRDefault="005B6242" w:rsidP="009F313F">
            <w:pPr>
              <w:pStyle w:val="TableBullet"/>
              <w:rPr>
                <w:lang w:val="en-GB"/>
              </w:rPr>
            </w:pPr>
            <w:r w:rsidRPr="005B6242">
              <w:rPr>
                <w:lang w:val="en-GB"/>
              </w:rPr>
              <w:t xml:space="preserve">Providing feedback from industry on the introduction of the electronic NLIS for sheep and goats. </w:t>
            </w:r>
          </w:p>
          <w:p w:rsidR="005B6242" w:rsidRPr="005B6242" w:rsidRDefault="005B6242" w:rsidP="009F313F">
            <w:pPr>
              <w:pStyle w:val="TableBullet"/>
              <w:rPr>
                <w:lang w:val="en-GB"/>
              </w:rPr>
            </w:pPr>
            <w:r w:rsidRPr="005B6242">
              <w:rPr>
                <w:lang w:val="en-GB"/>
              </w:rPr>
              <w:t>Writing to industry to provide information on the new requirements, to support adoption of the new system.</w:t>
            </w:r>
          </w:p>
          <w:p w:rsidR="005B6242" w:rsidRPr="005B6242" w:rsidRDefault="005B6242" w:rsidP="009F313F">
            <w:pPr>
              <w:pStyle w:val="TableBullet"/>
              <w:rPr>
                <w:lang w:val="en-GB"/>
              </w:rPr>
            </w:pPr>
            <w:r w:rsidRPr="005B6242">
              <w:rPr>
                <w:lang w:val="en-GB"/>
              </w:rPr>
              <w:t>Reviewing and recommending improvements to the electronic NLIS (Sheep and Goats) Standards.</w:t>
            </w:r>
          </w:p>
          <w:p w:rsidR="005B6242" w:rsidRPr="005B6242" w:rsidRDefault="005B6242" w:rsidP="009F313F">
            <w:pPr>
              <w:pStyle w:val="TableBullet"/>
              <w:rPr>
                <w:lang w:val="en-GB"/>
              </w:rPr>
            </w:pPr>
            <w:r w:rsidRPr="005B6242">
              <w:rPr>
                <w:lang w:val="en-GB"/>
              </w:rPr>
              <w:t>Reviewing monitoring and compliance plans and data to support robust tracking.</w:t>
            </w:r>
          </w:p>
          <w:p w:rsidR="005B6242" w:rsidRPr="005B6242" w:rsidRDefault="005B6242" w:rsidP="009F313F">
            <w:pPr>
              <w:pStyle w:val="TableBullet"/>
              <w:rPr>
                <w:lang w:val="en-GB"/>
              </w:rPr>
            </w:pPr>
            <w:r w:rsidRPr="005B6242">
              <w:rPr>
                <w:lang w:val="en-GB"/>
              </w:rPr>
              <w:t>Providing ongoing advice that will ensure the progressive enhancement of sheep and goat identification and tracking in Victoria.</w:t>
            </w:r>
          </w:p>
          <w:p w:rsidR="005B6242" w:rsidRPr="005B6242" w:rsidRDefault="005B6242" w:rsidP="009F313F">
            <w:pPr>
              <w:pStyle w:val="TableBullet"/>
              <w:rPr>
                <w:lang w:val="en-GB"/>
              </w:rPr>
            </w:pPr>
            <w:r w:rsidRPr="005B6242">
              <w:rPr>
                <w:lang w:val="en-GB"/>
              </w:rPr>
              <w:t>Identifying opportunities to support national implementation of an electronic NLIS for sheep and goats.</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Small Business Ministerial Council</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An advisory group facilitating government interaction with Victoria’s small business community which aims to give small business direct input to assist the development of relevant policies and programs.</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Council met twice in 2017–18. Members provided input on how government can engage effectively with businesses. In 2018, Ms Bernadette Uzelac was appointed as Chair and an Expression of Interest process for new members commenced. </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Swine Industry Projects Advisory Committee</w:t>
            </w:r>
          </w:p>
          <w:p w:rsidR="005B6242" w:rsidRPr="005B6242" w:rsidRDefault="005B6242" w:rsidP="00CE567A">
            <w:pPr>
              <w:pStyle w:val="TableCopy"/>
              <w:rPr>
                <w:lang w:val="en-GB"/>
              </w:rPr>
            </w:pP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The Swine Industry Projects Advisory Committee (SIPAC) provides advice to the Minister for Agriculture about projects eligible to be funded by the Swine Compensation Fund for the benefit of the swine industry in Victoria and any other matters referred to SIPAC by the minister. SIPAC is established under the </w:t>
            </w:r>
            <w:r w:rsidRPr="005B6242">
              <w:rPr>
                <w:i/>
                <w:iCs/>
                <w:lang w:val="en-GB"/>
              </w:rPr>
              <w:t>Livestock Disease Control Act 1994</w:t>
            </w:r>
            <w:r w:rsidRPr="005B6242">
              <w:rPr>
                <w:lang w:val="en-GB"/>
              </w:rPr>
              <w:t>.</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Swine Compensation Fund</w:t>
            </w:r>
            <w:r w:rsidR="009F313F">
              <w:rPr>
                <w:lang w:val="en-GB"/>
              </w:rPr>
              <w:t xml:space="preserve"> </w:t>
            </w:r>
            <w:r w:rsidRPr="005B6242">
              <w:rPr>
                <w:lang w:val="en-GB"/>
              </w:rPr>
              <w:t xml:space="preserve">contributed funding to six projects in 2017-18. </w:t>
            </w:r>
          </w:p>
          <w:p w:rsidR="005B6242" w:rsidRPr="005B6242" w:rsidRDefault="005B6242" w:rsidP="00CE567A">
            <w:pPr>
              <w:pStyle w:val="TableCopy"/>
              <w:rPr>
                <w:lang w:val="en-GB"/>
              </w:rPr>
            </w:pPr>
            <w:r w:rsidRPr="005B6242">
              <w:rPr>
                <w:lang w:val="en-GB"/>
              </w:rPr>
              <w:t>These projects include Abattoir based pig health monitoring services, training in Certificate III Agriculture (Pork Productivity) and Pork Industry Skill Set, and investigations of significant disease outbreaks. These projects will continue to support and provide benefit to the pig industry.</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Technical Review Board</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Provide strategic advice in the areas of mine and quarry stability, rehabilitation and other strategic risks, specifically in relation to reducing risks to the environment, public safety and infrastructure.</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Technical Review Board continues to consider and provide advice on mine and quarry stability including geotechnical and hydrogeological issues.</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Transport Industry</w:t>
            </w:r>
            <w:r w:rsidR="009F313F">
              <w:rPr>
                <w:lang w:val="en-GB"/>
              </w:rPr>
              <w:t xml:space="preserve"> </w:t>
            </w:r>
            <w:r w:rsidRPr="005B6242">
              <w:rPr>
                <w:lang w:val="en-GB"/>
              </w:rPr>
              <w:t>Council (TIC)</w:t>
            </w:r>
          </w:p>
          <w:p w:rsidR="005B6242" w:rsidRPr="005B6242" w:rsidRDefault="005B6242" w:rsidP="00CE567A">
            <w:pPr>
              <w:pStyle w:val="TableCopy"/>
              <w:rPr>
                <w:lang w:val="en-GB"/>
              </w:rPr>
            </w:pP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Established under the </w:t>
            </w:r>
            <w:r w:rsidRPr="005B6242">
              <w:rPr>
                <w:i/>
                <w:iCs/>
                <w:lang w:val="en-GB"/>
              </w:rPr>
              <w:t xml:space="preserve">Victorian Owner Drivers and Forestry Contractors Act 2005 </w:t>
            </w:r>
            <w:r w:rsidRPr="005B6242">
              <w:rPr>
                <w:lang w:val="en-GB"/>
              </w:rPr>
              <w:t>to advise and make recommendations to the Minister for Industrial Relations on model rates and cost schedules, model contracts, codes of practice and information materials for owner drivers in the road transport industry.</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Purpose achieved – during 2017–18, the TIC published updated model rates and cost schedules for seven classes of vehicles and developed and published six rates and costs schedules for the tip truck sector. </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Veterinary Practitioners Registration Board of Victoria Panel Hearings </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The Veterinary Practitioners Registration Board of Victoria Panel Hearings provides a pool of eligible persons who may be required to conduct a formal or informal hearing into the professional conduct of a veterinary practitioner under the </w:t>
            </w:r>
            <w:r w:rsidRPr="005B6242">
              <w:rPr>
                <w:i/>
                <w:iCs/>
                <w:lang w:val="en-GB"/>
              </w:rPr>
              <w:t>Veterinary Practice Act 1997</w:t>
            </w:r>
            <w:r w:rsidRPr="005B6242">
              <w:rPr>
                <w:lang w:val="en-GB"/>
              </w:rPr>
              <w:t>.</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In 2017–18, the board conducted one formal hearing and seven informal hearings.</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Victorian Agriculture Advisory Council</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To provide strategic advice for the support of food and fibre producers, specifically during times of industry pressure or crisis.</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Committee held four meetings in 2017–18 to review seasonal and economic conditions in rural Victoria, particularly regions affected by drought and dairy price reductions, and provide advice on assistance measures.</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Victorian Automotive Transition Taskforce</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 xml:space="preserve">To oversee implementation of </w:t>
            </w:r>
            <w:r w:rsidRPr="005B6242">
              <w:rPr>
                <w:i/>
                <w:iCs/>
                <w:lang w:val="en-GB"/>
              </w:rPr>
              <w:t xml:space="preserve">Towards Future Industries: Victoria’s Automotive Transition Plan </w:t>
            </w:r>
            <w:r w:rsidRPr="005B6242">
              <w:rPr>
                <w:lang w:val="en-GB"/>
              </w:rPr>
              <w:t>(the Plan)</w:t>
            </w:r>
            <w:r w:rsidRPr="005B6242">
              <w:rPr>
                <w:i/>
                <w:iCs/>
                <w:lang w:val="en-GB"/>
              </w:rPr>
              <w:t xml:space="preserve"> </w:t>
            </w:r>
            <w:r w:rsidRPr="005B6242">
              <w:rPr>
                <w:lang w:val="en-GB"/>
              </w:rPr>
              <w:t>and provide advice on emerging issues facing the automotive industry, businesses and workers</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taskforce has ensured the coordinated delivery and continuous improvement of the Plan.</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Victorian Food Regulators Forum</w:t>
            </w:r>
          </w:p>
          <w:p w:rsidR="005B6242" w:rsidRPr="005B6242" w:rsidRDefault="005B6242" w:rsidP="00CE567A">
            <w:pPr>
              <w:pStyle w:val="TableCopy"/>
              <w:rPr>
                <w:lang w:val="en-GB"/>
              </w:rPr>
            </w:pP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Coordinate Victorian food regulators to deliver a comprehensive and consistent approach to food regulation.</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Committee met three times in 2017-18, agreed to a system-wide approach to managing particular shared food safety risks and agreed in principle to a new Memorandum of Understanding.</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Visitor Economy Ministerial Advisory Committee</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purpose of the Committee is to provide advice to the Minister for Tourism and Major Events on key issues impacting on the visitor economy and oversee the implementation of the Victorian Visitor Economy Strategy. Committee members are appointed by the Minister for Tourism and Major Events on a voluntary basis.</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Over 2017-18, the Committee continued to provide advice to the Minister for Tourism and Major Events on key issues impacting on the visitor economy sector.</w:t>
            </w:r>
          </w:p>
          <w:p w:rsidR="005B6242" w:rsidRPr="005B6242" w:rsidRDefault="005B6242" w:rsidP="00CE567A">
            <w:pPr>
              <w:pStyle w:val="TableCopy"/>
              <w:rPr>
                <w:lang w:val="en-GB"/>
              </w:rPr>
            </w:pP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Wild Dog Management Advisory Committee</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Victorian Wild Dog Management Advisory Committee was constituted by the Minister for Agriculture to provide advice on matters relating to the management of wild dogs in Victoria, regardless of land tenure.</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Committee met six times in 2017-18. During this time, the Committee provided a regional presence with a meeting in Merrijig in August 2017 and Omeo in February 2018.</w:t>
            </w:r>
          </w:p>
          <w:p w:rsidR="005B6242" w:rsidRPr="005B6242" w:rsidRDefault="005B6242" w:rsidP="00CE567A">
            <w:pPr>
              <w:pStyle w:val="TableCopy"/>
              <w:rPr>
                <w:lang w:val="en-GB"/>
              </w:rPr>
            </w:pPr>
            <w:r w:rsidRPr="005B6242">
              <w:rPr>
                <w:lang w:val="en-GB"/>
              </w:rPr>
              <w:t xml:space="preserve">Committee members met with local producers affected by wild dogs to obtain real life perspectives and discuss options to manage the negative impacts of wild dogs. </w:t>
            </w:r>
          </w:p>
          <w:p w:rsidR="005B6242" w:rsidRPr="005B6242" w:rsidRDefault="005B6242" w:rsidP="00CE567A">
            <w:pPr>
              <w:pStyle w:val="TableCopy"/>
              <w:rPr>
                <w:lang w:val="en-GB"/>
              </w:rPr>
            </w:pPr>
            <w:r w:rsidRPr="005B6242">
              <w:rPr>
                <w:lang w:val="en-GB"/>
              </w:rPr>
              <w:t xml:space="preserve">The Committee also met with staff from the DELWP wild dog program to discuss operational arrangements. </w:t>
            </w:r>
          </w:p>
          <w:p w:rsidR="005B6242" w:rsidRPr="005B6242" w:rsidRDefault="005B6242" w:rsidP="00CE567A">
            <w:pPr>
              <w:pStyle w:val="TableCopy"/>
              <w:rPr>
                <w:lang w:val="en-GB"/>
              </w:rPr>
            </w:pPr>
            <w:r w:rsidRPr="005B6242">
              <w:rPr>
                <w:lang w:val="en-GB"/>
              </w:rPr>
              <w:t>In May 2018, the Committee organised a workshop with Victorian and New South Wales researchers to gain an in-depth understanding of the matters affecting aerial baiting practices for the control of wild dogs and its application in Victoria.</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Wine Industry Ministerial Advisory Committee</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To advise the Minister for Agriculture on opportunities for and issues affecting the long-term performance and sustainability of the Victorian wine industry.</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Committee met three times in 2017-18 to provide oversight of the implementation of the Wine Industry Development Strategy.</w:t>
            </w:r>
          </w:p>
        </w:tc>
      </w:tr>
      <w:tr w:rsidR="005B6242" w:rsidRPr="005B6242" w:rsidTr="00AA6F8A">
        <w:tblPrEx>
          <w:tblCellMar>
            <w:top w:w="0" w:type="dxa"/>
            <w:left w:w="0" w:type="dxa"/>
            <w:bottom w:w="0" w:type="dxa"/>
            <w:right w:w="0" w:type="dxa"/>
          </w:tblCellMar>
        </w:tblPrEx>
        <w:trPr>
          <w:cantSplit/>
          <w:trHeight w:val="60"/>
        </w:trPr>
        <w:tc>
          <w:tcPr>
            <w:tcW w:w="2268"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Young Farmers Advisory Council</w:t>
            </w:r>
          </w:p>
        </w:tc>
        <w:tc>
          <w:tcPr>
            <w:tcW w:w="3685"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To provide advice on issues and program delivery to attract and support young people in agriculture, and to act as young ambassadors for agriculture.</w:t>
            </w:r>
          </w:p>
        </w:tc>
        <w:tc>
          <w:tcPr>
            <w:tcW w:w="4537" w:type="dxa"/>
            <w:tcMar>
              <w:top w:w="80" w:type="dxa"/>
              <w:left w:w="80" w:type="dxa"/>
              <w:bottom w:w="80" w:type="dxa"/>
              <w:right w:w="80" w:type="dxa"/>
            </w:tcMar>
          </w:tcPr>
          <w:p w:rsidR="005B6242" w:rsidRPr="005B6242" w:rsidRDefault="005B6242" w:rsidP="00CE567A">
            <w:pPr>
              <w:pStyle w:val="TableCopy"/>
              <w:rPr>
                <w:lang w:val="en-GB"/>
              </w:rPr>
            </w:pPr>
            <w:r w:rsidRPr="005B6242">
              <w:rPr>
                <w:lang w:val="en-GB"/>
              </w:rPr>
              <w:t>The Council considered research and consulted with young farmers and key stakeholders to develop recommendations, that were presented to the Minister for Agriculture in September 2017. Council members also participated in leadership development activities.</w:t>
            </w:r>
          </w:p>
        </w:tc>
      </w:tr>
    </w:tbl>
    <w:p w:rsidR="005B6242" w:rsidRPr="005B6242" w:rsidRDefault="005B6242" w:rsidP="009F313F">
      <w:pPr>
        <w:pStyle w:val="Heading1"/>
        <w:rPr>
          <w:lang w:val="en-GB"/>
        </w:rPr>
      </w:pPr>
      <w:bookmarkStart w:id="15" w:name="_Toc5098700"/>
      <w:r w:rsidRPr="005B6242">
        <w:rPr>
          <w:lang w:val="en-GB"/>
        </w:rPr>
        <w:t>12. Details of all consultancies and contractors.</w:t>
      </w:r>
      <w:bookmarkEnd w:id="15"/>
    </w:p>
    <w:p w:rsidR="005B6242" w:rsidRPr="005B6242" w:rsidRDefault="005B6242" w:rsidP="005B6242">
      <w:pPr>
        <w:rPr>
          <w:lang w:val="en-GB"/>
        </w:rPr>
      </w:pPr>
      <w:r w:rsidRPr="005B6242">
        <w:rPr>
          <w:lang w:val="en-GB"/>
        </w:rPr>
        <w:t>Consultancy expenditure 2017-18 – below $10,000 (Exclusive of GST)</w:t>
      </w:r>
    </w:p>
    <w:tbl>
      <w:tblPr>
        <w:tblW w:w="0" w:type="auto"/>
        <w:tblInd w:w="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4876"/>
        <w:gridCol w:w="3204"/>
        <w:gridCol w:w="2410"/>
      </w:tblGrid>
      <w:tr w:rsidR="005B6242" w:rsidRPr="005B6242" w:rsidTr="00AA6F8A">
        <w:tblPrEx>
          <w:tblCellMar>
            <w:top w:w="0" w:type="dxa"/>
            <w:left w:w="0" w:type="dxa"/>
            <w:bottom w:w="0" w:type="dxa"/>
            <w:right w:w="0" w:type="dxa"/>
          </w:tblCellMar>
        </w:tblPrEx>
        <w:trPr>
          <w:cantSplit/>
          <w:trHeight w:val="226"/>
          <w:tblHeader/>
        </w:trPr>
        <w:tc>
          <w:tcPr>
            <w:tcW w:w="4876" w:type="dxa"/>
            <w:tcMar>
              <w:top w:w="80" w:type="dxa"/>
              <w:left w:w="80" w:type="dxa"/>
              <w:bottom w:w="80" w:type="dxa"/>
              <w:right w:w="80" w:type="dxa"/>
            </w:tcMar>
          </w:tcPr>
          <w:p w:rsidR="005B6242" w:rsidRPr="005B6242" w:rsidRDefault="005B6242" w:rsidP="009F313F">
            <w:pPr>
              <w:pStyle w:val="TableHeading"/>
              <w:rPr>
                <w:lang w:val="en-GB"/>
              </w:rPr>
            </w:pPr>
            <w:r w:rsidRPr="005B6242">
              <w:rPr>
                <w:lang w:val="en-GB"/>
              </w:rPr>
              <w:t>Consultants engaged</w:t>
            </w:r>
          </w:p>
        </w:tc>
        <w:tc>
          <w:tcPr>
            <w:tcW w:w="3204" w:type="dxa"/>
            <w:tcMar>
              <w:top w:w="80" w:type="dxa"/>
              <w:left w:w="80" w:type="dxa"/>
              <w:bottom w:w="80" w:type="dxa"/>
              <w:right w:w="80" w:type="dxa"/>
            </w:tcMar>
          </w:tcPr>
          <w:p w:rsidR="005B6242" w:rsidRPr="005B6242" w:rsidRDefault="005B6242" w:rsidP="009F313F">
            <w:pPr>
              <w:pStyle w:val="TableHeading"/>
              <w:rPr>
                <w:lang w:val="en-GB"/>
              </w:rPr>
            </w:pPr>
            <w:r w:rsidRPr="005B6242">
              <w:rPr>
                <w:lang w:val="en-GB"/>
              </w:rPr>
              <w:t>Services Provided</w:t>
            </w:r>
          </w:p>
        </w:tc>
        <w:tc>
          <w:tcPr>
            <w:tcW w:w="2410" w:type="dxa"/>
            <w:tcMar>
              <w:top w:w="80" w:type="dxa"/>
              <w:left w:w="80" w:type="dxa"/>
              <w:bottom w:w="80" w:type="dxa"/>
              <w:right w:w="80" w:type="dxa"/>
            </w:tcMar>
          </w:tcPr>
          <w:p w:rsidR="005B6242" w:rsidRPr="005B6242" w:rsidRDefault="005B6242" w:rsidP="009F313F">
            <w:pPr>
              <w:pStyle w:val="TableHeading"/>
              <w:rPr>
                <w:lang w:val="en-GB"/>
              </w:rPr>
            </w:pPr>
            <w:r w:rsidRPr="005B6242">
              <w:rPr>
                <w:lang w:val="en-GB"/>
              </w:rPr>
              <w:t>Expenditure for 2017-18 (Exclusive of GST)</w:t>
            </w:r>
          </w:p>
        </w:tc>
      </w:tr>
      <w:tr w:rsidR="005B6242" w:rsidRPr="005B6242" w:rsidTr="00AA6F8A">
        <w:tblPrEx>
          <w:tblCellMar>
            <w:top w:w="0" w:type="dxa"/>
            <w:left w:w="0" w:type="dxa"/>
            <w:bottom w:w="0" w:type="dxa"/>
            <w:right w:w="0" w:type="dxa"/>
          </w:tblCellMar>
        </w:tblPrEx>
        <w:trPr>
          <w:cantSplit/>
          <w:trHeight w:val="226"/>
        </w:trPr>
        <w:tc>
          <w:tcPr>
            <w:tcW w:w="4876"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ABCORP AUSTRALASIA PTY LTD</w:t>
            </w:r>
          </w:p>
        </w:tc>
        <w:tc>
          <w:tcPr>
            <w:tcW w:w="3204"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Technology Advisory Services</w:t>
            </w:r>
          </w:p>
        </w:tc>
        <w:tc>
          <w:tcPr>
            <w:tcW w:w="2410"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$300</w:t>
            </w:r>
          </w:p>
        </w:tc>
      </w:tr>
      <w:tr w:rsidR="005B6242" w:rsidRPr="005B6242" w:rsidTr="00AA6F8A">
        <w:tblPrEx>
          <w:tblCellMar>
            <w:top w:w="0" w:type="dxa"/>
            <w:left w:w="0" w:type="dxa"/>
            <w:bottom w:w="0" w:type="dxa"/>
            <w:right w:w="0" w:type="dxa"/>
          </w:tblCellMar>
        </w:tblPrEx>
        <w:trPr>
          <w:cantSplit/>
          <w:trHeight w:val="226"/>
        </w:trPr>
        <w:tc>
          <w:tcPr>
            <w:tcW w:w="4876"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ABCORP AUSTRALASIA PTY LTD</w:t>
            </w:r>
          </w:p>
        </w:tc>
        <w:tc>
          <w:tcPr>
            <w:tcW w:w="3204"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IT and Telecoms Services</w:t>
            </w:r>
          </w:p>
        </w:tc>
        <w:tc>
          <w:tcPr>
            <w:tcW w:w="2410"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$300</w:t>
            </w:r>
          </w:p>
        </w:tc>
      </w:tr>
      <w:tr w:rsidR="005B6242" w:rsidRPr="005B6242" w:rsidTr="00AA6F8A">
        <w:tblPrEx>
          <w:tblCellMar>
            <w:top w:w="0" w:type="dxa"/>
            <w:left w:w="0" w:type="dxa"/>
            <w:bottom w:w="0" w:type="dxa"/>
            <w:right w:w="0" w:type="dxa"/>
          </w:tblCellMar>
        </w:tblPrEx>
        <w:trPr>
          <w:cantSplit/>
          <w:trHeight w:val="226"/>
        </w:trPr>
        <w:tc>
          <w:tcPr>
            <w:tcW w:w="4876"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ADVISIAN PTY LTD</w:t>
            </w:r>
          </w:p>
        </w:tc>
        <w:tc>
          <w:tcPr>
            <w:tcW w:w="3204"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Professional Services</w:t>
            </w:r>
          </w:p>
        </w:tc>
        <w:tc>
          <w:tcPr>
            <w:tcW w:w="2410"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$8,680</w:t>
            </w:r>
          </w:p>
        </w:tc>
      </w:tr>
      <w:tr w:rsidR="005B6242" w:rsidRPr="005B6242" w:rsidTr="00AA6F8A">
        <w:tblPrEx>
          <w:tblCellMar>
            <w:top w:w="0" w:type="dxa"/>
            <w:left w:w="0" w:type="dxa"/>
            <w:bottom w:w="0" w:type="dxa"/>
            <w:right w:w="0" w:type="dxa"/>
          </w:tblCellMar>
        </w:tblPrEx>
        <w:trPr>
          <w:cantSplit/>
          <w:trHeight w:val="226"/>
        </w:trPr>
        <w:tc>
          <w:tcPr>
            <w:tcW w:w="4876"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AGRIVISION CONSULTANTS PTY LTD</w:t>
            </w:r>
          </w:p>
        </w:tc>
        <w:tc>
          <w:tcPr>
            <w:tcW w:w="3204"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Scientific Research Services</w:t>
            </w:r>
          </w:p>
        </w:tc>
        <w:tc>
          <w:tcPr>
            <w:tcW w:w="2410"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$6,000</w:t>
            </w:r>
          </w:p>
        </w:tc>
      </w:tr>
      <w:tr w:rsidR="005B6242" w:rsidRPr="005B6242" w:rsidTr="00AA6F8A">
        <w:tblPrEx>
          <w:tblCellMar>
            <w:top w:w="0" w:type="dxa"/>
            <w:left w:w="0" w:type="dxa"/>
            <w:bottom w:w="0" w:type="dxa"/>
            <w:right w:w="0" w:type="dxa"/>
          </w:tblCellMar>
        </w:tblPrEx>
        <w:trPr>
          <w:cantSplit/>
          <w:trHeight w:val="226"/>
        </w:trPr>
        <w:tc>
          <w:tcPr>
            <w:tcW w:w="4876"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AMEC AUSTRALIA PTY LTD</w:t>
            </w:r>
          </w:p>
        </w:tc>
        <w:tc>
          <w:tcPr>
            <w:tcW w:w="3204"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Professional Services</w:t>
            </w:r>
          </w:p>
        </w:tc>
        <w:tc>
          <w:tcPr>
            <w:tcW w:w="2410"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$9,511</w:t>
            </w:r>
          </w:p>
        </w:tc>
      </w:tr>
      <w:tr w:rsidR="005B6242" w:rsidRPr="005B6242" w:rsidTr="00AA6F8A">
        <w:tblPrEx>
          <w:tblCellMar>
            <w:top w:w="0" w:type="dxa"/>
            <w:left w:w="0" w:type="dxa"/>
            <w:bottom w:w="0" w:type="dxa"/>
            <w:right w:w="0" w:type="dxa"/>
          </w:tblCellMar>
        </w:tblPrEx>
        <w:trPr>
          <w:cantSplit/>
          <w:trHeight w:val="226"/>
        </w:trPr>
        <w:tc>
          <w:tcPr>
            <w:tcW w:w="4876"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ASCENTIUM CONSULTING PTY LTD</w:t>
            </w:r>
          </w:p>
        </w:tc>
        <w:tc>
          <w:tcPr>
            <w:tcW w:w="3204"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Professional Services</w:t>
            </w:r>
          </w:p>
        </w:tc>
        <w:tc>
          <w:tcPr>
            <w:tcW w:w="2410"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$3,500</w:t>
            </w:r>
          </w:p>
        </w:tc>
      </w:tr>
      <w:tr w:rsidR="005B6242" w:rsidRPr="005B6242" w:rsidTr="00AA6F8A">
        <w:tblPrEx>
          <w:tblCellMar>
            <w:top w:w="0" w:type="dxa"/>
            <w:left w:w="0" w:type="dxa"/>
            <w:bottom w:w="0" w:type="dxa"/>
            <w:right w:w="0" w:type="dxa"/>
          </w:tblCellMar>
        </w:tblPrEx>
        <w:trPr>
          <w:cantSplit/>
          <w:trHeight w:val="226"/>
        </w:trPr>
        <w:tc>
          <w:tcPr>
            <w:tcW w:w="4876"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BIRUU PTY LTD</w:t>
            </w:r>
          </w:p>
        </w:tc>
        <w:tc>
          <w:tcPr>
            <w:tcW w:w="3204"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Professional Services</w:t>
            </w:r>
          </w:p>
        </w:tc>
        <w:tc>
          <w:tcPr>
            <w:tcW w:w="2410"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$2,700</w:t>
            </w:r>
          </w:p>
        </w:tc>
      </w:tr>
      <w:tr w:rsidR="005B6242" w:rsidRPr="005B6242" w:rsidTr="00AA6F8A">
        <w:tblPrEx>
          <w:tblCellMar>
            <w:top w:w="0" w:type="dxa"/>
            <w:left w:w="0" w:type="dxa"/>
            <w:bottom w:w="0" w:type="dxa"/>
            <w:right w:w="0" w:type="dxa"/>
          </w:tblCellMar>
        </w:tblPrEx>
        <w:trPr>
          <w:cantSplit/>
          <w:trHeight w:val="226"/>
        </w:trPr>
        <w:tc>
          <w:tcPr>
            <w:tcW w:w="4876"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CAPACITY AG CONSULTING</w:t>
            </w:r>
          </w:p>
        </w:tc>
        <w:tc>
          <w:tcPr>
            <w:tcW w:w="3204"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Scientific Research Services</w:t>
            </w:r>
          </w:p>
        </w:tc>
        <w:tc>
          <w:tcPr>
            <w:tcW w:w="2410"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$1,182</w:t>
            </w:r>
          </w:p>
        </w:tc>
      </w:tr>
      <w:tr w:rsidR="005B6242" w:rsidRPr="005B6242" w:rsidTr="00AA6F8A">
        <w:tblPrEx>
          <w:tblCellMar>
            <w:top w:w="0" w:type="dxa"/>
            <w:left w:w="0" w:type="dxa"/>
            <w:bottom w:w="0" w:type="dxa"/>
            <w:right w:w="0" w:type="dxa"/>
          </w:tblCellMar>
        </w:tblPrEx>
        <w:trPr>
          <w:cantSplit/>
          <w:trHeight w:val="226"/>
        </w:trPr>
        <w:tc>
          <w:tcPr>
            <w:tcW w:w="4876"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CAPACITY BUILDING EMERGENCY MANAGEMENT</w:t>
            </w:r>
          </w:p>
        </w:tc>
        <w:tc>
          <w:tcPr>
            <w:tcW w:w="3204"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Professional Services</w:t>
            </w:r>
          </w:p>
        </w:tc>
        <w:tc>
          <w:tcPr>
            <w:tcW w:w="2410"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$3,000</w:t>
            </w:r>
          </w:p>
        </w:tc>
      </w:tr>
      <w:tr w:rsidR="005B6242" w:rsidRPr="005B6242" w:rsidTr="00AA6F8A">
        <w:tblPrEx>
          <w:tblCellMar>
            <w:top w:w="0" w:type="dxa"/>
            <w:left w:w="0" w:type="dxa"/>
            <w:bottom w:w="0" w:type="dxa"/>
            <w:right w:w="0" w:type="dxa"/>
          </w:tblCellMar>
        </w:tblPrEx>
        <w:trPr>
          <w:cantSplit/>
          <w:trHeight w:val="226"/>
        </w:trPr>
        <w:tc>
          <w:tcPr>
            <w:tcW w:w="4876"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DR RICHARD H DE BOER PTY LTD</w:t>
            </w:r>
          </w:p>
        </w:tc>
        <w:tc>
          <w:tcPr>
            <w:tcW w:w="3204"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Human Resources Services</w:t>
            </w:r>
          </w:p>
        </w:tc>
        <w:tc>
          <w:tcPr>
            <w:tcW w:w="2410"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$200</w:t>
            </w:r>
          </w:p>
        </w:tc>
      </w:tr>
      <w:tr w:rsidR="005B6242" w:rsidRPr="005B6242" w:rsidTr="00AA6F8A">
        <w:tblPrEx>
          <w:tblCellMar>
            <w:top w:w="0" w:type="dxa"/>
            <w:left w:w="0" w:type="dxa"/>
            <w:bottom w:w="0" w:type="dxa"/>
            <w:right w:w="0" w:type="dxa"/>
          </w:tblCellMar>
        </w:tblPrEx>
        <w:trPr>
          <w:cantSplit/>
          <w:trHeight w:val="226"/>
        </w:trPr>
        <w:tc>
          <w:tcPr>
            <w:tcW w:w="4876"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ESRI</w:t>
            </w:r>
          </w:p>
        </w:tc>
        <w:tc>
          <w:tcPr>
            <w:tcW w:w="3204"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IT and Telecoms Services</w:t>
            </w:r>
          </w:p>
        </w:tc>
        <w:tc>
          <w:tcPr>
            <w:tcW w:w="2410"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$2,940</w:t>
            </w:r>
          </w:p>
        </w:tc>
      </w:tr>
      <w:tr w:rsidR="005B6242" w:rsidRPr="005B6242" w:rsidTr="00AA6F8A">
        <w:tblPrEx>
          <w:tblCellMar>
            <w:top w:w="0" w:type="dxa"/>
            <w:left w:w="0" w:type="dxa"/>
            <w:bottom w:w="0" w:type="dxa"/>
            <w:right w:w="0" w:type="dxa"/>
          </w:tblCellMar>
        </w:tblPrEx>
        <w:trPr>
          <w:cantSplit/>
          <w:trHeight w:val="226"/>
        </w:trPr>
        <w:tc>
          <w:tcPr>
            <w:tcW w:w="4876"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MINTER ELLISON LAWYERS</w:t>
            </w:r>
          </w:p>
        </w:tc>
        <w:tc>
          <w:tcPr>
            <w:tcW w:w="3204"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Professional Services</w:t>
            </w:r>
          </w:p>
        </w:tc>
        <w:tc>
          <w:tcPr>
            <w:tcW w:w="2410"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$3,088</w:t>
            </w:r>
          </w:p>
        </w:tc>
      </w:tr>
      <w:tr w:rsidR="005B6242" w:rsidRPr="005B6242" w:rsidTr="00AA6F8A">
        <w:tblPrEx>
          <w:tblCellMar>
            <w:top w:w="0" w:type="dxa"/>
            <w:left w:w="0" w:type="dxa"/>
            <w:bottom w:w="0" w:type="dxa"/>
            <w:right w:w="0" w:type="dxa"/>
          </w:tblCellMar>
        </w:tblPrEx>
        <w:trPr>
          <w:cantSplit/>
          <w:trHeight w:val="226"/>
        </w:trPr>
        <w:tc>
          <w:tcPr>
            <w:tcW w:w="4876"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MINTER ELLISON LAWYERS</w:t>
            </w:r>
          </w:p>
        </w:tc>
        <w:tc>
          <w:tcPr>
            <w:tcW w:w="3204"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Professional Services</w:t>
            </w:r>
          </w:p>
        </w:tc>
        <w:tc>
          <w:tcPr>
            <w:tcW w:w="2410"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$3,000</w:t>
            </w:r>
          </w:p>
        </w:tc>
      </w:tr>
      <w:tr w:rsidR="005B6242" w:rsidRPr="005B6242" w:rsidTr="00AA6F8A">
        <w:tblPrEx>
          <w:tblCellMar>
            <w:top w:w="0" w:type="dxa"/>
            <w:left w:w="0" w:type="dxa"/>
            <w:bottom w:w="0" w:type="dxa"/>
            <w:right w:w="0" w:type="dxa"/>
          </w:tblCellMar>
        </w:tblPrEx>
        <w:trPr>
          <w:cantSplit/>
          <w:trHeight w:val="226"/>
        </w:trPr>
        <w:tc>
          <w:tcPr>
            <w:tcW w:w="4876"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PRICEWATERHOUSE COOPERS</w:t>
            </w:r>
          </w:p>
        </w:tc>
        <w:tc>
          <w:tcPr>
            <w:tcW w:w="3204"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Professional Services</w:t>
            </w:r>
          </w:p>
        </w:tc>
        <w:tc>
          <w:tcPr>
            <w:tcW w:w="2410"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$5,227</w:t>
            </w:r>
          </w:p>
        </w:tc>
      </w:tr>
      <w:tr w:rsidR="005B6242" w:rsidRPr="005B6242" w:rsidTr="00AA6F8A">
        <w:tblPrEx>
          <w:tblCellMar>
            <w:top w:w="0" w:type="dxa"/>
            <w:left w:w="0" w:type="dxa"/>
            <w:bottom w:w="0" w:type="dxa"/>
            <w:right w:w="0" w:type="dxa"/>
          </w:tblCellMar>
        </w:tblPrEx>
        <w:trPr>
          <w:cantSplit/>
          <w:trHeight w:val="226"/>
        </w:trPr>
        <w:tc>
          <w:tcPr>
            <w:tcW w:w="4876"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R2A PTY LTD</w:t>
            </w:r>
          </w:p>
        </w:tc>
        <w:tc>
          <w:tcPr>
            <w:tcW w:w="3204"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Professional Services</w:t>
            </w:r>
          </w:p>
        </w:tc>
        <w:tc>
          <w:tcPr>
            <w:tcW w:w="2410"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$8,100</w:t>
            </w:r>
          </w:p>
        </w:tc>
      </w:tr>
      <w:tr w:rsidR="005B6242" w:rsidRPr="005B6242" w:rsidTr="00AA6F8A">
        <w:tblPrEx>
          <w:tblCellMar>
            <w:top w:w="0" w:type="dxa"/>
            <w:left w:w="0" w:type="dxa"/>
            <w:bottom w:w="0" w:type="dxa"/>
            <w:right w:w="0" w:type="dxa"/>
          </w:tblCellMar>
        </w:tblPrEx>
        <w:trPr>
          <w:cantSplit/>
          <w:trHeight w:val="226"/>
        </w:trPr>
        <w:tc>
          <w:tcPr>
            <w:tcW w:w="4876"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RURAL CONSULTING GROUP PTY LTD</w:t>
            </w:r>
          </w:p>
        </w:tc>
        <w:tc>
          <w:tcPr>
            <w:tcW w:w="3204"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Professional Services</w:t>
            </w:r>
          </w:p>
        </w:tc>
        <w:tc>
          <w:tcPr>
            <w:tcW w:w="2410"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$9,000</w:t>
            </w:r>
          </w:p>
        </w:tc>
      </w:tr>
      <w:tr w:rsidR="005B6242" w:rsidRPr="005B6242" w:rsidTr="00AA6F8A">
        <w:tblPrEx>
          <w:tblCellMar>
            <w:top w:w="0" w:type="dxa"/>
            <w:left w:w="0" w:type="dxa"/>
            <w:bottom w:w="0" w:type="dxa"/>
            <w:right w:w="0" w:type="dxa"/>
          </w:tblCellMar>
        </w:tblPrEx>
        <w:trPr>
          <w:cantSplit/>
          <w:trHeight w:val="226"/>
        </w:trPr>
        <w:tc>
          <w:tcPr>
            <w:tcW w:w="4876"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SRK CONSULTING</w:t>
            </w:r>
          </w:p>
        </w:tc>
        <w:tc>
          <w:tcPr>
            <w:tcW w:w="3204"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Scientific Research Services</w:t>
            </w:r>
          </w:p>
        </w:tc>
        <w:tc>
          <w:tcPr>
            <w:tcW w:w="2410"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$4,468</w:t>
            </w:r>
          </w:p>
        </w:tc>
      </w:tr>
      <w:tr w:rsidR="005B6242" w:rsidRPr="005B6242" w:rsidTr="00AA6F8A">
        <w:tblPrEx>
          <w:tblCellMar>
            <w:top w:w="0" w:type="dxa"/>
            <w:left w:w="0" w:type="dxa"/>
            <w:bottom w:w="0" w:type="dxa"/>
            <w:right w:w="0" w:type="dxa"/>
          </w:tblCellMar>
        </w:tblPrEx>
        <w:trPr>
          <w:cantSplit/>
          <w:trHeight w:val="226"/>
        </w:trPr>
        <w:tc>
          <w:tcPr>
            <w:tcW w:w="4876"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STRATEGIC CONNECTIONS GROUP PTY LTD</w:t>
            </w:r>
          </w:p>
        </w:tc>
        <w:tc>
          <w:tcPr>
            <w:tcW w:w="3204"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Professional Services</w:t>
            </w:r>
          </w:p>
        </w:tc>
        <w:tc>
          <w:tcPr>
            <w:tcW w:w="2410"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$8,815</w:t>
            </w:r>
          </w:p>
        </w:tc>
      </w:tr>
      <w:tr w:rsidR="005B6242" w:rsidRPr="005B6242" w:rsidTr="00AA6F8A">
        <w:tblPrEx>
          <w:tblCellMar>
            <w:top w:w="0" w:type="dxa"/>
            <w:left w:w="0" w:type="dxa"/>
            <w:bottom w:w="0" w:type="dxa"/>
            <w:right w:w="0" w:type="dxa"/>
          </w:tblCellMar>
        </w:tblPrEx>
        <w:trPr>
          <w:cantSplit/>
          <w:trHeight w:val="226"/>
        </w:trPr>
        <w:tc>
          <w:tcPr>
            <w:tcW w:w="4876"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THE TRUSTEE FOR ARCHINAL KAVENEY TRUST T/A ADAPTIVE STRATEGIES PTY LTD</w:t>
            </w:r>
          </w:p>
        </w:tc>
        <w:tc>
          <w:tcPr>
            <w:tcW w:w="3204"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Professional Services</w:t>
            </w:r>
          </w:p>
        </w:tc>
        <w:tc>
          <w:tcPr>
            <w:tcW w:w="2410"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$3,600</w:t>
            </w:r>
          </w:p>
        </w:tc>
      </w:tr>
      <w:tr w:rsidR="005B6242" w:rsidRPr="005B6242" w:rsidTr="00AA6F8A">
        <w:tblPrEx>
          <w:tblCellMar>
            <w:top w:w="0" w:type="dxa"/>
            <w:left w:w="0" w:type="dxa"/>
            <w:bottom w:w="0" w:type="dxa"/>
            <w:right w:w="0" w:type="dxa"/>
          </w:tblCellMar>
        </w:tblPrEx>
        <w:trPr>
          <w:cantSplit/>
          <w:trHeight w:val="226"/>
        </w:trPr>
        <w:tc>
          <w:tcPr>
            <w:tcW w:w="4876"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THE TRUSTEE FOR BGPS FAMILY TRUST</w:t>
            </w:r>
          </w:p>
        </w:tc>
        <w:tc>
          <w:tcPr>
            <w:tcW w:w="3204"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Professional Services</w:t>
            </w:r>
          </w:p>
        </w:tc>
        <w:tc>
          <w:tcPr>
            <w:tcW w:w="2410"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$1,500</w:t>
            </w:r>
          </w:p>
        </w:tc>
      </w:tr>
      <w:tr w:rsidR="005B6242" w:rsidRPr="005B6242" w:rsidTr="00AA6F8A">
        <w:tblPrEx>
          <w:tblCellMar>
            <w:top w:w="0" w:type="dxa"/>
            <w:left w:w="0" w:type="dxa"/>
            <w:bottom w:w="0" w:type="dxa"/>
            <w:right w:w="0" w:type="dxa"/>
          </w:tblCellMar>
        </w:tblPrEx>
        <w:trPr>
          <w:cantSplit/>
          <w:trHeight w:val="226"/>
        </w:trPr>
        <w:tc>
          <w:tcPr>
            <w:tcW w:w="4876"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THE UNIVERSITY OF MELBOURNE</w:t>
            </w:r>
          </w:p>
        </w:tc>
        <w:tc>
          <w:tcPr>
            <w:tcW w:w="3204"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Professional Services</w:t>
            </w:r>
          </w:p>
        </w:tc>
        <w:tc>
          <w:tcPr>
            <w:tcW w:w="2410"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$8,000</w:t>
            </w:r>
          </w:p>
        </w:tc>
      </w:tr>
      <w:tr w:rsidR="005B6242" w:rsidRPr="005B6242" w:rsidTr="00AA6F8A">
        <w:tblPrEx>
          <w:tblCellMar>
            <w:top w:w="0" w:type="dxa"/>
            <w:left w:w="0" w:type="dxa"/>
            <w:bottom w:w="0" w:type="dxa"/>
            <w:right w:w="0" w:type="dxa"/>
          </w:tblCellMar>
        </w:tblPrEx>
        <w:trPr>
          <w:cantSplit/>
          <w:trHeight w:val="226"/>
        </w:trPr>
        <w:tc>
          <w:tcPr>
            <w:tcW w:w="4876"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VICLAB PTY LTD</w:t>
            </w:r>
          </w:p>
        </w:tc>
        <w:tc>
          <w:tcPr>
            <w:tcW w:w="3204"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Scientific Research Services</w:t>
            </w:r>
          </w:p>
        </w:tc>
        <w:tc>
          <w:tcPr>
            <w:tcW w:w="2410" w:type="dxa"/>
            <w:tcMar>
              <w:top w:w="80" w:type="dxa"/>
              <w:left w:w="80" w:type="dxa"/>
              <w:bottom w:w="80" w:type="dxa"/>
              <w:right w:w="80" w:type="dxa"/>
            </w:tcMar>
          </w:tcPr>
          <w:p w:rsidR="005B6242" w:rsidRPr="005B6242" w:rsidRDefault="005B6242" w:rsidP="009F313F">
            <w:pPr>
              <w:pStyle w:val="TableCopy"/>
              <w:rPr>
                <w:lang w:val="en-GB"/>
              </w:rPr>
            </w:pPr>
            <w:r w:rsidRPr="005B6242">
              <w:rPr>
                <w:lang w:val="en-GB"/>
              </w:rPr>
              <w:t>$966</w:t>
            </w:r>
          </w:p>
        </w:tc>
      </w:tr>
    </w:tbl>
    <w:p w:rsidR="009F313F" w:rsidRDefault="009F313F" w:rsidP="005B6242"/>
    <w:p w:rsidR="005B6242" w:rsidRPr="005B6242" w:rsidRDefault="005B6242" w:rsidP="005B6242">
      <w:pPr>
        <w:rPr>
          <w:lang w:val="en-GB"/>
        </w:rPr>
      </w:pPr>
      <w:r w:rsidRPr="005B6242">
        <w:rPr>
          <w:lang w:val="en-GB"/>
        </w:rPr>
        <w:t>Details of all consultancy expenditure above $10,000 are referenced in Appendix 8 to the DEDJTR 2017-18 Annual Report which is available on the department’s website at economicdevelopment.vic.au</w:t>
      </w:r>
    </w:p>
    <w:p w:rsidR="005B6242" w:rsidRPr="005B6242" w:rsidRDefault="005B6242" w:rsidP="005B6242">
      <w:pPr>
        <w:rPr>
          <w:lang w:val="en-GB"/>
        </w:rPr>
      </w:pPr>
      <w:r w:rsidRPr="005B6242">
        <w:rPr>
          <w:lang w:val="en-GB"/>
        </w:rPr>
        <w:t xml:space="preserve">Details of all contractors have been retained by the department and are available on request, subject to the provisions of the </w:t>
      </w:r>
      <w:r w:rsidRPr="005B6242">
        <w:rPr>
          <w:i/>
          <w:iCs/>
          <w:lang w:val="en-GB"/>
        </w:rPr>
        <w:t>Freedom of Information Act 1982</w:t>
      </w:r>
      <w:r w:rsidRPr="005B6242">
        <w:rPr>
          <w:lang w:val="en-GB"/>
        </w:rPr>
        <w:t>. This information is available on request from:</w:t>
      </w:r>
    </w:p>
    <w:p w:rsidR="009F313F" w:rsidRDefault="005B6242" w:rsidP="005B6242">
      <w:pPr>
        <w:rPr>
          <w:lang w:val="en-GB"/>
        </w:rPr>
      </w:pPr>
      <w:r w:rsidRPr="005B6242">
        <w:rPr>
          <w:lang w:val="en-GB"/>
        </w:rPr>
        <w:t>Freedom of Information Manager</w:t>
      </w:r>
    </w:p>
    <w:p w:rsidR="009F313F" w:rsidRDefault="005B6242" w:rsidP="005B6242">
      <w:pPr>
        <w:rPr>
          <w:lang w:val="en-GB"/>
        </w:rPr>
      </w:pPr>
      <w:r w:rsidRPr="005B6242">
        <w:rPr>
          <w:lang w:val="en-GB"/>
        </w:rPr>
        <w:t>Department of Economic Development, Jobs, Transport and Resources</w:t>
      </w:r>
    </w:p>
    <w:p w:rsidR="005B6242" w:rsidRPr="005B6242" w:rsidRDefault="005B6242" w:rsidP="005B6242">
      <w:pPr>
        <w:rPr>
          <w:lang w:val="en-GB"/>
        </w:rPr>
      </w:pPr>
      <w:r w:rsidRPr="005B6242">
        <w:rPr>
          <w:lang w:val="en-GB"/>
        </w:rPr>
        <w:t>GPO 4509 MELBOURNE</w:t>
      </w:r>
      <w:r w:rsidR="009F313F">
        <w:rPr>
          <w:lang w:val="en-GB"/>
        </w:rPr>
        <w:t xml:space="preserve"> </w:t>
      </w:r>
      <w:r w:rsidRPr="005B6242">
        <w:rPr>
          <w:lang w:val="en-GB"/>
        </w:rPr>
        <w:t>VIC</w:t>
      </w:r>
      <w:r w:rsidR="009F313F">
        <w:rPr>
          <w:lang w:val="en-GB"/>
        </w:rPr>
        <w:t xml:space="preserve"> </w:t>
      </w:r>
      <w:r w:rsidRPr="005B6242">
        <w:rPr>
          <w:lang w:val="en-GB"/>
        </w:rPr>
        <w:t>3001</w:t>
      </w:r>
    </w:p>
    <w:p w:rsidR="009F313F" w:rsidRDefault="005B6242" w:rsidP="005B6242">
      <w:pPr>
        <w:rPr>
          <w:lang w:val="en-GB"/>
        </w:rPr>
      </w:pPr>
      <w:r w:rsidRPr="005B6242">
        <w:rPr>
          <w:lang w:val="en-GB"/>
        </w:rPr>
        <w:t>Phone: (03) 9208 3112</w:t>
      </w:r>
    </w:p>
    <w:p w:rsidR="005B6242" w:rsidRDefault="005B6242" w:rsidP="005B6242">
      <w:r w:rsidRPr="005B6242">
        <w:rPr>
          <w:lang w:val="en-GB"/>
        </w:rPr>
        <w:t xml:space="preserve">Email: </w:t>
      </w:r>
      <w:hyperlink r:id="rId13" w:history="1">
        <w:r w:rsidRPr="009F313F">
          <w:rPr>
            <w:rStyle w:val="Hyperlink"/>
            <w:lang w:val="en-GB"/>
          </w:rPr>
          <w:t>foi@ecodev.vic.gov.au</w:t>
        </w:r>
      </w:hyperlink>
    </w:p>
    <w:sectPr w:rsidR="005B6242" w:rsidSect="005B6242">
      <w:footerReference w:type="even" r:id="rId14"/>
      <w:footerReference w:type="default" r:id="rId15"/>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9BD" w:rsidRDefault="00AD39BD" w:rsidP="00E56313">
      <w:r>
        <w:separator/>
      </w:r>
    </w:p>
    <w:p w:rsidR="00AD39BD" w:rsidRDefault="00AD39BD" w:rsidP="00E56313"/>
    <w:p w:rsidR="00AD39BD" w:rsidRDefault="00AD39BD" w:rsidP="00E56313"/>
  </w:endnote>
  <w:endnote w:type="continuationSeparator" w:id="0">
    <w:p w:rsidR="00AD39BD" w:rsidRDefault="00AD39BD" w:rsidP="00E56313">
      <w:r>
        <w:continuationSeparator/>
      </w:r>
    </w:p>
    <w:p w:rsidR="00AD39BD" w:rsidRDefault="00AD39BD" w:rsidP="00E56313"/>
    <w:p w:rsidR="00AD39BD" w:rsidRDefault="00AD39BD"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4BB" w:rsidRDefault="002244BB"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2244BB" w:rsidRDefault="002244BB" w:rsidP="00E56313">
    <w:pPr>
      <w:rPr>
        <w:rStyle w:val="PageNumber"/>
      </w:rPr>
    </w:pPr>
  </w:p>
  <w:p w:rsidR="002244BB" w:rsidRDefault="002244BB" w:rsidP="00E56313"/>
  <w:p w:rsidR="002244BB" w:rsidRDefault="002244BB" w:rsidP="00E56313"/>
  <w:p w:rsidR="002244BB" w:rsidRDefault="002244BB" w:rsidP="00E5631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44BB" w:rsidRPr="00290BF9" w:rsidRDefault="002244BB" w:rsidP="00290BF9">
    <w:pPr>
      <w:rPr>
        <w:rStyle w:val="Strong"/>
      </w:rPr>
    </w:pPr>
    <w:r>
      <w:rPr>
        <w:rStyle w:val="Strong"/>
      </w:rPr>
      <w:br/>
    </w:r>
    <w:r w:rsidRPr="00290BF9">
      <w:rPr>
        <w:rStyle w:val="Strong"/>
      </w:rPr>
      <w:fldChar w:fldCharType="begin"/>
    </w:r>
    <w:r w:rsidRPr="00290BF9">
      <w:rPr>
        <w:rStyle w:val="Strong"/>
      </w:rPr>
      <w:instrText xml:space="preserve">PAGE  </w:instrText>
    </w:r>
    <w:r w:rsidRPr="00290BF9">
      <w:rPr>
        <w:rStyle w:val="Strong"/>
      </w:rPr>
      <w:fldChar w:fldCharType="separate"/>
    </w:r>
    <w:r>
      <w:rPr>
        <w:rStyle w:val="Strong"/>
        <w:noProof/>
      </w:rPr>
      <w:t>1</w:t>
    </w:r>
    <w:r w:rsidRPr="00290BF9">
      <w:rPr>
        <w:rStyle w:val="Strong"/>
      </w:rPr>
      <w:fldChar w:fldCharType="end"/>
    </w:r>
  </w:p>
  <w:p w:rsidR="002244BB" w:rsidRPr="009F313F" w:rsidRDefault="009F313F" w:rsidP="00E56313">
    <w:pPr>
      <w:rPr>
        <w:rStyle w:val="PlainTable4"/>
        <w:lang w:val="en-GB"/>
      </w:rPr>
    </w:pPr>
    <w:r w:rsidRPr="009F313F">
      <w:rPr>
        <w:i/>
        <w:iCs/>
        <w:lang w:val="en-GB"/>
      </w:rPr>
      <w:t>DEDJTR 2017-18 Annual Report</w:t>
    </w:r>
    <w:r w:rsidR="002244BB" w:rsidRPr="009F313F">
      <w:rPr>
        <w:rStyle w:val="PlainTable4"/>
      </w:rPr>
      <w:br/>
    </w:r>
    <w:r w:rsidRPr="009F313F">
      <w:rPr>
        <w:i/>
        <w:iCs/>
        <w:color w:val="5B9BD5"/>
        <w:lang w:val="en-GB"/>
      </w:rPr>
      <w:t>APPENDIX 17 – Additional departmental information available on request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9BD" w:rsidRDefault="00AD39BD" w:rsidP="00E56313">
      <w:r>
        <w:separator/>
      </w:r>
    </w:p>
    <w:p w:rsidR="00AD39BD" w:rsidRDefault="00AD39BD" w:rsidP="00E56313"/>
    <w:p w:rsidR="00AD39BD" w:rsidRDefault="00AD39BD" w:rsidP="00E56313"/>
  </w:footnote>
  <w:footnote w:type="continuationSeparator" w:id="0">
    <w:p w:rsidR="00AD39BD" w:rsidRDefault="00AD39BD" w:rsidP="00E56313">
      <w:r>
        <w:continuationSeparator/>
      </w:r>
    </w:p>
    <w:p w:rsidR="00AD39BD" w:rsidRDefault="00AD39BD" w:rsidP="00E56313"/>
    <w:p w:rsidR="00AD39BD" w:rsidRDefault="00AD39BD" w:rsidP="00E56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pStyle w:val="TableCop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8"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5"/>
  </w:num>
  <w:num w:numId="15">
    <w:abstractNumId w:val="19"/>
  </w:num>
  <w:num w:numId="16">
    <w:abstractNumId w:val="34"/>
  </w:num>
  <w:num w:numId="17">
    <w:abstractNumId w:val="24"/>
  </w:num>
  <w:num w:numId="18">
    <w:abstractNumId w:val="16"/>
  </w:num>
  <w:num w:numId="19">
    <w:abstractNumId w:val="21"/>
  </w:num>
  <w:num w:numId="20">
    <w:abstractNumId w:val="14"/>
  </w:num>
  <w:num w:numId="21">
    <w:abstractNumId w:val="20"/>
  </w:num>
  <w:num w:numId="22">
    <w:abstractNumId w:val="27"/>
  </w:num>
  <w:num w:numId="23">
    <w:abstractNumId w:val="23"/>
  </w:num>
  <w:num w:numId="24">
    <w:abstractNumId w:val="31"/>
  </w:num>
  <w:num w:numId="25">
    <w:abstractNumId w:val="22"/>
  </w:num>
  <w:num w:numId="26">
    <w:abstractNumId w:val="30"/>
  </w:num>
  <w:num w:numId="27">
    <w:abstractNumId w:val="35"/>
  </w:num>
  <w:num w:numId="28">
    <w:abstractNumId w:val="11"/>
  </w:num>
  <w:num w:numId="29">
    <w:abstractNumId w:val="28"/>
  </w:num>
  <w:num w:numId="30">
    <w:abstractNumId w:val="36"/>
  </w:num>
  <w:num w:numId="31">
    <w:abstractNumId w:val="32"/>
  </w:num>
  <w:num w:numId="32">
    <w:abstractNumId w:val="18"/>
  </w:num>
  <w:num w:numId="33">
    <w:abstractNumId w:val="29"/>
  </w:num>
  <w:num w:numId="34">
    <w:abstractNumId w:val="38"/>
  </w:num>
  <w:num w:numId="35">
    <w:abstractNumId w:val="37"/>
  </w:num>
  <w:num w:numId="36">
    <w:abstractNumId w:val="15"/>
  </w:num>
  <w:num w:numId="37">
    <w:abstractNumId w:val="26"/>
  </w:num>
  <w:num w:numId="38">
    <w:abstractNumId w:val="13"/>
  </w:num>
  <w:num w:numId="39">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embedSystemFonts/>
  <w:activeWritingStyle w:appName="MSWord" w:lang="en-US" w:vendorID="64" w:dllVersion="131078"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proofState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4CC7"/>
    <w:rsid w:val="00002A39"/>
    <w:rsid w:val="000036CE"/>
    <w:rsid w:val="00013889"/>
    <w:rsid w:val="00017775"/>
    <w:rsid w:val="00030496"/>
    <w:rsid w:val="000357B3"/>
    <w:rsid w:val="000419C6"/>
    <w:rsid w:val="00044E23"/>
    <w:rsid w:val="00053101"/>
    <w:rsid w:val="000536A2"/>
    <w:rsid w:val="00080BC2"/>
    <w:rsid w:val="00087128"/>
    <w:rsid w:val="0009513B"/>
    <w:rsid w:val="00095A8B"/>
    <w:rsid w:val="000A1660"/>
    <w:rsid w:val="000B3D0A"/>
    <w:rsid w:val="000B47BF"/>
    <w:rsid w:val="000B5F85"/>
    <w:rsid w:val="000C72E5"/>
    <w:rsid w:val="00100DAC"/>
    <w:rsid w:val="00122A98"/>
    <w:rsid w:val="00122D9F"/>
    <w:rsid w:val="001745B8"/>
    <w:rsid w:val="001748EF"/>
    <w:rsid w:val="00181C29"/>
    <w:rsid w:val="00194343"/>
    <w:rsid w:val="001C600B"/>
    <w:rsid w:val="001D37F7"/>
    <w:rsid w:val="00203883"/>
    <w:rsid w:val="00210DDC"/>
    <w:rsid w:val="002244BB"/>
    <w:rsid w:val="002275CB"/>
    <w:rsid w:val="00284955"/>
    <w:rsid w:val="00290BF9"/>
    <w:rsid w:val="00294AA3"/>
    <w:rsid w:val="002962D1"/>
    <w:rsid w:val="002A6DB1"/>
    <w:rsid w:val="002B6E14"/>
    <w:rsid w:val="002B7736"/>
    <w:rsid w:val="002B7DAA"/>
    <w:rsid w:val="002C33FA"/>
    <w:rsid w:val="002D2EC0"/>
    <w:rsid w:val="002F01A7"/>
    <w:rsid w:val="003046E4"/>
    <w:rsid w:val="0031065A"/>
    <w:rsid w:val="00324BAD"/>
    <w:rsid w:val="0034186D"/>
    <w:rsid w:val="00343AFC"/>
    <w:rsid w:val="0035735A"/>
    <w:rsid w:val="00362FBA"/>
    <w:rsid w:val="0037064F"/>
    <w:rsid w:val="00385B49"/>
    <w:rsid w:val="00395308"/>
    <w:rsid w:val="003A1138"/>
    <w:rsid w:val="003D7499"/>
    <w:rsid w:val="003E5FEE"/>
    <w:rsid w:val="003E7F9F"/>
    <w:rsid w:val="003F4C53"/>
    <w:rsid w:val="00403A0D"/>
    <w:rsid w:val="00424007"/>
    <w:rsid w:val="0042767C"/>
    <w:rsid w:val="00451405"/>
    <w:rsid w:val="00464890"/>
    <w:rsid w:val="00473AB1"/>
    <w:rsid w:val="004A15DF"/>
    <w:rsid w:val="004A7315"/>
    <w:rsid w:val="004D0B04"/>
    <w:rsid w:val="004D273C"/>
    <w:rsid w:val="00506C69"/>
    <w:rsid w:val="0051277C"/>
    <w:rsid w:val="00517406"/>
    <w:rsid w:val="00561580"/>
    <w:rsid w:val="0058543D"/>
    <w:rsid w:val="005B6242"/>
    <w:rsid w:val="006116D1"/>
    <w:rsid w:val="0061599A"/>
    <w:rsid w:val="0063431F"/>
    <w:rsid w:val="00635700"/>
    <w:rsid w:val="0065327B"/>
    <w:rsid w:val="0066012B"/>
    <w:rsid w:val="00660A85"/>
    <w:rsid w:val="00665417"/>
    <w:rsid w:val="00671B15"/>
    <w:rsid w:val="00681D94"/>
    <w:rsid w:val="00697076"/>
    <w:rsid w:val="006B34CD"/>
    <w:rsid w:val="006B61E2"/>
    <w:rsid w:val="006F595D"/>
    <w:rsid w:val="00701AC3"/>
    <w:rsid w:val="0073019A"/>
    <w:rsid w:val="007421EA"/>
    <w:rsid w:val="00763A9B"/>
    <w:rsid w:val="00783316"/>
    <w:rsid w:val="007C02A2"/>
    <w:rsid w:val="007D0491"/>
    <w:rsid w:val="007E1B64"/>
    <w:rsid w:val="007F66CB"/>
    <w:rsid w:val="00800403"/>
    <w:rsid w:val="008017B4"/>
    <w:rsid w:val="00804FD5"/>
    <w:rsid w:val="0082630D"/>
    <w:rsid w:val="00843667"/>
    <w:rsid w:val="008457D8"/>
    <w:rsid w:val="00870866"/>
    <w:rsid w:val="008C3EBD"/>
    <w:rsid w:val="008C7567"/>
    <w:rsid w:val="008D4664"/>
    <w:rsid w:val="008D63F5"/>
    <w:rsid w:val="008E1BD0"/>
    <w:rsid w:val="008E37CC"/>
    <w:rsid w:val="00916CAD"/>
    <w:rsid w:val="009324DF"/>
    <w:rsid w:val="00932CD4"/>
    <w:rsid w:val="00947441"/>
    <w:rsid w:val="00953ED1"/>
    <w:rsid w:val="009644BA"/>
    <w:rsid w:val="00983D55"/>
    <w:rsid w:val="009840A4"/>
    <w:rsid w:val="009A4B3D"/>
    <w:rsid w:val="009B221C"/>
    <w:rsid w:val="009D5C0B"/>
    <w:rsid w:val="009D7457"/>
    <w:rsid w:val="009D76C8"/>
    <w:rsid w:val="009E2779"/>
    <w:rsid w:val="009F313F"/>
    <w:rsid w:val="00A0004C"/>
    <w:rsid w:val="00A05DF5"/>
    <w:rsid w:val="00A2008A"/>
    <w:rsid w:val="00A37580"/>
    <w:rsid w:val="00A43AEA"/>
    <w:rsid w:val="00A56D7C"/>
    <w:rsid w:val="00A822BD"/>
    <w:rsid w:val="00A84713"/>
    <w:rsid w:val="00AA6F8A"/>
    <w:rsid w:val="00AB2405"/>
    <w:rsid w:val="00AC4E82"/>
    <w:rsid w:val="00AD39BD"/>
    <w:rsid w:val="00AE3C0B"/>
    <w:rsid w:val="00AF334F"/>
    <w:rsid w:val="00B13EDC"/>
    <w:rsid w:val="00B20244"/>
    <w:rsid w:val="00B2145F"/>
    <w:rsid w:val="00B336E7"/>
    <w:rsid w:val="00B46E0D"/>
    <w:rsid w:val="00B65B0E"/>
    <w:rsid w:val="00B722AF"/>
    <w:rsid w:val="00B767D8"/>
    <w:rsid w:val="00BA2D59"/>
    <w:rsid w:val="00BA6C69"/>
    <w:rsid w:val="00BB20A0"/>
    <w:rsid w:val="00BB376F"/>
    <w:rsid w:val="00BB7A08"/>
    <w:rsid w:val="00BC7431"/>
    <w:rsid w:val="00BF1A2A"/>
    <w:rsid w:val="00BF2C1C"/>
    <w:rsid w:val="00BF324B"/>
    <w:rsid w:val="00C06465"/>
    <w:rsid w:val="00C1235C"/>
    <w:rsid w:val="00C14CC7"/>
    <w:rsid w:val="00C27B8C"/>
    <w:rsid w:val="00C37927"/>
    <w:rsid w:val="00C43612"/>
    <w:rsid w:val="00C50A27"/>
    <w:rsid w:val="00C56103"/>
    <w:rsid w:val="00C62471"/>
    <w:rsid w:val="00C86C09"/>
    <w:rsid w:val="00CA7CCD"/>
    <w:rsid w:val="00CB1EF3"/>
    <w:rsid w:val="00CB6899"/>
    <w:rsid w:val="00CB75F5"/>
    <w:rsid w:val="00CC13B6"/>
    <w:rsid w:val="00CC627D"/>
    <w:rsid w:val="00CE567A"/>
    <w:rsid w:val="00CE5AA8"/>
    <w:rsid w:val="00D036E4"/>
    <w:rsid w:val="00D22BD4"/>
    <w:rsid w:val="00D406AA"/>
    <w:rsid w:val="00D53BB5"/>
    <w:rsid w:val="00D81EEB"/>
    <w:rsid w:val="00D90745"/>
    <w:rsid w:val="00D93A0B"/>
    <w:rsid w:val="00D94A1A"/>
    <w:rsid w:val="00DD435A"/>
    <w:rsid w:val="00DD5E27"/>
    <w:rsid w:val="00DD77E3"/>
    <w:rsid w:val="00DE055F"/>
    <w:rsid w:val="00E47681"/>
    <w:rsid w:val="00E547D5"/>
    <w:rsid w:val="00E56313"/>
    <w:rsid w:val="00E57278"/>
    <w:rsid w:val="00E67B6B"/>
    <w:rsid w:val="00E720F4"/>
    <w:rsid w:val="00E86D9D"/>
    <w:rsid w:val="00EA23BE"/>
    <w:rsid w:val="00EA52AE"/>
    <w:rsid w:val="00EC7FF6"/>
    <w:rsid w:val="00F06168"/>
    <w:rsid w:val="00F45551"/>
    <w:rsid w:val="00F8396A"/>
    <w:rsid w:val="00F96D44"/>
    <w:rsid w:val="00FC1D6D"/>
    <w:rsid w:val="00FF4FEA"/>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5:chartTrackingRefBased/>
  <w15:docId w15:val="{23000679-4212-4D81-887E-8955957F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E56313"/>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D93A0B"/>
    <w:pPr>
      <w:keepNext/>
      <w:keepLines/>
      <w:spacing w:before="20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D93A0B"/>
    <w:rPr>
      <w:rFonts w:ascii="Arial" w:eastAsia="MS Gothic" w:hAnsi="Arial"/>
      <w:b/>
      <w:bCs/>
      <w:iCs/>
      <w:sz w:val="24"/>
      <w:szCs w:val="24"/>
    </w:rPr>
  </w:style>
  <w:style w:type="character" w:customStyle="1" w:styleId="Heading5Char">
    <w:name w:val="Heading 5 Char"/>
    <w:link w:val="Heading5"/>
    <w:uiPriority w:val="9"/>
    <w:rsid w:val="00E56313"/>
    <w:rPr>
      <w:rFonts w:ascii="Arial" w:hAnsi="Arial"/>
      <w:b/>
      <w:bCs/>
      <w:iCs/>
      <w:spacing w:val="-4"/>
      <w:sz w:val="22"/>
      <w:szCs w:val="26"/>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styleId="GridTable3">
    <w:name w:val="Grid Table 3"/>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styleId="PlainTable3">
    <w:name w:val="Plain Table 3"/>
    <w:uiPriority w:val="19"/>
    <w:qFormat/>
    <w:rsid w:val="00E56313"/>
    <w:rPr>
      <w:rFonts w:ascii="Arial" w:hAnsi="Arial"/>
      <w:i/>
      <w:iCs/>
      <w:color w:val="404040"/>
    </w:rPr>
  </w:style>
  <w:style w:type="character" w:styleId="PlainTable4">
    <w:name w:val="Plain Table 4"/>
    <w:uiPriority w:val="21"/>
    <w:qFormat/>
    <w:rsid w:val="00E56313"/>
    <w:rPr>
      <w:rFonts w:ascii="Arial" w:hAnsi="Arial"/>
      <w:i/>
      <w:iCs/>
      <w:color w:val="5B9BD5"/>
    </w:rPr>
  </w:style>
  <w:style w:type="character" w:styleId="PlainTable5">
    <w:name w:val="Plain Table 5"/>
    <w:uiPriority w:val="31"/>
    <w:qFormat/>
    <w:rsid w:val="00E56313"/>
    <w:rPr>
      <w:rFonts w:ascii="Arial" w:hAnsi="Arial"/>
      <w:smallCaps/>
      <w:color w:val="5A5A5A"/>
    </w:rPr>
  </w:style>
  <w:style w:type="character" w:styleId="TableGridLight">
    <w:name w:val="Grid Table Light"/>
    <w:uiPriority w:val="32"/>
    <w:qFormat/>
    <w:rsid w:val="00E56313"/>
    <w:rPr>
      <w:rFonts w:ascii="Arial" w:hAnsi="Arial"/>
      <w:b/>
      <w:bCs/>
      <w:smallCaps/>
      <w:color w:val="5B9BD5"/>
      <w:spacing w:val="5"/>
    </w:rPr>
  </w:style>
  <w:style w:type="character" w:styleId="GridTable1Light">
    <w:name w:val="Grid Table 1 Light"/>
    <w:uiPriority w:val="33"/>
    <w:qFormat/>
    <w:rsid w:val="00E56313"/>
    <w:rPr>
      <w:rFonts w:ascii="Arial" w:hAnsi="Arial"/>
      <w:b/>
      <w:bCs/>
      <w:i/>
      <w:iCs/>
      <w:spacing w:val="5"/>
    </w:rPr>
  </w:style>
  <w:style w:type="character" w:styleId="UnresolvedMention">
    <w:name w:val="Unresolved Mention"/>
    <w:uiPriority w:val="47"/>
    <w:rsid w:val="005B6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djpr.vic.gov.au/" TargetMode="External"/><Relationship Id="rId13" Type="http://schemas.openxmlformats.org/officeDocument/2006/relationships/hyperlink" Target="mailto:foi@ecodev.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arthresources.vi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jpr.vi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conomicdevelopment.vic.gov.au/about-us/fees-charges-fines" TargetMode="External"/><Relationship Id="rId4" Type="http://schemas.openxmlformats.org/officeDocument/2006/relationships/settings" Target="settings.xml"/><Relationship Id="rId9" Type="http://schemas.openxmlformats.org/officeDocument/2006/relationships/hyperlink" Target="https://djpr.vic.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CFA53-6FFB-457F-8BF4-F2BDCD98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18682</Words>
  <Characters>106493</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124926</CharactersWithSpaces>
  <SharedDoc>false</SharedDoc>
  <HLinks>
    <vt:vector size="120" baseType="variant">
      <vt:variant>
        <vt:i4>6226033</vt:i4>
      </vt:variant>
      <vt:variant>
        <vt:i4>102</vt:i4>
      </vt:variant>
      <vt:variant>
        <vt:i4>0</vt:i4>
      </vt:variant>
      <vt:variant>
        <vt:i4>5</vt:i4>
      </vt:variant>
      <vt:variant>
        <vt:lpwstr>mailto:foi@ecodev.vic.gov.au</vt:lpwstr>
      </vt:variant>
      <vt:variant>
        <vt:lpwstr/>
      </vt:variant>
      <vt:variant>
        <vt:i4>1310749</vt:i4>
      </vt:variant>
      <vt:variant>
        <vt:i4>99</vt:i4>
      </vt:variant>
      <vt:variant>
        <vt:i4>0</vt:i4>
      </vt:variant>
      <vt:variant>
        <vt:i4>5</vt:i4>
      </vt:variant>
      <vt:variant>
        <vt:lpwstr>http://earthresources.vic.gov.au/</vt:lpwstr>
      </vt:variant>
      <vt:variant>
        <vt:lpwstr/>
      </vt:variant>
      <vt:variant>
        <vt:i4>4390921</vt:i4>
      </vt:variant>
      <vt:variant>
        <vt:i4>96</vt:i4>
      </vt:variant>
      <vt:variant>
        <vt:i4>0</vt:i4>
      </vt:variant>
      <vt:variant>
        <vt:i4>5</vt:i4>
      </vt:variant>
      <vt:variant>
        <vt:lpwstr>https://djpr.vic.gov.au/</vt:lpwstr>
      </vt:variant>
      <vt:variant>
        <vt:lpwstr/>
      </vt:variant>
      <vt:variant>
        <vt:i4>7864352</vt:i4>
      </vt:variant>
      <vt:variant>
        <vt:i4>93</vt:i4>
      </vt:variant>
      <vt:variant>
        <vt:i4>0</vt:i4>
      </vt:variant>
      <vt:variant>
        <vt:i4>5</vt:i4>
      </vt:variant>
      <vt:variant>
        <vt:lpwstr>https://economicdevelopment.vic.gov.au/about-us/fees-charges-fines</vt:lpwstr>
      </vt:variant>
      <vt:variant>
        <vt:lpwstr/>
      </vt:variant>
      <vt:variant>
        <vt:i4>4390921</vt:i4>
      </vt:variant>
      <vt:variant>
        <vt:i4>90</vt:i4>
      </vt:variant>
      <vt:variant>
        <vt:i4>0</vt:i4>
      </vt:variant>
      <vt:variant>
        <vt:i4>5</vt:i4>
      </vt:variant>
      <vt:variant>
        <vt:lpwstr>https://djpr.vic.gov.au/</vt:lpwstr>
      </vt:variant>
      <vt:variant>
        <vt:lpwstr/>
      </vt:variant>
      <vt:variant>
        <vt:i4>4390921</vt:i4>
      </vt:variant>
      <vt:variant>
        <vt:i4>87</vt:i4>
      </vt:variant>
      <vt:variant>
        <vt:i4>0</vt:i4>
      </vt:variant>
      <vt:variant>
        <vt:i4>5</vt:i4>
      </vt:variant>
      <vt:variant>
        <vt:lpwstr>https://djpr.vic.gov.au/</vt:lpwstr>
      </vt:variant>
      <vt:variant>
        <vt:lpwstr/>
      </vt:variant>
      <vt:variant>
        <vt:i4>3080203</vt:i4>
      </vt:variant>
      <vt:variant>
        <vt:i4>80</vt:i4>
      </vt:variant>
      <vt:variant>
        <vt:i4>0</vt:i4>
      </vt:variant>
      <vt:variant>
        <vt:i4>5</vt:i4>
      </vt:variant>
      <vt:variant>
        <vt:lpwstr/>
      </vt:variant>
      <vt:variant>
        <vt:lpwstr>_Toc5098700</vt:lpwstr>
      </vt:variant>
      <vt:variant>
        <vt:i4>2490378</vt:i4>
      </vt:variant>
      <vt:variant>
        <vt:i4>74</vt:i4>
      </vt:variant>
      <vt:variant>
        <vt:i4>0</vt:i4>
      </vt:variant>
      <vt:variant>
        <vt:i4>5</vt:i4>
      </vt:variant>
      <vt:variant>
        <vt:lpwstr/>
      </vt:variant>
      <vt:variant>
        <vt:lpwstr>_Toc5098699</vt:lpwstr>
      </vt:variant>
      <vt:variant>
        <vt:i4>2490378</vt:i4>
      </vt:variant>
      <vt:variant>
        <vt:i4>68</vt:i4>
      </vt:variant>
      <vt:variant>
        <vt:i4>0</vt:i4>
      </vt:variant>
      <vt:variant>
        <vt:i4>5</vt:i4>
      </vt:variant>
      <vt:variant>
        <vt:lpwstr/>
      </vt:variant>
      <vt:variant>
        <vt:lpwstr>_Toc5098698</vt:lpwstr>
      </vt:variant>
      <vt:variant>
        <vt:i4>2490378</vt:i4>
      </vt:variant>
      <vt:variant>
        <vt:i4>62</vt:i4>
      </vt:variant>
      <vt:variant>
        <vt:i4>0</vt:i4>
      </vt:variant>
      <vt:variant>
        <vt:i4>5</vt:i4>
      </vt:variant>
      <vt:variant>
        <vt:lpwstr/>
      </vt:variant>
      <vt:variant>
        <vt:lpwstr>_Toc5098697</vt:lpwstr>
      </vt:variant>
      <vt:variant>
        <vt:i4>2490378</vt:i4>
      </vt:variant>
      <vt:variant>
        <vt:i4>56</vt:i4>
      </vt:variant>
      <vt:variant>
        <vt:i4>0</vt:i4>
      </vt:variant>
      <vt:variant>
        <vt:i4>5</vt:i4>
      </vt:variant>
      <vt:variant>
        <vt:lpwstr/>
      </vt:variant>
      <vt:variant>
        <vt:lpwstr>_Toc5098696</vt:lpwstr>
      </vt:variant>
      <vt:variant>
        <vt:i4>2490378</vt:i4>
      </vt:variant>
      <vt:variant>
        <vt:i4>50</vt:i4>
      </vt:variant>
      <vt:variant>
        <vt:i4>0</vt:i4>
      </vt:variant>
      <vt:variant>
        <vt:i4>5</vt:i4>
      </vt:variant>
      <vt:variant>
        <vt:lpwstr/>
      </vt:variant>
      <vt:variant>
        <vt:lpwstr>_Toc5098695</vt:lpwstr>
      </vt:variant>
      <vt:variant>
        <vt:i4>2490378</vt:i4>
      </vt:variant>
      <vt:variant>
        <vt:i4>44</vt:i4>
      </vt:variant>
      <vt:variant>
        <vt:i4>0</vt:i4>
      </vt:variant>
      <vt:variant>
        <vt:i4>5</vt:i4>
      </vt:variant>
      <vt:variant>
        <vt:lpwstr/>
      </vt:variant>
      <vt:variant>
        <vt:lpwstr>_Toc5098694</vt:lpwstr>
      </vt:variant>
      <vt:variant>
        <vt:i4>2490378</vt:i4>
      </vt:variant>
      <vt:variant>
        <vt:i4>38</vt:i4>
      </vt:variant>
      <vt:variant>
        <vt:i4>0</vt:i4>
      </vt:variant>
      <vt:variant>
        <vt:i4>5</vt:i4>
      </vt:variant>
      <vt:variant>
        <vt:lpwstr/>
      </vt:variant>
      <vt:variant>
        <vt:lpwstr>_Toc5098693</vt:lpwstr>
      </vt:variant>
      <vt:variant>
        <vt:i4>2490378</vt:i4>
      </vt:variant>
      <vt:variant>
        <vt:i4>32</vt:i4>
      </vt:variant>
      <vt:variant>
        <vt:i4>0</vt:i4>
      </vt:variant>
      <vt:variant>
        <vt:i4>5</vt:i4>
      </vt:variant>
      <vt:variant>
        <vt:lpwstr/>
      </vt:variant>
      <vt:variant>
        <vt:lpwstr>_Toc5098692</vt:lpwstr>
      </vt:variant>
      <vt:variant>
        <vt:i4>2490378</vt:i4>
      </vt:variant>
      <vt:variant>
        <vt:i4>26</vt:i4>
      </vt:variant>
      <vt:variant>
        <vt:i4>0</vt:i4>
      </vt:variant>
      <vt:variant>
        <vt:i4>5</vt:i4>
      </vt:variant>
      <vt:variant>
        <vt:lpwstr/>
      </vt:variant>
      <vt:variant>
        <vt:lpwstr>_Toc5098691</vt:lpwstr>
      </vt:variant>
      <vt:variant>
        <vt:i4>2490378</vt:i4>
      </vt:variant>
      <vt:variant>
        <vt:i4>20</vt:i4>
      </vt:variant>
      <vt:variant>
        <vt:i4>0</vt:i4>
      </vt:variant>
      <vt:variant>
        <vt:i4>5</vt:i4>
      </vt:variant>
      <vt:variant>
        <vt:lpwstr/>
      </vt:variant>
      <vt:variant>
        <vt:lpwstr>_Toc5098690</vt:lpwstr>
      </vt:variant>
      <vt:variant>
        <vt:i4>2555914</vt:i4>
      </vt:variant>
      <vt:variant>
        <vt:i4>14</vt:i4>
      </vt:variant>
      <vt:variant>
        <vt:i4>0</vt:i4>
      </vt:variant>
      <vt:variant>
        <vt:i4>5</vt:i4>
      </vt:variant>
      <vt:variant>
        <vt:lpwstr/>
      </vt:variant>
      <vt:variant>
        <vt:lpwstr>_Toc5098689</vt:lpwstr>
      </vt:variant>
      <vt:variant>
        <vt:i4>2555914</vt:i4>
      </vt:variant>
      <vt:variant>
        <vt:i4>8</vt:i4>
      </vt:variant>
      <vt:variant>
        <vt:i4>0</vt:i4>
      </vt:variant>
      <vt:variant>
        <vt:i4>5</vt:i4>
      </vt:variant>
      <vt:variant>
        <vt:lpwstr/>
      </vt:variant>
      <vt:variant>
        <vt:lpwstr>_Toc5098688</vt:lpwstr>
      </vt:variant>
      <vt:variant>
        <vt:i4>2555914</vt:i4>
      </vt:variant>
      <vt:variant>
        <vt:i4>2</vt:i4>
      </vt:variant>
      <vt:variant>
        <vt:i4>0</vt:i4>
      </vt:variant>
      <vt:variant>
        <vt:i4>5</vt:i4>
      </vt:variant>
      <vt:variant>
        <vt:lpwstr/>
      </vt:variant>
      <vt:variant>
        <vt:lpwstr>_Toc5098687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Anna Walsh (DEDJTR)</cp:lastModifiedBy>
  <cp:revision>2</cp:revision>
  <dcterms:created xsi:type="dcterms:W3CDTF">2019-04-03T00:01:00Z</dcterms:created>
  <dcterms:modified xsi:type="dcterms:W3CDTF">2019-04-03T00:01:00Z</dcterms:modified>
</cp:coreProperties>
</file>