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11F78" w14:textId="570A4D07" w:rsidR="00624A55" w:rsidRPr="008F3D35" w:rsidRDefault="003134B0" w:rsidP="008F3D35">
      <w:pPr>
        <w:pStyle w:val="Heading1"/>
        <w:bidi/>
      </w:pPr>
      <w:r>
        <w:rPr>
          <w:rtl/>
          <w:lang w:bidi="fa-IR"/>
          <w:rFonts/>
        </w:rPr>
        <w:t xml:space="preserve">انتقال: شروع مثبت مدرسه</w:t>
      </w:r>
      <w:r>
        <w:rPr>
          <w:rtl/>
          <w:lang w:bidi="fa-IR"/>
          <w:rFonts/>
        </w:rPr>
        <w:t xml:space="preserve"> </w:t>
      </w:r>
    </w:p>
    <w:p w14:paraId="74D0F942" w14:textId="00C5CF78" w:rsidR="00624A55" w:rsidRPr="00624A55" w:rsidRDefault="003134B0" w:rsidP="003134B0">
      <w:pPr>
        <w:pStyle w:val="Intro"/>
        <w:spacing w:before="120"/>
        <w:bidi/>
      </w:pPr>
      <w:r>
        <w:rPr>
          <w:rtl/>
          <w:lang w:bidi="fa-IR"/>
          <w:rFonts/>
        </w:rPr>
        <w:t xml:space="preserve">دستورالعمل هایی برای کمک به خانواده برای تکمیل بیانیه یادگیری و رشد در زمان انتقال</w:t>
      </w:r>
      <w:r>
        <w:rPr>
          <w:rtl/>
          <w:lang w:bidi="fa-IR"/>
          <w:rFonts/>
        </w:rPr>
        <w:t xml:space="preserve"> </w:t>
      </w:r>
    </w:p>
    <w:p w14:paraId="0FF761CD" w14:textId="60656DF2" w:rsidR="00624A55" w:rsidRPr="00624A55" w:rsidRDefault="003134B0" w:rsidP="00B373A3">
      <w:pPr>
        <w:pStyle w:val="Heading2"/>
        <w:spacing w:before="120"/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چرا شروع مثبت مدرسه مهم است؟</w:t>
      </w:r>
    </w:p>
    <w:p w14:paraId="79B985B8" w14:textId="2EE3276D" w:rsidR="003134B0" w:rsidRPr="003134B0" w:rsidRDefault="003134B0" w:rsidP="00B373A3">
      <w:pPr>
        <w:spacing w:after="240" w:line="240" w:lineRule="atLeast"/>
        <w:rPr>
          <w:rFonts w:eastAsia="MS Mincho" w:cstheme="minorHAnsi"/>
          <w:szCs w:val="22"/>
          <w:lang w:bidi="fa-IR"/>
        </w:rPr>
        <w:bidi/>
      </w:pPr>
      <w:r>
        <w:rPr>
          <w:rtl/>
          <w:lang w:bidi="fa-IR"/>
          <w:rFonts/>
        </w:rPr>
        <w:t xml:space="preserve">هنگام انتقال از کودکستان به مدرسه و انتقال به یادگیری آتی فرزندتان، شروع مثبت مدرسه می تواند به او کمک کند بهتر یاد بگیرد و احساس خوشحالی بیشتری کند.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انتقالی مثبت همچنین از طریق تقویت تجربیات پیشین و کنونی فرزندتان جهت کمک به ایجاد احساس ایمنی، اعتماد به نفس و پیوستگی در او، به تدوام یادگیری و رشد فرزندتان کمک می کند.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شروع مثبت مدرسه همچنین می تواند به او کمک کند انعطاف پذیری بیشتری پیدا کند.</w:t>
      </w:r>
      <w:r>
        <w:rPr>
          <w:rtl/>
          <w:lang w:bidi="fa-IR"/>
          <w:rFonts/>
        </w:rPr>
        <w:t xml:space="preserve"> </w:t>
      </w:r>
    </w:p>
    <w:p w14:paraId="294FE971" w14:textId="029C5794" w:rsidR="00624A55" w:rsidRPr="00624A55" w:rsidRDefault="003134B0" w:rsidP="00B373A3">
      <w:pPr>
        <w:pStyle w:val="Heading2"/>
        <w:spacing w:before="120"/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بیانیه یادگیری و رشد در زمان انتقال چیست؟</w:t>
      </w:r>
    </w:p>
    <w:p w14:paraId="44DCB24E" w14:textId="3FD8F135" w:rsidR="003134B0" w:rsidRDefault="003134B0" w:rsidP="00D7307A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خدمات دوران اوان کودکی، مدارس، خدمات مراقبت در خارج از ساعات مدرسه (</w:t>
      </w:r>
      <w:r>
        <w:rPr>
          <w:lang w:bidi="fa-IR"/>
          <w:rFonts/>
          <w:rtl/>
        </w:rPr>
        <w:t xml:space="preserve">OSHC</w:t>
      </w:r>
      <w:r>
        <w:rPr>
          <w:rtl/>
          <w:lang w:bidi="fa-IR"/>
          <w:rFonts/>
        </w:rPr>
        <w:t xml:space="preserve">) و خانواده ها با هم همکاری می کنند تا از یادگیری و تندرستی کودکان حمایت کنند. 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آنها اطلاعات را با استفاده از بیانیه یادگیری و رشد در زمان انتقال (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) به اشتراک می گذارند. 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این بیانیه توسط خدمات دوران اوان کودکی برای هر کودک هنگام ورود به مدرسه نوشته می شود. </w:t>
      </w:r>
    </w:p>
    <w:p w14:paraId="61B12BA2" w14:textId="047C6A2A" w:rsidR="003134B0" w:rsidRPr="00037D06" w:rsidRDefault="003134B0" w:rsidP="00D7307A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اطلاعات در مورد یادگیری، رشد و تندرستی فرزندتان را مابین خدمات دوران اوان کودکی و مدارس به اشتراک می گذارد. 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نمایی سریع از علایق، مهارت ها و توانایی های فرزندتان فراهم کرده و رویکردهایی فردی و استراتژی های آموزشی برای حمایت از فرزندتان را شناسایی می کند.</w:t>
      </w:r>
    </w:p>
    <w:p w14:paraId="64E3C2C3" w14:textId="334AFF06" w:rsidR="003134B0" w:rsidRPr="00A3400D" w:rsidRDefault="003134B0" w:rsidP="00D7307A">
      <w:pPr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وقتی فرزندتان مدرسه را شروع می کند، بیانیه انتقال می تواند به شما کمک کند یادگیری او را درک کرده و از او حمایت کنید. 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اطلاعات موجود در </w:t>
      </w:r>
      <w:r>
        <w:rPr>
          <w:lang w:bidi="fa-IR"/>
          <w:rFonts/>
          <w:rtl/>
        </w:rPr>
        <w:t xml:space="preserve">TLDS</w:t>
      </w:r>
      <w:r>
        <w:rPr>
          <w:lang w:bidi="fa-IR"/>
          <w:rFonts/>
          <w:rtl/>
        </w:rPr>
        <w:t xml:space="preserve"> به معلمان پیش دبستان (</w:t>
      </w:r>
      <w:r>
        <w:rPr>
          <w:lang w:bidi="fa-IR"/>
          <w:rFonts/>
          <w:rtl/>
        </w:rPr>
        <w:t xml:space="preserve">Foundation</w:t>
      </w:r>
      <w:r>
        <w:rPr>
          <w:rtl/>
          <w:lang w:bidi="fa-IR"/>
          <w:rFonts/>
        </w:rPr>
        <w:t xml:space="preserve">) کمک می کند با فرزندتان آشنایی پیدا کرده و برنامه های آموزشی مناسبی تهیه کنند.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اگر فرزندتان به </w:t>
      </w:r>
      <w:r>
        <w:rPr>
          <w:lang w:bidi="fa-IR"/>
          <w:rFonts/>
          <w:rtl/>
        </w:rPr>
        <w:t xml:space="preserve">OSHC</w:t>
      </w:r>
      <w:r>
        <w:rPr>
          <w:lang w:bidi="fa-IR"/>
          <w:rFonts/>
          <w:rtl/>
        </w:rPr>
        <w:t xml:space="preserve"> برود،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به برنامه ریزی برای زمانی که آنجا می گذراند، نیز کمک می کند.</w:t>
      </w:r>
    </w:p>
    <w:p w14:paraId="10B395AC" w14:textId="4D781E5D" w:rsidR="003134B0" w:rsidRPr="00A3400D" w:rsidRDefault="003134B0" w:rsidP="00D7307A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حاوی برخی اطلاعات شخصی، از جمله نام فرزندتان، تاریخ تولد و عکس او، و همچنین نام شما و مشخصات تماس، می باشد.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ممکن است حاوی نام و مشخصات تماس سایر متخصصین دوران اوان کودکی که از فرزندتان حمایت کرده اند نیز باشد.</w:t>
      </w:r>
      <w:r>
        <w:rPr>
          <w:rtl/>
          <w:lang w:bidi="fa-IR"/>
          <w:rFonts/>
        </w:rPr>
        <w:t xml:space="preserve"> </w:t>
      </w:r>
    </w:p>
    <w:p w14:paraId="5481B15D" w14:textId="1431B3AC" w:rsidR="003134B0" w:rsidRDefault="003134B0" w:rsidP="00B373A3">
      <w:pPr>
        <w:spacing w:after="240"/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پیش از آنکه مدرسه شروع شود، مشارکت در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فرزندتان یکی از فعالیت های مدرسه است که شما و فرزندتان می توانید در آن شرکت داشته باشید. </w:t>
      </w:r>
    </w:p>
    <w:p w14:paraId="497C8094" w14:textId="4ABAE798" w:rsidR="00FD5CEF" w:rsidRDefault="005D0767" w:rsidP="005D0767">
      <w:pPr>
        <w:pStyle w:val="Heading2"/>
        <w:spacing w:before="120"/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چگونه می توانم به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فرزندم دسترسی پیدا کنم؟ </w:t>
      </w:r>
    </w:p>
    <w:p w14:paraId="7DFF9D18" w14:textId="141DF81E" w:rsidR="005D0767" w:rsidRDefault="000267D6" w:rsidP="005D0767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خدمات دوران اوان کودکی فرزندتان به شما یک لینک به ابزار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آنلاین می دهد.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TLDS</w:t>
      </w:r>
      <w:r>
        <w:rPr>
          <w:lang w:bidi="fa-IR"/>
          <w:rFonts/>
          <w:rtl/>
        </w:rPr>
        <w:t xml:space="preserve"> آنلاین بهترین روش برای تکمیل کردن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می باشد. </w:t>
      </w:r>
    </w:p>
    <w:p w14:paraId="318618BB" w14:textId="5A062A6C" w:rsidR="00706119" w:rsidRDefault="00624623" w:rsidP="00195E6D">
      <w:pPr>
        <w:spacing w:after="240"/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چنانچه نمی توانید از ابزار آنلاین استفاده کنید، می توانید درخواست کنید یک نسخه چاپ شده به شما داده شود.</w:t>
      </w:r>
      <w:r>
        <w:rPr>
          <w:rtl/>
          <w:lang w:bidi="fa-IR"/>
          <w:rFonts/>
        </w:rPr>
        <w:t xml:space="preserve"> </w:t>
      </w:r>
    </w:p>
    <w:p w14:paraId="399652B8" w14:textId="77777777" w:rsidR="00706119" w:rsidRDefault="00706119">
      <w:pPr>
        <w:spacing w:after="0"/>
        <w:rPr>
          <w:lang w:bidi="fa-IR"/>
          <w:rFonts/>
        </w:rPr>
      </w:pPr>
      <w:r>
        <w:rPr>
          <w:lang w:bidi="fa-IR"/>
          <w:rFonts/>
        </w:rPr>
        <w:br w:type="page"/>
      </w:r>
    </w:p>
    <w:p w14:paraId="1CB15492" w14:textId="77777777" w:rsidR="00624623" w:rsidRPr="005D0767" w:rsidRDefault="00624623" w:rsidP="00195E6D">
      <w:pPr>
        <w:spacing w:after="240"/>
        <w:rPr>
          <w:lang w:bidi="fa-IR"/>
          <w:rFonts/>
        </w:rPr>
      </w:pPr>
    </w:p>
    <w:p w14:paraId="46BDC92E" w14:textId="3B8D13EF" w:rsidR="00B373A3" w:rsidRDefault="00B373A3" w:rsidP="00B373A3">
      <w:pPr>
        <w:pStyle w:val="Heading2"/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کدام بخش های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را من باید پر کنم؟ </w:t>
      </w:r>
    </w:p>
    <w:p w14:paraId="0B0CD1B9" w14:textId="2E42866E" w:rsidR="00B373A3" w:rsidRDefault="00B373A3" w:rsidP="00B373A3">
      <w:pPr>
        <w:rPr>
          <w:lang w:bidi="fa-IR"/>
          <w:rFonts/>
        </w:rPr>
        <w:bidi/>
      </w:pPr>
      <w:r>
        <w:rPr>
          <w:i w:val="true"/>
          <w:lang w:bidi="fa-IR"/>
          <w:rFonts/>
          <w:iCs w:val="true"/>
          <w:rtl/>
          <w:iCs w:val="true"/>
        </w:rPr>
        <w:t xml:space="preserve">بخش های </w:t>
      </w:r>
      <w:r>
        <w:rPr>
          <w:i w:val="true"/>
          <w:iCs w:val="true"/>
          <w:rtl/>
          <w:lang w:bidi="fa-IR"/>
          <w:rFonts/>
          <w:iCs w:val="true"/>
        </w:rPr>
        <w:t xml:space="preserve">1</w:t>
      </w:r>
      <w:r>
        <w:rPr>
          <w:rtl/>
          <w:lang w:bidi="fa-IR"/>
          <w:rFonts/>
        </w:rPr>
        <w:t xml:space="preserve"> و</w:t>
      </w:r>
      <w:r>
        <w:rPr>
          <w:rtl/>
          <w:i w:val="true"/>
          <w:lang w:bidi="fa-IR"/>
          <w:rFonts/>
          <w:iCs w:val="true"/>
        </w:rPr>
        <w:t xml:space="preserve"> </w:t>
      </w:r>
      <w:r>
        <w:rPr>
          <w:rtl/>
          <w:i w:val="true"/>
          <w:lang w:bidi="fa-IR"/>
          <w:rFonts/>
          <w:iCs w:val="true"/>
        </w:rPr>
        <w:t xml:space="preserve">1.1</w:t>
      </w:r>
      <w:r>
        <w:rPr>
          <w:rtl/>
          <w:i w:val="true"/>
          <w:lang w:bidi="fa-IR"/>
          <w:rFonts/>
          <w:iCs w:val="true"/>
        </w:rPr>
        <w:t xml:space="preserve"> </w:t>
      </w:r>
      <w:r>
        <w:rPr>
          <w:rtl/>
          <w:lang w:bidi="fa-IR"/>
          <w:rFonts/>
        </w:rPr>
        <w:t xml:space="preserve">توسط آموزگار دوران اوان کودکی فرزندتان پر می شوند.</w:t>
      </w:r>
    </w:p>
    <w:p w14:paraId="05D65305" w14:textId="161EE1F1" w:rsidR="00B373A3" w:rsidRDefault="00B373A3" w:rsidP="00B373A3">
      <w:pPr>
        <w:rPr>
          <w:lang w:bidi="fa-IR"/>
          <w:rFonts/>
        </w:rPr>
        <w:bidi/>
      </w:pPr>
      <w:r>
        <w:rPr>
          <w:i w:val="true"/>
          <w:lang w:bidi="fa-IR"/>
          <w:rFonts/>
          <w:iCs w:val="true"/>
          <w:rtl/>
          <w:iCs w:val="true"/>
        </w:rPr>
        <w:t xml:space="preserve">چنانچه فرزندتان دچار تأخیر در رشد یا ناتوانی باشد، بخش </w:t>
      </w:r>
      <w:r>
        <w:rPr>
          <w:i w:val="true"/>
          <w:iCs w:val="true"/>
          <w:rtl/>
          <w:lang w:bidi="fa-IR"/>
          <w:rFonts/>
          <w:iCs w:val="true"/>
        </w:rPr>
        <w:t xml:space="preserve">1.2</w:t>
      </w:r>
      <w:r>
        <w:rPr>
          <w:rtl/>
          <w:lang w:bidi="fa-IR"/>
          <w:rFonts/>
        </w:rPr>
        <w:t xml:space="preserve"> ممکن است توسط آموزگار دوران اوان کودکی فرزندتان پر شود.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سایر متخصصینی که به فرزندتان کمک می کنند نیز ممکن است به این بخش بیافزایند. </w:t>
      </w:r>
    </w:p>
    <w:p w14:paraId="0A3B8BC2" w14:textId="5E0CB34D" w:rsidR="00B373A3" w:rsidRPr="00CB4835" w:rsidRDefault="00B373A3" w:rsidP="00B373A3">
      <w:pPr>
        <w:rPr>
          <w:lang w:bidi="fa-IR"/>
          <w:rFonts/>
        </w:rPr>
        <w:bidi/>
      </w:pPr>
      <w:r>
        <w:rPr>
          <w:i w:val="true"/>
          <w:lang w:bidi="fa-IR"/>
          <w:rFonts/>
          <w:iCs w:val="true"/>
          <w:rtl/>
          <w:iCs w:val="true"/>
        </w:rPr>
        <w:t xml:space="preserve">بخش </w:t>
      </w:r>
      <w:r>
        <w:rPr>
          <w:i w:val="true"/>
          <w:lang w:bidi="fa-IR"/>
          <w:rFonts/>
          <w:iCs w:val="true"/>
          <w:rtl/>
          <w:iCs w:val="true"/>
        </w:rPr>
        <w:t xml:space="preserve">2</w:t>
      </w:r>
      <w:r>
        <w:rPr>
          <w:i w:val="true"/>
          <w:iCs w:val="true"/>
          <w:rtl/>
          <w:lang w:bidi="fa-IR"/>
          <w:rFonts/>
          <w:iCs w:val="true"/>
        </w:rPr>
        <w:t xml:space="preserve">: کودک</w:t>
      </w:r>
      <w:r>
        <w:rPr>
          <w:rtl/>
          <w:lang w:bidi="fa-IR"/>
          <w:rFonts/>
        </w:rPr>
        <w:t xml:space="preserve"> توسط فرزندتان به همراه یک فرد بزرگسالی که به خوبی می شناسد، تکمیل می شود.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این فرد می تواند شما باشید، یا آموزگار دوران اوان کودکی او. </w:t>
      </w:r>
    </w:p>
    <w:p w14:paraId="296D5A02" w14:textId="04D04D11" w:rsidR="00B373A3" w:rsidRDefault="00B373A3" w:rsidP="00B373A3">
      <w:pPr>
        <w:spacing w:after="240"/>
        <w:rPr>
          <w:lang w:bidi="fa-IR"/>
          <w:rFonts/>
        </w:rPr>
        <w:bidi/>
      </w:pPr>
      <w:r>
        <w:rPr>
          <w:i w:val="true"/>
          <w:lang w:bidi="fa-IR"/>
          <w:rFonts/>
          <w:iCs w:val="true"/>
          <w:rtl/>
          <w:iCs w:val="true"/>
        </w:rPr>
        <w:t xml:space="preserve">بخش </w:t>
      </w:r>
      <w:r>
        <w:rPr>
          <w:i w:val="true"/>
          <w:lang w:bidi="fa-IR"/>
          <w:rFonts/>
          <w:iCs w:val="true"/>
          <w:rtl/>
          <w:iCs w:val="true"/>
        </w:rPr>
        <w:t xml:space="preserve">3</w:t>
      </w:r>
      <w:r>
        <w:rPr>
          <w:i w:val="true"/>
          <w:iCs w:val="true"/>
          <w:rtl/>
          <w:lang w:bidi="fa-IR"/>
          <w:rFonts/>
          <w:iCs w:val="true"/>
        </w:rPr>
        <w:t xml:space="preserve">: خانواده </w:t>
      </w:r>
      <w:r>
        <w:rPr>
          <w:rtl/>
          <w:lang w:bidi="fa-IR"/>
          <w:rFonts/>
        </w:rPr>
        <w:t xml:space="preserve"> باید توسط شما پر شود.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نظرات شما مهم می باشند. 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این بخش حاوی سوالاتی می باشد که به شما کمک می کنند علایق فرزندتان، و همچنین افکار و امیدهایی را که برای فرزندتان در مدرسه دارید، به اشتراک بگذارید.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پاسخگویی به این سوالات می تواند به معلمان و کارمندان </w:t>
      </w:r>
      <w:r>
        <w:rPr>
          <w:lang w:bidi="fa-IR"/>
          <w:rFonts/>
          <w:rtl/>
        </w:rPr>
        <w:t xml:space="preserve">OSHC</w:t>
      </w:r>
      <w:r>
        <w:rPr>
          <w:rtl/>
          <w:lang w:bidi="fa-IR"/>
          <w:rFonts/>
        </w:rPr>
        <w:t xml:space="preserve"> (در صورت کاربرد داشتن) کمک کند پاسخگوی فرزندتان باشند و او را درک کنند، که این از یادگیری و رشد او حمایت می کند. </w:t>
      </w:r>
    </w:p>
    <w:p w14:paraId="2D1C3E10" w14:textId="46294131" w:rsidR="00B373A3" w:rsidRDefault="00B373A3" w:rsidP="00B373A3">
      <w:pPr>
        <w:pStyle w:val="Heading2"/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بعد از اینکه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تکمیل می شود، چه اتفاقی می افتد؟ </w:t>
      </w:r>
    </w:p>
    <w:p w14:paraId="51A8171E" w14:textId="4C6DB6A9" w:rsidR="00B373A3" w:rsidRPr="00552E5E" w:rsidRDefault="00972369" w:rsidP="00B373A3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پس از تکمیل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، آموزگار دوران اوان کودکی یک نسخه تکمیل شده را به شما می دهد.</w:t>
      </w:r>
    </w:p>
    <w:p w14:paraId="388BBAEE" w14:textId="5B6C5DE2" w:rsidR="00B373A3" w:rsidRDefault="00B373A3" w:rsidP="00B373A3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آموزگار دوران اوان کودکی شما همچنین </w:t>
      </w:r>
      <w:r>
        <w:rPr>
          <w:lang w:bidi="fa-IR"/>
          <w:rFonts/>
          <w:rtl/>
        </w:rPr>
        <w:t xml:space="preserve">TLDS</w:t>
      </w:r>
      <w:r>
        <w:rPr>
          <w:lang w:bidi="fa-IR"/>
          <w:rFonts/>
          <w:rtl/>
        </w:rPr>
        <w:t xml:space="preserve"> تکمیل شده را با مدرسه و خدمات </w:t>
      </w:r>
      <w:r>
        <w:rPr>
          <w:lang w:bidi="fa-IR"/>
          <w:rFonts/>
          <w:rtl/>
        </w:rPr>
        <w:t xml:space="preserve">OSHC</w:t>
      </w:r>
      <w:r>
        <w:rPr>
          <w:rtl/>
          <w:lang w:bidi="fa-IR"/>
          <w:rFonts/>
        </w:rPr>
        <w:t xml:space="preserve"> (در صورت کاربرد داشتن) فرزندتان به اشتراک می گذارد.</w:t>
      </w:r>
    </w:p>
    <w:p w14:paraId="638F1EEA" w14:textId="204A06A9" w:rsidR="00B373A3" w:rsidRDefault="00B373A3" w:rsidP="00B373A3">
      <w:pPr>
        <w:rPr>
          <w:lang w:bidi="fa-IR"/>
          <w:rFonts/>
        </w:rPr>
        <w:bidi/>
      </w:pPr>
      <w:r>
        <w:rPr>
          <w:lang w:bidi="fa-IR"/>
          <w:rFonts/>
          <w:rtl/>
        </w:rPr>
        <w:t xml:space="preserve">چنانچه مطمئن نیستید فرزندتان به کدام مدرسه خواهد رفت، آموزگار دوران اوان کودکی شما نسخه دیگری از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را در اختیارتان می گذارد.</w:t>
      </w:r>
      <w:r>
        <w:rPr>
          <w:rtl/>
          <w:lang w:bidi="fa-IR"/>
          <w:rFonts/>
        </w:rPr>
        <w:t xml:space="preserve"> </w:t>
      </w:r>
      <w:r>
        <w:rPr>
          <w:rtl/>
          <w:lang w:bidi="fa-IR"/>
          <w:rFonts/>
        </w:rPr>
        <w:t xml:space="preserve">شما می توانید هنگامی که فرزند خود را ثبت نام می کنید این را به مدرسه دهید.</w:t>
      </w:r>
    </w:p>
    <w:p w14:paraId="04A1EAC7" w14:textId="003F247B" w:rsidR="00B373A3" w:rsidRDefault="00B373A3" w:rsidP="00B373A3">
      <w:pPr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چنانچه </w:t>
      </w:r>
      <w:r>
        <w:rPr>
          <w:i w:val="true"/>
          <w:lang w:bidi="fa-IR"/>
          <w:rFonts/>
          <w:iCs w:val="true"/>
          <w:rtl/>
          <w:iCs w:val="true"/>
        </w:rPr>
        <w:t xml:space="preserve">بخش </w:t>
      </w:r>
      <w:r>
        <w:rPr>
          <w:i w:val="true"/>
          <w:lang w:bidi="fa-IR"/>
          <w:rFonts/>
          <w:iCs w:val="true"/>
          <w:rtl/>
          <w:iCs w:val="true"/>
        </w:rPr>
        <w:t xml:space="preserve">3</w:t>
      </w:r>
      <w:r>
        <w:rPr>
          <w:i w:val="true"/>
          <w:iCs w:val="true"/>
          <w:rtl/>
          <w:lang w:bidi="fa-IR"/>
          <w:rFonts/>
          <w:iCs w:val="true"/>
        </w:rPr>
        <w:t xml:space="preserve">: خانواده</w:t>
      </w:r>
      <w:r>
        <w:rPr>
          <w:lang w:bidi="fa-IR"/>
          <w:rFonts/>
          <w:rtl/>
        </w:rPr>
        <w:t xml:space="preserve"> را تکمیل نکنید، آموزگار دوران اوان کودکی شما همچنان بخش های تکمیل شده را با مدرسه و خدمات </w:t>
      </w:r>
      <w:r>
        <w:rPr>
          <w:lang w:bidi="fa-IR"/>
          <w:rFonts/>
          <w:rtl/>
        </w:rPr>
        <w:t xml:space="preserve">OSHC</w:t>
      </w:r>
      <w:r>
        <w:rPr>
          <w:rtl/>
          <w:lang w:bidi="fa-IR"/>
          <w:rFonts/>
        </w:rPr>
        <w:t xml:space="preserve"> (در صورت کاربرد داشتن) به اشتراک می گذارد و نسخه ای از آنچه به اشتراک گذاشته شده را به شما می دهد. </w:t>
      </w:r>
    </w:p>
    <w:p w14:paraId="52B879C2" w14:textId="23EE667D" w:rsidR="00B373A3" w:rsidRPr="00346DF8" w:rsidRDefault="00B373A3" w:rsidP="00B373A3">
      <w:pPr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پژوهش و نظرات از مدارس نشان می دهند که به اشتراک گذاشتن این اطلاعات از انتقال موفقیت آمیز به مدرسه حمایت می کنند.</w:t>
      </w:r>
      <w:r>
        <w:rPr>
          <w:rtl/>
          <w:lang w:bidi="fa-IR"/>
          <w:rFonts/>
        </w:rPr>
        <w:t xml:space="preserve"> </w:t>
      </w:r>
      <w:r>
        <w:rPr>
          <w:lang w:bidi="fa-IR"/>
          <w:rFonts/>
          <w:rtl/>
        </w:rPr>
        <w:t xml:space="preserve">اگر ترجیح می دهید </w:t>
      </w:r>
      <w:r>
        <w:rPr>
          <w:lang w:bidi="fa-IR"/>
          <w:rFonts/>
          <w:rtl/>
        </w:rPr>
        <w:t xml:space="preserve">TLDS</w:t>
      </w:r>
      <w:r>
        <w:rPr>
          <w:rtl/>
          <w:lang w:bidi="fa-IR"/>
          <w:rFonts/>
        </w:rPr>
        <w:t xml:space="preserve"> را با مدرسه فرزندتان به اشتراک نگذارید، لطفاً در این مورد با آموزگار دوران اوان کودکی فرزندتان صحبت کنید.</w:t>
      </w:r>
      <w:r>
        <w:rPr>
          <w:rtl/>
          <w:lang w:bidi="fa-IR"/>
          <w:rFonts/>
        </w:rPr>
        <w:t xml:space="preserve"> </w:t>
      </w:r>
    </w:p>
    <w:p w14:paraId="0A23DA6D" w14:textId="51344599" w:rsidR="00B373A3" w:rsidRPr="00346DF8" w:rsidRDefault="00B373A3" w:rsidP="00B373A3">
      <w:pPr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اطلاعات مناسب و ایمن به متخصصین آموزشی و مراقبتی ویکتوریا کمک می کند دانش و اطلاعات مورد نیاز برای حصول اطمینان از تندرستی و ایمنی کودک را در اختیار داشته باشند.</w:t>
      </w:r>
      <w:r>
        <w:rPr>
          <w:rtl/>
          <w:lang w:bidi="fa-IR"/>
          <w:rFonts/>
        </w:rPr>
        <w:t xml:space="preserve"> </w:t>
      </w:r>
    </w:p>
    <w:p w14:paraId="1C7F3E00" w14:textId="335AAC5B" w:rsidR="00B373A3" w:rsidRDefault="00B373A3" w:rsidP="00B373A3">
      <w:pPr>
        <w:spacing w:after="240"/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برای کسب اطلاعات بیشتر، به </w:t>
      </w:r>
      <w:hyperlink r:id="rId8" w:history="1">
        <w:r>
          <w:rPr>
            <w:rStyle w:val="Hyperlink"/>
            <w:lang w:bidi="fa-IR"/>
            <w:rFonts/>
          </w:rPr>
          <w:t xml:space="preserve">https://www.vic.gov.au/information-sharing-schemes-and-the-maram-framework</w:t>
        </w:r>
      </w:hyperlink>
      <w:r>
        <w:rPr>
          <w:rtl/>
          <w:rtl/>
          <w:lang w:bidi="fa-IR"/>
          <w:rFonts/>
        </w:rPr>
        <w:t xml:space="preserve"> مراجعه کنید.</w:t>
      </w:r>
      <w:r>
        <w:rPr>
          <w:rtl/>
          <w:lang w:bidi="fa-IR"/>
          <w:rFonts/>
        </w:rPr>
        <w:t xml:space="preserve"> </w:t>
      </w:r>
    </w:p>
    <w:p w14:paraId="7F1BF294" w14:textId="41D25F44" w:rsidR="00B373A3" w:rsidRDefault="00B373A3" w:rsidP="00B373A3">
      <w:pPr>
        <w:pStyle w:val="Heading2"/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برای کسب اطلاعات بیشتر</w:t>
      </w:r>
    </w:p>
    <w:p w14:paraId="52E0A65D" w14:textId="4816BE84" w:rsidR="00B373A3" w:rsidRDefault="00972369" w:rsidP="00B373A3">
      <w:pPr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برای کسب اطلاعات بیشتر، می توانید به </w:t>
      </w:r>
      <w:hyperlink r:id="rId9" w:history="1">
        <w:r>
          <w:rPr>
            <w:rStyle w:val="Hyperlink"/>
            <w:lang w:bidi="fa-IR"/>
            <w:rFonts/>
          </w:rPr>
          <w:t xml:space="preserve">www.vic.gov.au/transition-school-resources-families</w:t>
        </w:r>
      </w:hyperlink>
      <w:r>
        <w:rPr>
          <w:rtl/>
          <w:lang w:bidi="fa-IR"/>
          <w:rFonts/>
        </w:rPr>
        <w:t xml:space="preserve"> </w:t>
      </w:r>
      <w:hyperlink r:id="rId10" w:history="1"/>
      <w:r>
        <w:rPr>
          <w:rtl/>
          <w:rtl/>
          <w:lang w:bidi="fa-IR"/>
          <w:rFonts/>
        </w:rPr>
        <w:t xml:space="preserve"> مراجعه کنید.</w:t>
      </w:r>
    </w:p>
    <w:p w14:paraId="40B5367F" w14:textId="39520DF3" w:rsidR="00B373A3" w:rsidRDefault="00B373A3" w:rsidP="003134B0">
      <w:pPr>
        <w:rPr>
          <w:lang w:bidi="fa-IR"/>
          <w:rFonts/>
        </w:rPr>
        <w:bidi/>
      </w:pPr>
      <w:r>
        <w:rPr>
          <w:rtl/>
          <w:lang w:bidi="fa-IR"/>
          <w:rFonts/>
        </w:rPr>
        <w:t xml:space="preserve">این اطلاعات در همین لینک به تعدادی از زبان های جامعه محلی نیز موجود می باشد: </w:t>
      </w:r>
      <w:hyperlink r:id="rId11" w:history="1">
        <w:r>
          <w:rPr>
            <w:rStyle w:val="Hyperlink"/>
            <w:lang w:bidi="fa-IR"/>
            <w:rFonts/>
          </w:rPr>
          <w:t xml:space="preserve">www.vic.gov.au/transition-school-resources-families</w:t>
        </w:r>
      </w:hyperlink>
      <w:r>
        <w:rPr>
          <w:rtl/>
          <w:lang w:bidi="fa-IR"/>
          <w:rFonts/>
        </w:rP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4B2C" w14:textId="77777777" w:rsidR="00CF2D16" w:rsidRDefault="00CF2D16" w:rsidP="003967DD">
      <w:pPr>
        <w:spacing w:after="0"/>
      </w:pPr>
      <w:r>
        <w:rPr>
          <w:lang w:bidi="fa-IR"/>
          <w:rFonts/>
        </w:rP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rPr>
          <w:lang w:bidi="fa-IR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bidi="fa-IR"/>
        <w:rFonts/>
      </w:rPr>
    </w:pPr>
    <w:r>
      <w:rPr>
        <w:rStyle w:val="PageNumber"/>
        <w:lang w:bidi="fa-IR"/>
        <w:rFonts/>
      </w:rPr>
      <w:fldChar w:fldCharType="begin"/>
    </w:r>
    <w:r>
      <w:rPr>
        <w:rStyle w:val="PageNumber"/>
        <w:lang w:bidi="fa-IR"/>
        <w:rFonts/>
      </w:rPr>
      <w:instrText xml:space="preserve">PAGE  </w:instrText>
    </w:r>
    <w:r>
      <w:rPr>
        <w:rStyle w:val="PageNumber"/>
        <w:lang w:bidi="fa-IR"/>
        <w:rFonts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bidi="fa-IR"/>
        <w:rFonts/>
      </w:rPr>
    </w:pPr>
    <w:r>
      <w:rPr>
        <w:rStyle w:val="PageNumber"/>
        <w:lang w:bidi="fa-IR"/>
        <w:rFonts/>
      </w:rPr>
      <w:fldChar w:fldCharType="begin"/>
    </w:r>
    <w:r>
      <w:rPr>
        <w:rStyle w:val="PageNumber"/>
        <w:lang w:bidi="fa-IR"/>
        <w:rFonts/>
      </w:rPr>
      <w:instrText xml:space="preserve">PAGE  </w:instrText>
    </w:r>
    <w:r>
      <w:rPr>
        <w:rStyle w:val="PageNumber"/>
        <w:lang w:bidi="fa-IR"/>
        <w:rFonts/>
      </w:rPr>
      <w:fldChar w:fldCharType="separate"/>
    </w:r>
    <w:r>
      <w:rPr>
        <w:rStyle w:val="PageNumber"/>
        <w:lang w:bidi="fa-IR"/>
        <w:rFonts/>
      </w:rPr>
      <w:t xml:space="preserve">2</w:t>
    </w:r>
    <w:r>
      <w:rPr>
        <w:rStyle w:val="PageNumber"/>
        <w:lang w:bidi="fa-IR"/>
        <w:rFonts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DDEC" w14:textId="77777777" w:rsidR="00CF2D16" w:rsidRDefault="00CF2D16" w:rsidP="003967DD">
      <w:pPr>
        <w:spacing w:after="0"/>
      </w:pPr>
      <w:r>
        <w:rPr>
          <w:lang w:bidi="fa-IR"/>
          <w:rFonts/>
        </w:rP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rPr>
          <w:lang w:bidi="fa-IR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26AF" w14:textId="77777777" w:rsidR="003967DD" w:rsidRDefault="000861DD">
    <w:pPr>
      <w:pStyle w:val="Header"/>
    </w:pPr>
    <w:r>
      <w:rPr>
        <w:lang w:bidi="fa-IR"/>
        <w:rFonts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 w:cs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 w:cs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 w:cs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 w:cs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 w:cs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 w:cs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 w:cs="Wingdings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 w:cs="Symbol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 w:cs="Symbol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 w:cs="Symbol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 w:cs="Symbol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 w:cs="Symbol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cs="Wingdings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cs="Wingdings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theme="majorBidi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theme="majorBidi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 w:bidi="fa-IR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 w:bidi="fa-IR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 w:bidi="fa-IR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 w:bidi="fa-IR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bidi="fa-IR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2023-09-04T05:51:00Z</dcterms:modified>
</cp:coreProperties>
</file>