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82AE3" w14:textId="59EA2706" w:rsidR="0075719F" w:rsidRDefault="00DE5F30" w:rsidP="00DE5F30">
      <w:pPr>
        <w:pStyle w:val="Documenttitle"/>
      </w:pPr>
      <w:r>
        <w:t>Pride in our future: Victoria’s LGBTIQ</w:t>
      </w:r>
      <w:r w:rsidR="00A91AF4">
        <w:t>A</w:t>
      </w:r>
      <w:r>
        <w:t xml:space="preserve">+ strategy 2022–32 – summary </w:t>
      </w:r>
    </w:p>
    <w:p w14:paraId="4DEAFAA8" w14:textId="4F721451" w:rsidR="00DE5F30" w:rsidRDefault="0075719F" w:rsidP="0075719F">
      <w:pPr>
        <w:pStyle w:val="Documentsubtitle"/>
      </w:pPr>
      <w:r>
        <w:t>A</w:t>
      </w:r>
      <w:r w:rsidR="00DE5F30">
        <w:t>ccessible</w:t>
      </w:r>
    </w:p>
    <w:p w14:paraId="6F7C1D7D" w14:textId="22F3EC0F" w:rsidR="0075719F" w:rsidRDefault="0075719F" w:rsidP="0075719F">
      <w:pPr>
        <w:pStyle w:val="TOCheadingfactsheet"/>
      </w:pPr>
      <w:r>
        <w:t>Contents</w:t>
      </w:r>
    </w:p>
    <w:p w14:paraId="26AD640A" w14:textId="631283B3" w:rsidR="00C25C83" w:rsidRDefault="0075719F">
      <w:pPr>
        <w:pStyle w:val="TOC1"/>
        <w:rPr>
          <w:rFonts w:asciiTheme="minorHAnsi" w:eastAsiaTheme="minorEastAsia" w:hAnsiTheme="minorHAnsi" w:cstheme="minorBidi"/>
          <w:b w:val="0"/>
          <w:sz w:val="22"/>
          <w:szCs w:val="22"/>
          <w:lang w:eastAsia="en-AU"/>
        </w:rPr>
      </w:pPr>
      <w:r>
        <w:rPr>
          <w:b w:val="0"/>
          <w:sz w:val="21"/>
        </w:rPr>
        <w:fldChar w:fldCharType="begin"/>
      </w:r>
      <w:r>
        <w:rPr>
          <w:b w:val="0"/>
        </w:rPr>
        <w:instrText xml:space="preserve"> TOC \o "1-2" \h \z \u </w:instrText>
      </w:r>
      <w:r>
        <w:rPr>
          <w:b w:val="0"/>
          <w:sz w:val="21"/>
        </w:rPr>
        <w:fldChar w:fldCharType="separate"/>
      </w:r>
      <w:hyperlink w:anchor="_Toc94870709" w:history="1">
        <w:r w:rsidR="00C25C83" w:rsidRPr="00AB0863">
          <w:rPr>
            <w:rStyle w:val="Hyperlink"/>
          </w:rPr>
          <w:t>Introduction</w:t>
        </w:r>
        <w:r w:rsidR="00C25C83">
          <w:rPr>
            <w:webHidden/>
          </w:rPr>
          <w:tab/>
        </w:r>
        <w:r w:rsidR="00C25C83">
          <w:rPr>
            <w:webHidden/>
          </w:rPr>
          <w:fldChar w:fldCharType="begin"/>
        </w:r>
        <w:r w:rsidR="00C25C83">
          <w:rPr>
            <w:webHidden/>
          </w:rPr>
          <w:instrText xml:space="preserve"> PAGEREF _Toc94870709 \h </w:instrText>
        </w:r>
        <w:r w:rsidR="00C25C83">
          <w:rPr>
            <w:webHidden/>
          </w:rPr>
        </w:r>
        <w:r w:rsidR="00C25C83">
          <w:rPr>
            <w:webHidden/>
          </w:rPr>
          <w:fldChar w:fldCharType="separate"/>
        </w:r>
        <w:r w:rsidR="00C25C83">
          <w:rPr>
            <w:webHidden/>
          </w:rPr>
          <w:t>2</w:t>
        </w:r>
        <w:r w:rsidR="00C25C83">
          <w:rPr>
            <w:webHidden/>
          </w:rPr>
          <w:fldChar w:fldCharType="end"/>
        </w:r>
      </w:hyperlink>
    </w:p>
    <w:p w14:paraId="64E3AB39" w14:textId="01604682" w:rsidR="00C25C83" w:rsidRDefault="00000000">
      <w:pPr>
        <w:pStyle w:val="TOC1"/>
        <w:rPr>
          <w:rFonts w:asciiTheme="minorHAnsi" w:eastAsiaTheme="minorEastAsia" w:hAnsiTheme="minorHAnsi" w:cstheme="minorBidi"/>
          <w:b w:val="0"/>
          <w:sz w:val="22"/>
          <w:szCs w:val="22"/>
          <w:lang w:eastAsia="en-AU"/>
        </w:rPr>
      </w:pPr>
      <w:hyperlink w:anchor="_Toc94870710" w:history="1">
        <w:r w:rsidR="00C25C83" w:rsidRPr="00AB0863">
          <w:rPr>
            <w:rStyle w:val="Hyperlink"/>
          </w:rPr>
          <w:t>Delivering on the vision</w:t>
        </w:r>
        <w:r w:rsidR="00C25C83">
          <w:rPr>
            <w:webHidden/>
          </w:rPr>
          <w:tab/>
        </w:r>
        <w:r w:rsidR="00C25C83">
          <w:rPr>
            <w:webHidden/>
          </w:rPr>
          <w:fldChar w:fldCharType="begin"/>
        </w:r>
        <w:r w:rsidR="00C25C83">
          <w:rPr>
            <w:webHidden/>
          </w:rPr>
          <w:instrText xml:space="preserve"> PAGEREF _Toc94870710 \h </w:instrText>
        </w:r>
        <w:r w:rsidR="00C25C83">
          <w:rPr>
            <w:webHidden/>
          </w:rPr>
        </w:r>
        <w:r w:rsidR="00C25C83">
          <w:rPr>
            <w:webHidden/>
          </w:rPr>
          <w:fldChar w:fldCharType="separate"/>
        </w:r>
        <w:r w:rsidR="00C25C83">
          <w:rPr>
            <w:webHidden/>
          </w:rPr>
          <w:t>3</w:t>
        </w:r>
        <w:r w:rsidR="00C25C83">
          <w:rPr>
            <w:webHidden/>
          </w:rPr>
          <w:fldChar w:fldCharType="end"/>
        </w:r>
      </w:hyperlink>
    </w:p>
    <w:p w14:paraId="0D2C9083" w14:textId="46C302F4" w:rsidR="00C25C83" w:rsidRDefault="00000000">
      <w:pPr>
        <w:pStyle w:val="TOC1"/>
        <w:rPr>
          <w:rFonts w:asciiTheme="minorHAnsi" w:eastAsiaTheme="minorEastAsia" w:hAnsiTheme="minorHAnsi" w:cstheme="minorBidi"/>
          <w:b w:val="0"/>
          <w:sz w:val="22"/>
          <w:szCs w:val="22"/>
          <w:lang w:eastAsia="en-AU"/>
        </w:rPr>
      </w:pPr>
      <w:hyperlink w:anchor="_Toc94870711" w:history="1">
        <w:r w:rsidR="00C25C83" w:rsidRPr="00AB0863">
          <w:rPr>
            <w:rStyle w:val="Hyperlink"/>
            <w:rFonts w:eastAsia="Times"/>
          </w:rPr>
          <w:t>Framework for change</w:t>
        </w:r>
        <w:r w:rsidR="00C25C83">
          <w:rPr>
            <w:webHidden/>
          </w:rPr>
          <w:tab/>
        </w:r>
        <w:r w:rsidR="00C25C83">
          <w:rPr>
            <w:webHidden/>
          </w:rPr>
          <w:fldChar w:fldCharType="begin"/>
        </w:r>
        <w:r w:rsidR="00C25C83">
          <w:rPr>
            <w:webHidden/>
          </w:rPr>
          <w:instrText xml:space="preserve"> PAGEREF _Toc94870711 \h </w:instrText>
        </w:r>
        <w:r w:rsidR="00C25C83">
          <w:rPr>
            <w:webHidden/>
          </w:rPr>
        </w:r>
        <w:r w:rsidR="00C25C83">
          <w:rPr>
            <w:webHidden/>
          </w:rPr>
          <w:fldChar w:fldCharType="separate"/>
        </w:r>
        <w:r w:rsidR="00C25C83">
          <w:rPr>
            <w:webHidden/>
          </w:rPr>
          <w:t>3</w:t>
        </w:r>
        <w:r w:rsidR="00C25C83">
          <w:rPr>
            <w:webHidden/>
          </w:rPr>
          <w:fldChar w:fldCharType="end"/>
        </w:r>
      </w:hyperlink>
    </w:p>
    <w:p w14:paraId="01B0AD29" w14:textId="27BEA094" w:rsidR="00C25C83" w:rsidRDefault="00000000">
      <w:pPr>
        <w:pStyle w:val="TOC2"/>
        <w:rPr>
          <w:rFonts w:asciiTheme="minorHAnsi" w:eastAsiaTheme="minorEastAsia" w:hAnsiTheme="minorHAnsi" w:cstheme="minorBidi"/>
          <w:sz w:val="22"/>
          <w:szCs w:val="22"/>
          <w:lang w:eastAsia="en-AU"/>
        </w:rPr>
      </w:pPr>
      <w:hyperlink w:anchor="_Toc94870712" w:history="1">
        <w:r w:rsidR="00C25C83" w:rsidRPr="00AB0863">
          <w:rPr>
            <w:rStyle w:val="Hyperlink"/>
          </w:rPr>
          <w:t>Vision</w:t>
        </w:r>
        <w:r w:rsidR="00C25C83">
          <w:rPr>
            <w:webHidden/>
          </w:rPr>
          <w:tab/>
        </w:r>
        <w:r w:rsidR="00C25C83">
          <w:rPr>
            <w:webHidden/>
          </w:rPr>
          <w:fldChar w:fldCharType="begin"/>
        </w:r>
        <w:r w:rsidR="00C25C83">
          <w:rPr>
            <w:webHidden/>
          </w:rPr>
          <w:instrText xml:space="preserve"> PAGEREF _Toc94870712 \h </w:instrText>
        </w:r>
        <w:r w:rsidR="00C25C83">
          <w:rPr>
            <w:webHidden/>
          </w:rPr>
        </w:r>
        <w:r w:rsidR="00C25C83">
          <w:rPr>
            <w:webHidden/>
          </w:rPr>
          <w:fldChar w:fldCharType="separate"/>
        </w:r>
        <w:r w:rsidR="00C25C83">
          <w:rPr>
            <w:webHidden/>
          </w:rPr>
          <w:t>3</w:t>
        </w:r>
        <w:r w:rsidR="00C25C83">
          <w:rPr>
            <w:webHidden/>
          </w:rPr>
          <w:fldChar w:fldCharType="end"/>
        </w:r>
      </w:hyperlink>
    </w:p>
    <w:p w14:paraId="71EFC0E1" w14:textId="1A242969" w:rsidR="00C25C83" w:rsidRDefault="00000000">
      <w:pPr>
        <w:pStyle w:val="TOC2"/>
        <w:rPr>
          <w:rFonts w:asciiTheme="minorHAnsi" w:eastAsiaTheme="minorEastAsia" w:hAnsiTheme="minorHAnsi" w:cstheme="minorBidi"/>
          <w:sz w:val="22"/>
          <w:szCs w:val="22"/>
          <w:lang w:eastAsia="en-AU"/>
        </w:rPr>
      </w:pPr>
      <w:hyperlink w:anchor="_Toc94870713" w:history="1">
        <w:r w:rsidR="00C25C83" w:rsidRPr="00AB0863">
          <w:rPr>
            <w:rStyle w:val="Hyperlink"/>
          </w:rPr>
          <w:t>Priority areas</w:t>
        </w:r>
        <w:r w:rsidR="00C25C83">
          <w:rPr>
            <w:webHidden/>
          </w:rPr>
          <w:tab/>
        </w:r>
        <w:r w:rsidR="00C25C83">
          <w:rPr>
            <w:webHidden/>
          </w:rPr>
          <w:fldChar w:fldCharType="begin"/>
        </w:r>
        <w:r w:rsidR="00C25C83">
          <w:rPr>
            <w:webHidden/>
          </w:rPr>
          <w:instrText xml:space="preserve"> PAGEREF _Toc94870713 \h </w:instrText>
        </w:r>
        <w:r w:rsidR="00C25C83">
          <w:rPr>
            <w:webHidden/>
          </w:rPr>
        </w:r>
        <w:r w:rsidR="00C25C83">
          <w:rPr>
            <w:webHidden/>
          </w:rPr>
          <w:fldChar w:fldCharType="separate"/>
        </w:r>
        <w:r w:rsidR="00C25C83">
          <w:rPr>
            <w:webHidden/>
          </w:rPr>
          <w:t>4</w:t>
        </w:r>
        <w:r w:rsidR="00C25C83">
          <w:rPr>
            <w:webHidden/>
          </w:rPr>
          <w:fldChar w:fldCharType="end"/>
        </w:r>
      </w:hyperlink>
    </w:p>
    <w:p w14:paraId="15C7606B" w14:textId="1AE5A07B" w:rsidR="00C25C83" w:rsidRDefault="00000000">
      <w:pPr>
        <w:pStyle w:val="TOC2"/>
        <w:rPr>
          <w:rFonts w:asciiTheme="minorHAnsi" w:eastAsiaTheme="minorEastAsia" w:hAnsiTheme="minorHAnsi" w:cstheme="minorBidi"/>
          <w:sz w:val="22"/>
          <w:szCs w:val="22"/>
          <w:lang w:eastAsia="en-AU"/>
        </w:rPr>
      </w:pPr>
      <w:hyperlink w:anchor="_Toc94870714" w:history="1">
        <w:r w:rsidR="00C25C83" w:rsidRPr="00AB0863">
          <w:rPr>
            <w:rStyle w:val="Hyperlink"/>
          </w:rPr>
          <w:t>Victorian Government actions</w:t>
        </w:r>
        <w:r w:rsidR="00C25C83">
          <w:rPr>
            <w:webHidden/>
          </w:rPr>
          <w:tab/>
        </w:r>
        <w:r w:rsidR="00C25C83">
          <w:rPr>
            <w:webHidden/>
          </w:rPr>
          <w:fldChar w:fldCharType="begin"/>
        </w:r>
        <w:r w:rsidR="00C25C83">
          <w:rPr>
            <w:webHidden/>
          </w:rPr>
          <w:instrText xml:space="preserve"> PAGEREF _Toc94870714 \h </w:instrText>
        </w:r>
        <w:r w:rsidR="00C25C83">
          <w:rPr>
            <w:webHidden/>
          </w:rPr>
        </w:r>
        <w:r w:rsidR="00C25C83">
          <w:rPr>
            <w:webHidden/>
          </w:rPr>
          <w:fldChar w:fldCharType="separate"/>
        </w:r>
        <w:r w:rsidR="00C25C83">
          <w:rPr>
            <w:webHidden/>
          </w:rPr>
          <w:t>4</w:t>
        </w:r>
        <w:r w:rsidR="00C25C83">
          <w:rPr>
            <w:webHidden/>
          </w:rPr>
          <w:fldChar w:fldCharType="end"/>
        </w:r>
      </w:hyperlink>
    </w:p>
    <w:p w14:paraId="1CCAA9D6" w14:textId="0D0EE61C" w:rsidR="00C25C83" w:rsidRDefault="00000000">
      <w:pPr>
        <w:pStyle w:val="TOC2"/>
        <w:rPr>
          <w:rFonts w:asciiTheme="minorHAnsi" w:eastAsiaTheme="minorEastAsia" w:hAnsiTheme="minorHAnsi" w:cstheme="minorBidi"/>
          <w:sz w:val="22"/>
          <w:szCs w:val="22"/>
          <w:lang w:eastAsia="en-AU"/>
        </w:rPr>
      </w:pPr>
      <w:hyperlink w:anchor="_Toc94870715" w:history="1">
        <w:r w:rsidR="00C25C83" w:rsidRPr="00AB0863">
          <w:rPr>
            <w:rStyle w:val="Hyperlink"/>
            <w:bCs/>
          </w:rPr>
          <w:t>The Victorian</w:t>
        </w:r>
        <w:r w:rsidR="00C25C83" w:rsidRPr="00AB0863">
          <w:rPr>
            <w:rStyle w:val="Hyperlink"/>
          </w:rPr>
          <w:t xml:space="preserve"> </w:t>
        </w:r>
        <w:r w:rsidR="00A91AF4">
          <w:rPr>
            <w:rStyle w:val="Hyperlink"/>
          </w:rPr>
          <w:t>LGBTIQA+</w:t>
        </w:r>
        <w:r w:rsidR="00C25C83" w:rsidRPr="00AB0863">
          <w:rPr>
            <w:rStyle w:val="Hyperlink"/>
          </w:rPr>
          <w:t xml:space="preserve"> ecosystem</w:t>
        </w:r>
        <w:r w:rsidR="00C25C83">
          <w:rPr>
            <w:webHidden/>
          </w:rPr>
          <w:tab/>
        </w:r>
        <w:r w:rsidR="00C25C83">
          <w:rPr>
            <w:webHidden/>
          </w:rPr>
          <w:fldChar w:fldCharType="begin"/>
        </w:r>
        <w:r w:rsidR="00C25C83">
          <w:rPr>
            <w:webHidden/>
          </w:rPr>
          <w:instrText xml:space="preserve"> PAGEREF _Toc94870715 \h </w:instrText>
        </w:r>
        <w:r w:rsidR="00C25C83">
          <w:rPr>
            <w:webHidden/>
          </w:rPr>
        </w:r>
        <w:r w:rsidR="00C25C83">
          <w:rPr>
            <w:webHidden/>
          </w:rPr>
          <w:fldChar w:fldCharType="separate"/>
        </w:r>
        <w:r w:rsidR="00C25C83">
          <w:rPr>
            <w:webHidden/>
          </w:rPr>
          <w:t>4</w:t>
        </w:r>
        <w:r w:rsidR="00C25C83">
          <w:rPr>
            <w:webHidden/>
          </w:rPr>
          <w:fldChar w:fldCharType="end"/>
        </w:r>
      </w:hyperlink>
    </w:p>
    <w:p w14:paraId="25E23CBA" w14:textId="09D9E393" w:rsidR="00C25C83" w:rsidRDefault="00000000">
      <w:pPr>
        <w:pStyle w:val="TOC1"/>
        <w:rPr>
          <w:rFonts w:asciiTheme="minorHAnsi" w:eastAsiaTheme="minorEastAsia" w:hAnsiTheme="minorHAnsi" w:cstheme="minorBidi"/>
          <w:b w:val="0"/>
          <w:sz w:val="22"/>
          <w:szCs w:val="22"/>
          <w:lang w:eastAsia="en-AU"/>
        </w:rPr>
      </w:pPr>
      <w:hyperlink w:anchor="_Toc94870716" w:history="1">
        <w:r w:rsidR="00C25C83" w:rsidRPr="00AB0863">
          <w:rPr>
            <w:rStyle w:val="Hyperlink"/>
          </w:rPr>
          <w:t>Priority area 1: Equal rights and freedoms</w:t>
        </w:r>
        <w:r w:rsidR="00C25C83">
          <w:rPr>
            <w:webHidden/>
          </w:rPr>
          <w:tab/>
        </w:r>
        <w:r w:rsidR="00C25C83">
          <w:rPr>
            <w:webHidden/>
          </w:rPr>
          <w:fldChar w:fldCharType="begin"/>
        </w:r>
        <w:r w:rsidR="00C25C83">
          <w:rPr>
            <w:webHidden/>
          </w:rPr>
          <w:instrText xml:space="preserve"> PAGEREF _Toc94870716 \h </w:instrText>
        </w:r>
        <w:r w:rsidR="00C25C83">
          <w:rPr>
            <w:webHidden/>
          </w:rPr>
        </w:r>
        <w:r w:rsidR="00C25C83">
          <w:rPr>
            <w:webHidden/>
          </w:rPr>
          <w:fldChar w:fldCharType="separate"/>
        </w:r>
        <w:r w:rsidR="00C25C83">
          <w:rPr>
            <w:webHidden/>
          </w:rPr>
          <w:t>4</w:t>
        </w:r>
        <w:r w:rsidR="00C25C83">
          <w:rPr>
            <w:webHidden/>
          </w:rPr>
          <w:fldChar w:fldCharType="end"/>
        </w:r>
      </w:hyperlink>
    </w:p>
    <w:p w14:paraId="73407812" w14:textId="50415D49" w:rsidR="00C25C83" w:rsidRDefault="00000000">
      <w:pPr>
        <w:pStyle w:val="TOC2"/>
        <w:rPr>
          <w:rFonts w:asciiTheme="minorHAnsi" w:eastAsiaTheme="minorEastAsia" w:hAnsiTheme="minorHAnsi" w:cstheme="minorBidi"/>
          <w:sz w:val="22"/>
          <w:szCs w:val="22"/>
          <w:lang w:eastAsia="en-AU"/>
        </w:rPr>
      </w:pPr>
      <w:hyperlink w:anchor="_Toc94870717" w:history="1">
        <w:r w:rsidR="00C25C83" w:rsidRPr="00AB0863">
          <w:rPr>
            <w:rStyle w:val="Hyperlink"/>
          </w:rPr>
          <w:t>Actions we will deliver under priority area 1</w:t>
        </w:r>
        <w:r w:rsidR="00C25C83">
          <w:rPr>
            <w:webHidden/>
          </w:rPr>
          <w:tab/>
        </w:r>
        <w:r w:rsidR="00C25C83">
          <w:rPr>
            <w:webHidden/>
          </w:rPr>
          <w:fldChar w:fldCharType="begin"/>
        </w:r>
        <w:r w:rsidR="00C25C83">
          <w:rPr>
            <w:webHidden/>
          </w:rPr>
          <w:instrText xml:space="preserve"> PAGEREF _Toc94870717 \h </w:instrText>
        </w:r>
        <w:r w:rsidR="00C25C83">
          <w:rPr>
            <w:webHidden/>
          </w:rPr>
        </w:r>
        <w:r w:rsidR="00C25C83">
          <w:rPr>
            <w:webHidden/>
          </w:rPr>
          <w:fldChar w:fldCharType="separate"/>
        </w:r>
        <w:r w:rsidR="00C25C83">
          <w:rPr>
            <w:webHidden/>
          </w:rPr>
          <w:t>5</w:t>
        </w:r>
        <w:r w:rsidR="00C25C83">
          <w:rPr>
            <w:webHidden/>
          </w:rPr>
          <w:fldChar w:fldCharType="end"/>
        </w:r>
      </w:hyperlink>
    </w:p>
    <w:p w14:paraId="0B4B35D7" w14:textId="28259DF6" w:rsidR="00C25C83" w:rsidRDefault="00000000">
      <w:pPr>
        <w:pStyle w:val="TOC2"/>
        <w:rPr>
          <w:rFonts w:asciiTheme="minorHAnsi" w:eastAsiaTheme="minorEastAsia" w:hAnsiTheme="minorHAnsi" w:cstheme="minorBidi"/>
          <w:sz w:val="22"/>
          <w:szCs w:val="22"/>
          <w:lang w:eastAsia="en-AU"/>
        </w:rPr>
      </w:pPr>
      <w:hyperlink w:anchor="_Toc94870718" w:history="1">
        <w:r w:rsidR="00C25C83" w:rsidRPr="00AB0863">
          <w:rPr>
            <w:rStyle w:val="Hyperlink"/>
          </w:rPr>
          <w:t>Signs of impact under priority area 1</w:t>
        </w:r>
        <w:r w:rsidR="00C25C83">
          <w:rPr>
            <w:webHidden/>
          </w:rPr>
          <w:tab/>
        </w:r>
        <w:r w:rsidR="00C25C83">
          <w:rPr>
            <w:webHidden/>
          </w:rPr>
          <w:fldChar w:fldCharType="begin"/>
        </w:r>
        <w:r w:rsidR="00C25C83">
          <w:rPr>
            <w:webHidden/>
          </w:rPr>
          <w:instrText xml:space="preserve"> PAGEREF _Toc94870718 \h </w:instrText>
        </w:r>
        <w:r w:rsidR="00C25C83">
          <w:rPr>
            <w:webHidden/>
          </w:rPr>
        </w:r>
        <w:r w:rsidR="00C25C83">
          <w:rPr>
            <w:webHidden/>
          </w:rPr>
          <w:fldChar w:fldCharType="separate"/>
        </w:r>
        <w:r w:rsidR="00C25C83">
          <w:rPr>
            <w:webHidden/>
          </w:rPr>
          <w:t>5</w:t>
        </w:r>
        <w:r w:rsidR="00C25C83">
          <w:rPr>
            <w:webHidden/>
          </w:rPr>
          <w:fldChar w:fldCharType="end"/>
        </w:r>
      </w:hyperlink>
    </w:p>
    <w:p w14:paraId="5F5D30C7" w14:textId="1C174331" w:rsidR="00C25C83" w:rsidRDefault="00000000">
      <w:pPr>
        <w:pStyle w:val="TOC1"/>
        <w:rPr>
          <w:rFonts w:asciiTheme="minorHAnsi" w:eastAsiaTheme="minorEastAsia" w:hAnsiTheme="minorHAnsi" w:cstheme="minorBidi"/>
          <w:b w:val="0"/>
          <w:sz w:val="22"/>
          <w:szCs w:val="22"/>
          <w:lang w:eastAsia="en-AU"/>
        </w:rPr>
      </w:pPr>
      <w:hyperlink w:anchor="_Toc94870719" w:history="1">
        <w:r w:rsidR="00C25C83" w:rsidRPr="00AB0863">
          <w:rPr>
            <w:rStyle w:val="Hyperlink"/>
          </w:rPr>
          <w:t>Priority area 2: Equitable, inclusive and accessible services</w:t>
        </w:r>
        <w:r w:rsidR="00C25C83">
          <w:rPr>
            <w:webHidden/>
          </w:rPr>
          <w:tab/>
        </w:r>
        <w:r w:rsidR="00C25C83">
          <w:rPr>
            <w:webHidden/>
          </w:rPr>
          <w:fldChar w:fldCharType="begin"/>
        </w:r>
        <w:r w:rsidR="00C25C83">
          <w:rPr>
            <w:webHidden/>
          </w:rPr>
          <w:instrText xml:space="preserve"> PAGEREF _Toc94870719 \h </w:instrText>
        </w:r>
        <w:r w:rsidR="00C25C83">
          <w:rPr>
            <w:webHidden/>
          </w:rPr>
        </w:r>
        <w:r w:rsidR="00C25C83">
          <w:rPr>
            <w:webHidden/>
          </w:rPr>
          <w:fldChar w:fldCharType="separate"/>
        </w:r>
        <w:r w:rsidR="00C25C83">
          <w:rPr>
            <w:webHidden/>
          </w:rPr>
          <w:t>6</w:t>
        </w:r>
        <w:r w:rsidR="00C25C83">
          <w:rPr>
            <w:webHidden/>
          </w:rPr>
          <w:fldChar w:fldCharType="end"/>
        </w:r>
      </w:hyperlink>
    </w:p>
    <w:p w14:paraId="15251A90" w14:textId="4090418A" w:rsidR="00C25C83" w:rsidRDefault="00000000">
      <w:pPr>
        <w:pStyle w:val="TOC2"/>
        <w:rPr>
          <w:rFonts w:asciiTheme="minorHAnsi" w:eastAsiaTheme="minorEastAsia" w:hAnsiTheme="minorHAnsi" w:cstheme="minorBidi"/>
          <w:sz w:val="22"/>
          <w:szCs w:val="22"/>
          <w:lang w:eastAsia="en-AU"/>
        </w:rPr>
      </w:pPr>
      <w:hyperlink w:anchor="_Toc94870720" w:history="1">
        <w:r w:rsidR="00C25C83" w:rsidRPr="00AB0863">
          <w:rPr>
            <w:rStyle w:val="Hyperlink"/>
          </w:rPr>
          <w:t>Early actions we will deliver under priority area 2</w:t>
        </w:r>
        <w:r w:rsidR="00C25C83">
          <w:rPr>
            <w:webHidden/>
          </w:rPr>
          <w:tab/>
        </w:r>
        <w:r w:rsidR="00C25C83">
          <w:rPr>
            <w:webHidden/>
          </w:rPr>
          <w:fldChar w:fldCharType="begin"/>
        </w:r>
        <w:r w:rsidR="00C25C83">
          <w:rPr>
            <w:webHidden/>
          </w:rPr>
          <w:instrText xml:space="preserve"> PAGEREF _Toc94870720 \h </w:instrText>
        </w:r>
        <w:r w:rsidR="00C25C83">
          <w:rPr>
            <w:webHidden/>
          </w:rPr>
        </w:r>
        <w:r w:rsidR="00C25C83">
          <w:rPr>
            <w:webHidden/>
          </w:rPr>
          <w:fldChar w:fldCharType="separate"/>
        </w:r>
        <w:r w:rsidR="00C25C83">
          <w:rPr>
            <w:webHidden/>
          </w:rPr>
          <w:t>6</w:t>
        </w:r>
        <w:r w:rsidR="00C25C83">
          <w:rPr>
            <w:webHidden/>
          </w:rPr>
          <w:fldChar w:fldCharType="end"/>
        </w:r>
      </w:hyperlink>
    </w:p>
    <w:p w14:paraId="4B78B8BD" w14:textId="71804795" w:rsidR="00C25C83" w:rsidRDefault="00000000">
      <w:pPr>
        <w:pStyle w:val="TOC2"/>
        <w:rPr>
          <w:rFonts w:asciiTheme="minorHAnsi" w:eastAsiaTheme="minorEastAsia" w:hAnsiTheme="minorHAnsi" w:cstheme="minorBidi"/>
          <w:sz w:val="22"/>
          <w:szCs w:val="22"/>
          <w:lang w:eastAsia="en-AU"/>
        </w:rPr>
      </w:pPr>
      <w:hyperlink w:anchor="_Toc94870721" w:history="1">
        <w:r w:rsidR="00C25C83" w:rsidRPr="00AB0863">
          <w:rPr>
            <w:rStyle w:val="Hyperlink"/>
          </w:rPr>
          <w:t>Actions over the life of the strategy for priority area 2</w:t>
        </w:r>
        <w:r w:rsidR="00C25C83">
          <w:rPr>
            <w:webHidden/>
          </w:rPr>
          <w:tab/>
        </w:r>
        <w:r w:rsidR="00C25C83">
          <w:rPr>
            <w:webHidden/>
          </w:rPr>
          <w:fldChar w:fldCharType="begin"/>
        </w:r>
        <w:r w:rsidR="00C25C83">
          <w:rPr>
            <w:webHidden/>
          </w:rPr>
          <w:instrText xml:space="preserve"> PAGEREF _Toc94870721 \h </w:instrText>
        </w:r>
        <w:r w:rsidR="00C25C83">
          <w:rPr>
            <w:webHidden/>
          </w:rPr>
        </w:r>
        <w:r w:rsidR="00C25C83">
          <w:rPr>
            <w:webHidden/>
          </w:rPr>
          <w:fldChar w:fldCharType="separate"/>
        </w:r>
        <w:r w:rsidR="00C25C83">
          <w:rPr>
            <w:webHidden/>
          </w:rPr>
          <w:t>7</w:t>
        </w:r>
        <w:r w:rsidR="00C25C83">
          <w:rPr>
            <w:webHidden/>
          </w:rPr>
          <w:fldChar w:fldCharType="end"/>
        </w:r>
      </w:hyperlink>
    </w:p>
    <w:p w14:paraId="71540DDD" w14:textId="17E550B1" w:rsidR="00C25C83" w:rsidRDefault="00000000">
      <w:pPr>
        <w:pStyle w:val="TOC2"/>
        <w:rPr>
          <w:rFonts w:asciiTheme="minorHAnsi" w:eastAsiaTheme="minorEastAsia" w:hAnsiTheme="minorHAnsi" w:cstheme="minorBidi"/>
          <w:sz w:val="22"/>
          <w:szCs w:val="22"/>
          <w:lang w:eastAsia="en-AU"/>
        </w:rPr>
      </w:pPr>
      <w:hyperlink w:anchor="_Toc94870722" w:history="1">
        <w:r w:rsidR="00C25C83" w:rsidRPr="00AB0863">
          <w:rPr>
            <w:rStyle w:val="Hyperlink"/>
          </w:rPr>
          <w:t>Signs of impact under priority area 2</w:t>
        </w:r>
        <w:r w:rsidR="00C25C83">
          <w:rPr>
            <w:webHidden/>
          </w:rPr>
          <w:tab/>
        </w:r>
        <w:r w:rsidR="00C25C83">
          <w:rPr>
            <w:webHidden/>
          </w:rPr>
          <w:fldChar w:fldCharType="begin"/>
        </w:r>
        <w:r w:rsidR="00C25C83">
          <w:rPr>
            <w:webHidden/>
          </w:rPr>
          <w:instrText xml:space="preserve"> PAGEREF _Toc94870722 \h </w:instrText>
        </w:r>
        <w:r w:rsidR="00C25C83">
          <w:rPr>
            <w:webHidden/>
          </w:rPr>
        </w:r>
        <w:r w:rsidR="00C25C83">
          <w:rPr>
            <w:webHidden/>
          </w:rPr>
          <w:fldChar w:fldCharType="separate"/>
        </w:r>
        <w:r w:rsidR="00C25C83">
          <w:rPr>
            <w:webHidden/>
          </w:rPr>
          <w:t>8</w:t>
        </w:r>
        <w:r w:rsidR="00C25C83">
          <w:rPr>
            <w:webHidden/>
          </w:rPr>
          <w:fldChar w:fldCharType="end"/>
        </w:r>
      </w:hyperlink>
    </w:p>
    <w:p w14:paraId="40A4C402" w14:textId="73A01689" w:rsidR="00C25C83" w:rsidRDefault="00000000">
      <w:pPr>
        <w:pStyle w:val="TOC1"/>
        <w:rPr>
          <w:rFonts w:asciiTheme="minorHAnsi" w:eastAsiaTheme="minorEastAsia" w:hAnsiTheme="minorHAnsi" w:cstheme="minorBidi"/>
          <w:b w:val="0"/>
          <w:sz w:val="22"/>
          <w:szCs w:val="22"/>
          <w:lang w:eastAsia="en-AU"/>
        </w:rPr>
      </w:pPr>
      <w:hyperlink w:anchor="_Toc94870723" w:history="1">
        <w:r w:rsidR="00C25C83" w:rsidRPr="00AB0863">
          <w:rPr>
            <w:rStyle w:val="Hyperlink"/>
          </w:rPr>
          <w:t>Priority area 3: Visibility to inform decision making</w:t>
        </w:r>
        <w:r w:rsidR="00C25C83">
          <w:rPr>
            <w:webHidden/>
          </w:rPr>
          <w:tab/>
        </w:r>
        <w:r w:rsidR="00C25C83">
          <w:rPr>
            <w:webHidden/>
          </w:rPr>
          <w:fldChar w:fldCharType="begin"/>
        </w:r>
        <w:r w:rsidR="00C25C83">
          <w:rPr>
            <w:webHidden/>
          </w:rPr>
          <w:instrText xml:space="preserve"> PAGEREF _Toc94870723 \h </w:instrText>
        </w:r>
        <w:r w:rsidR="00C25C83">
          <w:rPr>
            <w:webHidden/>
          </w:rPr>
        </w:r>
        <w:r w:rsidR="00C25C83">
          <w:rPr>
            <w:webHidden/>
          </w:rPr>
          <w:fldChar w:fldCharType="separate"/>
        </w:r>
        <w:r w:rsidR="00C25C83">
          <w:rPr>
            <w:webHidden/>
          </w:rPr>
          <w:t>8</w:t>
        </w:r>
        <w:r w:rsidR="00C25C83">
          <w:rPr>
            <w:webHidden/>
          </w:rPr>
          <w:fldChar w:fldCharType="end"/>
        </w:r>
      </w:hyperlink>
    </w:p>
    <w:p w14:paraId="0C0049C9" w14:textId="5CA35953" w:rsidR="00C25C83" w:rsidRDefault="00000000">
      <w:pPr>
        <w:pStyle w:val="TOC2"/>
        <w:rPr>
          <w:rFonts w:asciiTheme="minorHAnsi" w:eastAsiaTheme="minorEastAsia" w:hAnsiTheme="minorHAnsi" w:cstheme="minorBidi"/>
          <w:sz w:val="22"/>
          <w:szCs w:val="22"/>
          <w:lang w:eastAsia="en-AU"/>
        </w:rPr>
      </w:pPr>
      <w:hyperlink w:anchor="_Toc94870724" w:history="1">
        <w:r w:rsidR="00C25C83" w:rsidRPr="00AB0863">
          <w:rPr>
            <w:rStyle w:val="Hyperlink"/>
          </w:rPr>
          <w:t>Early actions we will deliver under priority area 3</w:t>
        </w:r>
        <w:r w:rsidR="00C25C83">
          <w:rPr>
            <w:webHidden/>
          </w:rPr>
          <w:tab/>
        </w:r>
        <w:r w:rsidR="00C25C83">
          <w:rPr>
            <w:webHidden/>
          </w:rPr>
          <w:fldChar w:fldCharType="begin"/>
        </w:r>
        <w:r w:rsidR="00C25C83">
          <w:rPr>
            <w:webHidden/>
          </w:rPr>
          <w:instrText xml:space="preserve"> PAGEREF _Toc94870724 \h </w:instrText>
        </w:r>
        <w:r w:rsidR="00C25C83">
          <w:rPr>
            <w:webHidden/>
          </w:rPr>
        </w:r>
        <w:r w:rsidR="00C25C83">
          <w:rPr>
            <w:webHidden/>
          </w:rPr>
          <w:fldChar w:fldCharType="separate"/>
        </w:r>
        <w:r w:rsidR="00C25C83">
          <w:rPr>
            <w:webHidden/>
          </w:rPr>
          <w:t>9</w:t>
        </w:r>
        <w:r w:rsidR="00C25C83">
          <w:rPr>
            <w:webHidden/>
          </w:rPr>
          <w:fldChar w:fldCharType="end"/>
        </w:r>
      </w:hyperlink>
    </w:p>
    <w:p w14:paraId="021B5B52" w14:textId="659A23CC" w:rsidR="00C25C83" w:rsidRDefault="00000000">
      <w:pPr>
        <w:pStyle w:val="TOC2"/>
        <w:rPr>
          <w:rFonts w:asciiTheme="minorHAnsi" w:eastAsiaTheme="minorEastAsia" w:hAnsiTheme="minorHAnsi" w:cstheme="minorBidi"/>
          <w:sz w:val="22"/>
          <w:szCs w:val="22"/>
          <w:lang w:eastAsia="en-AU"/>
        </w:rPr>
      </w:pPr>
      <w:hyperlink w:anchor="_Toc94870725" w:history="1">
        <w:r w:rsidR="00C25C83" w:rsidRPr="00AB0863">
          <w:rPr>
            <w:rStyle w:val="Hyperlink"/>
          </w:rPr>
          <w:t>Actions over the life of the strategy for priority area 3</w:t>
        </w:r>
        <w:r w:rsidR="00C25C83">
          <w:rPr>
            <w:webHidden/>
          </w:rPr>
          <w:tab/>
        </w:r>
        <w:r w:rsidR="00C25C83">
          <w:rPr>
            <w:webHidden/>
          </w:rPr>
          <w:fldChar w:fldCharType="begin"/>
        </w:r>
        <w:r w:rsidR="00C25C83">
          <w:rPr>
            <w:webHidden/>
          </w:rPr>
          <w:instrText xml:space="preserve"> PAGEREF _Toc94870725 \h </w:instrText>
        </w:r>
        <w:r w:rsidR="00C25C83">
          <w:rPr>
            <w:webHidden/>
          </w:rPr>
        </w:r>
        <w:r w:rsidR="00C25C83">
          <w:rPr>
            <w:webHidden/>
          </w:rPr>
          <w:fldChar w:fldCharType="separate"/>
        </w:r>
        <w:r w:rsidR="00C25C83">
          <w:rPr>
            <w:webHidden/>
          </w:rPr>
          <w:t>9</w:t>
        </w:r>
        <w:r w:rsidR="00C25C83">
          <w:rPr>
            <w:webHidden/>
          </w:rPr>
          <w:fldChar w:fldCharType="end"/>
        </w:r>
      </w:hyperlink>
    </w:p>
    <w:p w14:paraId="6E8B0E36" w14:textId="35D4C9F0" w:rsidR="00C25C83" w:rsidRDefault="00000000">
      <w:pPr>
        <w:pStyle w:val="TOC2"/>
        <w:rPr>
          <w:rFonts w:asciiTheme="minorHAnsi" w:eastAsiaTheme="minorEastAsia" w:hAnsiTheme="minorHAnsi" w:cstheme="minorBidi"/>
          <w:sz w:val="22"/>
          <w:szCs w:val="22"/>
          <w:lang w:eastAsia="en-AU"/>
        </w:rPr>
      </w:pPr>
      <w:hyperlink w:anchor="_Toc94870726" w:history="1">
        <w:r w:rsidR="00C25C83" w:rsidRPr="00AB0863">
          <w:rPr>
            <w:rStyle w:val="Hyperlink"/>
          </w:rPr>
          <w:t>Signs of impact under priority area 3</w:t>
        </w:r>
        <w:r w:rsidR="00C25C83">
          <w:rPr>
            <w:webHidden/>
          </w:rPr>
          <w:tab/>
        </w:r>
        <w:r w:rsidR="00C25C83">
          <w:rPr>
            <w:webHidden/>
          </w:rPr>
          <w:fldChar w:fldCharType="begin"/>
        </w:r>
        <w:r w:rsidR="00C25C83">
          <w:rPr>
            <w:webHidden/>
          </w:rPr>
          <w:instrText xml:space="preserve"> PAGEREF _Toc94870726 \h </w:instrText>
        </w:r>
        <w:r w:rsidR="00C25C83">
          <w:rPr>
            <w:webHidden/>
          </w:rPr>
        </w:r>
        <w:r w:rsidR="00C25C83">
          <w:rPr>
            <w:webHidden/>
          </w:rPr>
          <w:fldChar w:fldCharType="separate"/>
        </w:r>
        <w:r w:rsidR="00C25C83">
          <w:rPr>
            <w:webHidden/>
          </w:rPr>
          <w:t>9</w:t>
        </w:r>
        <w:r w:rsidR="00C25C83">
          <w:rPr>
            <w:webHidden/>
          </w:rPr>
          <w:fldChar w:fldCharType="end"/>
        </w:r>
      </w:hyperlink>
    </w:p>
    <w:p w14:paraId="67AD1B03" w14:textId="04D54DBA" w:rsidR="00C25C83" w:rsidRDefault="00000000">
      <w:pPr>
        <w:pStyle w:val="TOC1"/>
        <w:rPr>
          <w:rFonts w:asciiTheme="minorHAnsi" w:eastAsiaTheme="minorEastAsia" w:hAnsiTheme="minorHAnsi" w:cstheme="minorBidi"/>
          <w:b w:val="0"/>
          <w:sz w:val="22"/>
          <w:szCs w:val="22"/>
          <w:lang w:eastAsia="en-AU"/>
        </w:rPr>
      </w:pPr>
      <w:hyperlink w:anchor="_Toc94870727" w:history="1">
        <w:r w:rsidR="00C25C83" w:rsidRPr="00AB0863">
          <w:rPr>
            <w:rStyle w:val="Hyperlink"/>
          </w:rPr>
          <w:t>Priority area 4: Safe, strong and sustainable communities</w:t>
        </w:r>
        <w:r w:rsidR="00C25C83">
          <w:rPr>
            <w:webHidden/>
          </w:rPr>
          <w:tab/>
        </w:r>
        <w:r w:rsidR="00C25C83">
          <w:rPr>
            <w:webHidden/>
          </w:rPr>
          <w:fldChar w:fldCharType="begin"/>
        </w:r>
        <w:r w:rsidR="00C25C83">
          <w:rPr>
            <w:webHidden/>
          </w:rPr>
          <w:instrText xml:space="preserve"> PAGEREF _Toc94870727 \h </w:instrText>
        </w:r>
        <w:r w:rsidR="00C25C83">
          <w:rPr>
            <w:webHidden/>
          </w:rPr>
        </w:r>
        <w:r w:rsidR="00C25C83">
          <w:rPr>
            <w:webHidden/>
          </w:rPr>
          <w:fldChar w:fldCharType="separate"/>
        </w:r>
        <w:r w:rsidR="00C25C83">
          <w:rPr>
            <w:webHidden/>
          </w:rPr>
          <w:t>10</w:t>
        </w:r>
        <w:r w:rsidR="00C25C83">
          <w:rPr>
            <w:webHidden/>
          </w:rPr>
          <w:fldChar w:fldCharType="end"/>
        </w:r>
      </w:hyperlink>
    </w:p>
    <w:p w14:paraId="76F23A7F" w14:textId="729FCA7E" w:rsidR="00C25C83" w:rsidRDefault="00000000">
      <w:pPr>
        <w:pStyle w:val="TOC2"/>
        <w:rPr>
          <w:rFonts w:asciiTheme="minorHAnsi" w:eastAsiaTheme="minorEastAsia" w:hAnsiTheme="minorHAnsi" w:cstheme="minorBidi"/>
          <w:sz w:val="22"/>
          <w:szCs w:val="22"/>
          <w:lang w:eastAsia="en-AU"/>
        </w:rPr>
      </w:pPr>
      <w:hyperlink w:anchor="_Toc94870728" w:history="1">
        <w:r w:rsidR="00C25C83" w:rsidRPr="00AB0863">
          <w:rPr>
            <w:rStyle w:val="Hyperlink"/>
          </w:rPr>
          <w:t>Early actions we will deliver under priority area 4</w:t>
        </w:r>
        <w:r w:rsidR="00C25C83">
          <w:rPr>
            <w:webHidden/>
          </w:rPr>
          <w:tab/>
        </w:r>
        <w:r w:rsidR="00C25C83">
          <w:rPr>
            <w:webHidden/>
          </w:rPr>
          <w:fldChar w:fldCharType="begin"/>
        </w:r>
        <w:r w:rsidR="00C25C83">
          <w:rPr>
            <w:webHidden/>
          </w:rPr>
          <w:instrText xml:space="preserve"> PAGEREF _Toc94870728 \h </w:instrText>
        </w:r>
        <w:r w:rsidR="00C25C83">
          <w:rPr>
            <w:webHidden/>
          </w:rPr>
        </w:r>
        <w:r w:rsidR="00C25C83">
          <w:rPr>
            <w:webHidden/>
          </w:rPr>
          <w:fldChar w:fldCharType="separate"/>
        </w:r>
        <w:r w:rsidR="00C25C83">
          <w:rPr>
            <w:webHidden/>
          </w:rPr>
          <w:t>10</w:t>
        </w:r>
        <w:r w:rsidR="00C25C83">
          <w:rPr>
            <w:webHidden/>
          </w:rPr>
          <w:fldChar w:fldCharType="end"/>
        </w:r>
      </w:hyperlink>
    </w:p>
    <w:p w14:paraId="45BB165E" w14:textId="1D75ED88" w:rsidR="00C25C83" w:rsidRDefault="00000000">
      <w:pPr>
        <w:pStyle w:val="TOC2"/>
        <w:rPr>
          <w:rFonts w:asciiTheme="minorHAnsi" w:eastAsiaTheme="minorEastAsia" w:hAnsiTheme="minorHAnsi" w:cstheme="minorBidi"/>
          <w:sz w:val="22"/>
          <w:szCs w:val="22"/>
          <w:lang w:eastAsia="en-AU"/>
        </w:rPr>
      </w:pPr>
      <w:hyperlink w:anchor="_Toc94870729" w:history="1">
        <w:r w:rsidR="00C25C83" w:rsidRPr="00AB0863">
          <w:rPr>
            <w:rStyle w:val="Hyperlink"/>
          </w:rPr>
          <w:t>Actions over the life of the strategy for priority area 4</w:t>
        </w:r>
        <w:r w:rsidR="00C25C83">
          <w:rPr>
            <w:webHidden/>
          </w:rPr>
          <w:tab/>
        </w:r>
        <w:r w:rsidR="00C25C83">
          <w:rPr>
            <w:webHidden/>
          </w:rPr>
          <w:fldChar w:fldCharType="begin"/>
        </w:r>
        <w:r w:rsidR="00C25C83">
          <w:rPr>
            <w:webHidden/>
          </w:rPr>
          <w:instrText xml:space="preserve"> PAGEREF _Toc94870729 \h </w:instrText>
        </w:r>
        <w:r w:rsidR="00C25C83">
          <w:rPr>
            <w:webHidden/>
          </w:rPr>
        </w:r>
        <w:r w:rsidR="00C25C83">
          <w:rPr>
            <w:webHidden/>
          </w:rPr>
          <w:fldChar w:fldCharType="separate"/>
        </w:r>
        <w:r w:rsidR="00C25C83">
          <w:rPr>
            <w:webHidden/>
          </w:rPr>
          <w:t>11</w:t>
        </w:r>
        <w:r w:rsidR="00C25C83">
          <w:rPr>
            <w:webHidden/>
          </w:rPr>
          <w:fldChar w:fldCharType="end"/>
        </w:r>
      </w:hyperlink>
    </w:p>
    <w:p w14:paraId="3555F448" w14:textId="036200F7" w:rsidR="00C25C83" w:rsidRDefault="00000000">
      <w:pPr>
        <w:pStyle w:val="TOC2"/>
        <w:rPr>
          <w:rFonts w:asciiTheme="minorHAnsi" w:eastAsiaTheme="minorEastAsia" w:hAnsiTheme="minorHAnsi" w:cstheme="minorBidi"/>
          <w:sz w:val="22"/>
          <w:szCs w:val="22"/>
          <w:lang w:eastAsia="en-AU"/>
        </w:rPr>
      </w:pPr>
      <w:hyperlink w:anchor="_Toc94870730" w:history="1">
        <w:r w:rsidR="00C25C83" w:rsidRPr="00AB0863">
          <w:rPr>
            <w:rStyle w:val="Hyperlink"/>
          </w:rPr>
          <w:t>Signs of impact under priority area 4</w:t>
        </w:r>
        <w:r w:rsidR="00C25C83">
          <w:rPr>
            <w:webHidden/>
          </w:rPr>
          <w:tab/>
        </w:r>
        <w:r w:rsidR="00C25C83">
          <w:rPr>
            <w:webHidden/>
          </w:rPr>
          <w:fldChar w:fldCharType="begin"/>
        </w:r>
        <w:r w:rsidR="00C25C83">
          <w:rPr>
            <w:webHidden/>
          </w:rPr>
          <w:instrText xml:space="preserve"> PAGEREF _Toc94870730 \h </w:instrText>
        </w:r>
        <w:r w:rsidR="00C25C83">
          <w:rPr>
            <w:webHidden/>
          </w:rPr>
        </w:r>
        <w:r w:rsidR="00C25C83">
          <w:rPr>
            <w:webHidden/>
          </w:rPr>
          <w:fldChar w:fldCharType="separate"/>
        </w:r>
        <w:r w:rsidR="00C25C83">
          <w:rPr>
            <w:webHidden/>
          </w:rPr>
          <w:t>11</w:t>
        </w:r>
        <w:r w:rsidR="00C25C83">
          <w:rPr>
            <w:webHidden/>
          </w:rPr>
          <w:fldChar w:fldCharType="end"/>
        </w:r>
      </w:hyperlink>
    </w:p>
    <w:p w14:paraId="3D8949B8" w14:textId="045B6BD2" w:rsidR="00C25C83" w:rsidRDefault="00000000">
      <w:pPr>
        <w:pStyle w:val="TOC1"/>
        <w:rPr>
          <w:rFonts w:asciiTheme="minorHAnsi" w:eastAsiaTheme="minorEastAsia" w:hAnsiTheme="minorHAnsi" w:cstheme="minorBidi"/>
          <w:b w:val="0"/>
          <w:sz w:val="22"/>
          <w:szCs w:val="22"/>
          <w:lang w:eastAsia="en-AU"/>
        </w:rPr>
      </w:pPr>
      <w:hyperlink w:anchor="_Toc94870731" w:history="1">
        <w:r w:rsidR="00C25C83" w:rsidRPr="00AB0863">
          <w:rPr>
            <w:rStyle w:val="Hyperlink"/>
            <w:rFonts w:eastAsia="Times"/>
          </w:rPr>
          <w:t>Definitions</w:t>
        </w:r>
        <w:r w:rsidR="00C25C83">
          <w:rPr>
            <w:webHidden/>
          </w:rPr>
          <w:tab/>
        </w:r>
        <w:r w:rsidR="00C25C83">
          <w:rPr>
            <w:webHidden/>
          </w:rPr>
          <w:fldChar w:fldCharType="begin"/>
        </w:r>
        <w:r w:rsidR="00C25C83">
          <w:rPr>
            <w:webHidden/>
          </w:rPr>
          <w:instrText xml:space="preserve"> PAGEREF _Toc94870731 \h </w:instrText>
        </w:r>
        <w:r w:rsidR="00C25C83">
          <w:rPr>
            <w:webHidden/>
          </w:rPr>
        </w:r>
        <w:r w:rsidR="00C25C83">
          <w:rPr>
            <w:webHidden/>
          </w:rPr>
          <w:fldChar w:fldCharType="separate"/>
        </w:r>
        <w:r w:rsidR="00C25C83">
          <w:rPr>
            <w:webHidden/>
          </w:rPr>
          <w:t>11</w:t>
        </w:r>
        <w:r w:rsidR="00C25C83">
          <w:rPr>
            <w:webHidden/>
          </w:rPr>
          <w:fldChar w:fldCharType="end"/>
        </w:r>
      </w:hyperlink>
    </w:p>
    <w:p w14:paraId="7AF353B6" w14:textId="56DDF055" w:rsidR="0043502F" w:rsidRDefault="0075719F" w:rsidP="00355FA8">
      <w:pPr>
        <w:pStyle w:val="Body"/>
        <w:rPr>
          <w:b/>
          <w:sz w:val="24"/>
        </w:rPr>
      </w:pPr>
      <w:r>
        <w:rPr>
          <w:b/>
        </w:rPr>
        <w:fldChar w:fldCharType="end"/>
      </w:r>
      <w:r w:rsidR="0043502F">
        <w:rPr>
          <w:b/>
        </w:rPr>
        <w:br w:type="page"/>
      </w:r>
    </w:p>
    <w:p w14:paraId="47829703" w14:textId="00EC73E5" w:rsidR="0007761A" w:rsidRPr="0007761A" w:rsidRDefault="0007761A" w:rsidP="0007761A">
      <w:pPr>
        <w:pStyle w:val="Heading1"/>
      </w:pPr>
      <w:bookmarkStart w:id="0" w:name="_Toc94870709"/>
      <w:r w:rsidRPr="0007761A">
        <w:lastRenderedPageBreak/>
        <w:t>Introduction</w:t>
      </w:r>
      <w:bookmarkEnd w:id="0"/>
      <w:r w:rsidRPr="0007761A">
        <w:t xml:space="preserve"> </w:t>
      </w:r>
    </w:p>
    <w:p w14:paraId="630424FB" w14:textId="4B41C051" w:rsidR="00DE5F30" w:rsidRPr="00095CFE" w:rsidRDefault="00DE5F30" w:rsidP="00DE5F30">
      <w:pPr>
        <w:pStyle w:val="Body"/>
        <w:rPr>
          <w:b/>
        </w:rPr>
      </w:pPr>
      <w:r w:rsidRPr="00095CFE">
        <w:rPr>
          <w:b/>
        </w:rPr>
        <w:t>Victoria’s first whole-of-government LGBTIQ</w:t>
      </w:r>
      <w:r w:rsidR="00A91AF4">
        <w:rPr>
          <w:b/>
        </w:rPr>
        <w:t>A</w:t>
      </w:r>
      <w:r w:rsidRPr="00095CFE">
        <w:rPr>
          <w:b/>
        </w:rPr>
        <w:t>+ strategy outlines our plan to drive equality and inclusion for Victoria’s diverse LGBTIQ</w:t>
      </w:r>
      <w:r w:rsidR="00A91AF4">
        <w:rPr>
          <w:b/>
        </w:rPr>
        <w:t>A</w:t>
      </w:r>
      <w:r w:rsidRPr="00095CFE">
        <w:rPr>
          <w:b/>
        </w:rPr>
        <w:t xml:space="preserve">+ communities in all government work over the next decade. </w:t>
      </w:r>
    </w:p>
    <w:p w14:paraId="13D5E8EF" w14:textId="4DCCDF38" w:rsidR="00355FA8" w:rsidRDefault="00DE5F30" w:rsidP="00355FA8">
      <w:pPr>
        <w:pStyle w:val="Body"/>
      </w:pPr>
      <w:r>
        <w:t xml:space="preserve">This document is a summary of the full strategy, which can be found at </w:t>
      </w:r>
      <w:hyperlink r:id="rId11" w:history="1">
        <w:r w:rsidR="00355FA8" w:rsidRPr="00355FA8">
          <w:rPr>
            <w:rStyle w:val="Hyperlink"/>
            <w:rFonts w:ascii="Arial" w:hAnsi="Arial"/>
          </w:rPr>
          <w:t xml:space="preserve">Pride in our future: Victoria’s </w:t>
        </w:r>
        <w:r w:rsidR="00A91AF4">
          <w:rPr>
            <w:rStyle w:val="Hyperlink"/>
            <w:rFonts w:ascii="Arial" w:hAnsi="Arial"/>
          </w:rPr>
          <w:t>LGBTIQA+</w:t>
        </w:r>
        <w:r w:rsidR="00355FA8" w:rsidRPr="00355FA8">
          <w:rPr>
            <w:rStyle w:val="Hyperlink"/>
            <w:rFonts w:ascii="Arial" w:hAnsi="Arial"/>
          </w:rPr>
          <w:t xml:space="preserve"> strategy 2022–32</w:t>
        </w:r>
      </w:hyperlink>
      <w:r w:rsidR="00355FA8">
        <w:t xml:space="preserve"> &lt;https://www.vic.gov.au/pride-our-future-victorias-lgbtiq-strategy-2022-32&gt;.</w:t>
      </w:r>
    </w:p>
    <w:p w14:paraId="2FC964B5" w14:textId="4648DB61" w:rsidR="002C4218" w:rsidRPr="005E3AA6" w:rsidDel="002530F1" w:rsidRDefault="00355FA8" w:rsidP="00355FA8">
      <w:pPr>
        <w:pStyle w:val="Body"/>
      </w:pPr>
      <w:r>
        <w:t>J</w:t>
      </w:r>
      <w:r w:rsidR="002C4218">
        <w:t>ust over one in 20 adult Victorians</w:t>
      </w:r>
      <w:r w:rsidR="002C4218" w:rsidRPr="00B80C17">
        <w:t xml:space="preserve"> </w:t>
      </w:r>
      <w:r w:rsidR="002C4218">
        <w:t>openly identify as being LGBTIQ</w:t>
      </w:r>
      <w:r w:rsidR="00A91AF4">
        <w:t>A</w:t>
      </w:r>
      <w:r w:rsidR="002C4218">
        <w:t>+ (</w:t>
      </w:r>
      <w:r w:rsidR="002C4218" w:rsidRPr="000631C6">
        <w:t>lesbian, gay, bisexual, trans and gender diverse, intersex</w:t>
      </w:r>
      <w:r w:rsidR="00A91AF4">
        <w:t>,</w:t>
      </w:r>
      <w:r w:rsidR="002C4218" w:rsidRPr="000631C6">
        <w:t xml:space="preserve"> queer</w:t>
      </w:r>
      <w:r w:rsidR="00A91AF4">
        <w:t xml:space="preserve"> and asexual</w:t>
      </w:r>
      <w:r w:rsidR="002C4218">
        <w:t>)</w:t>
      </w:r>
      <w:r w:rsidR="00E469C3">
        <w:t>.</w:t>
      </w:r>
      <w:r w:rsidR="008C3683">
        <w:rPr>
          <w:rStyle w:val="FootnoteReference"/>
        </w:rPr>
        <w:footnoteReference w:id="2"/>
      </w:r>
      <w:r w:rsidR="002C4218">
        <w:t xml:space="preserve"> LGBTIQ</w:t>
      </w:r>
      <w:r w:rsidR="00A91AF4">
        <w:t>A</w:t>
      </w:r>
      <w:r w:rsidR="002C4218">
        <w:t>+ Victorians are valued members of our community who add to our diversity and make Victoria a better place to live.</w:t>
      </w:r>
    </w:p>
    <w:p w14:paraId="1D0B5CAF" w14:textId="61D163DC" w:rsidR="007474D1" w:rsidRDefault="00A91AF4" w:rsidP="00034A28">
      <w:pPr>
        <w:pStyle w:val="Body"/>
        <w:tabs>
          <w:tab w:val="left" w:pos="7050"/>
        </w:tabs>
      </w:pPr>
      <w:r>
        <w:t>LGBTIQA+</w:t>
      </w:r>
      <w:r w:rsidR="008B46B2" w:rsidRPr="00940F85">
        <w:t xml:space="preserve"> </w:t>
      </w:r>
      <w:r w:rsidR="008B46B2">
        <w:t>Victorians</w:t>
      </w:r>
      <w:r w:rsidR="008B46B2" w:rsidRPr="00940F85">
        <w:t xml:space="preserve"> </w:t>
      </w:r>
      <w:r w:rsidR="00E469C3">
        <w:t xml:space="preserve">also </w:t>
      </w:r>
      <w:r w:rsidR="008B46B2" w:rsidRPr="00940F85">
        <w:t xml:space="preserve">face </w:t>
      </w:r>
      <w:r w:rsidR="008B46B2">
        <w:t>higher</w:t>
      </w:r>
      <w:r w:rsidR="008B46B2" w:rsidRPr="00940F85">
        <w:t xml:space="preserve"> levels </w:t>
      </w:r>
      <w:r w:rsidR="008B46B2">
        <w:t xml:space="preserve">of </w:t>
      </w:r>
      <w:r w:rsidR="008B46B2" w:rsidRPr="00940F85">
        <w:t>discrimination, stigma and exclusion</w:t>
      </w:r>
      <w:r w:rsidR="00EF4FF1">
        <w:t>, which can</w:t>
      </w:r>
      <w:r w:rsidR="008B46B2">
        <w:t xml:space="preserve"> lead to </w:t>
      </w:r>
      <w:r w:rsidR="008B46B2" w:rsidRPr="00390A74">
        <w:t xml:space="preserve">poorer </w:t>
      </w:r>
      <w:r w:rsidR="008B46B2">
        <w:t xml:space="preserve">health, economic, social and mental health </w:t>
      </w:r>
      <w:r w:rsidR="008B46B2" w:rsidRPr="00390A74">
        <w:t>outcomes than other Victorians.</w:t>
      </w:r>
    </w:p>
    <w:p w14:paraId="2165FEB4" w14:textId="53DB092D" w:rsidR="00034A28" w:rsidRDefault="003D6C16" w:rsidP="00034A28">
      <w:pPr>
        <w:pStyle w:val="Body"/>
        <w:tabs>
          <w:tab w:val="left" w:pos="7050"/>
        </w:tabs>
      </w:pPr>
      <w:r w:rsidRPr="00095CFE">
        <w:t xml:space="preserve">Many people within </w:t>
      </w:r>
      <w:r w:rsidR="00A91AF4">
        <w:t>LGBTIQA+</w:t>
      </w:r>
      <w:r w:rsidRPr="00095CFE">
        <w:t xml:space="preserve"> communities who live with other forms of inequality or discrimination</w:t>
      </w:r>
      <w:r w:rsidR="0042121A">
        <w:t>, such as</w:t>
      </w:r>
      <w:r w:rsidRPr="00095CFE">
        <w:t xml:space="preserve"> </w:t>
      </w:r>
      <w:r w:rsidR="00A91AF4">
        <w:t>LGBTIQA+</w:t>
      </w:r>
      <w:r w:rsidR="0087566A">
        <w:t xml:space="preserve"> </w:t>
      </w:r>
      <w:r w:rsidRPr="00095CFE">
        <w:t>people of colour, asylum seekers, refugees, people of faith or s</w:t>
      </w:r>
      <w:r w:rsidR="00874840">
        <w:t>ex</w:t>
      </w:r>
      <w:r w:rsidRPr="00095CFE">
        <w:t xml:space="preserve"> workers are less visible.</w:t>
      </w:r>
      <w:r w:rsidR="00984CD7">
        <w:t xml:space="preserve"> </w:t>
      </w:r>
      <w:r w:rsidR="00F5247A" w:rsidRPr="00984CD7">
        <w:t>This overlapping and interconnecting of identities is often called ‘intersectionality’.</w:t>
      </w:r>
    </w:p>
    <w:p w14:paraId="131C0C9A" w14:textId="25B63A0C" w:rsidR="00835D59" w:rsidRDefault="00A91AF4" w:rsidP="00095CFE">
      <w:pPr>
        <w:pStyle w:val="Body"/>
        <w:tabs>
          <w:tab w:val="left" w:pos="7050"/>
        </w:tabs>
      </w:pPr>
      <w:r>
        <w:t>LGBTIQA+</w:t>
      </w:r>
      <w:r w:rsidR="00511F2A">
        <w:t xml:space="preserve"> voices are at the heart of Victoria’s first </w:t>
      </w:r>
      <w:r>
        <w:t>LGBTIQA+</w:t>
      </w:r>
      <w:r w:rsidR="00511F2A">
        <w:t xml:space="preserve"> strategy. </w:t>
      </w:r>
      <w:r w:rsidR="00FE4B8A">
        <w:t>The Victorian Government</w:t>
      </w:r>
      <w:r w:rsidR="00F5247A">
        <w:t xml:space="preserve"> asked Victorians what they would like the focus of the government’s work with </w:t>
      </w:r>
      <w:r>
        <w:t>LGBTIQA+</w:t>
      </w:r>
      <w:r w:rsidR="00F5247A">
        <w:t xml:space="preserve"> Victorians to be for the next 10 years.</w:t>
      </w:r>
      <w:r w:rsidR="00835D59">
        <w:t xml:space="preserve"> </w:t>
      </w:r>
      <w:r w:rsidR="00835D59" w:rsidRPr="00EA25BC">
        <w:t>Through the generosity of</w:t>
      </w:r>
      <w:r w:rsidR="00835D59">
        <w:t xml:space="preserve"> </w:t>
      </w:r>
      <w:r w:rsidR="00D00A0D">
        <w:t xml:space="preserve">more than </w:t>
      </w:r>
      <w:r w:rsidR="00835D59">
        <w:t>1,600</w:t>
      </w:r>
      <w:r w:rsidR="00835D59" w:rsidRPr="00EA25BC">
        <w:t xml:space="preserve"> </w:t>
      </w:r>
      <w:r>
        <w:t>LGBTIQA+</w:t>
      </w:r>
      <w:r w:rsidR="00835D59" w:rsidRPr="00EA25BC">
        <w:t xml:space="preserve"> Victorians, their families, advocates and allies, </w:t>
      </w:r>
      <w:r w:rsidR="00835D59">
        <w:t xml:space="preserve">organisations </w:t>
      </w:r>
      <w:r w:rsidR="00835D59" w:rsidRPr="00EA25BC">
        <w:t xml:space="preserve">and </w:t>
      </w:r>
      <w:r w:rsidR="00051C02">
        <w:t xml:space="preserve">the </w:t>
      </w:r>
      <w:r w:rsidR="00CB2A30">
        <w:t>broader community</w:t>
      </w:r>
      <w:r w:rsidR="00835D59" w:rsidRPr="00EA25BC">
        <w:t>, we</w:t>
      </w:r>
      <w:r w:rsidR="00835D59">
        <w:t xml:space="preserve"> developed </w:t>
      </w:r>
      <w:r w:rsidR="007D3870">
        <w:t>Victoria’s first 10</w:t>
      </w:r>
      <w:r w:rsidR="006F3F08">
        <w:t>-</w:t>
      </w:r>
      <w:r w:rsidR="007D3870">
        <w:t xml:space="preserve">year </w:t>
      </w:r>
      <w:r>
        <w:t>LGBTIQA+</w:t>
      </w:r>
      <w:r w:rsidR="007D3870">
        <w:t xml:space="preserve"> </w:t>
      </w:r>
      <w:r w:rsidR="00835D59">
        <w:t>strategy to</w:t>
      </w:r>
      <w:r w:rsidR="00835D59" w:rsidRPr="00EA25BC">
        <w:t xml:space="preserve"> </w:t>
      </w:r>
      <w:r w:rsidR="00835D59">
        <w:t xml:space="preserve">improve the lives of </w:t>
      </w:r>
      <w:r>
        <w:t>LGBTIQA+</w:t>
      </w:r>
      <w:r w:rsidR="00835D59">
        <w:t xml:space="preserve"> communities.</w:t>
      </w:r>
    </w:p>
    <w:p w14:paraId="3890E426" w14:textId="77777777" w:rsidR="005C2607" w:rsidRPr="0052734B" w:rsidRDefault="005C2607" w:rsidP="00DE5F30">
      <w:pPr>
        <w:pStyle w:val="Heading1"/>
      </w:pPr>
      <w:bookmarkStart w:id="1" w:name="_Toc94870710"/>
      <w:bookmarkStart w:id="2" w:name="_Toc92879937"/>
      <w:bookmarkStart w:id="3" w:name="_Toc92895331"/>
      <w:r w:rsidRPr="002D31EA">
        <w:t>Delivering on the vision</w:t>
      </w:r>
      <w:bookmarkEnd w:id="1"/>
    </w:p>
    <w:p w14:paraId="298D4738" w14:textId="7865F60C" w:rsidR="005C2607" w:rsidRDefault="005C2607" w:rsidP="005C2607">
      <w:pPr>
        <w:pStyle w:val="Body"/>
      </w:pPr>
      <w:r>
        <w:t xml:space="preserve">The Minister for Equality will lead the </w:t>
      </w:r>
      <w:r w:rsidR="00A91AF4">
        <w:t>LGBTIQA+</w:t>
      </w:r>
      <w:r>
        <w:t xml:space="preserve"> strategy with the support of all other Victorian ministers and their departments. The Commissioner for </w:t>
      </w:r>
      <w:r w:rsidR="00A91AF4">
        <w:t>LGBTIQA+</w:t>
      </w:r>
      <w:r>
        <w:t xml:space="preserve"> Communities will</w:t>
      </w:r>
      <w:r w:rsidR="00985B71">
        <w:t xml:space="preserve"> continue to</w:t>
      </w:r>
      <w:r>
        <w:t xml:space="preserve"> engage with community and represent community perspectives as we develop and deliver actions. The Victorian Government’s </w:t>
      </w:r>
      <w:r w:rsidR="00A91AF4">
        <w:t>LGBTIQA+</w:t>
      </w:r>
      <w:r>
        <w:t xml:space="preserve"> Taskforce will </w:t>
      </w:r>
      <w:r w:rsidR="00462739">
        <w:t xml:space="preserve">continue to </w:t>
      </w:r>
      <w:r>
        <w:t>provide community advice and oversight for delivering actions and tracking outcomes.</w:t>
      </w:r>
    </w:p>
    <w:p w14:paraId="2BF1F8C6" w14:textId="778589F1" w:rsidR="005C2607" w:rsidRDefault="00A91AF4" w:rsidP="005C2607">
      <w:pPr>
        <w:pStyle w:val="Body"/>
      </w:pPr>
      <w:r>
        <w:t>LGBTIQA+</w:t>
      </w:r>
      <w:r w:rsidR="005C2607" w:rsidRPr="00674EDF">
        <w:t xml:space="preserve"> communities’ voices</w:t>
      </w:r>
      <w:r w:rsidR="00462739">
        <w:t xml:space="preserve"> are embedded</w:t>
      </w:r>
      <w:r w:rsidR="005C2607" w:rsidRPr="00674EDF">
        <w:t xml:space="preserve"> in the design and deliver</w:t>
      </w:r>
      <w:r w:rsidR="005C2607">
        <w:t>y</w:t>
      </w:r>
      <w:r w:rsidR="005C2607" w:rsidRPr="00674EDF">
        <w:t xml:space="preserve"> of reforms, with opportunities for community to</w:t>
      </w:r>
      <w:r w:rsidR="005A72EA">
        <w:t xml:space="preserve"> participate in and</w:t>
      </w:r>
      <w:r w:rsidR="005C2607" w:rsidRPr="00674EDF">
        <w:t xml:space="preserve"> lead the</w:t>
      </w:r>
      <w:r w:rsidR="005A72EA">
        <w:t>se</w:t>
      </w:r>
      <w:r w:rsidR="005C2607" w:rsidRPr="00674EDF">
        <w:t xml:space="preserve"> change</w:t>
      </w:r>
      <w:r w:rsidR="004C5A49">
        <w:t>s</w:t>
      </w:r>
      <w:r w:rsidR="005C2607" w:rsidRPr="00674EDF">
        <w:t>.</w:t>
      </w:r>
    </w:p>
    <w:p w14:paraId="7CE19E11" w14:textId="2989344B" w:rsidR="005C2607" w:rsidRDefault="005C2607" w:rsidP="002975C9">
      <w:pPr>
        <w:pStyle w:val="Body"/>
      </w:pPr>
      <w:r>
        <w:t xml:space="preserve">We will develop an outcomes framework to measure the impact the strategy is having on </w:t>
      </w:r>
      <w:r w:rsidR="00A91AF4">
        <w:t>LGBTIQA+</w:t>
      </w:r>
      <w:r>
        <w:t xml:space="preserve"> Victorians, tapping into existing government outcomes measures and building new data points that reflect </w:t>
      </w:r>
      <w:r w:rsidR="00A91AF4">
        <w:t>LGBTIQA+</w:t>
      </w:r>
      <w:r>
        <w:t xml:space="preserve"> outcomes.</w:t>
      </w:r>
    </w:p>
    <w:p w14:paraId="76C145FD" w14:textId="3907FBCC" w:rsidR="00B028C3" w:rsidRPr="00095CFE" w:rsidRDefault="005C2607" w:rsidP="002975C9">
      <w:pPr>
        <w:pStyle w:val="Body"/>
      </w:pPr>
      <w:r>
        <w:t xml:space="preserve">Finally, we will report back to all Victorians each year across the strategy’s 10-year lifetime and develop a dedicated </w:t>
      </w:r>
      <w:r w:rsidR="00A91AF4">
        <w:t>LGBTIQA+</w:t>
      </w:r>
      <w:r>
        <w:t xml:space="preserve"> strategy webpage to keep the community updated on our progress.</w:t>
      </w:r>
    </w:p>
    <w:p w14:paraId="694BCAE4" w14:textId="7D98EEF9" w:rsidR="007D3870" w:rsidRDefault="007D3870" w:rsidP="007D3870">
      <w:pPr>
        <w:pStyle w:val="Heading1"/>
        <w:rPr>
          <w:rFonts w:eastAsia="Times"/>
        </w:rPr>
      </w:pPr>
      <w:bookmarkStart w:id="4" w:name="_Toc94870711"/>
      <w:r>
        <w:rPr>
          <w:rFonts w:eastAsia="Times"/>
        </w:rPr>
        <w:t>Framework for change</w:t>
      </w:r>
      <w:bookmarkEnd w:id="2"/>
      <w:bookmarkEnd w:id="3"/>
      <w:bookmarkEnd w:id="4"/>
    </w:p>
    <w:p w14:paraId="03CA786F" w14:textId="201E90E5" w:rsidR="005E5B72" w:rsidRDefault="008B7386" w:rsidP="005E5B72">
      <w:pPr>
        <w:pStyle w:val="Body"/>
        <w:rPr>
          <w:b/>
        </w:rPr>
      </w:pPr>
      <w:r>
        <w:t xml:space="preserve">Although the Victorian Government holds many of the levers to drive </w:t>
      </w:r>
      <w:r w:rsidR="00A91AF4">
        <w:t>LGBTIQA+</w:t>
      </w:r>
      <w:r>
        <w:t xml:space="preserve"> equality in Victoria, we all have a part to play.</w:t>
      </w:r>
      <w:r w:rsidR="00B9470E">
        <w:t xml:space="preserve"> </w:t>
      </w:r>
      <w:r w:rsidR="008C3DFE">
        <w:t xml:space="preserve">The </w:t>
      </w:r>
      <w:r w:rsidR="00A91AF4">
        <w:t>LGBTIQA+</w:t>
      </w:r>
      <w:r w:rsidR="008C3DFE">
        <w:t xml:space="preserve"> strategy pro</w:t>
      </w:r>
      <w:r w:rsidR="00F7420B">
        <w:t>vi</w:t>
      </w:r>
      <w:r w:rsidR="008C3DFE">
        <w:t>des the vision and pathway to drive the long-term and systemic change we need.</w:t>
      </w:r>
    </w:p>
    <w:p w14:paraId="53AB4F9B" w14:textId="7292C633" w:rsidR="0046106E" w:rsidRPr="00870FA9" w:rsidRDefault="0046106E" w:rsidP="00DE5F30">
      <w:pPr>
        <w:pStyle w:val="Heading2"/>
      </w:pPr>
      <w:bookmarkStart w:id="5" w:name="_Toc94870712"/>
      <w:r w:rsidRPr="00870FA9">
        <w:t>Vision</w:t>
      </w:r>
      <w:bookmarkEnd w:id="5"/>
      <w:r w:rsidRPr="00870FA9">
        <w:t xml:space="preserve"> </w:t>
      </w:r>
    </w:p>
    <w:p w14:paraId="6E19C5A6" w14:textId="77777777" w:rsidR="0046106E" w:rsidRPr="00870FA9" w:rsidRDefault="0046106E" w:rsidP="00DB5B2B">
      <w:pPr>
        <w:pStyle w:val="Body"/>
      </w:pPr>
      <w:r w:rsidRPr="00870FA9">
        <w:t>All Victorians feel safe, are healthy, have equal human rights and can live wholly and freely.</w:t>
      </w:r>
    </w:p>
    <w:p w14:paraId="6DC05110" w14:textId="317D6F20" w:rsidR="0046106E" w:rsidRPr="00870FA9" w:rsidRDefault="00A91AF4" w:rsidP="00DB5B2B">
      <w:pPr>
        <w:pStyle w:val="Body"/>
      </w:pPr>
      <w:r>
        <w:t>LGBTIQA+</w:t>
      </w:r>
      <w:r w:rsidR="0046106E" w:rsidRPr="00870FA9">
        <w:t xml:space="preserve"> Victorians experience the benefits of full participation in economic, educational, political, community and social areas at all stages of life.</w:t>
      </w:r>
    </w:p>
    <w:p w14:paraId="7AC72AAB" w14:textId="55B42791" w:rsidR="0046106E" w:rsidRDefault="0046106E" w:rsidP="00DB5B2B">
      <w:pPr>
        <w:pStyle w:val="Body"/>
      </w:pPr>
      <w:r w:rsidRPr="00870FA9">
        <w:t xml:space="preserve">Victoria leads the way in </w:t>
      </w:r>
      <w:r w:rsidR="00A91AF4">
        <w:t>LGBTIQA+</w:t>
      </w:r>
      <w:r w:rsidRPr="00870FA9">
        <w:t xml:space="preserve"> equality, celebrating culture, community and taking sustained, enduring and measurable action.</w:t>
      </w:r>
    </w:p>
    <w:p w14:paraId="04A4E79E" w14:textId="219727D8" w:rsidR="00FE5A18" w:rsidRPr="00BD1367" w:rsidRDefault="00FE5A18" w:rsidP="00DE5F30">
      <w:pPr>
        <w:pStyle w:val="Heading2"/>
      </w:pPr>
      <w:bookmarkStart w:id="6" w:name="_Toc94870713"/>
      <w:r w:rsidRPr="00BD1367">
        <w:t>Priority areas</w:t>
      </w:r>
      <w:bookmarkEnd w:id="6"/>
    </w:p>
    <w:p w14:paraId="6FCE39BB" w14:textId="61BF1683" w:rsidR="001F750B" w:rsidRDefault="004617F2" w:rsidP="00197006">
      <w:pPr>
        <w:pStyle w:val="Body"/>
      </w:pPr>
      <w:r>
        <w:t>T</w:t>
      </w:r>
      <w:r w:rsidR="00782B99">
        <w:t>he actions we commit to in th</w:t>
      </w:r>
      <w:r>
        <w:t>is</w:t>
      </w:r>
      <w:r w:rsidR="00782B99">
        <w:t xml:space="preserve"> </w:t>
      </w:r>
      <w:r>
        <w:t>strategy are organised around</w:t>
      </w:r>
      <w:r w:rsidR="00134FFE">
        <w:t xml:space="preserve"> four priority areas</w:t>
      </w:r>
      <w:r w:rsidR="00677AC4">
        <w:t>:</w:t>
      </w:r>
      <w:r w:rsidR="00782B99">
        <w:t xml:space="preserve"> </w:t>
      </w:r>
    </w:p>
    <w:p w14:paraId="1BDACDB5" w14:textId="4D4346F7" w:rsidR="001F750B" w:rsidRDefault="00FE5A18" w:rsidP="001F750B">
      <w:pPr>
        <w:pStyle w:val="Numberdigit"/>
      </w:pPr>
      <w:r>
        <w:t xml:space="preserve">Priority area 1 </w:t>
      </w:r>
      <w:r w:rsidR="00D00A0D">
        <w:t>–</w:t>
      </w:r>
      <w:r>
        <w:t xml:space="preserve"> </w:t>
      </w:r>
      <w:r w:rsidR="004617F2">
        <w:t>e</w:t>
      </w:r>
      <w:r w:rsidR="001F750B">
        <w:t>qual rights and freedoms</w:t>
      </w:r>
    </w:p>
    <w:p w14:paraId="09804265" w14:textId="290641E8" w:rsidR="001F750B" w:rsidRDefault="00FE5A18" w:rsidP="001F750B">
      <w:pPr>
        <w:pStyle w:val="Numberdigit"/>
      </w:pPr>
      <w:r>
        <w:t xml:space="preserve">Priority area 2 </w:t>
      </w:r>
      <w:r w:rsidR="00D00A0D">
        <w:t>–</w:t>
      </w:r>
      <w:r>
        <w:t xml:space="preserve"> </w:t>
      </w:r>
      <w:r w:rsidR="004617F2">
        <w:t>e</w:t>
      </w:r>
      <w:r w:rsidR="001F750B">
        <w:t>quitable, inclusive and accessible services</w:t>
      </w:r>
    </w:p>
    <w:p w14:paraId="165D5047" w14:textId="701B2264" w:rsidR="001F750B" w:rsidRDefault="00FE5A18" w:rsidP="001F750B">
      <w:pPr>
        <w:pStyle w:val="Numberdigit"/>
      </w:pPr>
      <w:r>
        <w:t xml:space="preserve">Priority area 3 </w:t>
      </w:r>
      <w:r w:rsidR="00D00A0D">
        <w:t>–</w:t>
      </w:r>
      <w:r>
        <w:t xml:space="preserve"> </w:t>
      </w:r>
      <w:r w:rsidR="004617F2">
        <w:t>v</w:t>
      </w:r>
      <w:r w:rsidR="001F750B">
        <w:t>isibility to inform decision making</w:t>
      </w:r>
    </w:p>
    <w:p w14:paraId="4ED7DCFD" w14:textId="5C03509C" w:rsidR="001F750B" w:rsidRDefault="00FE5A18" w:rsidP="001F750B">
      <w:pPr>
        <w:pStyle w:val="Numberdigit"/>
      </w:pPr>
      <w:r>
        <w:t xml:space="preserve">Priority area 4 </w:t>
      </w:r>
      <w:r w:rsidR="00D00A0D">
        <w:t>–</w:t>
      </w:r>
      <w:r>
        <w:t xml:space="preserve"> </w:t>
      </w:r>
      <w:r w:rsidR="004617F2">
        <w:t>s</w:t>
      </w:r>
      <w:r w:rsidR="001F750B">
        <w:t>afe, strong and sustainable communities.</w:t>
      </w:r>
    </w:p>
    <w:p w14:paraId="61212BE5" w14:textId="60570CF0" w:rsidR="00FE5A18" w:rsidRPr="00BD1367" w:rsidRDefault="00FE5A18" w:rsidP="00DE5F30">
      <w:pPr>
        <w:pStyle w:val="Heading2"/>
      </w:pPr>
      <w:bookmarkStart w:id="7" w:name="_Toc94870714"/>
      <w:r w:rsidRPr="00BD1367">
        <w:t>Victorian Government actions</w:t>
      </w:r>
      <w:bookmarkEnd w:id="7"/>
    </w:p>
    <w:p w14:paraId="00B74CE3" w14:textId="7DF71056" w:rsidR="00A47F35" w:rsidRDefault="00A47F35" w:rsidP="00BB4700">
      <w:pPr>
        <w:pStyle w:val="Body"/>
      </w:pPr>
      <w:r>
        <w:t xml:space="preserve">The actions taken as part of the strategy aim to drive a range of intermediate and long-term outcomes to improve the lives of </w:t>
      </w:r>
      <w:r w:rsidR="00A91AF4">
        <w:t>LGBTIQA+</w:t>
      </w:r>
      <w:r>
        <w:t xml:space="preserve"> Victorians.</w:t>
      </w:r>
    </w:p>
    <w:p w14:paraId="1CC216E3" w14:textId="07C6BC64" w:rsidR="00F862DD" w:rsidRDefault="00A30669" w:rsidP="00DE5F30">
      <w:pPr>
        <w:pStyle w:val="Heading2"/>
      </w:pPr>
      <w:bookmarkStart w:id="8" w:name="_Toc94870715"/>
      <w:r w:rsidRPr="00A30669">
        <w:rPr>
          <w:bCs/>
        </w:rPr>
        <w:t>The Victorian</w:t>
      </w:r>
      <w:r w:rsidR="00F862DD" w:rsidRPr="00A30669">
        <w:t xml:space="preserve"> </w:t>
      </w:r>
      <w:r w:rsidR="00A91AF4">
        <w:t>LGBTIQA+</w:t>
      </w:r>
      <w:r w:rsidR="00F862DD" w:rsidRPr="00A30669">
        <w:t xml:space="preserve"> ecosystem</w:t>
      </w:r>
      <w:bookmarkEnd w:id="8"/>
    </w:p>
    <w:p w14:paraId="6A591A0E" w14:textId="06C5D694" w:rsidR="00F862DD" w:rsidRDefault="003B225F" w:rsidP="00F862DD">
      <w:pPr>
        <w:pStyle w:val="Body"/>
      </w:pPr>
      <w:r>
        <w:t>The actions we take</w:t>
      </w:r>
      <w:r w:rsidR="00F862DD">
        <w:t xml:space="preserve"> as the Victorian Government </w:t>
      </w:r>
      <w:r>
        <w:t>are</w:t>
      </w:r>
      <w:r w:rsidR="00F862DD">
        <w:t xml:space="preserve"> only one part of the ecosystem that affects </w:t>
      </w:r>
      <w:r w:rsidR="00A91AF4">
        <w:t>LGBTIQA+</w:t>
      </w:r>
      <w:r w:rsidR="002B5F32">
        <w:t xml:space="preserve"> people’s lives</w:t>
      </w:r>
      <w:r w:rsidR="00F862DD">
        <w:t xml:space="preserve">. This ecosystem includes: </w:t>
      </w:r>
    </w:p>
    <w:p w14:paraId="5943C0A5" w14:textId="2D0AEFC0" w:rsidR="00F862DD" w:rsidRDefault="00A91AF4" w:rsidP="00355FA8">
      <w:pPr>
        <w:pStyle w:val="Bullet1"/>
      </w:pPr>
      <w:r>
        <w:t>LGBTIQA+</w:t>
      </w:r>
      <w:r w:rsidR="00F862DD">
        <w:t xml:space="preserve"> communities</w:t>
      </w:r>
    </w:p>
    <w:p w14:paraId="67898CA9" w14:textId="66696D99" w:rsidR="00F862DD" w:rsidRDefault="00A91AF4" w:rsidP="00355FA8">
      <w:pPr>
        <w:pStyle w:val="Bullet1"/>
      </w:pPr>
      <w:r>
        <w:t>LGBTIQA+</w:t>
      </w:r>
      <w:r w:rsidR="00F862DD">
        <w:t xml:space="preserve"> organisations and their projects</w:t>
      </w:r>
    </w:p>
    <w:p w14:paraId="58D853A7" w14:textId="77777777" w:rsidR="00F862DD" w:rsidRDefault="00F862DD" w:rsidP="00355FA8">
      <w:pPr>
        <w:pStyle w:val="Bullet1"/>
      </w:pPr>
      <w:r>
        <w:t>government and non-government organisations</w:t>
      </w:r>
    </w:p>
    <w:p w14:paraId="70F15317" w14:textId="7D92FD41" w:rsidR="00F862DD" w:rsidRDefault="00F862DD" w:rsidP="00355FA8">
      <w:pPr>
        <w:pStyle w:val="Bullet1"/>
      </w:pPr>
      <w:r>
        <w:t>the broader Victorian population.</w:t>
      </w:r>
    </w:p>
    <w:p w14:paraId="06D5F12A" w14:textId="1233CE70" w:rsidR="00446C04" w:rsidRDefault="00446C04" w:rsidP="00DE5F30">
      <w:pPr>
        <w:pStyle w:val="Heading1"/>
      </w:pPr>
      <w:bookmarkStart w:id="9" w:name="_Toc77747920"/>
      <w:bookmarkStart w:id="10" w:name="_Toc92879938"/>
      <w:bookmarkStart w:id="11" w:name="_Toc92895332"/>
      <w:bookmarkStart w:id="12" w:name="_Toc94870716"/>
      <w:r>
        <w:t xml:space="preserve">Priority area 1: </w:t>
      </w:r>
      <w:bookmarkStart w:id="13" w:name="_Hlk77758772"/>
      <w:r>
        <w:t>Equal rights and freedoms</w:t>
      </w:r>
      <w:bookmarkEnd w:id="9"/>
      <w:bookmarkEnd w:id="10"/>
      <w:bookmarkEnd w:id="11"/>
      <w:bookmarkEnd w:id="12"/>
      <w:bookmarkEnd w:id="13"/>
    </w:p>
    <w:p w14:paraId="7F5B69D1" w14:textId="58DD15C8" w:rsidR="009C022C" w:rsidRDefault="001036C9" w:rsidP="006727C8">
      <w:pPr>
        <w:pStyle w:val="Body"/>
        <w:rPr>
          <w:b/>
          <w:bCs/>
        </w:rPr>
      </w:pPr>
      <w:r w:rsidRPr="00D0354E">
        <w:rPr>
          <w:b/>
        </w:rPr>
        <w:t xml:space="preserve">Strengthening existing legal protections for </w:t>
      </w:r>
      <w:r w:rsidR="00A91AF4">
        <w:rPr>
          <w:b/>
        </w:rPr>
        <w:t>LGBTIQA+</w:t>
      </w:r>
      <w:r w:rsidRPr="00D0354E">
        <w:rPr>
          <w:b/>
        </w:rPr>
        <w:t xml:space="preserve"> Victorians and ensuring we create laws with an equity lens will benefit all community members. </w:t>
      </w:r>
    </w:p>
    <w:p w14:paraId="484DF782" w14:textId="578D02F2" w:rsidR="008D4DF8" w:rsidRDefault="009F4894" w:rsidP="006727C8">
      <w:pPr>
        <w:pStyle w:val="Body"/>
      </w:pPr>
      <w:r>
        <w:t xml:space="preserve">Not having equal rights or not making laws that ensure equal rights means </w:t>
      </w:r>
      <w:r w:rsidR="00A91AF4">
        <w:t>LGBTIQA+</w:t>
      </w:r>
      <w:r>
        <w:t xml:space="preserve"> people can’t live with confidence that they get the same protections and opportunities as other people. </w:t>
      </w:r>
      <w:r w:rsidR="00A5769B">
        <w:t xml:space="preserve">For many in the </w:t>
      </w:r>
      <w:r w:rsidR="00A91AF4">
        <w:t>LGBTIQA+</w:t>
      </w:r>
      <w:r w:rsidR="00A5769B">
        <w:t xml:space="preserve"> community, Victorian laws and legal institutions continue to be sources of trauma. This might be due to past wrongdoings, present inequalities or through a lack of recognition and inclusion.</w:t>
      </w:r>
    </w:p>
    <w:p w14:paraId="1E03F34E" w14:textId="3B0F576E" w:rsidR="006727C8" w:rsidRDefault="00B12C34" w:rsidP="00095CFE">
      <w:pPr>
        <w:pStyle w:val="Body"/>
      </w:pPr>
      <w:r>
        <w:t>W</w:t>
      </w:r>
      <w:r w:rsidR="008A42E6">
        <w:t xml:space="preserve">e will look at relevant laws where previous policy decisions or unintended consequences have meant that </w:t>
      </w:r>
      <w:r w:rsidR="00A91AF4">
        <w:t>LGBTIQA+</w:t>
      </w:r>
      <w:r w:rsidR="008A42E6">
        <w:t xml:space="preserve"> people have not received fair treatment.</w:t>
      </w:r>
      <w:r w:rsidR="00FB0AEA">
        <w:t xml:space="preserve"> </w:t>
      </w:r>
      <w:r w:rsidR="00B63F14">
        <w:t xml:space="preserve">We will also ensure new laws </w:t>
      </w:r>
      <w:r w:rsidR="007B29B5">
        <w:t xml:space="preserve">are responsive to </w:t>
      </w:r>
      <w:r w:rsidR="00A91AF4">
        <w:t>LGBTIQA+</w:t>
      </w:r>
      <w:r w:rsidR="00B63F14">
        <w:t xml:space="preserve"> experiences and potential impacts on </w:t>
      </w:r>
      <w:r w:rsidR="00A91AF4">
        <w:t>LGBTIQA+</w:t>
      </w:r>
      <w:r w:rsidR="00B63F14">
        <w:t xml:space="preserve"> communities.</w:t>
      </w:r>
    </w:p>
    <w:p w14:paraId="57D7E949" w14:textId="537C9ED2" w:rsidR="000E1E7F" w:rsidRDefault="000E1E7F" w:rsidP="000E1E7F">
      <w:pPr>
        <w:pStyle w:val="Heading2"/>
      </w:pPr>
      <w:bookmarkStart w:id="14" w:name="_Toc94870717"/>
      <w:r w:rsidRPr="002D31EA">
        <w:t>Actions we will deliver</w:t>
      </w:r>
      <w:r w:rsidR="00EC3684">
        <w:t xml:space="preserve"> </w:t>
      </w:r>
      <w:r w:rsidR="00806A72">
        <w:t xml:space="preserve">under priority </w:t>
      </w:r>
      <w:r w:rsidR="00EC3684" w:rsidRPr="00EC3684">
        <w:t>area 1</w:t>
      </w:r>
      <w:bookmarkEnd w:id="14"/>
    </w:p>
    <w:p w14:paraId="270302A5" w14:textId="77777777" w:rsidR="000E1E7F" w:rsidRDefault="000E1E7F" w:rsidP="000E1E7F">
      <w:pPr>
        <w:pStyle w:val="Body"/>
        <w:rPr>
          <w:i/>
          <w:iCs/>
        </w:rPr>
      </w:pPr>
      <w:r>
        <w:t xml:space="preserve">Deliver on the Government’s commitment to narrow religious exceptions under the </w:t>
      </w:r>
      <w:r w:rsidRPr="002975C9">
        <w:rPr>
          <w:b/>
          <w:bCs/>
        </w:rPr>
        <w:t>Equal Opportunity Act 2010</w:t>
      </w:r>
    </w:p>
    <w:p w14:paraId="39893667" w14:textId="698707DA" w:rsidR="000E1E7F" w:rsidRDefault="000E1E7F" w:rsidP="000E1E7F">
      <w:pPr>
        <w:pStyle w:val="Body"/>
      </w:pPr>
      <w:r>
        <w:t xml:space="preserve">Reform anti-vilification laws to respond to the needs of </w:t>
      </w:r>
      <w:r w:rsidR="00A91AF4">
        <w:t>LGBTIQA+</w:t>
      </w:r>
      <w:r>
        <w:t xml:space="preserve"> Victorians</w:t>
      </w:r>
    </w:p>
    <w:p w14:paraId="5FF8EBAD" w14:textId="77777777" w:rsidR="000E1E7F" w:rsidRDefault="000E1E7F" w:rsidP="000E1E7F">
      <w:pPr>
        <w:pStyle w:val="Body"/>
      </w:pPr>
      <w:r>
        <w:t xml:space="preserve">Implement the </w:t>
      </w:r>
      <w:r w:rsidRPr="002975C9">
        <w:rPr>
          <w:b/>
          <w:bCs/>
          <w:iCs/>
        </w:rPr>
        <w:t>Change or Suppression (Conversion) Practices Prohibition Act 2021</w:t>
      </w:r>
    </w:p>
    <w:p w14:paraId="33AA328C" w14:textId="02ACE21D" w:rsidR="000E1E7F" w:rsidRDefault="000E1E7F" w:rsidP="000E1E7F">
      <w:pPr>
        <w:pStyle w:val="Body"/>
      </w:pPr>
      <w:r>
        <w:t xml:space="preserve">Support </w:t>
      </w:r>
      <w:r w:rsidRPr="005050BC">
        <w:t xml:space="preserve">specialist legal services </w:t>
      </w:r>
      <w:r>
        <w:t xml:space="preserve">for </w:t>
      </w:r>
      <w:r w:rsidR="00A91AF4">
        <w:t>LGBTIQA+</w:t>
      </w:r>
      <w:r w:rsidRPr="005050BC">
        <w:t xml:space="preserve"> Victorians who experience discr</w:t>
      </w:r>
      <w:r>
        <w:t>i</w:t>
      </w:r>
      <w:r w:rsidRPr="005050BC">
        <w:t>mination and disadvantage associated with their sexuality or gender identity</w:t>
      </w:r>
    </w:p>
    <w:p w14:paraId="7553C24D" w14:textId="26EDB014" w:rsidR="000E1E7F" w:rsidRDefault="000E1E7F" w:rsidP="000E1E7F">
      <w:pPr>
        <w:pStyle w:val="Body"/>
      </w:pPr>
      <w:r w:rsidRPr="006F6FE6">
        <w:t>De</w:t>
      </w:r>
      <w:r>
        <w:t xml:space="preserve">velop and deliver </w:t>
      </w:r>
      <w:r w:rsidRPr="006F6FE6">
        <w:t xml:space="preserve">the </w:t>
      </w:r>
      <w:r w:rsidR="00A91AF4">
        <w:rPr>
          <w:b/>
          <w:bCs/>
        </w:rPr>
        <w:t>LGBTIQA+</w:t>
      </w:r>
      <w:r w:rsidRPr="002975C9">
        <w:rPr>
          <w:b/>
          <w:bCs/>
        </w:rPr>
        <w:t xml:space="preserve"> </w:t>
      </w:r>
      <w:r w:rsidR="002975C9">
        <w:rPr>
          <w:b/>
          <w:bCs/>
        </w:rPr>
        <w:t>j</w:t>
      </w:r>
      <w:r w:rsidRPr="002975C9">
        <w:rPr>
          <w:b/>
          <w:bCs/>
        </w:rPr>
        <w:t xml:space="preserve">ustice </w:t>
      </w:r>
      <w:r w:rsidR="002975C9">
        <w:rPr>
          <w:b/>
          <w:bCs/>
        </w:rPr>
        <w:t>a</w:t>
      </w:r>
      <w:r w:rsidRPr="002975C9">
        <w:rPr>
          <w:b/>
          <w:bCs/>
        </w:rPr>
        <w:t xml:space="preserve">ction </w:t>
      </w:r>
      <w:r w:rsidR="002975C9">
        <w:rPr>
          <w:b/>
          <w:bCs/>
        </w:rPr>
        <w:t>p</w:t>
      </w:r>
      <w:r w:rsidRPr="002975C9">
        <w:rPr>
          <w:b/>
          <w:bCs/>
        </w:rPr>
        <w:t>lan</w:t>
      </w:r>
      <w:r>
        <w:t xml:space="preserve"> to improve outcomes for </w:t>
      </w:r>
      <w:r w:rsidR="00A91AF4">
        <w:t>LGBTIQA+</w:t>
      </w:r>
      <w:r>
        <w:t xml:space="preserve"> Victorians</w:t>
      </w:r>
    </w:p>
    <w:p w14:paraId="02130397" w14:textId="729934E8" w:rsidR="000E1E7F" w:rsidRDefault="000E1E7F" w:rsidP="000E1E7F">
      <w:pPr>
        <w:pStyle w:val="Body"/>
      </w:pPr>
      <w:r>
        <w:t xml:space="preserve">Deliver improved police responses to </w:t>
      </w:r>
      <w:r w:rsidR="00A91AF4">
        <w:t>LGBTIQA+</w:t>
      </w:r>
      <w:r>
        <w:t xml:space="preserve"> communities, including implementing the Victorian Police </w:t>
      </w:r>
      <w:r w:rsidR="00A91AF4">
        <w:rPr>
          <w:b/>
          <w:bCs/>
        </w:rPr>
        <w:t>LGBTIQA+</w:t>
      </w:r>
      <w:r w:rsidRPr="002975C9">
        <w:rPr>
          <w:b/>
          <w:bCs/>
        </w:rPr>
        <w:t xml:space="preserve"> </w:t>
      </w:r>
      <w:r w:rsidR="002975C9">
        <w:rPr>
          <w:b/>
          <w:bCs/>
        </w:rPr>
        <w:t>i</w:t>
      </w:r>
      <w:r w:rsidRPr="002975C9">
        <w:rPr>
          <w:b/>
          <w:bCs/>
        </w:rPr>
        <w:t xml:space="preserve">nclusion </w:t>
      </w:r>
      <w:r w:rsidR="002975C9">
        <w:rPr>
          <w:b/>
          <w:bCs/>
        </w:rPr>
        <w:t>s</w:t>
      </w:r>
      <w:r w:rsidRPr="002975C9">
        <w:rPr>
          <w:b/>
          <w:bCs/>
        </w:rPr>
        <w:t xml:space="preserve">trategy and </w:t>
      </w:r>
      <w:r w:rsidR="002975C9">
        <w:rPr>
          <w:b/>
          <w:bCs/>
        </w:rPr>
        <w:t>a</w:t>
      </w:r>
      <w:r w:rsidRPr="002975C9">
        <w:rPr>
          <w:b/>
          <w:bCs/>
        </w:rPr>
        <w:t xml:space="preserve">ction </w:t>
      </w:r>
      <w:r w:rsidR="002975C9">
        <w:rPr>
          <w:b/>
          <w:bCs/>
        </w:rPr>
        <w:t>p</w:t>
      </w:r>
      <w:r w:rsidRPr="002975C9">
        <w:rPr>
          <w:b/>
          <w:bCs/>
        </w:rPr>
        <w:t>lan</w:t>
      </w:r>
      <w:r>
        <w:t xml:space="preserve"> and providing access to </w:t>
      </w:r>
      <w:r w:rsidR="00A91AF4">
        <w:t>LGBTIQA+</w:t>
      </w:r>
      <w:r>
        <w:t xml:space="preserve"> awareness and sensitivity training for Victoria Police staff</w:t>
      </w:r>
    </w:p>
    <w:p w14:paraId="1D014841" w14:textId="135F2EA1" w:rsidR="000E1E7F" w:rsidRDefault="000E1E7F" w:rsidP="000E1E7F">
      <w:pPr>
        <w:pStyle w:val="Heading2"/>
      </w:pPr>
      <w:bookmarkStart w:id="15" w:name="_Toc94870718"/>
      <w:r w:rsidRPr="00885748">
        <w:t>Signs of impact</w:t>
      </w:r>
      <w:r w:rsidR="00EC3684">
        <w:t xml:space="preserve"> </w:t>
      </w:r>
      <w:r w:rsidR="00806A72">
        <w:t>under</w:t>
      </w:r>
      <w:r w:rsidR="00EC3684">
        <w:t xml:space="preserve"> </w:t>
      </w:r>
      <w:r w:rsidR="00EC3684" w:rsidRPr="00EC3684">
        <w:t>priority area 1</w:t>
      </w:r>
      <w:bookmarkEnd w:id="15"/>
    </w:p>
    <w:p w14:paraId="72DEAC62" w14:textId="466E9FE7" w:rsidR="000E1E7F" w:rsidRDefault="000E1E7F" w:rsidP="000E1E7F">
      <w:pPr>
        <w:pStyle w:val="Body"/>
      </w:pPr>
      <w:r>
        <w:t xml:space="preserve">To know we are on the right track to achieving equal rights and freedoms for </w:t>
      </w:r>
      <w:r w:rsidR="00A91AF4">
        <w:t>LGBTIQA+</w:t>
      </w:r>
      <w:r>
        <w:t xml:space="preserve"> Victorians, this priority area will see actions that support </w:t>
      </w:r>
      <w:r w:rsidR="00A91AF4">
        <w:t>LGBTIQA+</w:t>
      </w:r>
      <w:r>
        <w:t xml:space="preserve"> communities to feel safe in their everyday lives. </w:t>
      </w:r>
    </w:p>
    <w:p w14:paraId="380639F8" w14:textId="2BD7C999" w:rsidR="000E1E7F" w:rsidRDefault="00A91AF4" w:rsidP="000E1E7F">
      <w:pPr>
        <w:pStyle w:val="Body"/>
      </w:pPr>
      <w:r>
        <w:t>LGBTIQA+</w:t>
      </w:r>
      <w:r w:rsidR="000E1E7F">
        <w:t xml:space="preserve"> Victorians will know and understand their rights and have safe avenues to resolve issues when they arise. </w:t>
      </w:r>
      <w:r>
        <w:t>LGBTIQA+</w:t>
      </w:r>
      <w:r w:rsidR="000E1E7F">
        <w:t xml:space="preserve"> Victorians will have autonomy over their bodies and the law will reflect and protect their gender and sexuality. </w:t>
      </w:r>
      <w:r w:rsidR="000E1E7F" w:rsidRPr="00612397">
        <w:t xml:space="preserve">By achieving these things, we can </w:t>
      </w:r>
      <w:r w:rsidR="000E1E7F">
        <w:t>help drive</w:t>
      </w:r>
      <w:r w:rsidR="000E1E7F" w:rsidRPr="00612397">
        <w:t xml:space="preserve"> down </w:t>
      </w:r>
      <w:r>
        <w:t>LGBTIQA+</w:t>
      </w:r>
      <w:r w:rsidR="000E1E7F" w:rsidRPr="00612397">
        <w:t xml:space="preserve"> experiences of discrimination from 34.2 per cent</w:t>
      </w:r>
      <w:r w:rsidR="000E1E7F" w:rsidRPr="00271751">
        <w:t>.</w:t>
      </w:r>
      <w:r w:rsidR="000E1E7F" w:rsidRPr="00612397">
        <w:rPr>
          <w:rStyle w:val="FootnoteReference"/>
        </w:rPr>
        <w:footnoteReference w:id="3"/>
      </w:r>
      <w:r w:rsidR="000E1E7F" w:rsidRPr="00271751">
        <w:t xml:space="preserve"> This statisti</w:t>
      </w:r>
      <w:r w:rsidR="000E1E7F" w:rsidRPr="005A18EB">
        <w:t xml:space="preserve">c compares </w:t>
      </w:r>
      <w:r w:rsidR="000E1E7F">
        <w:t>with</w:t>
      </w:r>
      <w:r w:rsidR="000E1E7F" w:rsidRPr="005A18EB">
        <w:t xml:space="preserve"> 15.6 per cent of the </w:t>
      </w:r>
      <w:r w:rsidR="000E1E7F">
        <w:t>general Victorian population</w:t>
      </w:r>
      <w:r w:rsidR="002975C9">
        <w:t>.</w:t>
      </w:r>
      <w:r w:rsidR="000E1E7F">
        <w:rPr>
          <w:rStyle w:val="FootnoteReference"/>
        </w:rPr>
        <w:footnoteReference w:id="4"/>
      </w:r>
    </w:p>
    <w:p w14:paraId="7576DCFF" w14:textId="6DFD03B8" w:rsidR="00446C04" w:rsidRDefault="00446C04" w:rsidP="00DE5F30">
      <w:pPr>
        <w:pStyle w:val="Heading1"/>
      </w:pPr>
      <w:bookmarkStart w:id="16" w:name="_Toc77747927"/>
      <w:bookmarkStart w:id="17" w:name="_Toc92879939"/>
      <w:bookmarkStart w:id="18" w:name="_Toc92895333"/>
      <w:bookmarkStart w:id="19" w:name="_Toc94870719"/>
      <w:r>
        <w:t xml:space="preserve">Priority area 2: </w:t>
      </w:r>
      <w:bookmarkStart w:id="20" w:name="_Hlk77758782"/>
      <w:r>
        <w:t>Equitable, inclusive and accessible services</w:t>
      </w:r>
      <w:bookmarkEnd w:id="16"/>
      <w:bookmarkEnd w:id="17"/>
      <w:bookmarkEnd w:id="18"/>
      <w:bookmarkEnd w:id="19"/>
      <w:bookmarkEnd w:id="20"/>
    </w:p>
    <w:p w14:paraId="1C50B1A9" w14:textId="55143152" w:rsidR="00BF09E5" w:rsidRDefault="001036C9" w:rsidP="001036C9">
      <w:pPr>
        <w:pStyle w:val="Body"/>
        <w:rPr>
          <w:b/>
          <w:bCs/>
        </w:rPr>
      </w:pPr>
      <w:r w:rsidRPr="00D0354E">
        <w:rPr>
          <w:b/>
        </w:rPr>
        <w:t>Services should be approachable, welcoming, safe and inclusive for all Victorians throughout their journey and when moving between services.</w:t>
      </w:r>
    </w:p>
    <w:p w14:paraId="4477206D" w14:textId="621A513B" w:rsidR="00BF09E5" w:rsidRPr="00D0354E" w:rsidRDefault="0096717E" w:rsidP="00BF09E5">
      <w:pPr>
        <w:pStyle w:val="Body"/>
      </w:pPr>
      <w:r>
        <w:t xml:space="preserve">Like all Victorians, </w:t>
      </w:r>
      <w:r w:rsidR="00A91AF4">
        <w:t>LGBTIQA+</w:t>
      </w:r>
      <w:r>
        <w:t xml:space="preserve"> Victorians use a range of Victorian Government services. </w:t>
      </w:r>
      <w:r w:rsidR="00A91AF4">
        <w:t>LGBTIQA+</w:t>
      </w:r>
      <w:r w:rsidR="00BF09E5" w:rsidRPr="00D0354E">
        <w:t xml:space="preserve"> people must be able to access the services that meet their needs. Their experience through Victorian Government services should result in improved life outcomes.</w:t>
      </w:r>
    </w:p>
    <w:p w14:paraId="6A2BCD8E" w14:textId="11B1A732" w:rsidR="00071F52" w:rsidRDefault="00F26525" w:rsidP="00095CFE">
      <w:pPr>
        <w:pStyle w:val="Body"/>
      </w:pPr>
      <w:r>
        <w:t xml:space="preserve">We must remove barriers to access, including anticipated discrimination, and improve inclusiveness across all sectors and in all areas of government service delivery. </w:t>
      </w:r>
      <w:r w:rsidR="00791C32">
        <w:t xml:space="preserve">All </w:t>
      </w:r>
      <w:r w:rsidR="00E75E5C">
        <w:t>government services</w:t>
      </w:r>
      <w:r w:rsidR="00791C32">
        <w:t xml:space="preserve">, and the people delivering them, must be able to recognise the needs and services required for </w:t>
      </w:r>
      <w:r w:rsidR="00A91AF4">
        <w:t>LGBTIQA+</w:t>
      </w:r>
      <w:r w:rsidR="00791C32">
        <w:t xml:space="preserve"> people.</w:t>
      </w:r>
    </w:p>
    <w:p w14:paraId="6E22AF29" w14:textId="4CAB6CC7" w:rsidR="00DE5F30" w:rsidRDefault="00DE5F30" w:rsidP="00DE5F30">
      <w:pPr>
        <w:pStyle w:val="Heading2"/>
      </w:pPr>
      <w:bookmarkStart w:id="21" w:name="_Toc94870720"/>
      <w:r>
        <w:t>Early actions we will deliver</w:t>
      </w:r>
      <w:r w:rsidR="00EC3684">
        <w:t xml:space="preserve"> </w:t>
      </w:r>
      <w:r w:rsidR="00806A72">
        <w:t xml:space="preserve">under </w:t>
      </w:r>
      <w:r w:rsidR="00EC3684" w:rsidRPr="00EC3684">
        <w:t xml:space="preserve">priority area </w:t>
      </w:r>
      <w:r w:rsidR="00EC3684">
        <w:t>2</w:t>
      </w:r>
      <w:bookmarkEnd w:id="21"/>
    </w:p>
    <w:p w14:paraId="385D7E53" w14:textId="13652B99" w:rsidR="000E1E7F" w:rsidRDefault="000E1E7F" w:rsidP="000E1E7F">
      <w:pPr>
        <w:pStyle w:val="Body"/>
      </w:pPr>
      <w:r>
        <w:t xml:space="preserve">Improve the understanding of </w:t>
      </w:r>
      <w:r w:rsidR="00A91AF4">
        <w:t>LGBTIQA+</w:t>
      </w:r>
      <w:r>
        <w:t xml:space="preserve"> specialist and mainstream services in the provision of adequate supports for </w:t>
      </w:r>
      <w:r w:rsidR="00A91AF4">
        <w:t>LGBTIQA+</w:t>
      </w:r>
      <w:r>
        <w:t xml:space="preserve"> communities</w:t>
      </w:r>
    </w:p>
    <w:p w14:paraId="75C3FB3C" w14:textId="440E0EDA" w:rsidR="000E1E7F" w:rsidRDefault="000E1E7F" w:rsidP="000E1E7F">
      <w:pPr>
        <w:pStyle w:val="Body"/>
      </w:pPr>
      <w:r w:rsidRPr="00351B9A">
        <w:t xml:space="preserve">Embed </w:t>
      </w:r>
      <w:r w:rsidR="00A91AF4">
        <w:t>LGBTIQA+</w:t>
      </w:r>
      <w:r w:rsidRPr="00351B9A">
        <w:t xml:space="preserve"> voices in the diverse communities’ mental health and wellbeing framework and governance model</w:t>
      </w:r>
    </w:p>
    <w:p w14:paraId="7A8A18C4" w14:textId="77777777" w:rsidR="000E1E7F" w:rsidRPr="00351B9A" w:rsidRDefault="000E1E7F" w:rsidP="000E1E7F">
      <w:pPr>
        <w:pStyle w:val="Body"/>
      </w:pPr>
      <w:r>
        <w:t xml:space="preserve">Implement </w:t>
      </w:r>
      <w:r w:rsidRPr="00D00A0D">
        <w:rPr>
          <w:b/>
          <w:bCs/>
        </w:rPr>
        <w:t xml:space="preserve">(I) am Equal: Future directions for Victoria’s Intersex community </w:t>
      </w:r>
      <w:r>
        <w:t>with resources and supports to improve the health and wellbeing of people with an intersex variation</w:t>
      </w:r>
    </w:p>
    <w:p w14:paraId="1EE50DAB" w14:textId="7AF4399F" w:rsidR="000E1E7F" w:rsidRDefault="000E1E7F" w:rsidP="000E1E7F">
      <w:pPr>
        <w:pStyle w:val="Body"/>
      </w:pPr>
      <w:r>
        <w:t xml:space="preserve">Ensure relationship, sexuality and consent education is </w:t>
      </w:r>
      <w:r w:rsidR="00A91AF4">
        <w:t>LGBTIQA+</w:t>
      </w:r>
      <w:r>
        <w:t xml:space="preserve"> inclusive, including supporting resources</w:t>
      </w:r>
    </w:p>
    <w:p w14:paraId="73F73436" w14:textId="4F7D8919" w:rsidR="00DE5F30" w:rsidRDefault="000E1E7F" w:rsidP="000E1E7F">
      <w:pPr>
        <w:pStyle w:val="Body"/>
      </w:pPr>
      <w:r>
        <w:t xml:space="preserve">Develop </w:t>
      </w:r>
      <w:r w:rsidR="00A91AF4">
        <w:t>LGBTIQA+</w:t>
      </w:r>
      <w:r w:rsidRPr="007B6DDB">
        <w:t xml:space="preserve"> </w:t>
      </w:r>
      <w:r>
        <w:t>h</w:t>
      </w:r>
      <w:r w:rsidRPr="007B6DDB">
        <w:t xml:space="preserve">ealth and </w:t>
      </w:r>
      <w:r>
        <w:t>w</w:t>
      </w:r>
      <w:r w:rsidRPr="007B6DDB">
        <w:t xml:space="preserve">ellbeing </w:t>
      </w:r>
      <w:r>
        <w:t>a</w:t>
      </w:r>
      <w:r w:rsidRPr="007B6DDB">
        <w:t xml:space="preserve">ction </w:t>
      </w:r>
      <w:r>
        <w:t>p</w:t>
      </w:r>
      <w:r w:rsidRPr="007B6DDB">
        <w:t>lan</w:t>
      </w:r>
      <w:r>
        <w:t xml:space="preserve"> to improve health and wellbeing outcomes</w:t>
      </w:r>
    </w:p>
    <w:p w14:paraId="0B13A7FE" w14:textId="46E02DFC" w:rsidR="000E1E7F" w:rsidRDefault="000E1E7F" w:rsidP="000E1E7F">
      <w:pPr>
        <w:pStyle w:val="Body"/>
      </w:pPr>
      <w:r>
        <w:t>Improve</w:t>
      </w:r>
      <w:r w:rsidRPr="002866CB">
        <w:t xml:space="preserve"> </w:t>
      </w:r>
      <w:r w:rsidR="00A91AF4">
        <w:t>LGBTIQA+</w:t>
      </w:r>
      <w:r>
        <w:t xml:space="preserve"> inclusion in </w:t>
      </w:r>
      <w:r w:rsidRPr="002866CB">
        <w:t xml:space="preserve">family violence and sexual assault </w:t>
      </w:r>
      <w:r>
        <w:t xml:space="preserve">sector, including addressing key service gaps and strengthening </w:t>
      </w:r>
      <w:r w:rsidR="00A91AF4">
        <w:t>LGBTIQA+</w:t>
      </w:r>
      <w:r>
        <w:t xml:space="preserve"> capability</w:t>
      </w:r>
    </w:p>
    <w:p w14:paraId="0C206CF4" w14:textId="392BAF98" w:rsidR="000E1E7F" w:rsidRDefault="000E1E7F" w:rsidP="000E1E7F">
      <w:pPr>
        <w:pStyle w:val="Body"/>
      </w:pPr>
      <w:r>
        <w:t xml:space="preserve">Improve public fertility care access for </w:t>
      </w:r>
      <w:r w:rsidR="00A91AF4">
        <w:t>LGBTIQA+</w:t>
      </w:r>
      <w:r>
        <w:t xml:space="preserve"> families by delivering on recommendations from the Review of Assisted Reproductive Treatment in Victoria</w:t>
      </w:r>
    </w:p>
    <w:p w14:paraId="53009086" w14:textId="76E443EB" w:rsidR="000E1E7F" w:rsidRDefault="000E1E7F" w:rsidP="000E1E7F">
      <w:pPr>
        <w:pStyle w:val="Body"/>
      </w:pPr>
      <w:r>
        <w:t xml:space="preserve">Support </w:t>
      </w:r>
      <w:r w:rsidR="00A91AF4">
        <w:t>LGBTIQA+</w:t>
      </w:r>
      <w:r w:rsidRPr="007B6DDB">
        <w:t xml:space="preserve"> inclusive employment</w:t>
      </w:r>
      <w:r>
        <w:t xml:space="preserve"> practices, including resources and supports for employers</w:t>
      </w:r>
    </w:p>
    <w:p w14:paraId="57B5543F" w14:textId="16E7C8EF" w:rsidR="000E1E7F" w:rsidRDefault="000E1E7F" w:rsidP="000E1E7F">
      <w:pPr>
        <w:pStyle w:val="Body"/>
      </w:pPr>
      <w:r>
        <w:t>Implement the recommendations of the review into decriminalising sex work in Victoria</w:t>
      </w:r>
    </w:p>
    <w:p w14:paraId="4BE6766F" w14:textId="66F2C161" w:rsidR="000E1E7F" w:rsidRDefault="000E1E7F" w:rsidP="000E1E7F">
      <w:pPr>
        <w:pStyle w:val="Body"/>
      </w:pPr>
      <w:r>
        <w:t xml:space="preserve">Support young </w:t>
      </w:r>
      <w:r w:rsidR="00A91AF4">
        <w:t>LGBTIQA+</w:t>
      </w:r>
      <w:r>
        <w:t xml:space="preserve"> people to foster connections with peers and older </w:t>
      </w:r>
      <w:r w:rsidR="00A91AF4">
        <w:t>LGBTIQA+</w:t>
      </w:r>
      <w:r>
        <w:t xml:space="preserve"> communities</w:t>
      </w:r>
    </w:p>
    <w:p w14:paraId="572DA029" w14:textId="11246CEE" w:rsidR="000E1E7F" w:rsidRDefault="000E1E7F" w:rsidP="000E1E7F">
      <w:pPr>
        <w:pStyle w:val="Body"/>
      </w:pPr>
      <w:r>
        <w:t xml:space="preserve">Build the capacity of Jobs Victoria service providers to support pathways to employment for </w:t>
      </w:r>
      <w:r w:rsidR="00A91AF4">
        <w:t>LGBTIQA+</w:t>
      </w:r>
      <w:r w:rsidRPr="00D91B3D">
        <w:t xml:space="preserve"> jobseekers</w:t>
      </w:r>
    </w:p>
    <w:p w14:paraId="1FDE91BA" w14:textId="4684284F" w:rsidR="000E1E7F" w:rsidRDefault="000E1E7F" w:rsidP="000E1E7F">
      <w:pPr>
        <w:pStyle w:val="Heading2"/>
      </w:pPr>
      <w:bookmarkStart w:id="22" w:name="_Toc94870721"/>
      <w:r>
        <w:t>Actions over the life of the strategy</w:t>
      </w:r>
      <w:r w:rsidR="00EC3684">
        <w:t xml:space="preserve"> for </w:t>
      </w:r>
      <w:r w:rsidR="00EC3684" w:rsidRPr="00EC3684">
        <w:t xml:space="preserve">priority area </w:t>
      </w:r>
      <w:r w:rsidR="00EC3684">
        <w:t>2</w:t>
      </w:r>
      <w:bookmarkEnd w:id="22"/>
    </w:p>
    <w:p w14:paraId="51E47498" w14:textId="51F8519F" w:rsidR="000E1E7F" w:rsidRDefault="000E1E7F" w:rsidP="000E1E7F">
      <w:pPr>
        <w:pStyle w:val="Body"/>
      </w:pPr>
      <w:r>
        <w:t xml:space="preserve">Develop </w:t>
      </w:r>
      <w:r w:rsidR="00A91AF4">
        <w:t>LGBTIQA+</w:t>
      </w:r>
      <w:r>
        <w:t xml:space="preserve"> inclusive resources and provide t</w:t>
      </w:r>
      <w:r w:rsidRPr="00AA254A">
        <w:t xml:space="preserve">argeted </w:t>
      </w:r>
      <w:r>
        <w:t xml:space="preserve">access to </w:t>
      </w:r>
      <w:r w:rsidR="00A91AF4">
        <w:t>LGBTIQA+</w:t>
      </w:r>
      <w:r>
        <w:t xml:space="preserve"> </w:t>
      </w:r>
      <w:r w:rsidRPr="00AA254A">
        <w:t xml:space="preserve">inclusion </w:t>
      </w:r>
      <w:r>
        <w:t xml:space="preserve">training for mainstream services </w:t>
      </w:r>
    </w:p>
    <w:p w14:paraId="4459C848" w14:textId="062BCBAB" w:rsidR="000E1E7F" w:rsidRDefault="000E1E7F" w:rsidP="000E1E7F">
      <w:pPr>
        <w:pStyle w:val="Body"/>
      </w:pPr>
      <w:r>
        <w:t xml:space="preserve">Improve </w:t>
      </w:r>
      <w:r w:rsidR="00A91AF4">
        <w:t>LGBTIQA+</w:t>
      </w:r>
      <w:r>
        <w:t xml:space="preserve"> inclusion in government-funded mainstream services through the implementation of best practice standards for service delivery</w:t>
      </w:r>
    </w:p>
    <w:p w14:paraId="04623E6C" w14:textId="488F812E" w:rsidR="000E1E7F" w:rsidRDefault="000E1E7F" w:rsidP="000E1E7F">
      <w:pPr>
        <w:pStyle w:val="Body"/>
      </w:pPr>
      <w:r>
        <w:t xml:space="preserve">Co-design services with </w:t>
      </w:r>
      <w:r w:rsidR="00A91AF4">
        <w:t>LGBTIQA+</w:t>
      </w:r>
      <w:r>
        <w:t xml:space="preserve"> communities and organisations</w:t>
      </w:r>
    </w:p>
    <w:p w14:paraId="59AAB4CE" w14:textId="248A2EF6" w:rsidR="000E1E7F" w:rsidRDefault="000E1E7F" w:rsidP="000E1E7F">
      <w:pPr>
        <w:pStyle w:val="Body"/>
      </w:pPr>
      <w:r>
        <w:t xml:space="preserve">Support the capability building and sustainability of the </w:t>
      </w:r>
      <w:r w:rsidR="00A91AF4">
        <w:t>LGBTIQA+</w:t>
      </w:r>
      <w:r>
        <w:t xml:space="preserve"> community-led sector to continue support for </w:t>
      </w:r>
      <w:r w:rsidR="00A91AF4">
        <w:t>LGBTIQA+</w:t>
      </w:r>
      <w:r>
        <w:t xml:space="preserve"> Victorians</w:t>
      </w:r>
    </w:p>
    <w:p w14:paraId="04E71D81" w14:textId="77777777" w:rsidR="000E1E7F" w:rsidRDefault="000E1E7F" w:rsidP="000E1E7F">
      <w:pPr>
        <w:pStyle w:val="Body"/>
      </w:pPr>
      <w:r>
        <w:t>Support health and wellbeing supports for trans and gender diverse communities in Victoria, through clinical and peer support services</w:t>
      </w:r>
    </w:p>
    <w:p w14:paraId="3A6A4765" w14:textId="27B86C22" w:rsidR="000E1E7F" w:rsidRDefault="000E1E7F" w:rsidP="000E1E7F">
      <w:pPr>
        <w:pStyle w:val="Heading2"/>
      </w:pPr>
      <w:bookmarkStart w:id="23" w:name="_Toc94870722"/>
      <w:r w:rsidRPr="00885748">
        <w:t>Signs of impact</w:t>
      </w:r>
      <w:r w:rsidR="00EC3684">
        <w:t xml:space="preserve"> </w:t>
      </w:r>
      <w:r w:rsidR="00806A72">
        <w:t xml:space="preserve">under </w:t>
      </w:r>
      <w:r w:rsidR="00EC3684" w:rsidRPr="00EC3684">
        <w:t xml:space="preserve">priority area </w:t>
      </w:r>
      <w:r w:rsidR="00EC3684">
        <w:t>2</w:t>
      </w:r>
      <w:bookmarkEnd w:id="23"/>
    </w:p>
    <w:p w14:paraId="7F5E729D" w14:textId="5EDFF42E" w:rsidR="000E1E7F" w:rsidRDefault="000E1E7F" w:rsidP="000E1E7F">
      <w:pPr>
        <w:pStyle w:val="Body"/>
      </w:pPr>
      <w:r w:rsidRPr="00612397">
        <w:t>We wil</w:t>
      </w:r>
      <w:r>
        <w:t xml:space="preserve">l know we are on track for success in building equal, inclusive and accessible services against this priority area when </w:t>
      </w:r>
      <w:r w:rsidR="00A91AF4">
        <w:t>LGBTIQA+</w:t>
      </w:r>
      <w:r>
        <w:t xml:space="preserve"> people have improved health and wellbeing.</w:t>
      </w:r>
    </w:p>
    <w:p w14:paraId="655FF67B" w14:textId="449B7D6F" w:rsidR="000E1E7F" w:rsidRDefault="00A91AF4" w:rsidP="000E1E7F">
      <w:pPr>
        <w:pStyle w:val="Body"/>
      </w:pPr>
      <w:r>
        <w:t>LGBTIQA+</w:t>
      </w:r>
      <w:r w:rsidR="000E1E7F">
        <w:t xml:space="preserve"> people will access the services they need when they need them and their experience will be positive. Services they access will reflect their diverse perspectives and needs.</w:t>
      </w:r>
    </w:p>
    <w:p w14:paraId="511A551C" w14:textId="65464DFF" w:rsidR="000E1E7F" w:rsidRDefault="000E1E7F" w:rsidP="000E1E7F">
      <w:pPr>
        <w:pStyle w:val="Body"/>
      </w:pPr>
      <w:r w:rsidRPr="00612397">
        <w:t xml:space="preserve">A key sign will be that </w:t>
      </w:r>
      <w:r w:rsidR="00A91AF4">
        <w:t>LGBTIQA+</w:t>
      </w:r>
      <w:r w:rsidRPr="00612397">
        <w:t xml:space="preserve"> people feel treated with dignity and respect when </w:t>
      </w:r>
      <w:r>
        <w:t>using</w:t>
      </w:r>
      <w:r w:rsidRPr="00612397">
        <w:t xml:space="preserve"> </w:t>
      </w:r>
      <w:r>
        <w:t>g</w:t>
      </w:r>
      <w:r w:rsidRPr="00612397">
        <w:t>overnment services</w:t>
      </w:r>
      <w:r>
        <w:t xml:space="preserve">. </w:t>
      </w:r>
      <w:r w:rsidRPr="00A00144">
        <w:t xml:space="preserve">By achieving these things, </w:t>
      </w:r>
      <w:r>
        <w:t>we want to see a reduction in the number of</w:t>
      </w:r>
      <w:r w:rsidRPr="00612397">
        <w:t xml:space="preserve"> </w:t>
      </w:r>
      <w:r w:rsidR="00A91AF4">
        <w:t>LGBTIQA+</w:t>
      </w:r>
      <w:r w:rsidRPr="00612397">
        <w:t xml:space="preserve"> people attempting suicide in the past 12 months</w:t>
      </w:r>
      <w:r>
        <w:t>. We want to see it fall from the current</w:t>
      </w:r>
      <w:r w:rsidRPr="005F2188">
        <w:t xml:space="preserve"> 5.2 per cent of </w:t>
      </w:r>
      <w:r w:rsidR="00A91AF4">
        <w:t>LGBTIQA+</w:t>
      </w:r>
      <w:r w:rsidRPr="005F2188">
        <w:t xml:space="preserve"> adults and 9.4 per cent of young </w:t>
      </w:r>
      <w:r w:rsidR="00A91AF4">
        <w:t>LGBTIQA+</w:t>
      </w:r>
      <w:r w:rsidRPr="005F2188">
        <w:t xml:space="preserve"> Victorians</w:t>
      </w:r>
      <w:r>
        <w:t>.</w:t>
      </w:r>
      <w:r w:rsidRPr="00C42583">
        <w:rPr>
          <w:vertAlign w:val="superscript"/>
        </w:rPr>
        <w:footnoteReference w:id="5"/>
      </w:r>
    </w:p>
    <w:p w14:paraId="61B44C25" w14:textId="5292B803" w:rsidR="00D87EBE" w:rsidRDefault="00D87EBE" w:rsidP="00DE5F30">
      <w:pPr>
        <w:pStyle w:val="Heading1"/>
      </w:pPr>
      <w:bookmarkStart w:id="24" w:name="_Toc77747936"/>
      <w:bookmarkStart w:id="25" w:name="_Toc92879940"/>
      <w:bookmarkStart w:id="26" w:name="_Toc92895334"/>
      <w:bookmarkStart w:id="27" w:name="_Toc94870723"/>
      <w:r>
        <w:t xml:space="preserve">Priority area 3: </w:t>
      </w:r>
      <w:bookmarkStart w:id="28" w:name="_Hlk77758791"/>
      <w:r>
        <w:t>Visibility to inform decision making</w:t>
      </w:r>
      <w:bookmarkEnd w:id="24"/>
      <w:bookmarkEnd w:id="25"/>
      <w:bookmarkEnd w:id="26"/>
      <w:bookmarkEnd w:id="27"/>
      <w:bookmarkEnd w:id="28"/>
    </w:p>
    <w:p w14:paraId="5972BF3A" w14:textId="3720DAD2" w:rsidR="00192BE6" w:rsidRDefault="00447519" w:rsidP="00447519">
      <w:pPr>
        <w:pStyle w:val="Body"/>
        <w:rPr>
          <w:b/>
          <w:bCs/>
        </w:rPr>
      </w:pPr>
      <w:r w:rsidRPr="00D0354E">
        <w:rPr>
          <w:b/>
        </w:rPr>
        <w:t xml:space="preserve">Improving </w:t>
      </w:r>
      <w:r w:rsidR="00A91AF4">
        <w:rPr>
          <w:b/>
        </w:rPr>
        <w:t>LGBTIQA+</w:t>
      </w:r>
      <w:r w:rsidRPr="00D0354E">
        <w:rPr>
          <w:b/>
        </w:rPr>
        <w:t xml:space="preserve"> data collection to build evidence will enable us to get a better picture of how </w:t>
      </w:r>
      <w:r w:rsidR="00A91AF4">
        <w:rPr>
          <w:b/>
        </w:rPr>
        <w:t>LGBTIQA+</w:t>
      </w:r>
      <w:r w:rsidRPr="00D0354E">
        <w:rPr>
          <w:b/>
        </w:rPr>
        <w:t xml:space="preserve"> Victorians experience all parts of their lives.</w:t>
      </w:r>
    </w:p>
    <w:p w14:paraId="147D66D4" w14:textId="5417B241" w:rsidR="00192BE6" w:rsidRDefault="00191722" w:rsidP="00447519">
      <w:pPr>
        <w:pStyle w:val="Body"/>
      </w:pPr>
      <w:r>
        <w:t>The Victorian Government and the service</w:t>
      </w:r>
      <w:r w:rsidR="003D0DE2">
        <w:t xml:space="preserve"> </w:t>
      </w:r>
      <w:r>
        <w:t>delivery organisations it funds collect data to understand community need.</w:t>
      </w:r>
    </w:p>
    <w:p w14:paraId="4B85BD5C" w14:textId="2DB6D6F0" w:rsidR="002B212A" w:rsidRDefault="00447519" w:rsidP="00447519">
      <w:pPr>
        <w:pStyle w:val="Body"/>
      </w:pPr>
      <w:r>
        <w:t xml:space="preserve">Data collection must include suitable and inclusive options that reflect how </w:t>
      </w:r>
      <w:r w:rsidR="00A91AF4">
        <w:t>LGBTIQA+</w:t>
      </w:r>
      <w:r>
        <w:t xml:space="preserve"> people choose to identify. </w:t>
      </w:r>
      <w:r w:rsidR="002B212A">
        <w:t>Staff collecting this data must be trained, comfortable and capable to ask the right questions in the safest way.</w:t>
      </w:r>
      <w:r w:rsidR="00034A28">
        <w:t xml:space="preserve"> This will help </w:t>
      </w:r>
      <w:r w:rsidR="00A91AF4">
        <w:t>LGBTIQA+</w:t>
      </w:r>
      <w:r w:rsidR="00034A28" w:rsidRPr="001B14FD">
        <w:t xml:space="preserve"> people </w:t>
      </w:r>
      <w:r w:rsidR="00034A28">
        <w:t xml:space="preserve">to </w:t>
      </w:r>
      <w:r w:rsidR="00034A28" w:rsidRPr="001B14FD">
        <w:t xml:space="preserve">feel safe and willing to share their </w:t>
      </w:r>
      <w:r w:rsidR="00034A28">
        <w:t>personal information.</w:t>
      </w:r>
    </w:p>
    <w:p w14:paraId="4F1F0088" w14:textId="77777777" w:rsidR="000E1E7F" w:rsidRDefault="00EF3A0D" w:rsidP="002D31EA">
      <w:pPr>
        <w:pStyle w:val="Body"/>
      </w:pPr>
      <w:r>
        <w:t xml:space="preserve">We will </w:t>
      </w:r>
      <w:r w:rsidR="00711169">
        <w:t xml:space="preserve">also </w:t>
      </w:r>
      <w:r>
        <w:t>be transparent with data, to ensure we hold government and funded programs and services to account and can show they are meeting the needs of all Victorians.</w:t>
      </w:r>
    </w:p>
    <w:p w14:paraId="1314F3E3" w14:textId="03421FAE" w:rsidR="004065E7" w:rsidRDefault="000E1E7F" w:rsidP="000E1E7F">
      <w:pPr>
        <w:pStyle w:val="Heading2"/>
      </w:pPr>
      <w:bookmarkStart w:id="29" w:name="_Hlk90038236"/>
      <w:bookmarkStart w:id="30" w:name="_Toc94870724"/>
      <w:r>
        <w:t xml:space="preserve">Early actions </w:t>
      </w:r>
      <w:bookmarkEnd w:id="29"/>
      <w:r>
        <w:t>we will deliver</w:t>
      </w:r>
      <w:r w:rsidR="00EC3684">
        <w:t xml:space="preserve"> </w:t>
      </w:r>
      <w:r w:rsidR="00806A72">
        <w:t xml:space="preserve">under </w:t>
      </w:r>
      <w:r w:rsidR="00EC3684" w:rsidRPr="00EC3684">
        <w:t xml:space="preserve">priority area </w:t>
      </w:r>
      <w:r w:rsidR="00EC3684">
        <w:t>3</w:t>
      </w:r>
      <w:bookmarkEnd w:id="30"/>
    </w:p>
    <w:p w14:paraId="41A31F76" w14:textId="4087C8D3" w:rsidR="000E1E7F" w:rsidRDefault="000E1E7F" w:rsidP="000E1E7F">
      <w:pPr>
        <w:pStyle w:val="Body"/>
      </w:pPr>
      <w:r>
        <w:t xml:space="preserve">Develop an </w:t>
      </w:r>
      <w:r w:rsidR="00A91AF4">
        <w:t>LGBTIQA+</w:t>
      </w:r>
      <w:r>
        <w:t xml:space="preserve"> strategy outcomes framework to measure impact and progress</w:t>
      </w:r>
    </w:p>
    <w:p w14:paraId="4EB17C8A" w14:textId="3663C78C" w:rsidR="000E1E7F" w:rsidRDefault="000E1E7F" w:rsidP="000E1E7F">
      <w:pPr>
        <w:pStyle w:val="Body"/>
      </w:pPr>
      <w:r>
        <w:t xml:space="preserve">Support </w:t>
      </w:r>
      <w:r w:rsidRPr="007B6DDB">
        <w:t xml:space="preserve">key </w:t>
      </w:r>
      <w:r w:rsidR="00A91AF4">
        <w:t>LGBTIQA+</w:t>
      </w:r>
      <w:r w:rsidRPr="007B6DDB">
        <w:t xml:space="preserve"> data and research </w:t>
      </w:r>
      <w:r>
        <w:t>to build the evidence base for effective and inclusive services</w:t>
      </w:r>
    </w:p>
    <w:p w14:paraId="30E8493C" w14:textId="77777777" w:rsidR="000E1E7F" w:rsidRDefault="000E1E7F" w:rsidP="000E1E7F">
      <w:pPr>
        <w:pStyle w:val="Body"/>
      </w:pPr>
      <w:r>
        <w:t xml:space="preserve">Improve Victorian Government </w:t>
      </w:r>
      <w:r w:rsidRPr="00DA1D12">
        <w:t>data</w:t>
      </w:r>
      <w:r w:rsidRPr="007B6DDB">
        <w:t xml:space="preserve"> </w:t>
      </w:r>
      <w:r w:rsidRPr="00634FC5">
        <w:t>standards and</w:t>
      </w:r>
      <w:r>
        <w:t xml:space="preserve"> support</w:t>
      </w:r>
      <w:r w:rsidRPr="00634FC5">
        <w:t xml:space="preserve"> </w:t>
      </w:r>
      <w:r>
        <w:t xml:space="preserve">resources, including for funded services </w:t>
      </w:r>
    </w:p>
    <w:p w14:paraId="3634ABC9" w14:textId="53C720B7" w:rsidR="000E1E7F" w:rsidRDefault="000E1E7F" w:rsidP="000E1E7F">
      <w:pPr>
        <w:pStyle w:val="Body"/>
      </w:pPr>
      <w:r>
        <w:t xml:space="preserve">Support </w:t>
      </w:r>
      <w:r w:rsidRPr="00BA49DB">
        <w:t xml:space="preserve">tools and training for </w:t>
      </w:r>
      <w:r>
        <w:t xml:space="preserve">Victorian public service </w:t>
      </w:r>
      <w:r w:rsidRPr="00BA49DB">
        <w:t>senior leaders</w:t>
      </w:r>
      <w:r>
        <w:t xml:space="preserve"> </w:t>
      </w:r>
      <w:r w:rsidRPr="00BA49DB">
        <w:t xml:space="preserve">to create </w:t>
      </w:r>
      <w:r w:rsidR="00A91AF4">
        <w:t>LGBTIQA+</w:t>
      </w:r>
      <w:r w:rsidRPr="00BA49DB">
        <w:t xml:space="preserve"> inclusive workplaces</w:t>
      </w:r>
    </w:p>
    <w:p w14:paraId="2017DA20" w14:textId="1D445FBD" w:rsidR="000E1E7F" w:rsidRDefault="000E1E7F" w:rsidP="000E1E7F">
      <w:pPr>
        <w:pStyle w:val="Heading2"/>
      </w:pPr>
      <w:bookmarkStart w:id="31" w:name="_Toc94870725"/>
      <w:r>
        <w:t>Actions over the life of the strategy</w:t>
      </w:r>
      <w:r w:rsidR="00EC3684">
        <w:t xml:space="preserve"> for </w:t>
      </w:r>
      <w:r w:rsidR="00EC3684" w:rsidRPr="00EC3684">
        <w:t xml:space="preserve">priority area </w:t>
      </w:r>
      <w:r w:rsidR="00EC3684">
        <w:t>3</w:t>
      </w:r>
      <w:bookmarkEnd w:id="31"/>
    </w:p>
    <w:p w14:paraId="51159187" w14:textId="6044A9CD" w:rsidR="000E1E7F" w:rsidRDefault="000E1E7F" w:rsidP="000E1E7F">
      <w:pPr>
        <w:pStyle w:val="Body"/>
      </w:pPr>
      <w:r>
        <w:t>Support</w:t>
      </w:r>
      <w:r w:rsidRPr="007B6DDB">
        <w:t xml:space="preserve"> data collection</w:t>
      </w:r>
      <w:r>
        <w:t xml:space="preserve"> across government to be inclusive and appropriate</w:t>
      </w:r>
    </w:p>
    <w:p w14:paraId="7F8D119F" w14:textId="628BDEAA" w:rsidR="000E1E7F" w:rsidRDefault="000E1E7F" w:rsidP="000E1E7F">
      <w:pPr>
        <w:pStyle w:val="Body"/>
      </w:pPr>
      <w:r>
        <w:t xml:space="preserve">Continue the work of the Commissioner for </w:t>
      </w:r>
      <w:r w:rsidR="00A91AF4">
        <w:t>LGBTIQA+</w:t>
      </w:r>
      <w:r>
        <w:t xml:space="preserve"> communities as a crucial role in advocating for improved </w:t>
      </w:r>
      <w:r w:rsidR="00A91AF4">
        <w:t>LGBTIQA+</w:t>
      </w:r>
      <w:r>
        <w:t xml:space="preserve"> outcomes across government</w:t>
      </w:r>
    </w:p>
    <w:p w14:paraId="0AC50E96" w14:textId="460D38D3" w:rsidR="000E1E7F" w:rsidRPr="007B6DDB" w:rsidRDefault="000E1E7F" w:rsidP="000E1E7F">
      <w:pPr>
        <w:pStyle w:val="Body"/>
      </w:pPr>
      <w:r>
        <w:t xml:space="preserve">Ongoing support for </w:t>
      </w:r>
      <w:r w:rsidR="00A91AF4">
        <w:t>LGBTIQA+</w:t>
      </w:r>
      <w:r>
        <w:t xml:space="preserve"> communities’ voice to government, such as the </w:t>
      </w:r>
      <w:r w:rsidR="00A91AF4">
        <w:t>LGBTIQA+</w:t>
      </w:r>
      <w:r>
        <w:t xml:space="preserve"> Taskforce and other advisory groups</w:t>
      </w:r>
    </w:p>
    <w:p w14:paraId="44CD3DD3" w14:textId="204E923F" w:rsidR="000E1E7F" w:rsidRDefault="000E1E7F" w:rsidP="000E1E7F">
      <w:pPr>
        <w:pStyle w:val="Body"/>
      </w:pPr>
      <w:r>
        <w:t>Increase diverse</w:t>
      </w:r>
      <w:r w:rsidRPr="00E512E4">
        <w:t xml:space="preserve"> </w:t>
      </w:r>
      <w:r w:rsidR="00A91AF4">
        <w:t>LGBTIQA+</w:t>
      </w:r>
      <w:r w:rsidRPr="00E512E4">
        <w:t xml:space="preserve"> representation </w:t>
      </w:r>
      <w:r>
        <w:t>on</w:t>
      </w:r>
      <w:r w:rsidRPr="00E512E4">
        <w:t xml:space="preserve"> Victorian Government boards</w:t>
      </w:r>
    </w:p>
    <w:p w14:paraId="670ECE1A" w14:textId="38EA6812" w:rsidR="000E1E7F" w:rsidRDefault="000E1E7F" w:rsidP="000E1E7F">
      <w:pPr>
        <w:pStyle w:val="Heading2"/>
      </w:pPr>
      <w:bookmarkStart w:id="32" w:name="_Toc94870726"/>
      <w:r w:rsidRPr="00885748">
        <w:t>Signs of impact</w:t>
      </w:r>
      <w:r w:rsidR="00EC3684">
        <w:t xml:space="preserve"> </w:t>
      </w:r>
      <w:r w:rsidR="00806A72">
        <w:t xml:space="preserve">under </w:t>
      </w:r>
      <w:r w:rsidR="00EC3684" w:rsidRPr="00EC3684">
        <w:t xml:space="preserve">priority area </w:t>
      </w:r>
      <w:r w:rsidR="00EC3684">
        <w:t>3</w:t>
      </w:r>
      <w:bookmarkEnd w:id="32"/>
    </w:p>
    <w:p w14:paraId="0B6A334B" w14:textId="5B934FB6" w:rsidR="000E1E7F" w:rsidRDefault="000E1E7F" w:rsidP="000E1E7F">
      <w:pPr>
        <w:pStyle w:val="Body"/>
      </w:pPr>
      <w:r>
        <w:t xml:space="preserve">All </w:t>
      </w:r>
      <w:r w:rsidR="00A91AF4">
        <w:t>LGBTIQA+</w:t>
      </w:r>
      <w:r>
        <w:t xml:space="preserve"> communities will have access to data they can use to show clear evidence for need. This will help us know we are having an impact and building </w:t>
      </w:r>
      <w:r w:rsidR="00A91AF4">
        <w:t>LGBTIQA+</w:t>
      </w:r>
      <w:r>
        <w:t xml:space="preserve"> visibility to inform decision making.</w:t>
      </w:r>
    </w:p>
    <w:p w14:paraId="5E41DCFF" w14:textId="577447EB" w:rsidR="000E1E7F" w:rsidRDefault="000E1E7F" w:rsidP="000E1E7F">
      <w:pPr>
        <w:pStyle w:val="Body"/>
      </w:pPr>
      <w:r>
        <w:t xml:space="preserve">We will increase </w:t>
      </w:r>
      <w:r w:rsidR="00A91AF4">
        <w:t>LGBTIQA+</w:t>
      </w:r>
      <w:r>
        <w:t xml:space="preserve"> voices and experiences across government, and </w:t>
      </w:r>
      <w:r w:rsidR="00A91AF4">
        <w:t>LGBTIQA+</w:t>
      </w:r>
      <w:r>
        <w:t xml:space="preserve"> people will feel comfortable engaging with data channels. </w:t>
      </w:r>
      <w:r w:rsidR="00A91AF4">
        <w:t>LGBTIQA+</w:t>
      </w:r>
      <w:r>
        <w:t xml:space="preserve"> people will see an increase in policies and services designed with their needs in mind.</w:t>
      </w:r>
    </w:p>
    <w:p w14:paraId="21A7178F" w14:textId="1DCA071F" w:rsidR="000E1E7F" w:rsidRDefault="000E1E7F" w:rsidP="000E1E7F">
      <w:pPr>
        <w:pStyle w:val="Body"/>
      </w:pPr>
      <w:r>
        <w:t xml:space="preserve">We will track the number of Victorian Government departments and agencies employing </w:t>
      </w:r>
      <w:r w:rsidR="00A91AF4">
        <w:t>LGBTIQA+</w:t>
      </w:r>
      <w:r w:rsidRPr="005C45E1">
        <w:t xml:space="preserve"> inclusive data collection </w:t>
      </w:r>
      <w:r>
        <w:t>in government</w:t>
      </w:r>
      <w:r w:rsidRPr="005C45E1">
        <w:t xml:space="preserve"> initiatives, programs and services</w:t>
      </w:r>
      <w:r>
        <w:t>.</w:t>
      </w:r>
    </w:p>
    <w:p w14:paraId="66D0779D" w14:textId="68C077DA" w:rsidR="004065E7" w:rsidRDefault="004065E7" w:rsidP="00DE5F30">
      <w:pPr>
        <w:pStyle w:val="Heading1"/>
      </w:pPr>
      <w:bookmarkStart w:id="33" w:name="_Toc77747945"/>
      <w:bookmarkStart w:id="34" w:name="_Toc92879941"/>
      <w:bookmarkStart w:id="35" w:name="_Toc92895335"/>
      <w:bookmarkStart w:id="36" w:name="_Toc94870727"/>
      <w:r>
        <w:t xml:space="preserve">Priority area 4: </w:t>
      </w:r>
      <w:bookmarkStart w:id="37" w:name="_Hlk77758800"/>
      <w:r>
        <w:t>Safe, strong and sustainable communities</w:t>
      </w:r>
      <w:bookmarkEnd w:id="33"/>
      <w:bookmarkEnd w:id="34"/>
      <w:bookmarkEnd w:id="35"/>
      <w:bookmarkEnd w:id="36"/>
      <w:bookmarkEnd w:id="37"/>
    </w:p>
    <w:p w14:paraId="1C2F365A" w14:textId="4AFC910B" w:rsidR="0007386E" w:rsidRPr="0007386E" w:rsidRDefault="00A91AF4">
      <w:pPr>
        <w:pStyle w:val="Body"/>
        <w:rPr>
          <w:b/>
          <w:bCs/>
        </w:rPr>
      </w:pPr>
      <w:r>
        <w:rPr>
          <w:b/>
          <w:bCs/>
        </w:rPr>
        <w:t>LGBTIQA+</w:t>
      </w:r>
      <w:r w:rsidR="00081020" w:rsidRPr="0007386E">
        <w:rPr>
          <w:b/>
          <w:bCs/>
        </w:rPr>
        <w:t xml:space="preserve"> </w:t>
      </w:r>
      <w:r w:rsidR="00711169" w:rsidRPr="0007386E">
        <w:rPr>
          <w:b/>
          <w:bCs/>
        </w:rPr>
        <w:t>people</w:t>
      </w:r>
      <w:r w:rsidR="00081020" w:rsidRPr="0007386E">
        <w:rPr>
          <w:b/>
          <w:bCs/>
        </w:rPr>
        <w:t xml:space="preserve"> are a proud part of the Victorian community</w:t>
      </w:r>
      <w:r w:rsidR="0007386E" w:rsidRPr="0007386E">
        <w:rPr>
          <w:b/>
          <w:bCs/>
        </w:rPr>
        <w:t>. By creating inclusive communities, we are making sure there is a place for all Victorians to be proud and live their life to the fullest.</w:t>
      </w:r>
    </w:p>
    <w:p w14:paraId="5F1A4CA4" w14:textId="123B10C5" w:rsidR="00AE7EE8" w:rsidRDefault="0007386E">
      <w:pPr>
        <w:pStyle w:val="Body"/>
      </w:pPr>
      <w:r>
        <w:t>F</w:t>
      </w:r>
      <w:r w:rsidR="00775EB2">
        <w:t>or many</w:t>
      </w:r>
      <w:r w:rsidR="00194BA4" w:rsidRPr="00081020">
        <w:t xml:space="preserve"> </w:t>
      </w:r>
      <w:r w:rsidR="00A91AF4">
        <w:t>LGBTIQA+</w:t>
      </w:r>
      <w:r w:rsidR="00194BA4" w:rsidRPr="00081020">
        <w:t xml:space="preserve"> people, being a part of community is a valued and positive part of life. It leads to better physical and mental health outcomes</w:t>
      </w:r>
      <w:r w:rsidR="00194BA4">
        <w:t>.</w:t>
      </w:r>
      <w:r w:rsidR="00194BA4">
        <w:rPr>
          <w:rStyle w:val="FootnoteReference"/>
        </w:rPr>
        <w:footnoteReference w:id="6"/>
      </w:r>
      <w:r w:rsidR="00194BA4">
        <w:t xml:space="preserve"> </w:t>
      </w:r>
      <w:r w:rsidR="00081020" w:rsidRPr="00081020">
        <w:t xml:space="preserve">By targeting </w:t>
      </w:r>
      <w:r w:rsidR="00A91AF4">
        <w:t>LGBTIQA+</w:t>
      </w:r>
      <w:r w:rsidR="00081020" w:rsidRPr="00081020">
        <w:t xml:space="preserve"> discrimination, stigma and abuse before it happens, we can remove the influences that we know lead to poorer health and wellbeing outcomes for </w:t>
      </w:r>
      <w:r w:rsidR="00A91AF4">
        <w:t>LGBTIQA+</w:t>
      </w:r>
      <w:r w:rsidR="00081020" w:rsidRPr="00081020">
        <w:t xml:space="preserve"> people</w:t>
      </w:r>
      <w:r w:rsidR="000035C9">
        <w:t xml:space="preserve"> and </w:t>
      </w:r>
      <w:r w:rsidR="00081020" w:rsidRPr="00081020">
        <w:t xml:space="preserve">create a stronger, </w:t>
      </w:r>
      <w:r w:rsidR="000035C9">
        <w:t xml:space="preserve">more </w:t>
      </w:r>
      <w:r w:rsidR="00081020" w:rsidRPr="00081020">
        <w:t>cohesive community</w:t>
      </w:r>
      <w:r w:rsidR="00081020">
        <w:t xml:space="preserve">. </w:t>
      </w:r>
    </w:p>
    <w:p w14:paraId="4FA8B4A9" w14:textId="1769EF6C" w:rsidR="00CD6092" w:rsidRDefault="006F5360" w:rsidP="00CD6092">
      <w:pPr>
        <w:pStyle w:val="Body"/>
      </w:pPr>
      <w:r>
        <w:t>By promoting r</w:t>
      </w:r>
      <w:r w:rsidR="00194BA4">
        <w:t xml:space="preserve">epresentations and celebrations of </w:t>
      </w:r>
      <w:r w:rsidR="00A91AF4">
        <w:t>LGBTIQA+</w:t>
      </w:r>
      <w:r w:rsidR="00194BA4">
        <w:t xml:space="preserve"> communities across all parts of life </w:t>
      </w:r>
      <w:r>
        <w:t xml:space="preserve">we </w:t>
      </w:r>
      <w:r w:rsidR="00194BA4">
        <w:t>will drive understanding, visibility and acceptance.</w:t>
      </w:r>
    </w:p>
    <w:p w14:paraId="22F20072" w14:textId="2BF5D2F5" w:rsidR="00B72D0F" w:rsidRDefault="00034A28" w:rsidP="00251163">
      <w:pPr>
        <w:pStyle w:val="Body"/>
      </w:pPr>
      <w:r>
        <w:t>We will also</w:t>
      </w:r>
      <w:r w:rsidRPr="00084735">
        <w:t xml:space="preserve"> build the profile and sustainability of </w:t>
      </w:r>
      <w:r w:rsidR="00A91AF4">
        <w:t>LGBTIQA+</w:t>
      </w:r>
      <w:r w:rsidRPr="00084735">
        <w:t xml:space="preserve"> organisations, businesses and leaders so they can influence and lead positive change. A critical feature of this is ensuring </w:t>
      </w:r>
      <w:r w:rsidR="00A91AF4">
        <w:t>LGBTIQA+</w:t>
      </w:r>
      <w:r w:rsidRPr="00084735">
        <w:t xml:space="preserve"> people have agency and Aboriginal community members </w:t>
      </w:r>
      <w:r>
        <w:t>can</w:t>
      </w:r>
      <w:r w:rsidRPr="00084735">
        <w:t xml:space="preserve"> practise self-determination.</w:t>
      </w:r>
    </w:p>
    <w:p w14:paraId="4D68C928" w14:textId="15E118F7" w:rsidR="000E1E7F" w:rsidRDefault="000E1E7F" w:rsidP="000E1E7F">
      <w:pPr>
        <w:pStyle w:val="Heading2"/>
      </w:pPr>
      <w:bookmarkStart w:id="38" w:name="_Toc94870728"/>
      <w:r>
        <w:t>Early actions we will deliver</w:t>
      </w:r>
      <w:r w:rsidR="00EC3684">
        <w:t xml:space="preserve"> </w:t>
      </w:r>
      <w:r w:rsidR="00806A72">
        <w:t xml:space="preserve">under </w:t>
      </w:r>
      <w:r w:rsidR="00EC3684" w:rsidRPr="00EC3684">
        <w:t xml:space="preserve">priority area </w:t>
      </w:r>
      <w:r w:rsidR="00EC3684">
        <w:t>4</w:t>
      </w:r>
      <w:bookmarkEnd w:id="38"/>
    </w:p>
    <w:p w14:paraId="52763D85" w14:textId="05ABA15E" w:rsidR="000E1E7F" w:rsidRDefault="000E1E7F" w:rsidP="000E1E7F">
      <w:pPr>
        <w:pStyle w:val="Body"/>
      </w:pPr>
      <w:r w:rsidRPr="00A01163">
        <w:t xml:space="preserve">Deliver a statewide awareness raising campaign to celebrate and raise awareness of </w:t>
      </w:r>
      <w:r w:rsidR="00A91AF4">
        <w:t>LGBTIQA+</w:t>
      </w:r>
      <w:r w:rsidRPr="00A01163">
        <w:t xml:space="preserve"> experiences, including diverse communities</w:t>
      </w:r>
    </w:p>
    <w:p w14:paraId="1D230AEF" w14:textId="0D74C06A" w:rsidR="000E1E7F" w:rsidRDefault="000E1E7F" w:rsidP="000E1E7F">
      <w:pPr>
        <w:pStyle w:val="Body"/>
      </w:pPr>
      <w:r w:rsidRPr="003A369D">
        <w:t xml:space="preserve">Support </w:t>
      </w:r>
      <w:r w:rsidR="00A91AF4">
        <w:t>LGBTIQA+</w:t>
      </w:r>
      <w:r w:rsidRPr="003A369D">
        <w:t xml:space="preserve"> events to celebrate </w:t>
      </w:r>
      <w:r w:rsidR="00A91AF4">
        <w:t>LGBTIQA+</w:t>
      </w:r>
      <w:r w:rsidRPr="003A369D">
        <w:t xml:space="preserve"> diversity and increase community connections</w:t>
      </w:r>
    </w:p>
    <w:p w14:paraId="1B7446B6" w14:textId="00C6040C" w:rsidR="000E1E7F" w:rsidRDefault="000E1E7F" w:rsidP="000E1E7F">
      <w:pPr>
        <w:pStyle w:val="Body"/>
      </w:pPr>
      <w:r w:rsidRPr="0034027A">
        <w:t xml:space="preserve">Review Victorian </w:t>
      </w:r>
      <w:r w:rsidR="00D00A0D">
        <w:t>p</w:t>
      </w:r>
      <w:r w:rsidRPr="0034027A">
        <w:t xml:space="preserve">ublic </w:t>
      </w:r>
      <w:r w:rsidR="00D00A0D">
        <w:t>s</w:t>
      </w:r>
      <w:r w:rsidRPr="0034027A">
        <w:t>ervice workforce inclusion policies to identify improvements</w:t>
      </w:r>
    </w:p>
    <w:p w14:paraId="4901A793" w14:textId="37DAD6AA" w:rsidR="000E1E7F" w:rsidRDefault="000E1E7F" w:rsidP="000E1E7F">
      <w:pPr>
        <w:pStyle w:val="Body"/>
      </w:pPr>
      <w:r w:rsidRPr="00F14351">
        <w:t xml:space="preserve">Increase </w:t>
      </w:r>
      <w:r w:rsidR="00A91AF4">
        <w:t>LGBTIQA+</w:t>
      </w:r>
      <w:r w:rsidRPr="00F14351">
        <w:t xml:space="preserve"> employment opportunities in government-funded major transport infrastructure initiatives and projects</w:t>
      </w:r>
    </w:p>
    <w:p w14:paraId="5F86A185" w14:textId="3BEA3AFF" w:rsidR="000E1E7F" w:rsidRDefault="000E1E7F" w:rsidP="000E1E7F">
      <w:pPr>
        <w:pStyle w:val="Body"/>
      </w:pPr>
      <w:r w:rsidRPr="00A929AC">
        <w:t xml:space="preserve">Drive a centralised approach to support </w:t>
      </w:r>
      <w:r w:rsidR="00A91AF4">
        <w:t>LGBTIQA+</w:t>
      </w:r>
      <w:r w:rsidRPr="00A929AC">
        <w:t xml:space="preserve"> Victorian </w:t>
      </w:r>
      <w:r>
        <w:t>p</w:t>
      </w:r>
      <w:r w:rsidRPr="00A929AC">
        <w:t xml:space="preserve">ublic </w:t>
      </w:r>
      <w:r>
        <w:t>s</w:t>
      </w:r>
      <w:r w:rsidRPr="00A929AC">
        <w:t>ervice employees through the Victorian Public Sector Commission</w:t>
      </w:r>
    </w:p>
    <w:p w14:paraId="46C6F722" w14:textId="4E99A9D7" w:rsidR="000E1E7F" w:rsidRDefault="000E1E7F" w:rsidP="000E1E7F">
      <w:pPr>
        <w:pStyle w:val="Heading2"/>
      </w:pPr>
      <w:bookmarkStart w:id="39" w:name="_Toc94870729"/>
      <w:r>
        <w:t>Actions over the life of the strategy</w:t>
      </w:r>
      <w:r w:rsidR="00EC3684">
        <w:t xml:space="preserve"> for </w:t>
      </w:r>
      <w:r w:rsidR="00EC3684" w:rsidRPr="00EC3684">
        <w:t xml:space="preserve">priority area </w:t>
      </w:r>
      <w:r w:rsidR="00EC3684">
        <w:t>4</w:t>
      </w:r>
      <w:bookmarkEnd w:id="39"/>
    </w:p>
    <w:p w14:paraId="064E45D5" w14:textId="501E6479" w:rsidR="000E1E7F" w:rsidRDefault="000E1E7F" w:rsidP="000E1E7F">
      <w:pPr>
        <w:pStyle w:val="Body"/>
      </w:pPr>
      <w:r>
        <w:t xml:space="preserve">Develop a plan to ensure </w:t>
      </w:r>
      <w:r w:rsidR="00A91AF4">
        <w:t>LGBTIQA+</w:t>
      </w:r>
      <w:r>
        <w:t xml:space="preserve"> inclusion is embedded in the design of safer public spaces</w:t>
      </w:r>
    </w:p>
    <w:p w14:paraId="5A687EDA" w14:textId="02EED052" w:rsidR="000E1E7F" w:rsidRDefault="000E1E7F" w:rsidP="000E1E7F">
      <w:pPr>
        <w:pStyle w:val="Body"/>
      </w:pPr>
      <w:r w:rsidRPr="00C55C16">
        <w:t xml:space="preserve">Continue to </w:t>
      </w:r>
      <w:r>
        <w:t>support the</w:t>
      </w:r>
      <w:r w:rsidRPr="00C55C16">
        <w:t xml:space="preserve"> capacity of </w:t>
      </w:r>
      <w:r>
        <w:t xml:space="preserve">professional and </w:t>
      </w:r>
      <w:r w:rsidRPr="00C55C16">
        <w:t xml:space="preserve">community sports to be </w:t>
      </w:r>
      <w:r w:rsidR="00A91AF4">
        <w:t>LGBTIQA+</w:t>
      </w:r>
      <w:r w:rsidRPr="00C55C16">
        <w:t xml:space="preserve"> inclusive</w:t>
      </w:r>
    </w:p>
    <w:p w14:paraId="5F49AB3C" w14:textId="7396D4B9" w:rsidR="000E1E7F" w:rsidRDefault="000E1E7F" w:rsidP="000E1E7F">
      <w:pPr>
        <w:pStyle w:val="Body"/>
      </w:pPr>
      <w:r w:rsidRPr="00C55C16">
        <w:t xml:space="preserve">Continue </w:t>
      </w:r>
      <w:r>
        <w:t>our</w:t>
      </w:r>
      <w:r w:rsidRPr="00C55C16">
        <w:t xml:space="preserve"> commitment to </w:t>
      </w:r>
      <w:r>
        <w:t xml:space="preserve">improve </w:t>
      </w:r>
      <w:r w:rsidR="00A91AF4">
        <w:t>LGBTIQA+</w:t>
      </w:r>
      <w:r w:rsidRPr="00C55C16">
        <w:t xml:space="preserve"> </w:t>
      </w:r>
      <w:r>
        <w:t xml:space="preserve">inclusion </w:t>
      </w:r>
      <w:r w:rsidRPr="00C55C16">
        <w:t>in government policies, programs and services</w:t>
      </w:r>
    </w:p>
    <w:p w14:paraId="32F1F04E" w14:textId="220712D3" w:rsidR="000E1E7F" w:rsidRDefault="000E1E7F" w:rsidP="000E1E7F">
      <w:pPr>
        <w:pStyle w:val="Heading2"/>
      </w:pPr>
      <w:bookmarkStart w:id="40" w:name="_Toc94870730"/>
      <w:r w:rsidRPr="00885748">
        <w:t>Signs of impact</w:t>
      </w:r>
      <w:r w:rsidR="00EC3684">
        <w:t xml:space="preserve"> </w:t>
      </w:r>
      <w:r w:rsidR="00806A72">
        <w:t xml:space="preserve">under </w:t>
      </w:r>
      <w:r w:rsidR="00EC3684" w:rsidRPr="00EC3684">
        <w:t xml:space="preserve">priority area </w:t>
      </w:r>
      <w:r w:rsidR="00EC3684">
        <w:t>4</w:t>
      </w:r>
      <w:bookmarkEnd w:id="40"/>
    </w:p>
    <w:p w14:paraId="405B671A" w14:textId="73EBC3FF" w:rsidR="000E1E7F" w:rsidRDefault="000E1E7F" w:rsidP="000E1E7F">
      <w:pPr>
        <w:pStyle w:val="Body"/>
      </w:pPr>
      <w:r>
        <w:t xml:space="preserve">To achieve safe, strong and sustainable </w:t>
      </w:r>
      <w:r w:rsidR="00A91AF4">
        <w:t>LGBTIQA+</w:t>
      </w:r>
      <w:r>
        <w:t xml:space="preserve"> communities, </w:t>
      </w:r>
      <w:r w:rsidR="00A91AF4">
        <w:t>LGBTIQA+</w:t>
      </w:r>
      <w:r>
        <w:t xml:space="preserve"> people will see their identities embraced and celebrated. Understanding of </w:t>
      </w:r>
      <w:r w:rsidR="00A91AF4">
        <w:t>LGBTIQA+</w:t>
      </w:r>
      <w:r>
        <w:t xml:space="preserve"> diversity will increase </w:t>
      </w:r>
      <w:r w:rsidR="00D00A0D">
        <w:t>–</w:t>
      </w:r>
      <w:r>
        <w:t xml:space="preserve"> both in and between </w:t>
      </w:r>
      <w:r w:rsidR="00A91AF4">
        <w:t>LGBTIQA+</w:t>
      </w:r>
      <w:r>
        <w:t xml:space="preserve"> communities, and within the broader Victorian</w:t>
      </w:r>
    </w:p>
    <w:p w14:paraId="0D8F2126" w14:textId="7D9F643C" w:rsidR="000E1E7F" w:rsidRDefault="00A91AF4" w:rsidP="000E1E7F">
      <w:pPr>
        <w:pStyle w:val="Body"/>
      </w:pPr>
      <w:r>
        <w:t>LGBTIQA+</w:t>
      </w:r>
      <w:r w:rsidR="000E1E7F">
        <w:t xml:space="preserve"> Victorians, no matter where they live in the state, will feel safer and more confident to lead and contribute to their communities. The Victorian community support for and knowledge of </w:t>
      </w:r>
      <w:r>
        <w:t>LGBTIQA+</w:t>
      </w:r>
      <w:r w:rsidR="000E1E7F">
        <w:t xml:space="preserve"> communities and diversity will grow. </w:t>
      </w:r>
    </w:p>
    <w:p w14:paraId="4565A49B" w14:textId="203C013C" w:rsidR="000E1E7F" w:rsidRPr="000E1E7F" w:rsidRDefault="000E1E7F" w:rsidP="000E1E7F">
      <w:pPr>
        <w:pStyle w:val="Body"/>
      </w:pPr>
      <w:r>
        <w:t xml:space="preserve">To track progress, we want to see </w:t>
      </w:r>
      <w:r w:rsidR="00A91AF4">
        <w:t>LGBTIQA+</w:t>
      </w:r>
      <w:r w:rsidRPr="00612397">
        <w:t xml:space="preserve"> people’s feeling of </w:t>
      </w:r>
      <w:r>
        <w:t xml:space="preserve">their </w:t>
      </w:r>
      <w:r w:rsidRPr="00612397">
        <w:t xml:space="preserve">value </w:t>
      </w:r>
      <w:r>
        <w:t>in</w:t>
      </w:r>
      <w:r w:rsidRPr="00612397">
        <w:t xml:space="preserve"> society increas</w:t>
      </w:r>
      <w:r>
        <w:t>e</w:t>
      </w:r>
      <w:r w:rsidRPr="005F2188">
        <w:t xml:space="preserve"> from </w:t>
      </w:r>
      <w:r>
        <w:t xml:space="preserve">the current </w:t>
      </w:r>
      <w:r w:rsidRPr="005F2188">
        <w:t>41.4 per cent.</w:t>
      </w:r>
      <w:r w:rsidRPr="00612397">
        <w:rPr>
          <w:rStyle w:val="FootnoteReference"/>
        </w:rPr>
        <w:footnoteReference w:id="7"/>
      </w:r>
    </w:p>
    <w:p w14:paraId="0C820BA4" w14:textId="7BCE91B7" w:rsidR="005E5B72" w:rsidRPr="00095CFE" w:rsidRDefault="005E5B72" w:rsidP="00095CFE">
      <w:pPr>
        <w:pStyle w:val="Heading1"/>
        <w:rPr>
          <w:b/>
          <w:sz w:val="32"/>
          <w:szCs w:val="28"/>
        </w:rPr>
      </w:pPr>
      <w:bookmarkStart w:id="42" w:name="_Toc94870731"/>
      <w:r w:rsidRPr="00095CFE">
        <w:rPr>
          <w:rFonts w:eastAsia="Times" w:cs="Times New Roman"/>
          <w:b/>
          <w:bCs w:val="0"/>
          <w:kern w:val="0"/>
          <w:sz w:val="32"/>
          <w:szCs w:val="28"/>
        </w:rPr>
        <w:t>Definitions</w:t>
      </w:r>
      <w:bookmarkEnd w:id="42"/>
    </w:p>
    <w:p w14:paraId="5F125533" w14:textId="77777777" w:rsidR="005E5B72" w:rsidRDefault="005E5B72" w:rsidP="005E5B72">
      <w:pPr>
        <w:pStyle w:val="Body"/>
      </w:pPr>
      <w:r w:rsidRPr="7F4D2638">
        <w:rPr>
          <w:szCs w:val="21"/>
        </w:rPr>
        <w:t>We recognise the diversity of Aboriginal people living throughout Victoria. While the terms ‘Koorie’ or ‘Koori’ are commonly used to describe Aboriginal people of southeast Australia, we have used the term ‘Aboriginal’ to include all people of Aboriginal and Torres Strait Islander descent who are living in Victoria.</w:t>
      </w:r>
    </w:p>
    <w:p w14:paraId="1501CF5A" w14:textId="77777777" w:rsidR="005E5B72" w:rsidRDefault="005E5B72" w:rsidP="005E5B72">
      <w:pPr>
        <w:pStyle w:val="Body"/>
      </w:pPr>
      <w:r>
        <w:t>S</w:t>
      </w:r>
      <w:r w:rsidRPr="00FC2A45">
        <w:t xml:space="preserve">ome data </w:t>
      </w:r>
      <w:r>
        <w:t>mentioned in this document</w:t>
      </w:r>
      <w:r w:rsidRPr="00FC2A45">
        <w:t xml:space="preserve"> is limited</w:t>
      </w:r>
      <w:r>
        <w:t xml:space="preserve"> because it</w:t>
      </w:r>
      <w:r w:rsidRPr="00FC2A45">
        <w:t xml:space="preserve"> does not</w:t>
      </w:r>
      <w:r>
        <w:t xml:space="preserve"> always account for</w:t>
      </w:r>
      <w:r w:rsidRPr="00FC2A45">
        <w:t xml:space="preserve"> the experiences of people with an intersex variation. For this reason, </w:t>
      </w:r>
      <w:r>
        <w:t>we sometimes use</w:t>
      </w:r>
      <w:r w:rsidRPr="00FC2A45">
        <w:t xml:space="preserve"> the term </w:t>
      </w:r>
      <w:r>
        <w:t>‘</w:t>
      </w:r>
      <w:r w:rsidRPr="00FC2A45">
        <w:t>LGBTQ</w:t>
      </w:r>
      <w:r>
        <w:t>+’</w:t>
      </w:r>
      <w:r w:rsidRPr="00FC2A45">
        <w:t xml:space="preserve"> to reflect the research</w:t>
      </w:r>
      <w:r>
        <w:t>’s limitations</w:t>
      </w:r>
      <w:r w:rsidRPr="00FC2A45">
        <w:t>.</w:t>
      </w:r>
      <w:r>
        <w:t xml:space="preserve"> </w:t>
      </w:r>
    </w:p>
    <w:p w14:paraId="017C5982" w14:textId="77777777" w:rsidR="005E5B72" w:rsidRDefault="005E5B72" w:rsidP="005E5B72">
      <w:pPr>
        <w:pStyle w:val="Body"/>
        <w:tabs>
          <w:tab w:val="left" w:pos="9450"/>
        </w:tabs>
      </w:pPr>
      <w:r w:rsidRPr="00C9603D">
        <w:t xml:space="preserve">The words ‘our’ and ‘we’ </w:t>
      </w:r>
      <w:r>
        <w:t xml:space="preserve">used </w:t>
      </w:r>
      <w:r w:rsidRPr="00C9603D">
        <w:t>throughout this document refer to the Victorian Government.</w:t>
      </w:r>
      <w:r>
        <w:t xml:space="preserve"> </w:t>
      </w:r>
    </w:p>
    <w:p w14:paraId="312DEA78" w14:textId="08965CE3" w:rsidR="00162CA9" w:rsidRDefault="005E5B72" w:rsidP="00162CA9">
      <w:pPr>
        <w:pStyle w:val="Body"/>
      </w:pPr>
      <w:r>
        <w:t xml:space="preserve">For a more complete list of definitions, please refer to the full </w:t>
      </w:r>
      <w:r w:rsidR="00A91AF4">
        <w:t>LGBTIQA+</w:t>
      </w:r>
      <w:r w:rsidR="0026165C">
        <w:t xml:space="preserve"> </w:t>
      </w:r>
      <w:r>
        <w:t>strategy.</w:t>
      </w:r>
    </w:p>
    <w:p w14:paraId="0B84969E" w14:textId="758A50FD" w:rsidR="00355FA8" w:rsidRDefault="00355FA8">
      <w:pPr>
        <w:spacing w:after="0" w:line="240" w:lineRule="auto"/>
        <w:rPr>
          <w:rFonts w:eastAsia="Times"/>
          <w:sz w:val="28"/>
        </w:rPr>
      </w:pPr>
      <w:r>
        <w:br w:type="page"/>
      </w:r>
    </w:p>
    <w:p w14:paraId="3B67C38A" w14:textId="5C5E7F00" w:rsidR="004232C6" w:rsidRPr="00E76426" w:rsidRDefault="004232C6" w:rsidP="00355FA8">
      <w:pPr>
        <w:pStyle w:val="Body"/>
      </w:pPr>
      <w:r w:rsidRPr="00355FA8">
        <w:t xml:space="preserve">To receive this document in another format, </w:t>
      </w:r>
      <w:hyperlink r:id="rId12" w:history="1">
        <w:r w:rsidRPr="00355FA8">
          <w:rPr>
            <w:rStyle w:val="Hyperlink"/>
            <w:rFonts w:ascii="Arial" w:hAnsi="Arial"/>
          </w:rPr>
          <w:t>email the Equality Unit</w:t>
        </w:r>
      </w:hyperlink>
      <w:r w:rsidRPr="00E76426">
        <w:t xml:space="preserve"> &lt;equality@dffh.vic.gov.au&gt;. </w:t>
      </w:r>
    </w:p>
    <w:p w14:paraId="16C5686A" w14:textId="77777777" w:rsidR="004232C6" w:rsidRPr="00E76426" w:rsidRDefault="004232C6" w:rsidP="00355FA8">
      <w:pPr>
        <w:pStyle w:val="Body"/>
      </w:pPr>
      <w:r w:rsidRPr="00E76426">
        <w:t>Authorised and published by the Victorian Government, 1 Treasury Place, Melbourne.</w:t>
      </w:r>
    </w:p>
    <w:p w14:paraId="2E4377D6" w14:textId="77777777" w:rsidR="004232C6" w:rsidRPr="00E76426" w:rsidRDefault="004232C6" w:rsidP="00355FA8">
      <w:pPr>
        <w:pStyle w:val="Body"/>
      </w:pPr>
      <w:r w:rsidRPr="00E76426">
        <w:t>© State of Victoria, Australia, Department of Families, Fairness and Housing, February 2022.</w:t>
      </w:r>
    </w:p>
    <w:p w14:paraId="6D591199" w14:textId="77777777" w:rsidR="004232C6" w:rsidRPr="00E76426" w:rsidRDefault="004232C6" w:rsidP="00355FA8">
      <w:pPr>
        <w:pStyle w:val="Body"/>
      </w:pPr>
      <w:r w:rsidRPr="00E76426">
        <w:rPr>
          <w:noProof/>
          <w:lang w:eastAsia="zh-CN"/>
        </w:rPr>
        <w:drawing>
          <wp:inline distT="0" distB="0" distL="0" distR="0" wp14:anchorId="12B6A200" wp14:editId="037198CB">
            <wp:extent cx="1222375" cy="422275"/>
            <wp:effectExtent l="0" t="0" r="0" b="0"/>
            <wp:docPr id="1" name="Picture 4" descr="Description: CC (Creative commons)_by">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0D051804" w14:textId="4BE3A207" w:rsidR="004232C6" w:rsidRPr="00E76426" w:rsidRDefault="004232C6" w:rsidP="00355FA8">
      <w:pPr>
        <w:pStyle w:val="Body"/>
      </w:pPr>
      <w:r w:rsidRPr="00E76426">
        <w:t xml:space="preserve">With the exception of any images, photographs or branding (including, but not limited to the Victorian Coat of Arms, the Victorian Government logo or the Department of Families, Fairness and Housing logo), this work, </w:t>
      </w:r>
      <w:r w:rsidRPr="00D00A0D">
        <w:rPr>
          <w:b/>
          <w:bCs/>
          <w:iCs/>
        </w:rPr>
        <w:t xml:space="preserve">Pride in our future: Victoria’s </w:t>
      </w:r>
      <w:r w:rsidR="00A91AF4">
        <w:rPr>
          <w:b/>
          <w:bCs/>
          <w:iCs/>
        </w:rPr>
        <w:t>LGBTIQA+</w:t>
      </w:r>
      <w:r w:rsidRPr="00D00A0D">
        <w:rPr>
          <w:b/>
          <w:bCs/>
          <w:iCs/>
        </w:rPr>
        <w:t xml:space="preserve"> strategy 2022</w:t>
      </w:r>
      <w:r w:rsidR="00D00A0D" w:rsidRPr="00D00A0D">
        <w:rPr>
          <w:b/>
          <w:bCs/>
          <w:iCs/>
        </w:rPr>
        <w:t>–</w:t>
      </w:r>
      <w:r w:rsidRPr="00D00A0D">
        <w:rPr>
          <w:b/>
          <w:bCs/>
          <w:iCs/>
        </w:rPr>
        <w:t>32</w:t>
      </w:r>
      <w:r w:rsidR="00E50F29" w:rsidRPr="00D00A0D">
        <w:rPr>
          <w:b/>
          <w:bCs/>
          <w:iCs/>
        </w:rPr>
        <w:t xml:space="preserve"> </w:t>
      </w:r>
      <w:r w:rsidR="00D00A0D" w:rsidRPr="00D00A0D">
        <w:rPr>
          <w:b/>
          <w:bCs/>
          <w:iCs/>
        </w:rPr>
        <w:t>–</w:t>
      </w:r>
      <w:r w:rsidR="00E50F29" w:rsidRPr="00D00A0D">
        <w:rPr>
          <w:b/>
          <w:bCs/>
          <w:iCs/>
        </w:rPr>
        <w:t xml:space="preserve"> summary</w:t>
      </w:r>
      <w:r w:rsidRPr="00E76426">
        <w:t>, is licensed under a Creative Commons Attribution 4.0 licence.</w:t>
      </w:r>
    </w:p>
    <w:p w14:paraId="177707A1" w14:textId="77777777" w:rsidR="004232C6" w:rsidRPr="00E76426" w:rsidRDefault="004232C6" w:rsidP="00355FA8">
      <w:pPr>
        <w:pStyle w:val="Body"/>
      </w:pPr>
      <w:r w:rsidRPr="00E76426">
        <w:t xml:space="preserve">The terms and conditions of this licence, including disclaimer of warranties and limitation of liability are available at </w:t>
      </w:r>
      <w:hyperlink r:id="rId15" w:history="1">
        <w:r w:rsidRPr="00355FA8">
          <w:rPr>
            <w:rStyle w:val="Hyperlink"/>
            <w:rFonts w:ascii="Arial" w:hAnsi="Arial"/>
          </w:rPr>
          <w:t xml:space="preserve">Creative Commons Attribution 4.0 International Public License </w:t>
        </w:r>
      </w:hyperlink>
      <w:r w:rsidRPr="00E76426">
        <w:t>&lt;https://creativecommons.org/licenses/by/4.0/&gt;</w:t>
      </w:r>
    </w:p>
    <w:p w14:paraId="4C6C6B7A" w14:textId="77777777" w:rsidR="004232C6" w:rsidRPr="00E76426" w:rsidRDefault="004232C6" w:rsidP="00355FA8">
      <w:pPr>
        <w:pStyle w:val="Body"/>
      </w:pPr>
      <w:r w:rsidRPr="00E76426">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766405CD" w14:textId="77777777" w:rsidR="004232C6" w:rsidRPr="00E76426" w:rsidRDefault="004232C6" w:rsidP="00355FA8">
      <w:pPr>
        <w:pStyle w:val="Body"/>
      </w:pPr>
      <w:r w:rsidRPr="00E76426">
        <w:t xml:space="preserve">Except where otherwise indicated, the images in this document show models and illustrative settings only, and do not necessarily depict actual services, facilities or recipients of services. </w:t>
      </w:r>
    </w:p>
    <w:p w14:paraId="744FB60B" w14:textId="5F1E4095" w:rsidR="004232C6" w:rsidRPr="00E76426" w:rsidRDefault="00D9457D" w:rsidP="00355FA8">
      <w:pPr>
        <w:pStyle w:val="Body"/>
      </w:pPr>
      <w:r w:rsidRPr="00E76426">
        <w:t xml:space="preserve">ISBN </w:t>
      </w:r>
      <w:r w:rsidR="00A91AF4">
        <w:rPr>
          <w:rFonts w:cs="Arial"/>
          <w:color w:val="000000"/>
        </w:rPr>
        <w:t>978-1-76130-416-3</w:t>
      </w:r>
      <w:r w:rsidR="00A91AF4" w:rsidRPr="00E76426">
        <w:t xml:space="preserve"> </w:t>
      </w:r>
      <w:r w:rsidRPr="00E76426">
        <w:t>(pdf/online/MS word)</w:t>
      </w:r>
    </w:p>
    <w:p w14:paraId="14BEE18B" w14:textId="021BDBB7" w:rsidR="00162CA9" w:rsidRDefault="00047B8A" w:rsidP="00355FA8">
      <w:pPr>
        <w:pStyle w:val="Body"/>
      </w:pPr>
      <w:r w:rsidRPr="00E76426">
        <w:t xml:space="preserve">Available at </w:t>
      </w:r>
      <w:hyperlink r:id="rId16" w:history="1">
        <w:r w:rsidR="00355FA8" w:rsidRPr="00355FA8">
          <w:rPr>
            <w:rStyle w:val="Hyperlink"/>
            <w:rFonts w:ascii="Arial" w:hAnsi="Arial"/>
          </w:rPr>
          <w:t xml:space="preserve">Pride in our future: Victoria’s </w:t>
        </w:r>
        <w:r w:rsidR="00A91AF4">
          <w:rPr>
            <w:rStyle w:val="Hyperlink"/>
            <w:rFonts w:ascii="Arial" w:hAnsi="Arial"/>
          </w:rPr>
          <w:t>LGBTIQA+</w:t>
        </w:r>
        <w:r w:rsidR="00355FA8" w:rsidRPr="00355FA8">
          <w:rPr>
            <w:rStyle w:val="Hyperlink"/>
            <w:rFonts w:ascii="Arial" w:hAnsi="Arial"/>
          </w:rPr>
          <w:t xml:space="preserve"> strategy 2022–32</w:t>
        </w:r>
      </w:hyperlink>
      <w:r w:rsidR="00355FA8">
        <w:t xml:space="preserve"> &lt;https://www.vic.gov.au/pride-our-future-victorias-lgbtiq-strategy-2022-32&gt;</w:t>
      </w:r>
    </w:p>
    <w:sectPr w:rsidR="00162CA9" w:rsidSect="00621C96">
      <w:headerReference w:type="default" r:id="rId17"/>
      <w:footerReference w:type="default" r:id="rId18"/>
      <w:footerReference w:type="first" r:id="rId19"/>
      <w:type w:val="continuous"/>
      <w:pgSz w:w="11906" w:h="16838" w:code="9"/>
      <w:pgMar w:top="1440" w:right="851" w:bottom="704" w:left="851" w:header="680" w:footer="86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9B462" w14:textId="77777777" w:rsidR="0004070D" w:rsidRDefault="0004070D">
      <w:r>
        <w:separator/>
      </w:r>
    </w:p>
    <w:p w14:paraId="62F9CF8B" w14:textId="77777777" w:rsidR="0004070D" w:rsidRDefault="0004070D"/>
  </w:endnote>
  <w:endnote w:type="continuationSeparator" w:id="0">
    <w:p w14:paraId="0CEC5D3A" w14:textId="77777777" w:rsidR="0004070D" w:rsidRDefault="0004070D">
      <w:r>
        <w:continuationSeparator/>
      </w:r>
    </w:p>
    <w:p w14:paraId="62C125E7" w14:textId="77777777" w:rsidR="0004070D" w:rsidRDefault="0004070D"/>
  </w:endnote>
  <w:endnote w:type="continuationNotice" w:id="1">
    <w:p w14:paraId="45877AF3" w14:textId="77777777" w:rsidR="0004070D" w:rsidRDefault="000407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BEB5" w14:textId="3FADB259" w:rsidR="00FE5A18" w:rsidRPr="00F65AA9" w:rsidRDefault="00355FA8" w:rsidP="00EF2C72">
    <w:pPr>
      <w:pStyle w:val="Footer"/>
    </w:pPr>
    <w:r>
      <w:rPr>
        <w:noProof/>
      </w:rPr>
      <mc:AlternateContent>
        <mc:Choice Requires="wps">
          <w:drawing>
            <wp:anchor distT="0" distB="0" distL="114300" distR="114300" simplePos="0" relativeHeight="251659267" behindDoc="0" locked="0" layoutInCell="0" allowOverlap="1" wp14:anchorId="059FCFFC" wp14:editId="5CEE0A21">
              <wp:simplePos x="0" y="0"/>
              <wp:positionH relativeFrom="page">
                <wp:posOffset>0</wp:posOffset>
              </wp:positionH>
              <wp:positionV relativeFrom="page">
                <wp:posOffset>10189210</wp:posOffset>
              </wp:positionV>
              <wp:extent cx="7560310" cy="311785"/>
              <wp:effectExtent l="0" t="0" r="0" b="12065"/>
              <wp:wrapNone/>
              <wp:docPr id="5" name="MSIPCMf9ba48b4ac89df64336ee73d"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D5144A" w14:textId="3C8C8763" w:rsidR="00355FA8" w:rsidRPr="00355FA8" w:rsidRDefault="00355FA8" w:rsidP="00355FA8">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9FCFFC" id="_x0000_t202" coordsize="21600,21600" o:spt="202" path="m,l,21600r21600,l21600,xe">
              <v:stroke joinstyle="miter"/>
              <v:path gradientshapeok="t" o:connecttype="rect"/>
            </v:shapetype>
            <v:shape id="MSIPCMf9ba48b4ac89df64336ee73d"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1D5144A" w14:textId="3C8C8763" w:rsidR="00355FA8" w:rsidRPr="00355FA8" w:rsidRDefault="00355FA8" w:rsidP="00355FA8">
                    <w:pPr>
                      <w:spacing w:after="0"/>
                      <w:jc w:val="center"/>
                      <w:rPr>
                        <w:rFonts w:ascii="Arial Black" w:hAnsi="Arial Black"/>
                        <w:color w:val="000000"/>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F91C" w14:textId="7D0412AA" w:rsidR="00CB26DE" w:rsidRDefault="00621C96">
    <w:pPr>
      <w:pStyle w:val="Footer"/>
    </w:pPr>
    <w:r>
      <w:rPr>
        <w:noProof/>
      </w:rPr>
      <w:drawing>
        <wp:anchor distT="0" distB="0" distL="114300" distR="114300" simplePos="0" relativeHeight="251658243" behindDoc="0" locked="1" layoutInCell="1" allowOverlap="1" wp14:anchorId="17A2212B" wp14:editId="72D3813F">
          <wp:simplePos x="0" y="0"/>
          <wp:positionH relativeFrom="page">
            <wp:align>left</wp:align>
          </wp:positionH>
          <wp:positionV relativeFrom="page">
            <wp:align>bottom</wp:align>
          </wp:positionV>
          <wp:extent cx="7559675" cy="921385"/>
          <wp:effectExtent l="0" t="0" r="3175" b="0"/>
          <wp:wrapNone/>
          <wp:docPr id="12" name="Picture 12"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1385"/>
                  </a:xfrm>
                  <a:prstGeom prst="rect">
                    <a:avLst/>
                  </a:prstGeom>
                  <a:noFill/>
                  <a:ln>
                    <a:noFill/>
                  </a:ln>
                </pic:spPr>
              </pic:pic>
            </a:graphicData>
          </a:graphic>
          <wp14:sizeRelH relativeFrom="page">
            <wp14:pctWidth>0</wp14:pctWidth>
          </wp14:sizeRelH>
          <wp14:sizeRelV relativeFrom="page">
            <wp14:pctHeight>0</wp14:pctHeight>
          </wp14:sizeRelV>
        </wp:anchor>
      </w:drawing>
    </w:r>
    <w:r w:rsidR="00CB26DE">
      <w:rPr>
        <w:noProof/>
      </w:rPr>
      <mc:AlternateContent>
        <mc:Choice Requires="wps">
          <w:drawing>
            <wp:anchor distT="0" distB="0" distL="114300" distR="114300" simplePos="0" relativeHeight="251658242" behindDoc="0" locked="0" layoutInCell="0" allowOverlap="1" wp14:anchorId="204CEE29" wp14:editId="2228FB37">
              <wp:simplePos x="0" y="0"/>
              <wp:positionH relativeFrom="page">
                <wp:posOffset>0</wp:posOffset>
              </wp:positionH>
              <wp:positionV relativeFrom="page">
                <wp:posOffset>10189210</wp:posOffset>
              </wp:positionV>
              <wp:extent cx="7560310" cy="311785"/>
              <wp:effectExtent l="0" t="0" r="0" b="12065"/>
              <wp:wrapNone/>
              <wp:docPr id="4" name="MSIPCM32a24a84a5a394bbb21d1d91"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C95467" w14:textId="6DBB111D" w:rsidR="00CB26DE" w:rsidRPr="00CB26DE" w:rsidRDefault="00CB26DE" w:rsidP="00CB26DE">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4CEE29" id="_x0000_t202" coordsize="21600,21600" o:spt="202" path="m,l,21600r21600,l21600,xe">
              <v:stroke joinstyle="miter"/>
              <v:path gradientshapeok="t" o:connecttype="rect"/>
            </v:shapetype>
            <v:shape id="MSIPCM32a24a84a5a394bbb21d1d91"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EC95467" w14:textId="6DBB111D" w:rsidR="00CB26DE" w:rsidRPr="00CB26DE" w:rsidRDefault="00CB26DE" w:rsidP="00CB26DE">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5E3FC" w14:textId="77777777" w:rsidR="0004070D" w:rsidRDefault="0004070D" w:rsidP="00207717">
      <w:pPr>
        <w:spacing w:before="120"/>
      </w:pPr>
      <w:r>
        <w:separator/>
      </w:r>
    </w:p>
  </w:footnote>
  <w:footnote w:type="continuationSeparator" w:id="0">
    <w:p w14:paraId="16663D7D" w14:textId="77777777" w:rsidR="0004070D" w:rsidRDefault="0004070D">
      <w:r>
        <w:continuationSeparator/>
      </w:r>
    </w:p>
    <w:p w14:paraId="6B5190B1" w14:textId="77777777" w:rsidR="0004070D" w:rsidRDefault="0004070D"/>
  </w:footnote>
  <w:footnote w:type="continuationNotice" w:id="1">
    <w:p w14:paraId="3CFCAFC0" w14:textId="77777777" w:rsidR="0004070D" w:rsidRDefault="0004070D">
      <w:pPr>
        <w:spacing w:after="0" w:line="240" w:lineRule="auto"/>
      </w:pPr>
    </w:p>
  </w:footnote>
  <w:footnote w:id="2">
    <w:p w14:paraId="35CC6F63" w14:textId="534151E1" w:rsidR="008C3683" w:rsidRPr="002975C9" w:rsidRDefault="008C3683" w:rsidP="008C3683">
      <w:pPr>
        <w:pStyle w:val="FootnoteText"/>
        <w:rPr>
          <w:szCs w:val="20"/>
        </w:rPr>
      </w:pPr>
      <w:r w:rsidRPr="002975C9">
        <w:rPr>
          <w:rStyle w:val="FootnoteReference"/>
          <w:szCs w:val="20"/>
        </w:rPr>
        <w:footnoteRef/>
      </w:r>
      <w:r w:rsidRPr="002975C9">
        <w:rPr>
          <w:szCs w:val="20"/>
        </w:rPr>
        <w:t xml:space="preserve"> The Victorian Population Health Survey 2017 estimates that 5.7 per cent of Victorian adults are </w:t>
      </w:r>
      <w:r w:rsidR="00A91AF4">
        <w:rPr>
          <w:szCs w:val="20"/>
        </w:rPr>
        <w:t>LGBTIQA+</w:t>
      </w:r>
      <w:r w:rsidRPr="002975C9">
        <w:rPr>
          <w:szCs w:val="20"/>
        </w:rPr>
        <w:t xml:space="preserve">. Source: Victorian Agency for Health Information (VAHI) 2020, </w:t>
      </w:r>
      <w:r w:rsidRPr="00D00A0D">
        <w:rPr>
          <w:szCs w:val="20"/>
        </w:rPr>
        <w:t>The health and wellbeing of the lesbian, gay, bisexual, transgender, intersex and queer population in Victoria: findings from the Victorian Population Health Survey 2017, State of Victoria, Melbourne, 4.</w:t>
      </w:r>
    </w:p>
  </w:footnote>
  <w:footnote w:id="3">
    <w:p w14:paraId="77A9AABD" w14:textId="056DED8A" w:rsidR="000E1E7F" w:rsidRPr="00D00A0D" w:rsidRDefault="000E1E7F" w:rsidP="000E1E7F">
      <w:pPr>
        <w:pStyle w:val="FootnoteText"/>
        <w:spacing w:line="240" w:lineRule="auto"/>
        <w:rPr>
          <w:iCs/>
          <w:szCs w:val="20"/>
        </w:rPr>
      </w:pPr>
      <w:r w:rsidRPr="002975C9">
        <w:rPr>
          <w:rStyle w:val="FootnoteReference"/>
          <w:szCs w:val="20"/>
        </w:rPr>
        <w:footnoteRef/>
      </w:r>
      <w:r w:rsidRPr="002975C9">
        <w:rPr>
          <w:szCs w:val="20"/>
        </w:rPr>
        <w:t xml:space="preserve"> 34.2 per cent of </w:t>
      </w:r>
      <w:r w:rsidR="00A91AF4">
        <w:rPr>
          <w:szCs w:val="20"/>
        </w:rPr>
        <w:t>LGBTIQA+</w:t>
      </w:r>
      <w:r w:rsidRPr="002975C9">
        <w:rPr>
          <w:szCs w:val="20"/>
        </w:rPr>
        <w:t xml:space="preserve"> adults experienced discrimination or were treated unfairly by others in the last year. This statistic is not only related to </w:t>
      </w:r>
      <w:r w:rsidR="00A91AF4">
        <w:rPr>
          <w:szCs w:val="20"/>
        </w:rPr>
        <w:t>LGBTIQA+</w:t>
      </w:r>
      <w:r w:rsidRPr="002975C9">
        <w:rPr>
          <w:szCs w:val="20"/>
        </w:rPr>
        <w:t xml:space="preserve"> based violence, but all forms of discrimination experienced by </w:t>
      </w:r>
      <w:r w:rsidR="00A91AF4">
        <w:rPr>
          <w:szCs w:val="20"/>
        </w:rPr>
        <w:t>LGBTIQA+</w:t>
      </w:r>
      <w:r w:rsidRPr="002975C9">
        <w:rPr>
          <w:szCs w:val="20"/>
        </w:rPr>
        <w:t xml:space="preserve"> people. Source: VAHI 2020, </w:t>
      </w:r>
      <w:r w:rsidRPr="00D00A0D">
        <w:rPr>
          <w:iCs/>
          <w:szCs w:val="20"/>
        </w:rPr>
        <w:t>The health and wellbeing of the lesbian, gay, bisexual, transgender, intersex and queer population in Victoria: findings from the Victorian Population Health Survey 2017, State of Victoria, Melbourne.</w:t>
      </w:r>
    </w:p>
  </w:footnote>
  <w:footnote w:id="4">
    <w:p w14:paraId="43080A73" w14:textId="77777777" w:rsidR="000E1E7F" w:rsidRPr="002E14DC" w:rsidRDefault="000E1E7F" w:rsidP="000E1E7F">
      <w:pPr>
        <w:pStyle w:val="FootnoteText"/>
        <w:spacing w:line="240" w:lineRule="auto"/>
        <w:rPr>
          <w:sz w:val="15"/>
          <w:szCs w:val="15"/>
        </w:rPr>
      </w:pPr>
      <w:r w:rsidRPr="00D00A0D">
        <w:rPr>
          <w:rStyle w:val="FootnoteReference"/>
          <w:iCs/>
          <w:szCs w:val="20"/>
        </w:rPr>
        <w:footnoteRef/>
      </w:r>
      <w:r w:rsidRPr="00D00A0D">
        <w:rPr>
          <w:iCs/>
          <w:szCs w:val="20"/>
        </w:rPr>
        <w:t xml:space="preserve"> Ibid.</w:t>
      </w:r>
    </w:p>
  </w:footnote>
  <w:footnote w:id="5">
    <w:p w14:paraId="1809D2FD" w14:textId="77777777" w:rsidR="000E1E7F" w:rsidRPr="002975C9" w:rsidRDefault="000E1E7F" w:rsidP="000E1E7F">
      <w:pPr>
        <w:pStyle w:val="FootnoteText"/>
        <w:rPr>
          <w:szCs w:val="20"/>
        </w:rPr>
      </w:pPr>
      <w:r w:rsidRPr="002975C9">
        <w:rPr>
          <w:szCs w:val="20"/>
          <w:vertAlign w:val="superscript"/>
        </w:rPr>
        <w:t xml:space="preserve">5 </w:t>
      </w:r>
      <w:r w:rsidRPr="002975C9">
        <w:rPr>
          <w:szCs w:val="20"/>
        </w:rPr>
        <w:t>Hill AO, et al. 2021c, Writing themselves in 4: the health and wellbeing of LGBTQA+ young people in Australia. Victoria summary report, Australian Research Centre in Sex, Health and Society, La Trobe University, Melbourne, 10.</w:t>
      </w:r>
    </w:p>
  </w:footnote>
  <w:footnote w:id="6">
    <w:p w14:paraId="487F42C0" w14:textId="77777777" w:rsidR="00FE5A18" w:rsidRPr="002975C9" w:rsidRDefault="00FE5A18" w:rsidP="00194BA4">
      <w:pPr>
        <w:pStyle w:val="FootnoteText"/>
        <w:rPr>
          <w:szCs w:val="20"/>
        </w:rPr>
      </w:pPr>
      <w:r w:rsidRPr="002975C9">
        <w:rPr>
          <w:rStyle w:val="FootnoteReference"/>
          <w:szCs w:val="20"/>
        </w:rPr>
        <w:footnoteRef/>
      </w:r>
      <w:r w:rsidRPr="002975C9">
        <w:rPr>
          <w:szCs w:val="20"/>
        </w:rPr>
        <w:t xml:space="preserve"> Hill AO, et al. 2020, </w:t>
      </w:r>
      <w:r w:rsidRPr="00D00A0D">
        <w:rPr>
          <w:szCs w:val="20"/>
        </w:rPr>
        <w:t>Private Lives 3: The health and wellbeing of LGBTIQ people in Australia, Australian Research Centre in Sex, Health and Society</w:t>
      </w:r>
      <w:r w:rsidRPr="002975C9">
        <w:rPr>
          <w:szCs w:val="20"/>
        </w:rPr>
        <w:t>, La Trobe University, Melbourne.</w:t>
      </w:r>
    </w:p>
  </w:footnote>
  <w:footnote w:id="7">
    <w:p w14:paraId="195D2E88" w14:textId="77777777" w:rsidR="000E1E7F" w:rsidRPr="002975C9" w:rsidRDefault="000E1E7F" w:rsidP="000E1E7F">
      <w:pPr>
        <w:pStyle w:val="FootnoteText"/>
        <w:rPr>
          <w:szCs w:val="20"/>
        </w:rPr>
      </w:pPr>
      <w:r w:rsidRPr="002975C9">
        <w:rPr>
          <w:rStyle w:val="FootnoteReference"/>
          <w:szCs w:val="20"/>
        </w:rPr>
        <w:footnoteRef/>
      </w:r>
      <w:r w:rsidRPr="002975C9">
        <w:rPr>
          <w:szCs w:val="20"/>
        </w:rPr>
        <w:t xml:space="preserve"> Respond ‘yes, definitely’ to feeling valued by society. Source: </w:t>
      </w:r>
      <w:bookmarkStart w:id="41" w:name="_Hlk77081350"/>
      <w:r w:rsidRPr="002975C9">
        <w:rPr>
          <w:szCs w:val="20"/>
        </w:rPr>
        <w:t xml:space="preserve">VAHI 2020, </w:t>
      </w:r>
      <w:r w:rsidRPr="00D00A0D">
        <w:rPr>
          <w:iCs/>
          <w:szCs w:val="20"/>
        </w:rPr>
        <w:t>The health and wellbeing of the lesbian, gay, bisexual, transgender, intersex and queer population in Victoria: findings from the Victorian Population Health Survey 2017, State of Victoria, Melbourne</w:t>
      </w:r>
      <w:r w:rsidRPr="002975C9">
        <w:rPr>
          <w:szCs w:val="20"/>
        </w:rPr>
        <w:t>.</w:t>
      </w:r>
      <w:bookmarkEnd w:id="4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A4FD" w14:textId="2B83013B" w:rsidR="002975C9" w:rsidRPr="002975C9" w:rsidRDefault="002975C9">
    <w:pPr>
      <w:pStyle w:val="Header"/>
      <w:rPr>
        <w:sz w:val="22"/>
        <w:szCs w:val="22"/>
      </w:rPr>
    </w:pPr>
    <w:r w:rsidRPr="002975C9">
      <w:rPr>
        <w:sz w:val="22"/>
        <w:szCs w:val="22"/>
      </w:rPr>
      <w:t>Pride in our future: Victoria’s LGBTIQ</w:t>
    </w:r>
    <w:r w:rsidR="00A91AF4">
      <w:rPr>
        <w:sz w:val="22"/>
        <w:szCs w:val="22"/>
      </w:rPr>
      <w:t>A</w:t>
    </w:r>
    <w:r w:rsidRPr="002975C9">
      <w:rPr>
        <w:sz w:val="22"/>
        <w:szCs w:val="22"/>
      </w:rPr>
      <w:t>+ strategy 2022–32 – summary (accessible)</w:t>
    </w:r>
    <w:r w:rsidRPr="002975C9">
      <w:rPr>
        <w:sz w:val="22"/>
        <w:szCs w:val="22"/>
      </w:rPr>
      <w:ptab w:relativeTo="margin" w:alignment="right" w:leader="none"/>
    </w:r>
    <w:r w:rsidRPr="002975C9">
      <w:rPr>
        <w:b w:val="0"/>
        <w:bCs/>
        <w:sz w:val="22"/>
        <w:szCs w:val="22"/>
      </w:rPr>
      <w:fldChar w:fldCharType="begin"/>
    </w:r>
    <w:r w:rsidRPr="002975C9">
      <w:rPr>
        <w:bCs/>
        <w:sz w:val="22"/>
        <w:szCs w:val="22"/>
      </w:rPr>
      <w:instrText xml:space="preserve"> PAGE </w:instrText>
    </w:r>
    <w:r w:rsidRPr="002975C9">
      <w:rPr>
        <w:b w:val="0"/>
        <w:bCs/>
        <w:sz w:val="22"/>
        <w:szCs w:val="22"/>
      </w:rPr>
      <w:fldChar w:fldCharType="separate"/>
    </w:r>
    <w:r w:rsidRPr="002975C9">
      <w:rPr>
        <w:b w:val="0"/>
        <w:bCs/>
        <w:sz w:val="22"/>
        <w:szCs w:val="22"/>
      </w:rPr>
      <w:t>2</w:t>
    </w:r>
    <w:r w:rsidRPr="002975C9">
      <w:rPr>
        <w:b w:val="0"/>
        <w:bCs/>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0A31DF"/>
    <w:multiLevelType w:val="hybridMultilevel"/>
    <w:tmpl w:val="CAFA55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B8D43DB"/>
    <w:multiLevelType w:val="multilevel"/>
    <w:tmpl w:val="5890EA66"/>
    <w:numStyleLink w:val="ZZNumbersdigit"/>
  </w:abstractNum>
  <w:abstractNum w:abstractNumId="16"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2B43C12"/>
    <w:multiLevelType w:val="hybridMultilevel"/>
    <w:tmpl w:val="EDEC26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15645817">
    <w:abstractNumId w:val="11"/>
  </w:num>
  <w:num w:numId="2" w16cid:durableId="756633071">
    <w:abstractNumId w:val="19"/>
  </w:num>
  <w:num w:numId="3" w16cid:durableId="12305805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5857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8305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33574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6681569">
    <w:abstractNumId w:val="24"/>
  </w:num>
  <w:num w:numId="8" w16cid:durableId="890071613">
    <w:abstractNumId w:val="18"/>
  </w:num>
  <w:num w:numId="9" w16cid:durableId="1871725867">
    <w:abstractNumId w:val="23"/>
  </w:num>
  <w:num w:numId="10" w16cid:durableId="9082710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7236429">
    <w:abstractNumId w:val="25"/>
  </w:num>
  <w:num w:numId="12" w16cid:durableId="20981659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531789">
    <w:abstractNumId w:val="20"/>
  </w:num>
  <w:num w:numId="14" w16cid:durableId="18706833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50372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0064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89257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1755832">
    <w:abstractNumId w:val="27"/>
  </w:num>
  <w:num w:numId="19" w16cid:durableId="651087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4495825">
    <w:abstractNumId w:val="16"/>
  </w:num>
  <w:num w:numId="21" w16cid:durableId="1523592380">
    <w:abstractNumId w:val="13"/>
  </w:num>
  <w:num w:numId="22" w16cid:durableId="15812531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5486625">
    <w:abstractNumId w:val="17"/>
  </w:num>
  <w:num w:numId="24" w16cid:durableId="277218506">
    <w:abstractNumId w:val="28"/>
  </w:num>
  <w:num w:numId="25" w16cid:durableId="414403808">
    <w:abstractNumId w:val="26"/>
  </w:num>
  <w:num w:numId="26" w16cid:durableId="418137467">
    <w:abstractNumId w:val="22"/>
  </w:num>
  <w:num w:numId="27" w16cid:durableId="1091586818">
    <w:abstractNumId w:val="12"/>
  </w:num>
  <w:num w:numId="28" w16cid:durableId="762605102">
    <w:abstractNumId w:val="29"/>
  </w:num>
  <w:num w:numId="29" w16cid:durableId="741372550">
    <w:abstractNumId w:val="9"/>
  </w:num>
  <w:num w:numId="30" w16cid:durableId="1512069391">
    <w:abstractNumId w:val="7"/>
  </w:num>
  <w:num w:numId="31" w16cid:durableId="699354231">
    <w:abstractNumId w:val="6"/>
  </w:num>
  <w:num w:numId="32" w16cid:durableId="525290329">
    <w:abstractNumId w:val="5"/>
  </w:num>
  <w:num w:numId="33" w16cid:durableId="1494296007">
    <w:abstractNumId w:val="4"/>
  </w:num>
  <w:num w:numId="34" w16cid:durableId="1697190332">
    <w:abstractNumId w:val="8"/>
  </w:num>
  <w:num w:numId="35" w16cid:durableId="1311448472">
    <w:abstractNumId w:val="3"/>
  </w:num>
  <w:num w:numId="36" w16cid:durableId="2056927743">
    <w:abstractNumId w:val="2"/>
  </w:num>
  <w:num w:numId="37" w16cid:durableId="1691956694">
    <w:abstractNumId w:val="1"/>
  </w:num>
  <w:num w:numId="38" w16cid:durableId="1420716990">
    <w:abstractNumId w:val="0"/>
  </w:num>
  <w:num w:numId="39" w16cid:durableId="1680664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91582808">
    <w:abstractNumId w:val="21"/>
  </w:num>
  <w:num w:numId="41" w16cid:durableId="467741926">
    <w:abstractNumId w:val="10"/>
  </w:num>
  <w:num w:numId="42" w16cid:durableId="155878560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835"/>
    <w:rsid w:val="00002D68"/>
    <w:rsid w:val="000030BF"/>
    <w:rsid w:val="00003403"/>
    <w:rsid w:val="000035C9"/>
    <w:rsid w:val="00004475"/>
    <w:rsid w:val="00005347"/>
    <w:rsid w:val="000072B6"/>
    <w:rsid w:val="0001021B"/>
    <w:rsid w:val="00011D89"/>
    <w:rsid w:val="000154FD"/>
    <w:rsid w:val="00022271"/>
    <w:rsid w:val="000235E8"/>
    <w:rsid w:val="00024D89"/>
    <w:rsid w:val="000250B6"/>
    <w:rsid w:val="00025B70"/>
    <w:rsid w:val="000278CF"/>
    <w:rsid w:val="00030246"/>
    <w:rsid w:val="00033D81"/>
    <w:rsid w:val="000345F5"/>
    <w:rsid w:val="00034A28"/>
    <w:rsid w:val="00036AD6"/>
    <w:rsid w:val="00037366"/>
    <w:rsid w:val="0004070D"/>
    <w:rsid w:val="00041BF0"/>
    <w:rsid w:val="00042C8A"/>
    <w:rsid w:val="000435A7"/>
    <w:rsid w:val="00044DE4"/>
    <w:rsid w:val="0004536B"/>
    <w:rsid w:val="00046B68"/>
    <w:rsid w:val="00047B8A"/>
    <w:rsid w:val="00051C02"/>
    <w:rsid w:val="000527DD"/>
    <w:rsid w:val="00053C70"/>
    <w:rsid w:val="000578B2"/>
    <w:rsid w:val="00060959"/>
    <w:rsid w:val="00060C8F"/>
    <w:rsid w:val="0006298A"/>
    <w:rsid w:val="000663CD"/>
    <w:rsid w:val="00071F52"/>
    <w:rsid w:val="0007248D"/>
    <w:rsid w:val="000733FE"/>
    <w:rsid w:val="0007386E"/>
    <w:rsid w:val="00074219"/>
    <w:rsid w:val="00074ED5"/>
    <w:rsid w:val="00076314"/>
    <w:rsid w:val="0007761A"/>
    <w:rsid w:val="00081020"/>
    <w:rsid w:val="0008252D"/>
    <w:rsid w:val="0008508E"/>
    <w:rsid w:val="00086557"/>
    <w:rsid w:val="00087951"/>
    <w:rsid w:val="0009113B"/>
    <w:rsid w:val="00093402"/>
    <w:rsid w:val="00094DA3"/>
    <w:rsid w:val="00095CFE"/>
    <w:rsid w:val="00096CD1"/>
    <w:rsid w:val="000A012C"/>
    <w:rsid w:val="000A0EB9"/>
    <w:rsid w:val="000A186C"/>
    <w:rsid w:val="000A1EA4"/>
    <w:rsid w:val="000A2476"/>
    <w:rsid w:val="000A3813"/>
    <w:rsid w:val="000A641A"/>
    <w:rsid w:val="000B0024"/>
    <w:rsid w:val="000B123E"/>
    <w:rsid w:val="000B2117"/>
    <w:rsid w:val="000B3360"/>
    <w:rsid w:val="000B3EDB"/>
    <w:rsid w:val="000B543D"/>
    <w:rsid w:val="000B55F9"/>
    <w:rsid w:val="000B5BF7"/>
    <w:rsid w:val="000B6BC8"/>
    <w:rsid w:val="000C0303"/>
    <w:rsid w:val="000C18C1"/>
    <w:rsid w:val="000C3C36"/>
    <w:rsid w:val="000C42EA"/>
    <w:rsid w:val="000C4546"/>
    <w:rsid w:val="000C49A1"/>
    <w:rsid w:val="000C721D"/>
    <w:rsid w:val="000D1242"/>
    <w:rsid w:val="000E0789"/>
    <w:rsid w:val="000E0970"/>
    <w:rsid w:val="000E1E7F"/>
    <w:rsid w:val="000E1ECD"/>
    <w:rsid w:val="000E3CC7"/>
    <w:rsid w:val="000E6BD4"/>
    <w:rsid w:val="000E6D6D"/>
    <w:rsid w:val="000F1F1E"/>
    <w:rsid w:val="000F2259"/>
    <w:rsid w:val="000F2DDA"/>
    <w:rsid w:val="000F2EA0"/>
    <w:rsid w:val="000F393A"/>
    <w:rsid w:val="000F5213"/>
    <w:rsid w:val="000F74AC"/>
    <w:rsid w:val="000F7DD2"/>
    <w:rsid w:val="00100ED0"/>
    <w:rsid w:val="00101001"/>
    <w:rsid w:val="00103276"/>
    <w:rsid w:val="001033BB"/>
    <w:rsid w:val="001036C9"/>
    <w:rsid w:val="0010392D"/>
    <w:rsid w:val="0010447F"/>
    <w:rsid w:val="00104FE3"/>
    <w:rsid w:val="00105291"/>
    <w:rsid w:val="0010714F"/>
    <w:rsid w:val="001120C5"/>
    <w:rsid w:val="00117224"/>
    <w:rsid w:val="00120BD3"/>
    <w:rsid w:val="00122FEA"/>
    <w:rsid w:val="001232BD"/>
    <w:rsid w:val="00124ED5"/>
    <w:rsid w:val="001262D1"/>
    <w:rsid w:val="00127241"/>
    <w:rsid w:val="001276FA"/>
    <w:rsid w:val="00134FFE"/>
    <w:rsid w:val="00135F25"/>
    <w:rsid w:val="00140F40"/>
    <w:rsid w:val="00143DFD"/>
    <w:rsid w:val="001447B3"/>
    <w:rsid w:val="001451A7"/>
    <w:rsid w:val="0015204D"/>
    <w:rsid w:val="00152073"/>
    <w:rsid w:val="001556E0"/>
    <w:rsid w:val="00156598"/>
    <w:rsid w:val="001572F7"/>
    <w:rsid w:val="00161939"/>
    <w:rsid w:val="00161AA0"/>
    <w:rsid w:val="00161D2E"/>
    <w:rsid w:val="00161F3E"/>
    <w:rsid w:val="00162093"/>
    <w:rsid w:val="00162CA9"/>
    <w:rsid w:val="00165459"/>
    <w:rsid w:val="00165A57"/>
    <w:rsid w:val="001712C2"/>
    <w:rsid w:val="00172717"/>
    <w:rsid w:val="00172BAF"/>
    <w:rsid w:val="001743A4"/>
    <w:rsid w:val="0017674D"/>
    <w:rsid w:val="00176951"/>
    <w:rsid w:val="001771DD"/>
    <w:rsid w:val="00177995"/>
    <w:rsid w:val="00177A8C"/>
    <w:rsid w:val="0018079E"/>
    <w:rsid w:val="00182399"/>
    <w:rsid w:val="00186B33"/>
    <w:rsid w:val="001872DA"/>
    <w:rsid w:val="00191722"/>
    <w:rsid w:val="001922C1"/>
    <w:rsid w:val="00192BE6"/>
    <w:rsid w:val="00192F9D"/>
    <w:rsid w:val="00194BA4"/>
    <w:rsid w:val="00196EB8"/>
    <w:rsid w:val="00196EFB"/>
    <w:rsid w:val="00197006"/>
    <w:rsid w:val="001979FF"/>
    <w:rsid w:val="00197B17"/>
    <w:rsid w:val="001A1950"/>
    <w:rsid w:val="001A1C54"/>
    <w:rsid w:val="001A202A"/>
    <w:rsid w:val="001A3ACE"/>
    <w:rsid w:val="001A3C70"/>
    <w:rsid w:val="001A4428"/>
    <w:rsid w:val="001A44A2"/>
    <w:rsid w:val="001A5AB8"/>
    <w:rsid w:val="001A776E"/>
    <w:rsid w:val="001B058F"/>
    <w:rsid w:val="001B0A35"/>
    <w:rsid w:val="001B515E"/>
    <w:rsid w:val="001B6B96"/>
    <w:rsid w:val="001B7228"/>
    <w:rsid w:val="001B738B"/>
    <w:rsid w:val="001B73C6"/>
    <w:rsid w:val="001C011D"/>
    <w:rsid w:val="001C09DB"/>
    <w:rsid w:val="001C21BF"/>
    <w:rsid w:val="001C277E"/>
    <w:rsid w:val="001C2A72"/>
    <w:rsid w:val="001C31B7"/>
    <w:rsid w:val="001D0B75"/>
    <w:rsid w:val="001D1536"/>
    <w:rsid w:val="001D39A5"/>
    <w:rsid w:val="001D3C09"/>
    <w:rsid w:val="001D44E8"/>
    <w:rsid w:val="001D60EC"/>
    <w:rsid w:val="001D6F59"/>
    <w:rsid w:val="001E398A"/>
    <w:rsid w:val="001E44DF"/>
    <w:rsid w:val="001E68A5"/>
    <w:rsid w:val="001E6BB0"/>
    <w:rsid w:val="001E7282"/>
    <w:rsid w:val="001F1BEB"/>
    <w:rsid w:val="001F3826"/>
    <w:rsid w:val="001F4A8E"/>
    <w:rsid w:val="001F6E46"/>
    <w:rsid w:val="001F750B"/>
    <w:rsid w:val="001F7C91"/>
    <w:rsid w:val="002033B7"/>
    <w:rsid w:val="00206463"/>
    <w:rsid w:val="00206F2F"/>
    <w:rsid w:val="00207717"/>
    <w:rsid w:val="0021053D"/>
    <w:rsid w:val="002106B2"/>
    <w:rsid w:val="00210A92"/>
    <w:rsid w:val="00210C2C"/>
    <w:rsid w:val="0021384A"/>
    <w:rsid w:val="00216C03"/>
    <w:rsid w:val="00220C04"/>
    <w:rsid w:val="00222680"/>
    <w:rsid w:val="0022278D"/>
    <w:rsid w:val="00224E3D"/>
    <w:rsid w:val="002269D4"/>
    <w:rsid w:val="0022701F"/>
    <w:rsid w:val="00227C68"/>
    <w:rsid w:val="00231B21"/>
    <w:rsid w:val="002333F5"/>
    <w:rsid w:val="00233724"/>
    <w:rsid w:val="00235905"/>
    <w:rsid w:val="00235E9F"/>
    <w:rsid w:val="002365B4"/>
    <w:rsid w:val="00242378"/>
    <w:rsid w:val="002432E1"/>
    <w:rsid w:val="00246207"/>
    <w:rsid w:val="00246C5E"/>
    <w:rsid w:val="00250960"/>
    <w:rsid w:val="00250DC4"/>
    <w:rsid w:val="00250F47"/>
    <w:rsid w:val="00251163"/>
    <w:rsid w:val="00251343"/>
    <w:rsid w:val="002530F1"/>
    <w:rsid w:val="002536A4"/>
    <w:rsid w:val="00254C4D"/>
    <w:rsid w:val="00254F58"/>
    <w:rsid w:val="0025526E"/>
    <w:rsid w:val="0026165C"/>
    <w:rsid w:val="002620BC"/>
    <w:rsid w:val="00262802"/>
    <w:rsid w:val="00263A90"/>
    <w:rsid w:val="0026408B"/>
    <w:rsid w:val="00265D3E"/>
    <w:rsid w:val="00267C3E"/>
    <w:rsid w:val="002709BB"/>
    <w:rsid w:val="00271011"/>
    <w:rsid w:val="0027131C"/>
    <w:rsid w:val="00272803"/>
    <w:rsid w:val="00273BAC"/>
    <w:rsid w:val="002763B3"/>
    <w:rsid w:val="0027772E"/>
    <w:rsid w:val="00280104"/>
    <w:rsid w:val="002802E3"/>
    <w:rsid w:val="00280F85"/>
    <w:rsid w:val="0028213D"/>
    <w:rsid w:val="002862F1"/>
    <w:rsid w:val="00290F9E"/>
    <w:rsid w:val="00291373"/>
    <w:rsid w:val="002929EF"/>
    <w:rsid w:val="0029597D"/>
    <w:rsid w:val="002962C3"/>
    <w:rsid w:val="0029752B"/>
    <w:rsid w:val="002975C9"/>
    <w:rsid w:val="00297B47"/>
    <w:rsid w:val="002A0A9C"/>
    <w:rsid w:val="002A0B1A"/>
    <w:rsid w:val="002A1C67"/>
    <w:rsid w:val="002A42FA"/>
    <w:rsid w:val="002A483C"/>
    <w:rsid w:val="002A5FD9"/>
    <w:rsid w:val="002B082E"/>
    <w:rsid w:val="002B0C7C"/>
    <w:rsid w:val="002B1729"/>
    <w:rsid w:val="002B207F"/>
    <w:rsid w:val="002B212A"/>
    <w:rsid w:val="002B23D4"/>
    <w:rsid w:val="002B36C7"/>
    <w:rsid w:val="002B4873"/>
    <w:rsid w:val="002B4DD4"/>
    <w:rsid w:val="002B5264"/>
    <w:rsid w:val="002B5277"/>
    <w:rsid w:val="002B5375"/>
    <w:rsid w:val="002B5F32"/>
    <w:rsid w:val="002B684A"/>
    <w:rsid w:val="002B77C1"/>
    <w:rsid w:val="002C0145"/>
    <w:rsid w:val="002C08F6"/>
    <w:rsid w:val="002C0ED7"/>
    <w:rsid w:val="002C2728"/>
    <w:rsid w:val="002C4218"/>
    <w:rsid w:val="002C70EC"/>
    <w:rsid w:val="002D1E0D"/>
    <w:rsid w:val="002D31EA"/>
    <w:rsid w:val="002D5006"/>
    <w:rsid w:val="002D6DB1"/>
    <w:rsid w:val="002D7534"/>
    <w:rsid w:val="002E01D0"/>
    <w:rsid w:val="002E14DC"/>
    <w:rsid w:val="002E161D"/>
    <w:rsid w:val="002E2E02"/>
    <w:rsid w:val="002E3100"/>
    <w:rsid w:val="002E6C95"/>
    <w:rsid w:val="002E7C36"/>
    <w:rsid w:val="002F3ADF"/>
    <w:rsid w:val="002F3D32"/>
    <w:rsid w:val="002F5F31"/>
    <w:rsid w:val="002F5F46"/>
    <w:rsid w:val="002F7BFA"/>
    <w:rsid w:val="00301669"/>
    <w:rsid w:val="00302216"/>
    <w:rsid w:val="003025DC"/>
    <w:rsid w:val="00303E53"/>
    <w:rsid w:val="00305CC1"/>
    <w:rsid w:val="00306E5F"/>
    <w:rsid w:val="00307CD4"/>
    <w:rsid w:val="00307E14"/>
    <w:rsid w:val="003130A5"/>
    <w:rsid w:val="00314054"/>
    <w:rsid w:val="003146F3"/>
    <w:rsid w:val="00315D36"/>
    <w:rsid w:val="00316152"/>
    <w:rsid w:val="00316F27"/>
    <w:rsid w:val="003214F1"/>
    <w:rsid w:val="00322E4B"/>
    <w:rsid w:val="003252EE"/>
    <w:rsid w:val="003275DA"/>
    <w:rsid w:val="00327870"/>
    <w:rsid w:val="0033078A"/>
    <w:rsid w:val="003318FE"/>
    <w:rsid w:val="0033259D"/>
    <w:rsid w:val="003333D2"/>
    <w:rsid w:val="003370C1"/>
    <w:rsid w:val="00337339"/>
    <w:rsid w:val="0034027A"/>
    <w:rsid w:val="003406C6"/>
    <w:rsid w:val="003418CC"/>
    <w:rsid w:val="00344D7E"/>
    <w:rsid w:val="003459BD"/>
    <w:rsid w:val="00350D38"/>
    <w:rsid w:val="00351B36"/>
    <w:rsid w:val="00351B9A"/>
    <w:rsid w:val="003534F3"/>
    <w:rsid w:val="00355FA8"/>
    <w:rsid w:val="00357B4E"/>
    <w:rsid w:val="00362AF4"/>
    <w:rsid w:val="003716FD"/>
    <w:rsid w:val="0037204B"/>
    <w:rsid w:val="003744CF"/>
    <w:rsid w:val="00374717"/>
    <w:rsid w:val="0037676C"/>
    <w:rsid w:val="00381043"/>
    <w:rsid w:val="003829E5"/>
    <w:rsid w:val="0038517A"/>
    <w:rsid w:val="003854D7"/>
    <w:rsid w:val="00385951"/>
    <w:rsid w:val="00386109"/>
    <w:rsid w:val="00386944"/>
    <w:rsid w:val="00387812"/>
    <w:rsid w:val="00391DE7"/>
    <w:rsid w:val="003956AD"/>
    <w:rsid w:val="003956CC"/>
    <w:rsid w:val="00395C9A"/>
    <w:rsid w:val="003A0332"/>
    <w:rsid w:val="003A04E1"/>
    <w:rsid w:val="003A0853"/>
    <w:rsid w:val="003A1F67"/>
    <w:rsid w:val="003A369D"/>
    <w:rsid w:val="003A6B67"/>
    <w:rsid w:val="003B1273"/>
    <w:rsid w:val="003B13B6"/>
    <w:rsid w:val="003B14C3"/>
    <w:rsid w:val="003B15E6"/>
    <w:rsid w:val="003B1BDC"/>
    <w:rsid w:val="003B225F"/>
    <w:rsid w:val="003B408A"/>
    <w:rsid w:val="003B5048"/>
    <w:rsid w:val="003B63E1"/>
    <w:rsid w:val="003B74DC"/>
    <w:rsid w:val="003C08A2"/>
    <w:rsid w:val="003C0C30"/>
    <w:rsid w:val="003C1344"/>
    <w:rsid w:val="003C2045"/>
    <w:rsid w:val="003C3FAE"/>
    <w:rsid w:val="003C43A1"/>
    <w:rsid w:val="003C4FC0"/>
    <w:rsid w:val="003C55F4"/>
    <w:rsid w:val="003C65E1"/>
    <w:rsid w:val="003C7897"/>
    <w:rsid w:val="003C7A3F"/>
    <w:rsid w:val="003D0DE2"/>
    <w:rsid w:val="003D2766"/>
    <w:rsid w:val="003D2A74"/>
    <w:rsid w:val="003D3E8F"/>
    <w:rsid w:val="003D603C"/>
    <w:rsid w:val="003D6475"/>
    <w:rsid w:val="003D6C16"/>
    <w:rsid w:val="003D6EE6"/>
    <w:rsid w:val="003E0F8B"/>
    <w:rsid w:val="003E31E0"/>
    <w:rsid w:val="003E375C"/>
    <w:rsid w:val="003E4086"/>
    <w:rsid w:val="003E520C"/>
    <w:rsid w:val="003E639E"/>
    <w:rsid w:val="003E71E5"/>
    <w:rsid w:val="003F0445"/>
    <w:rsid w:val="003F0CF0"/>
    <w:rsid w:val="003F14B1"/>
    <w:rsid w:val="003F2B20"/>
    <w:rsid w:val="003F3289"/>
    <w:rsid w:val="003F3C62"/>
    <w:rsid w:val="003F5CB9"/>
    <w:rsid w:val="00400B3E"/>
    <w:rsid w:val="004013C7"/>
    <w:rsid w:val="00401FCF"/>
    <w:rsid w:val="00406285"/>
    <w:rsid w:val="004065E7"/>
    <w:rsid w:val="00410604"/>
    <w:rsid w:val="00410DDB"/>
    <w:rsid w:val="004136CB"/>
    <w:rsid w:val="004148F9"/>
    <w:rsid w:val="004166E6"/>
    <w:rsid w:val="0042084E"/>
    <w:rsid w:val="0042121A"/>
    <w:rsid w:val="00421EEF"/>
    <w:rsid w:val="004232C6"/>
    <w:rsid w:val="00424D65"/>
    <w:rsid w:val="00426F3A"/>
    <w:rsid w:val="00430393"/>
    <w:rsid w:val="004306D1"/>
    <w:rsid w:val="00431806"/>
    <w:rsid w:val="00432BFC"/>
    <w:rsid w:val="0043502F"/>
    <w:rsid w:val="004350F9"/>
    <w:rsid w:val="00437AC5"/>
    <w:rsid w:val="004402DC"/>
    <w:rsid w:val="00440ACD"/>
    <w:rsid w:val="00440E2E"/>
    <w:rsid w:val="00442C6C"/>
    <w:rsid w:val="00443CBE"/>
    <w:rsid w:val="00443E8A"/>
    <w:rsid w:val="004441BC"/>
    <w:rsid w:val="00445CF5"/>
    <w:rsid w:val="004468B4"/>
    <w:rsid w:val="00446C04"/>
    <w:rsid w:val="00447519"/>
    <w:rsid w:val="00451083"/>
    <w:rsid w:val="0045230A"/>
    <w:rsid w:val="00454AD0"/>
    <w:rsid w:val="00457337"/>
    <w:rsid w:val="0046106E"/>
    <w:rsid w:val="004617F2"/>
    <w:rsid w:val="00462739"/>
    <w:rsid w:val="00462E3D"/>
    <w:rsid w:val="00463230"/>
    <w:rsid w:val="00465C5D"/>
    <w:rsid w:val="00466E79"/>
    <w:rsid w:val="00470AFF"/>
    <w:rsid w:val="00470D7D"/>
    <w:rsid w:val="0047372D"/>
    <w:rsid w:val="00473BA3"/>
    <w:rsid w:val="004743DD"/>
    <w:rsid w:val="00474CEA"/>
    <w:rsid w:val="00476735"/>
    <w:rsid w:val="00477915"/>
    <w:rsid w:val="004820A2"/>
    <w:rsid w:val="00483968"/>
    <w:rsid w:val="004841BE"/>
    <w:rsid w:val="00484F86"/>
    <w:rsid w:val="00485205"/>
    <w:rsid w:val="00487B15"/>
    <w:rsid w:val="00490746"/>
    <w:rsid w:val="00490852"/>
    <w:rsid w:val="00491C90"/>
    <w:rsid w:val="00491C9C"/>
    <w:rsid w:val="00492F30"/>
    <w:rsid w:val="004946F4"/>
    <w:rsid w:val="0049487E"/>
    <w:rsid w:val="004A160D"/>
    <w:rsid w:val="004A2476"/>
    <w:rsid w:val="004A3E81"/>
    <w:rsid w:val="004A4195"/>
    <w:rsid w:val="004A5C62"/>
    <w:rsid w:val="004A5CE5"/>
    <w:rsid w:val="004A707D"/>
    <w:rsid w:val="004B0AC8"/>
    <w:rsid w:val="004B4185"/>
    <w:rsid w:val="004B43B9"/>
    <w:rsid w:val="004B4EFE"/>
    <w:rsid w:val="004C3886"/>
    <w:rsid w:val="004C5541"/>
    <w:rsid w:val="004C5A49"/>
    <w:rsid w:val="004C6EEE"/>
    <w:rsid w:val="004C702B"/>
    <w:rsid w:val="004C7E96"/>
    <w:rsid w:val="004D0033"/>
    <w:rsid w:val="004D016B"/>
    <w:rsid w:val="004D1B22"/>
    <w:rsid w:val="004D2040"/>
    <w:rsid w:val="004D23CC"/>
    <w:rsid w:val="004D36F2"/>
    <w:rsid w:val="004E1106"/>
    <w:rsid w:val="004E138F"/>
    <w:rsid w:val="004E1D80"/>
    <w:rsid w:val="004E4649"/>
    <w:rsid w:val="004E5C2B"/>
    <w:rsid w:val="004F00DD"/>
    <w:rsid w:val="004F2133"/>
    <w:rsid w:val="004F28B4"/>
    <w:rsid w:val="004F5398"/>
    <w:rsid w:val="004F55F1"/>
    <w:rsid w:val="004F6936"/>
    <w:rsid w:val="004F7B35"/>
    <w:rsid w:val="005004EC"/>
    <w:rsid w:val="0050081B"/>
    <w:rsid w:val="005025E5"/>
    <w:rsid w:val="00503DC6"/>
    <w:rsid w:val="00504717"/>
    <w:rsid w:val="00506F5D"/>
    <w:rsid w:val="00510C37"/>
    <w:rsid w:val="00511F2A"/>
    <w:rsid w:val="005126D0"/>
    <w:rsid w:val="00513109"/>
    <w:rsid w:val="00514667"/>
    <w:rsid w:val="0051568D"/>
    <w:rsid w:val="005206F3"/>
    <w:rsid w:val="00523AB8"/>
    <w:rsid w:val="00525587"/>
    <w:rsid w:val="00526AC7"/>
    <w:rsid w:val="00526C15"/>
    <w:rsid w:val="0052706F"/>
    <w:rsid w:val="0052734B"/>
    <w:rsid w:val="00536499"/>
    <w:rsid w:val="00537061"/>
    <w:rsid w:val="00537CE5"/>
    <w:rsid w:val="00541864"/>
    <w:rsid w:val="00542A03"/>
    <w:rsid w:val="00543903"/>
    <w:rsid w:val="00543F11"/>
    <w:rsid w:val="00546305"/>
    <w:rsid w:val="00547A95"/>
    <w:rsid w:val="0055119B"/>
    <w:rsid w:val="00553D7C"/>
    <w:rsid w:val="00555E39"/>
    <w:rsid w:val="0055603D"/>
    <w:rsid w:val="00561202"/>
    <w:rsid w:val="00572031"/>
    <w:rsid w:val="0057223A"/>
    <w:rsid w:val="00572282"/>
    <w:rsid w:val="00573CE3"/>
    <w:rsid w:val="00575E05"/>
    <w:rsid w:val="00576E84"/>
    <w:rsid w:val="00577B8C"/>
    <w:rsid w:val="00580394"/>
    <w:rsid w:val="005809CD"/>
    <w:rsid w:val="00580E1A"/>
    <w:rsid w:val="00582B13"/>
    <w:rsid w:val="00582B8C"/>
    <w:rsid w:val="005857C5"/>
    <w:rsid w:val="0058757E"/>
    <w:rsid w:val="005933DE"/>
    <w:rsid w:val="00596A4B"/>
    <w:rsid w:val="00597507"/>
    <w:rsid w:val="005A06A5"/>
    <w:rsid w:val="005A2AF8"/>
    <w:rsid w:val="005A479D"/>
    <w:rsid w:val="005A72EA"/>
    <w:rsid w:val="005B1C6D"/>
    <w:rsid w:val="005B21B6"/>
    <w:rsid w:val="005B3A08"/>
    <w:rsid w:val="005B715A"/>
    <w:rsid w:val="005B7A63"/>
    <w:rsid w:val="005C0955"/>
    <w:rsid w:val="005C2607"/>
    <w:rsid w:val="005C2C45"/>
    <w:rsid w:val="005C49DA"/>
    <w:rsid w:val="005C50F3"/>
    <w:rsid w:val="005C54B5"/>
    <w:rsid w:val="005C5D80"/>
    <w:rsid w:val="005C5D91"/>
    <w:rsid w:val="005C6A8B"/>
    <w:rsid w:val="005C74DF"/>
    <w:rsid w:val="005D07B8"/>
    <w:rsid w:val="005D1125"/>
    <w:rsid w:val="005D6597"/>
    <w:rsid w:val="005E0698"/>
    <w:rsid w:val="005E14E7"/>
    <w:rsid w:val="005E26A3"/>
    <w:rsid w:val="005E29DB"/>
    <w:rsid w:val="005E2ECB"/>
    <w:rsid w:val="005E3AA6"/>
    <w:rsid w:val="005E447E"/>
    <w:rsid w:val="005E4FD1"/>
    <w:rsid w:val="005E5B72"/>
    <w:rsid w:val="005F0775"/>
    <w:rsid w:val="005F0CF5"/>
    <w:rsid w:val="005F21EB"/>
    <w:rsid w:val="005F4973"/>
    <w:rsid w:val="005F64CF"/>
    <w:rsid w:val="00600B39"/>
    <w:rsid w:val="006019AA"/>
    <w:rsid w:val="006041AD"/>
    <w:rsid w:val="00605908"/>
    <w:rsid w:val="00607850"/>
    <w:rsid w:val="00610D7C"/>
    <w:rsid w:val="00613414"/>
    <w:rsid w:val="00620154"/>
    <w:rsid w:val="00621C96"/>
    <w:rsid w:val="0062408D"/>
    <w:rsid w:val="006240CC"/>
    <w:rsid w:val="00624940"/>
    <w:rsid w:val="006254F8"/>
    <w:rsid w:val="00625DB3"/>
    <w:rsid w:val="00627DA7"/>
    <w:rsid w:val="00630C39"/>
    <w:rsid w:val="00630DA4"/>
    <w:rsid w:val="00631CD4"/>
    <w:rsid w:val="00632597"/>
    <w:rsid w:val="00634D13"/>
    <w:rsid w:val="006358B4"/>
    <w:rsid w:val="006369BF"/>
    <w:rsid w:val="00636FF6"/>
    <w:rsid w:val="00641724"/>
    <w:rsid w:val="006419AA"/>
    <w:rsid w:val="00644B1F"/>
    <w:rsid w:val="00644B7E"/>
    <w:rsid w:val="006454E6"/>
    <w:rsid w:val="00645FF8"/>
    <w:rsid w:val="00646235"/>
    <w:rsid w:val="00646A68"/>
    <w:rsid w:val="006505BD"/>
    <w:rsid w:val="006508EA"/>
    <w:rsid w:val="0065092E"/>
    <w:rsid w:val="006557A7"/>
    <w:rsid w:val="00656290"/>
    <w:rsid w:val="006601C9"/>
    <w:rsid w:val="006608D8"/>
    <w:rsid w:val="006621D7"/>
    <w:rsid w:val="0066302A"/>
    <w:rsid w:val="006632BB"/>
    <w:rsid w:val="006637E6"/>
    <w:rsid w:val="00664E00"/>
    <w:rsid w:val="00667770"/>
    <w:rsid w:val="00670597"/>
    <w:rsid w:val="006706D0"/>
    <w:rsid w:val="006727C8"/>
    <w:rsid w:val="00677574"/>
    <w:rsid w:val="00677AC4"/>
    <w:rsid w:val="00682CD3"/>
    <w:rsid w:val="00683878"/>
    <w:rsid w:val="0068454C"/>
    <w:rsid w:val="00685BFE"/>
    <w:rsid w:val="0068617E"/>
    <w:rsid w:val="00687544"/>
    <w:rsid w:val="00691B62"/>
    <w:rsid w:val="006933B5"/>
    <w:rsid w:val="00693D14"/>
    <w:rsid w:val="00695A93"/>
    <w:rsid w:val="00696F27"/>
    <w:rsid w:val="00697478"/>
    <w:rsid w:val="006A18C2"/>
    <w:rsid w:val="006A3383"/>
    <w:rsid w:val="006A4F5A"/>
    <w:rsid w:val="006B077C"/>
    <w:rsid w:val="006B10B2"/>
    <w:rsid w:val="006B16AF"/>
    <w:rsid w:val="006B6803"/>
    <w:rsid w:val="006B73AE"/>
    <w:rsid w:val="006C0A1E"/>
    <w:rsid w:val="006C3305"/>
    <w:rsid w:val="006C4603"/>
    <w:rsid w:val="006D0F16"/>
    <w:rsid w:val="006D2A3F"/>
    <w:rsid w:val="006D2FBC"/>
    <w:rsid w:val="006D6F46"/>
    <w:rsid w:val="006E138B"/>
    <w:rsid w:val="006E1867"/>
    <w:rsid w:val="006E2C38"/>
    <w:rsid w:val="006E7E81"/>
    <w:rsid w:val="006F0330"/>
    <w:rsid w:val="006F188F"/>
    <w:rsid w:val="006F1FDC"/>
    <w:rsid w:val="006F3F08"/>
    <w:rsid w:val="006F425C"/>
    <w:rsid w:val="006F4AAC"/>
    <w:rsid w:val="006F5360"/>
    <w:rsid w:val="006F6B8C"/>
    <w:rsid w:val="007013EF"/>
    <w:rsid w:val="007055BD"/>
    <w:rsid w:val="00711169"/>
    <w:rsid w:val="007173CA"/>
    <w:rsid w:val="007216AA"/>
    <w:rsid w:val="00721AB5"/>
    <w:rsid w:val="00721CFB"/>
    <w:rsid w:val="00721DEF"/>
    <w:rsid w:val="00724A43"/>
    <w:rsid w:val="00725059"/>
    <w:rsid w:val="007263CA"/>
    <w:rsid w:val="00726B21"/>
    <w:rsid w:val="007273AC"/>
    <w:rsid w:val="00731AD4"/>
    <w:rsid w:val="007346E4"/>
    <w:rsid w:val="00735C4D"/>
    <w:rsid w:val="00740F22"/>
    <w:rsid w:val="00741977"/>
    <w:rsid w:val="00741CF0"/>
    <w:rsid w:val="00741F1A"/>
    <w:rsid w:val="0074209C"/>
    <w:rsid w:val="0074368F"/>
    <w:rsid w:val="00743A2C"/>
    <w:rsid w:val="0074473C"/>
    <w:rsid w:val="007447DA"/>
    <w:rsid w:val="00744870"/>
    <w:rsid w:val="007450F8"/>
    <w:rsid w:val="0074696E"/>
    <w:rsid w:val="007474D1"/>
    <w:rsid w:val="00750135"/>
    <w:rsid w:val="00750EC2"/>
    <w:rsid w:val="0075272A"/>
    <w:rsid w:val="00752B28"/>
    <w:rsid w:val="007541A9"/>
    <w:rsid w:val="00754E36"/>
    <w:rsid w:val="0075719F"/>
    <w:rsid w:val="00761117"/>
    <w:rsid w:val="00763139"/>
    <w:rsid w:val="00763EC9"/>
    <w:rsid w:val="0076425D"/>
    <w:rsid w:val="00766F80"/>
    <w:rsid w:val="00770F37"/>
    <w:rsid w:val="007711A0"/>
    <w:rsid w:val="00772D5E"/>
    <w:rsid w:val="00773A58"/>
    <w:rsid w:val="0077463E"/>
    <w:rsid w:val="00775EB2"/>
    <w:rsid w:val="00776928"/>
    <w:rsid w:val="00776E0F"/>
    <w:rsid w:val="007774B1"/>
    <w:rsid w:val="00777BE1"/>
    <w:rsid w:val="007805D8"/>
    <w:rsid w:val="0078121E"/>
    <w:rsid w:val="00782B99"/>
    <w:rsid w:val="007833D8"/>
    <w:rsid w:val="0078343B"/>
    <w:rsid w:val="00785677"/>
    <w:rsid w:val="00785D13"/>
    <w:rsid w:val="00785EA4"/>
    <w:rsid w:val="00786894"/>
    <w:rsid w:val="00786F16"/>
    <w:rsid w:val="00791BD7"/>
    <w:rsid w:val="00791C32"/>
    <w:rsid w:val="00792E28"/>
    <w:rsid w:val="007933F7"/>
    <w:rsid w:val="00796E20"/>
    <w:rsid w:val="00797C32"/>
    <w:rsid w:val="007A07F6"/>
    <w:rsid w:val="007A11E8"/>
    <w:rsid w:val="007A2501"/>
    <w:rsid w:val="007A49DD"/>
    <w:rsid w:val="007B0914"/>
    <w:rsid w:val="007B1374"/>
    <w:rsid w:val="007B29B5"/>
    <w:rsid w:val="007B32E5"/>
    <w:rsid w:val="007B3DB9"/>
    <w:rsid w:val="007B589F"/>
    <w:rsid w:val="007B6186"/>
    <w:rsid w:val="007B73BC"/>
    <w:rsid w:val="007C1838"/>
    <w:rsid w:val="007C20B9"/>
    <w:rsid w:val="007C2181"/>
    <w:rsid w:val="007C7301"/>
    <w:rsid w:val="007C7859"/>
    <w:rsid w:val="007C7F28"/>
    <w:rsid w:val="007D1466"/>
    <w:rsid w:val="007D2BDE"/>
    <w:rsid w:val="007D2FB6"/>
    <w:rsid w:val="007D3870"/>
    <w:rsid w:val="007D3FD1"/>
    <w:rsid w:val="007D49EB"/>
    <w:rsid w:val="007D5B67"/>
    <w:rsid w:val="007D5E1C"/>
    <w:rsid w:val="007E0DE2"/>
    <w:rsid w:val="007E3B98"/>
    <w:rsid w:val="007E417A"/>
    <w:rsid w:val="007E7BEF"/>
    <w:rsid w:val="007E7DEA"/>
    <w:rsid w:val="007F2661"/>
    <w:rsid w:val="007F31B6"/>
    <w:rsid w:val="007F546C"/>
    <w:rsid w:val="007F625F"/>
    <w:rsid w:val="007F665E"/>
    <w:rsid w:val="00800412"/>
    <w:rsid w:val="00801014"/>
    <w:rsid w:val="00803DC8"/>
    <w:rsid w:val="00805878"/>
    <w:rsid w:val="0080587B"/>
    <w:rsid w:val="00806468"/>
    <w:rsid w:val="00806A72"/>
    <w:rsid w:val="008119CA"/>
    <w:rsid w:val="00811C5F"/>
    <w:rsid w:val="008130C4"/>
    <w:rsid w:val="0081558F"/>
    <w:rsid w:val="008155F0"/>
    <w:rsid w:val="00816735"/>
    <w:rsid w:val="00820141"/>
    <w:rsid w:val="00820E0C"/>
    <w:rsid w:val="00822888"/>
    <w:rsid w:val="00823275"/>
    <w:rsid w:val="0082366F"/>
    <w:rsid w:val="00827D8F"/>
    <w:rsid w:val="00832A19"/>
    <w:rsid w:val="008338A2"/>
    <w:rsid w:val="00835D59"/>
    <w:rsid w:val="0083657C"/>
    <w:rsid w:val="008418F4"/>
    <w:rsid w:val="00841AA9"/>
    <w:rsid w:val="00842774"/>
    <w:rsid w:val="00843584"/>
    <w:rsid w:val="008474FE"/>
    <w:rsid w:val="00851FEE"/>
    <w:rsid w:val="0085232E"/>
    <w:rsid w:val="00853E11"/>
    <w:rsid w:val="00853EE4"/>
    <w:rsid w:val="00855535"/>
    <w:rsid w:val="00857C5A"/>
    <w:rsid w:val="0086255E"/>
    <w:rsid w:val="0086262B"/>
    <w:rsid w:val="008633F0"/>
    <w:rsid w:val="00866E7C"/>
    <w:rsid w:val="00867D9D"/>
    <w:rsid w:val="00870FA9"/>
    <w:rsid w:val="00872C54"/>
    <w:rsid w:val="00872E0A"/>
    <w:rsid w:val="00873594"/>
    <w:rsid w:val="00874840"/>
    <w:rsid w:val="00875285"/>
    <w:rsid w:val="0087566A"/>
    <w:rsid w:val="00876AA5"/>
    <w:rsid w:val="00880471"/>
    <w:rsid w:val="00884B62"/>
    <w:rsid w:val="0088529C"/>
    <w:rsid w:val="00885748"/>
    <w:rsid w:val="00887903"/>
    <w:rsid w:val="0089270A"/>
    <w:rsid w:val="00893AF6"/>
    <w:rsid w:val="00894BC4"/>
    <w:rsid w:val="00895A49"/>
    <w:rsid w:val="00897045"/>
    <w:rsid w:val="008A28A8"/>
    <w:rsid w:val="008A2DCA"/>
    <w:rsid w:val="008A42E6"/>
    <w:rsid w:val="008A4540"/>
    <w:rsid w:val="008A5744"/>
    <w:rsid w:val="008A5B32"/>
    <w:rsid w:val="008A5D60"/>
    <w:rsid w:val="008A724E"/>
    <w:rsid w:val="008B13A3"/>
    <w:rsid w:val="008B2029"/>
    <w:rsid w:val="008B2EE4"/>
    <w:rsid w:val="008B3821"/>
    <w:rsid w:val="008B41E0"/>
    <w:rsid w:val="008B46B2"/>
    <w:rsid w:val="008B4D3D"/>
    <w:rsid w:val="008B57C7"/>
    <w:rsid w:val="008B5A85"/>
    <w:rsid w:val="008B6D95"/>
    <w:rsid w:val="008B7386"/>
    <w:rsid w:val="008B7A03"/>
    <w:rsid w:val="008C2F92"/>
    <w:rsid w:val="008C3683"/>
    <w:rsid w:val="008C3DFE"/>
    <w:rsid w:val="008C46B1"/>
    <w:rsid w:val="008C589D"/>
    <w:rsid w:val="008C6D51"/>
    <w:rsid w:val="008D2846"/>
    <w:rsid w:val="008D4236"/>
    <w:rsid w:val="008D462F"/>
    <w:rsid w:val="008D4DF8"/>
    <w:rsid w:val="008D5C45"/>
    <w:rsid w:val="008D6DCF"/>
    <w:rsid w:val="008E1FC9"/>
    <w:rsid w:val="008E4376"/>
    <w:rsid w:val="008E7A0A"/>
    <w:rsid w:val="008E7B49"/>
    <w:rsid w:val="008F009C"/>
    <w:rsid w:val="008F43C0"/>
    <w:rsid w:val="008F5162"/>
    <w:rsid w:val="008F59F6"/>
    <w:rsid w:val="00900719"/>
    <w:rsid w:val="009017AC"/>
    <w:rsid w:val="00902A9A"/>
    <w:rsid w:val="00904A1C"/>
    <w:rsid w:val="00905030"/>
    <w:rsid w:val="00906490"/>
    <w:rsid w:val="00907F1B"/>
    <w:rsid w:val="009111B2"/>
    <w:rsid w:val="009151F5"/>
    <w:rsid w:val="009177AE"/>
    <w:rsid w:val="009209E4"/>
    <w:rsid w:val="0092388F"/>
    <w:rsid w:val="00924AE1"/>
    <w:rsid w:val="009257ED"/>
    <w:rsid w:val="009269B1"/>
    <w:rsid w:val="0092724D"/>
    <w:rsid w:val="009272B3"/>
    <w:rsid w:val="00930D08"/>
    <w:rsid w:val="009311BB"/>
    <w:rsid w:val="009315BE"/>
    <w:rsid w:val="0093338F"/>
    <w:rsid w:val="00937BD9"/>
    <w:rsid w:val="0094125E"/>
    <w:rsid w:val="00941C72"/>
    <w:rsid w:val="00943865"/>
    <w:rsid w:val="00945474"/>
    <w:rsid w:val="00950E2C"/>
    <w:rsid w:val="00951D50"/>
    <w:rsid w:val="009525EB"/>
    <w:rsid w:val="00953284"/>
    <w:rsid w:val="0095470B"/>
    <w:rsid w:val="00954874"/>
    <w:rsid w:val="00954D01"/>
    <w:rsid w:val="00955E9D"/>
    <w:rsid w:val="0095615A"/>
    <w:rsid w:val="00961400"/>
    <w:rsid w:val="00963646"/>
    <w:rsid w:val="00964900"/>
    <w:rsid w:val="0096632D"/>
    <w:rsid w:val="00967124"/>
    <w:rsid w:val="0096717E"/>
    <w:rsid w:val="009671E5"/>
    <w:rsid w:val="009718C7"/>
    <w:rsid w:val="00972349"/>
    <w:rsid w:val="00972BEE"/>
    <w:rsid w:val="009742E6"/>
    <w:rsid w:val="0097559F"/>
    <w:rsid w:val="00975F90"/>
    <w:rsid w:val="009761EA"/>
    <w:rsid w:val="0097691E"/>
    <w:rsid w:val="0097761E"/>
    <w:rsid w:val="00980011"/>
    <w:rsid w:val="00982454"/>
    <w:rsid w:val="00982CF0"/>
    <w:rsid w:val="00984CD7"/>
    <w:rsid w:val="009853E1"/>
    <w:rsid w:val="00985558"/>
    <w:rsid w:val="00985B71"/>
    <w:rsid w:val="00986E6B"/>
    <w:rsid w:val="009873E8"/>
    <w:rsid w:val="00990032"/>
    <w:rsid w:val="009904D5"/>
    <w:rsid w:val="00990B19"/>
    <w:rsid w:val="0099153B"/>
    <w:rsid w:val="00991769"/>
    <w:rsid w:val="0099232C"/>
    <w:rsid w:val="00993199"/>
    <w:rsid w:val="00994386"/>
    <w:rsid w:val="00994791"/>
    <w:rsid w:val="009A13D8"/>
    <w:rsid w:val="009A279E"/>
    <w:rsid w:val="009A3015"/>
    <w:rsid w:val="009A3490"/>
    <w:rsid w:val="009A39A8"/>
    <w:rsid w:val="009A3F33"/>
    <w:rsid w:val="009A5EC1"/>
    <w:rsid w:val="009B0A6F"/>
    <w:rsid w:val="009B0A94"/>
    <w:rsid w:val="009B2AE8"/>
    <w:rsid w:val="009B5622"/>
    <w:rsid w:val="009B59E9"/>
    <w:rsid w:val="009B70AA"/>
    <w:rsid w:val="009C022C"/>
    <w:rsid w:val="009C1CB1"/>
    <w:rsid w:val="009C20A3"/>
    <w:rsid w:val="009C24E9"/>
    <w:rsid w:val="009C5B12"/>
    <w:rsid w:val="009C5E77"/>
    <w:rsid w:val="009C7A7E"/>
    <w:rsid w:val="009D02E8"/>
    <w:rsid w:val="009D0D0A"/>
    <w:rsid w:val="009D145F"/>
    <w:rsid w:val="009D1727"/>
    <w:rsid w:val="009D1FAB"/>
    <w:rsid w:val="009D3E1D"/>
    <w:rsid w:val="009D4B4F"/>
    <w:rsid w:val="009D51D0"/>
    <w:rsid w:val="009D6CC0"/>
    <w:rsid w:val="009D70A4"/>
    <w:rsid w:val="009D7A52"/>
    <w:rsid w:val="009D7B14"/>
    <w:rsid w:val="009E08D1"/>
    <w:rsid w:val="009E1B95"/>
    <w:rsid w:val="009E288A"/>
    <w:rsid w:val="009E2DE9"/>
    <w:rsid w:val="009E496F"/>
    <w:rsid w:val="009E4B0D"/>
    <w:rsid w:val="009E5250"/>
    <w:rsid w:val="009E7A69"/>
    <w:rsid w:val="009E7F92"/>
    <w:rsid w:val="009F02A3"/>
    <w:rsid w:val="009F2F27"/>
    <w:rsid w:val="009F3117"/>
    <w:rsid w:val="009F34AA"/>
    <w:rsid w:val="009F371A"/>
    <w:rsid w:val="009F4894"/>
    <w:rsid w:val="009F5045"/>
    <w:rsid w:val="009F6BCB"/>
    <w:rsid w:val="009F7B78"/>
    <w:rsid w:val="00A0057A"/>
    <w:rsid w:val="00A00C84"/>
    <w:rsid w:val="00A01163"/>
    <w:rsid w:val="00A0281C"/>
    <w:rsid w:val="00A02FA1"/>
    <w:rsid w:val="00A04CCE"/>
    <w:rsid w:val="00A07421"/>
    <w:rsid w:val="00A0776B"/>
    <w:rsid w:val="00A10FB9"/>
    <w:rsid w:val="00A11421"/>
    <w:rsid w:val="00A118D0"/>
    <w:rsid w:val="00A11FD8"/>
    <w:rsid w:val="00A133AE"/>
    <w:rsid w:val="00A1389F"/>
    <w:rsid w:val="00A13C49"/>
    <w:rsid w:val="00A14996"/>
    <w:rsid w:val="00A1542E"/>
    <w:rsid w:val="00A157B1"/>
    <w:rsid w:val="00A165C6"/>
    <w:rsid w:val="00A166D7"/>
    <w:rsid w:val="00A16CF0"/>
    <w:rsid w:val="00A17905"/>
    <w:rsid w:val="00A22229"/>
    <w:rsid w:val="00A24442"/>
    <w:rsid w:val="00A252B9"/>
    <w:rsid w:val="00A30669"/>
    <w:rsid w:val="00A314F5"/>
    <w:rsid w:val="00A32577"/>
    <w:rsid w:val="00A330BB"/>
    <w:rsid w:val="00A34ACD"/>
    <w:rsid w:val="00A355A5"/>
    <w:rsid w:val="00A44882"/>
    <w:rsid w:val="00A44D8D"/>
    <w:rsid w:val="00A45125"/>
    <w:rsid w:val="00A47F35"/>
    <w:rsid w:val="00A52B09"/>
    <w:rsid w:val="00A54715"/>
    <w:rsid w:val="00A547E4"/>
    <w:rsid w:val="00A54BEC"/>
    <w:rsid w:val="00A55794"/>
    <w:rsid w:val="00A57543"/>
    <w:rsid w:val="00A5769B"/>
    <w:rsid w:val="00A57915"/>
    <w:rsid w:val="00A6061C"/>
    <w:rsid w:val="00A60E74"/>
    <w:rsid w:val="00A62D44"/>
    <w:rsid w:val="00A67263"/>
    <w:rsid w:val="00A7161C"/>
    <w:rsid w:val="00A727DC"/>
    <w:rsid w:val="00A736A9"/>
    <w:rsid w:val="00A73CBF"/>
    <w:rsid w:val="00A773B3"/>
    <w:rsid w:val="00A77AA3"/>
    <w:rsid w:val="00A8236D"/>
    <w:rsid w:val="00A8237F"/>
    <w:rsid w:val="00A85477"/>
    <w:rsid w:val="00A854EB"/>
    <w:rsid w:val="00A85B72"/>
    <w:rsid w:val="00A872E5"/>
    <w:rsid w:val="00A90B18"/>
    <w:rsid w:val="00A91406"/>
    <w:rsid w:val="00A91AF4"/>
    <w:rsid w:val="00A929AC"/>
    <w:rsid w:val="00A94963"/>
    <w:rsid w:val="00A96E65"/>
    <w:rsid w:val="00A96ECE"/>
    <w:rsid w:val="00A97C72"/>
    <w:rsid w:val="00AA1092"/>
    <w:rsid w:val="00AA310B"/>
    <w:rsid w:val="00AA63D4"/>
    <w:rsid w:val="00AA7F41"/>
    <w:rsid w:val="00AB06E8"/>
    <w:rsid w:val="00AB1CD3"/>
    <w:rsid w:val="00AB2513"/>
    <w:rsid w:val="00AB352F"/>
    <w:rsid w:val="00AB437C"/>
    <w:rsid w:val="00AB4CED"/>
    <w:rsid w:val="00AB65EE"/>
    <w:rsid w:val="00AC0E0B"/>
    <w:rsid w:val="00AC1D27"/>
    <w:rsid w:val="00AC272C"/>
    <w:rsid w:val="00AC274B"/>
    <w:rsid w:val="00AC4764"/>
    <w:rsid w:val="00AC6D36"/>
    <w:rsid w:val="00AD0CBA"/>
    <w:rsid w:val="00AD0D2E"/>
    <w:rsid w:val="00AD26E2"/>
    <w:rsid w:val="00AD41B8"/>
    <w:rsid w:val="00AD66BB"/>
    <w:rsid w:val="00AD680B"/>
    <w:rsid w:val="00AD784C"/>
    <w:rsid w:val="00AE0826"/>
    <w:rsid w:val="00AE126A"/>
    <w:rsid w:val="00AE1BAE"/>
    <w:rsid w:val="00AE3005"/>
    <w:rsid w:val="00AE3BD5"/>
    <w:rsid w:val="00AE4D18"/>
    <w:rsid w:val="00AE59A0"/>
    <w:rsid w:val="00AE7145"/>
    <w:rsid w:val="00AE7EE8"/>
    <w:rsid w:val="00AF0C57"/>
    <w:rsid w:val="00AF26F3"/>
    <w:rsid w:val="00AF3A07"/>
    <w:rsid w:val="00AF4FF7"/>
    <w:rsid w:val="00AF5F04"/>
    <w:rsid w:val="00AF766E"/>
    <w:rsid w:val="00B00672"/>
    <w:rsid w:val="00B01B4D"/>
    <w:rsid w:val="00B028C3"/>
    <w:rsid w:val="00B0431F"/>
    <w:rsid w:val="00B04489"/>
    <w:rsid w:val="00B06571"/>
    <w:rsid w:val="00B068BA"/>
    <w:rsid w:val="00B06B2B"/>
    <w:rsid w:val="00B07217"/>
    <w:rsid w:val="00B12C34"/>
    <w:rsid w:val="00B13851"/>
    <w:rsid w:val="00B13B1C"/>
    <w:rsid w:val="00B14B5F"/>
    <w:rsid w:val="00B20834"/>
    <w:rsid w:val="00B2155D"/>
    <w:rsid w:val="00B21F90"/>
    <w:rsid w:val="00B22291"/>
    <w:rsid w:val="00B23F9A"/>
    <w:rsid w:val="00B2417B"/>
    <w:rsid w:val="00B24A6F"/>
    <w:rsid w:val="00B24E6F"/>
    <w:rsid w:val="00B265FF"/>
    <w:rsid w:val="00B26CB5"/>
    <w:rsid w:val="00B2752E"/>
    <w:rsid w:val="00B307CC"/>
    <w:rsid w:val="00B30D46"/>
    <w:rsid w:val="00B310EA"/>
    <w:rsid w:val="00B326B7"/>
    <w:rsid w:val="00B333FD"/>
    <w:rsid w:val="00B34A82"/>
    <w:rsid w:val="00B352D0"/>
    <w:rsid w:val="00B3562D"/>
    <w:rsid w:val="00B3588E"/>
    <w:rsid w:val="00B35D78"/>
    <w:rsid w:val="00B36435"/>
    <w:rsid w:val="00B3754E"/>
    <w:rsid w:val="00B4198F"/>
    <w:rsid w:val="00B41F3D"/>
    <w:rsid w:val="00B431E8"/>
    <w:rsid w:val="00B44690"/>
    <w:rsid w:val="00B45141"/>
    <w:rsid w:val="00B519CD"/>
    <w:rsid w:val="00B5273A"/>
    <w:rsid w:val="00B5615C"/>
    <w:rsid w:val="00B57329"/>
    <w:rsid w:val="00B60E61"/>
    <w:rsid w:val="00B61578"/>
    <w:rsid w:val="00B61B91"/>
    <w:rsid w:val="00B62B50"/>
    <w:rsid w:val="00B635B7"/>
    <w:rsid w:val="00B637D1"/>
    <w:rsid w:val="00B63AE8"/>
    <w:rsid w:val="00B63F14"/>
    <w:rsid w:val="00B65209"/>
    <w:rsid w:val="00B6586F"/>
    <w:rsid w:val="00B65950"/>
    <w:rsid w:val="00B66CE4"/>
    <w:rsid w:val="00B66D83"/>
    <w:rsid w:val="00B672C0"/>
    <w:rsid w:val="00B676FD"/>
    <w:rsid w:val="00B678B6"/>
    <w:rsid w:val="00B71BB4"/>
    <w:rsid w:val="00B71E6C"/>
    <w:rsid w:val="00B72D0F"/>
    <w:rsid w:val="00B75646"/>
    <w:rsid w:val="00B7590C"/>
    <w:rsid w:val="00B759AC"/>
    <w:rsid w:val="00B7629E"/>
    <w:rsid w:val="00B77ECD"/>
    <w:rsid w:val="00B817E2"/>
    <w:rsid w:val="00B81AE0"/>
    <w:rsid w:val="00B831F1"/>
    <w:rsid w:val="00B834E3"/>
    <w:rsid w:val="00B84FAF"/>
    <w:rsid w:val="00B90729"/>
    <w:rsid w:val="00B907DA"/>
    <w:rsid w:val="00B9470E"/>
    <w:rsid w:val="00B950BC"/>
    <w:rsid w:val="00B9714C"/>
    <w:rsid w:val="00B97F62"/>
    <w:rsid w:val="00BA29AD"/>
    <w:rsid w:val="00BA33CF"/>
    <w:rsid w:val="00BA3F8D"/>
    <w:rsid w:val="00BA598E"/>
    <w:rsid w:val="00BB4700"/>
    <w:rsid w:val="00BB7A10"/>
    <w:rsid w:val="00BC03E2"/>
    <w:rsid w:val="00BC60BE"/>
    <w:rsid w:val="00BC670D"/>
    <w:rsid w:val="00BC7468"/>
    <w:rsid w:val="00BC78B7"/>
    <w:rsid w:val="00BC7D4F"/>
    <w:rsid w:val="00BC7ED7"/>
    <w:rsid w:val="00BD1367"/>
    <w:rsid w:val="00BD2850"/>
    <w:rsid w:val="00BD3DFA"/>
    <w:rsid w:val="00BE28D2"/>
    <w:rsid w:val="00BE4A64"/>
    <w:rsid w:val="00BE5E43"/>
    <w:rsid w:val="00BE6E36"/>
    <w:rsid w:val="00BF09E5"/>
    <w:rsid w:val="00BF1283"/>
    <w:rsid w:val="00BF400D"/>
    <w:rsid w:val="00BF50C9"/>
    <w:rsid w:val="00BF557D"/>
    <w:rsid w:val="00BF7AF0"/>
    <w:rsid w:val="00BF7F58"/>
    <w:rsid w:val="00C01381"/>
    <w:rsid w:val="00C01AB1"/>
    <w:rsid w:val="00C026A0"/>
    <w:rsid w:val="00C03EA4"/>
    <w:rsid w:val="00C04F42"/>
    <w:rsid w:val="00C05486"/>
    <w:rsid w:val="00C05925"/>
    <w:rsid w:val="00C06137"/>
    <w:rsid w:val="00C06929"/>
    <w:rsid w:val="00C06F88"/>
    <w:rsid w:val="00C079B8"/>
    <w:rsid w:val="00C10037"/>
    <w:rsid w:val="00C123EA"/>
    <w:rsid w:val="00C12A49"/>
    <w:rsid w:val="00C133EE"/>
    <w:rsid w:val="00C149D0"/>
    <w:rsid w:val="00C231A0"/>
    <w:rsid w:val="00C24934"/>
    <w:rsid w:val="00C24F03"/>
    <w:rsid w:val="00C25C83"/>
    <w:rsid w:val="00C26588"/>
    <w:rsid w:val="00C26F4D"/>
    <w:rsid w:val="00C27DE9"/>
    <w:rsid w:val="00C30D6A"/>
    <w:rsid w:val="00C32989"/>
    <w:rsid w:val="00C33388"/>
    <w:rsid w:val="00C35484"/>
    <w:rsid w:val="00C4173A"/>
    <w:rsid w:val="00C41B1B"/>
    <w:rsid w:val="00C42843"/>
    <w:rsid w:val="00C50DED"/>
    <w:rsid w:val="00C52217"/>
    <w:rsid w:val="00C602FF"/>
    <w:rsid w:val="00C61174"/>
    <w:rsid w:val="00C6148F"/>
    <w:rsid w:val="00C621B1"/>
    <w:rsid w:val="00C62CD7"/>
    <w:rsid w:val="00C62F7A"/>
    <w:rsid w:val="00C63B9C"/>
    <w:rsid w:val="00C6682F"/>
    <w:rsid w:val="00C67BF4"/>
    <w:rsid w:val="00C7275E"/>
    <w:rsid w:val="00C74C5D"/>
    <w:rsid w:val="00C812E7"/>
    <w:rsid w:val="00C863C4"/>
    <w:rsid w:val="00C920EA"/>
    <w:rsid w:val="00C93C3E"/>
    <w:rsid w:val="00C97353"/>
    <w:rsid w:val="00CA12E3"/>
    <w:rsid w:val="00CA1476"/>
    <w:rsid w:val="00CA6611"/>
    <w:rsid w:val="00CA6647"/>
    <w:rsid w:val="00CA6AE6"/>
    <w:rsid w:val="00CA782F"/>
    <w:rsid w:val="00CB14C7"/>
    <w:rsid w:val="00CB187B"/>
    <w:rsid w:val="00CB1DD0"/>
    <w:rsid w:val="00CB2335"/>
    <w:rsid w:val="00CB26DE"/>
    <w:rsid w:val="00CB2835"/>
    <w:rsid w:val="00CB2A30"/>
    <w:rsid w:val="00CB3285"/>
    <w:rsid w:val="00CB4500"/>
    <w:rsid w:val="00CC075F"/>
    <w:rsid w:val="00CC0C72"/>
    <w:rsid w:val="00CC29E7"/>
    <w:rsid w:val="00CC2BFD"/>
    <w:rsid w:val="00CC75B1"/>
    <w:rsid w:val="00CD2D1A"/>
    <w:rsid w:val="00CD3476"/>
    <w:rsid w:val="00CD4048"/>
    <w:rsid w:val="00CD6092"/>
    <w:rsid w:val="00CD64DF"/>
    <w:rsid w:val="00CE225F"/>
    <w:rsid w:val="00CF2F50"/>
    <w:rsid w:val="00CF4148"/>
    <w:rsid w:val="00CF41BA"/>
    <w:rsid w:val="00CF4F74"/>
    <w:rsid w:val="00CF5A61"/>
    <w:rsid w:val="00CF6198"/>
    <w:rsid w:val="00D00A0D"/>
    <w:rsid w:val="00D02919"/>
    <w:rsid w:val="00D02D99"/>
    <w:rsid w:val="00D031AE"/>
    <w:rsid w:val="00D0354E"/>
    <w:rsid w:val="00D0456A"/>
    <w:rsid w:val="00D04C61"/>
    <w:rsid w:val="00D05B8D"/>
    <w:rsid w:val="00D05B9B"/>
    <w:rsid w:val="00D065A2"/>
    <w:rsid w:val="00D079AA"/>
    <w:rsid w:val="00D07F00"/>
    <w:rsid w:val="00D1130F"/>
    <w:rsid w:val="00D118C2"/>
    <w:rsid w:val="00D17903"/>
    <w:rsid w:val="00D17B72"/>
    <w:rsid w:val="00D246E0"/>
    <w:rsid w:val="00D3185C"/>
    <w:rsid w:val="00D3205F"/>
    <w:rsid w:val="00D3318E"/>
    <w:rsid w:val="00D33E72"/>
    <w:rsid w:val="00D348BF"/>
    <w:rsid w:val="00D352CF"/>
    <w:rsid w:val="00D35BD6"/>
    <w:rsid w:val="00D361B5"/>
    <w:rsid w:val="00D36B02"/>
    <w:rsid w:val="00D411A2"/>
    <w:rsid w:val="00D45AF0"/>
    <w:rsid w:val="00D4606D"/>
    <w:rsid w:val="00D46C8D"/>
    <w:rsid w:val="00D46DC4"/>
    <w:rsid w:val="00D50B9C"/>
    <w:rsid w:val="00D5271E"/>
    <w:rsid w:val="00D52D73"/>
    <w:rsid w:val="00D52E58"/>
    <w:rsid w:val="00D539DE"/>
    <w:rsid w:val="00D56360"/>
    <w:rsid w:val="00D56B20"/>
    <w:rsid w:val="00D578B3"/>
    <w:rsid w:val="00D618F4"/>
    <w:rsid w:val="00D647B1"/>
    <w:rsid w:val="00D70BF8"/>
    <w:rsid w:val="00D714CC"/>
    <w:rsid w:val="00D75EA7"/>
    <w:rsid w:val="00D81ADF"/>
    <w:rsid w:val="00D81F21"/>
    <w:rsid w:val="00D829EC"/>
    <w:rsid w:val="00D83295"/>
    <w:rsid w:val="00D864F2"/>
    <w:rsid w:val="00D87EBE"/>
    <w:rsid w:val="00D90B2E"/>
    <w:rsid w:val="00D92540"/>
    <w:rsid w:val="00D943F8"/>
    <w:rsid w:val="00D9457D"/>
    <w:rsid w:val="00D95470"/>
    <w:rsid w:val="00D9589E"/>
    <w:rsid w:val="00D96B55"/>
    <w:rsid w:val="00DA2619"/>
    <w:rsid w:val="00DA2E57"/>
    <w:rsid w:val="00DA4239"/>
    <w:rsid w:val="00DA65DE"/>
    <w:rsid w:val="00DB0B61"/>
    <w:rsid w:val="00DB1474"/>
    <w:rsid w:val="00DB2962"/>
    <w:rsid w:val="00DB3C0E"/>
    <w:rsid w:val="00DB52FB"/>
    <w:rsid w:val="00DB5B2B"/>
    <w:rsid w:val="00DB5B4E"/>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6B28"/>
    <w:rsid w:val="00DE2D04"/>
    <w:rsid w:val="00DE3250"/>
    <w:rsid w:val="00DE5F17"/>
    <w:rsid w:val="00DE5F30"/>
    <w:rsid w:val="00DE6028"/>
    <w:rsid w:val="00DE6C85"/>
    <w:rsid w:val="00DE78A3"/>
    <w:rsid w:val="00DF0AE1"/>
    <w:rsid w:val="00DF1A71"/>
    <w:rsid w:val="00DF3FD9"/>
    <w:rsid w:val="00DF50FC"/>
    <w:rsid w:val="00DF68C7"/>
    <w:rsid w:val="00DF731A"/>
    <w:rsid w:val="00E0301D"/>
    <w:rsid w:val="00E049F0"/>
    <w:rsid w:val="00E06B75"/>
    <w:rsid w:val="00E11332"/>
    <w:rsid w:val="00E11352"/>
    <w:rsid w:val="00E170DC"/>
    <w:rsid w:val="00E17546"/>
    <w:rsid w:val="00E210B5"/>
    <w:rsid w:val="00E22FE5"/>
    <w:rsid w:val="00E25CD5"/>
    <w:rsid w:val="00E261B3"/>
    <w:rsid w:val="00E26818"/>
    <w:rsid w:val="00E27FFC"/>
    <w:rsid w:val="00E30B15"/>
    <w:rsid w:val="00E33237"/>
    <w:rsid w:val="00E40181"/>
    <w:rsid w:val="00E42EA2"/>
    <w:rsid w:val="00E46954"/>
    <w:rsid w:val="00E469C3"/>
    <w:rsid w:val="00E50F29"/>
    <w:rsid w:val="00E52F4F"/>
    <w:rsid w:val="00E53990"/>
    <w:rsid w:val="00E54950"/>
    <w:rsid w:val="00E54E92"/>
    <w:rsid w:val="00E55401"/>
    <w:rsid w:val="00E55FB3"/>
    <w:rsid w:val="00E56A01"/>
    <w:rsid w:val="00E629A1"/>
    <w:rsid w:val="00E6387C"/>
    <w:rsid w:val="00E6794C"/>
    <w:rsid w:val="00E71591"/>
    <w:rsid w:val="00E71CEB"/>
    <w:rsid w:val="00E7474F"/>
    <w:rsid w:val="00E75E5C"/>
    <w:rsid w:val="00E75F46"/>
    <w:rsid w:val="00E76426"/>
    <w:rsid w:val="00E80DE3"/>
    <w:rsid w:val="00E81D9A"/>
    <w:rsid w:val="00E82C55"/>
    <w:rsid w:val="00E8782E"/>
    <w:rsid w:val="00E8787E"/>
    <w:rsid w:val="00E922FF"/>
    <w:rsid w:val="00E929E5"/>
    <w:rsid w:val="00E92AC3"/>
    <w:rsid w:val="00E96610"/>
    <w:rsid w:val="00EA2F6A"/>
    <w:rsid w:val="00EA73E3"/>
    <w:rsid w:val="00EB00E0"/>
    <w:rsid w:val="00EB05D5"/>
    <w:rsid w:val="00EB1931"/>
    <w:rsid w:val="00EB27B3"/>
    <w:rsid w:val="00EC059F"/>
    <w:rsid w:val="00EC1F24"/>
    <w:rsid w:val="00EC20FF"/>
    <w:rsid w:val="00EC22F6"/>
    <w:rsid w:val="00EC3684"/>
    <w:rsid w:val="00EC7A1B"/>
    <w:rsid w:val="00ED195F"/>
    <w:rsid w:val="00ED5B9B"/>
    <w:rsid w:val="00ED6BAD"/>
    <w:rsid w:val="00ED713A"/>
    <w:rsid w:val="00ED71DC"/>
    <w:rsid w:val="00ED7447"/>
    <w:rsid w:val="00EE00D6"/>
    <w:rsid w:val="00EE0BD4"/>
    <w:rsid w:val="00EE11E7"/>
    <w:rsid w:val="00EE1488"/>
    <w:rsid w:val="00EE1730"/>
    <w:rsid w:val="00EE29AD"/>
    <w:rsid w:val="00EE3E24"/>
    <w:rsid w:val="00EE4646"/>
    <w:rsid w:val="00EE4D5D"/>
    <w:rsid w:val="00EE5131"/>
    <w:rsid w:val="00EE55AE"/>
    <w:rsid w:val="00EE7C76"/>
    <w:rsid w:val="00EF0AF4"/>
    <w:rsid w:val="00EF0E03"/>
    <w:rsid w:val="00EF109B"/>
    <w:rsid w:val="00EF1E16"/>
    <w:rsid w:val="00EF201C"/>
    <w:rsid w:val="00EF2C72"/>
    <w:rsid w:val="00EF36AF"/>
    <w:rsid w:val="00EF3A0D"/>
    <w:rsid w:val="00EF4FF1"/>
    <w:rsid w:val="00EF59A3"/>
    <w:rsid w:val="00EF6675"/>
    <w:rsid w:val="00F0063D"/>
    <w:rsid w:val="00F00F9C"/>
    <w:rsid w:val="00F01E5F"/>
    <w:rsid w:val="00F024F3"/>
    <w:rsid w:val="00F02ABA"/>
    <w:rsid w:val="00F03701"/>
    <w:rsid w:val="00F0437A"/>
    <w:rsid w:val="00F075DF"/>
    <w:rsid w:val="00F101B8"/>
    <w:rsid w:val="00F10266"/>
    <w:rsid w:val="00F10C7D"/>
    <w:rsid w:val="00F11037"/>
    <w:rsid w:val="00F12DFF"/>
    <w:rsid w:val="00F14351"/>
    <w:rsid w:val="00F16F1B"/>
    <w:rsid w:val="00F250A9"/>
    <w:rsid w:val="00F26525"/>
    <w:rsid w:val="00F267AF"/>
    <w:rsid w:val="00F26BCD"/>
    <w:rsid w:val="00F30FF4"/>
    <w:rsid w:val="00F3122E"/>
    <w:rsid w:val="00F32368"/>
    <w:rsid w:val="00F331AD"/>
    <w:rsid w:val="00F35287"/>
    <w:rsid w:val="00F3546A"/>
    <w:rsid w:val="00F40A70"/>
    <w:rsid w:val="00F430CE"/>
    <w:rsid w:val="00F43A37"/>
    <w:rsid w:val="00F4641B"/>
    <w:rsid w:val="00F46EB8"/>
    <w:rsid w:val="00F474B9"/>
    <w:rsid w:val="00F476B8"/>
    <w:rsid w:val="00F47905"/>
    <w:rsid w:val="00F50727"/>
    <w:rsid w:val="00F50CD1"/>
    <w:rsid w:val="00F511E4"/>
    <w:rsid w:val="00F5247A"/>
    <w:rsid w:val="00F52D09"/>
    <w:rsid w:val="00F52E08"/>
    <w:rsid w:val="00F53A66"/>
    <w:rsid w:val="00F5462D"/>
    <w:rsid w:val="00F55B21"/>
    <w:rsid w:val="00F56EF6"/>
    <w:rsid w:val="00F60082"/>
    <w:rsid w:val="00F608F2"/>
    <w:rsid w:val="00F61A9F"/>
    <w:rsid w:val="00F61B5F"/>
    <w:rsid w:val="00F63338"/>
    <w:rsid w:val="00F63B88"/>
    <w:rsid w:val="00F64696"/>
    <w:rsid w:val="00F65AA9"/>
    <w:rsid w:val="00F65D1B"/>
    <w:rsid w:val="00F6768F"/>
    <w:rsid w:val="00F72115"/>
    <w:rsid w:val="00F724B6"/>
    <w:rsid w:val="00F72A17"/>
    <w:rsid w:val="00F72C2C"/>
    <w:rsid w:val="00F741F2"/>
    <w:rsid w:val="00F7420B"/>
    <w:rsid w:val="00F74C33"/>
    <w:rsid w:val="00F74C75"/>
    <w:rsid w:val="00F76CAB"/>
    <w:rsid w:val="00F772C6"/>
    <w:rsid w:val="00F776BE"/>
    <w:rsid w:val="00F815B5"/>
    <w:rsid w:val="00F85195"/>
    <w:rsid w:val="00F85B49"/>
    <w:rsid w:val="00F862DD"/>
    <w:rsid w:val="00F868E3"/>
    <w:rsid w:val="00F919BB"/>
    <w:rsid w:val="00F921A3"/>
    <w:rsid w:val="00F923DF"/>
    <w:rsid w:val="00F938BA"/>
    <w:rsid w:val="00F97919"/>
    <w:rsid w:val="00FA2C46"/>
    <w:rsid w:val="00FA3525"/>
    <w:rsid w:val="00FA5A53"/>
    <w:rsid w:val="00FA6C09"/>
    <w:rsid w:val="00FB0AEA"/>
    <w:rsid w:val="00FB3501"/>
    <w:rsid w:val="00FB4769"/>
    <w:rsid w:val="00FB4CDA"/>
    <w:rsid w:val="00FB6481"/>
    <w:rsid w:val="00FB6D36"/>
    <w:rsid w:val="00FC0965"/>
    <w:rsid w:val="00FC0F81"/>
    <w:rsid w:val="00FC252F"/>
    <w:rsid w:val="00FC395C"/>
    <w:rsid w:val="00FC5E8E"/>
    <w:rsid w:val="00FD3766"/>
    <w:rsid w:val="00FD3ECE"/>
    <w:rsid w:val="00FD47C4"/>
    <w:rsid w:val="00FE19D7"/>
    <w:rsid w:val="00FE2261"/>
    <w:rsid w:val="00FE2DCF"/>
    <w:rsid w:val="00FE3BFA"/>
    <w:rsid w:val="00FE3FA7"/>
    <w:rsid w:val="00FE4B8A"/>
    <w:rsid w:val="00FE5A18"/>
    <w:rsid w:val="00FF0E07"/>
    <w:rsid w:val="00FF2A4E"/>
    <w:rsid w:val="00FF2FCE"/>
    <w:rsid w:val="00FF4F7D"/>
    <w:rsid w:val="00FF6D9D"/>
    <w:rsid w:val="00FF7DD5"/>
    <w:rsid w:val="4A607DFB"/>
    <w:rsid w:val="537CA979"/>
    <w:rsid w:val="7F4D263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10CF615C-D9B8-4A58-AA23-F940CD7A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355FA8"/>
    <w:pPr>
      <w:keepNext/>
      <w:keepLines/>
      <w:spacing w:before="320" w:after="200" w:line="480" w:lineRule="atLeast"/>
      <w:outlineLvl w:val="0"/>
    </w:pPr>
    <w:rPr>
      <w:rFonts w:ascii="Arial" w:eastAsia="MS Gothic" w:hAnsi="Arial" w:cs="Arial"/>
      <w:bCs/>
      <w:color w:val="201547"/>
      <w:kern w:val="32"/>
      <w:sz w:val="44"/>
      <w:szCs w:val="40"/>
      <w:lang w:eastAsia="en-US"/>
    </w:rPr>
  </w:style>
  <w:style w:type="paragraph" w:styleId="Heading2">
    <w:name w:val="heading 2"/>
    <w:next w:val="Body"/>
    <w:link w:val="Heading2Char"/>
    <w:uiPriority w:val="1"/>
    <w:qFormat/>
    <w:rsid w:val="00355FA8"/>
    <w:pPr>
      <w:keepNext/>
      <w:keepLines/>
      <w:spacing w:before="240" w:after="90" w:line="380" w:lineRule="atLeast"/>
      <w:outlineLvl w:val="1"/>
    </w:pPr>
    <w:rPr>
      <w:rFonts w:ascii="Arial" w:hAnsi="Arial"/>
      <w:b/>
      <w:color w:val="201547"/>
      <w:sz w:val="36"/>
      <w:szCs w:val="28"/>
      <w:lang w:eastAsia="en-US"/>
    </w:rPr>
  </w:style>
  <w:style w:type="paragraph" w:styleId="Heading3">
    <w:name w:val="heading 3"/>
    <w:next w:val="Body"/>
    <w:link w:val="Heading3Char"/>
    <w:uiPriority w:val="1"/>
    <w:qFormat/>
    <w:rsid w:val="00ED195F"/>
    <w:pPr>
      <w:keepNext/>
      <w:keepLines/>
      <w:spacing w:before="280" w:after="120" w:line="310" w:lineRule="atLeast"/>
      <w:outlineLvl w:val="2"/>
    </w:pPr>
    <w:rPr>
      <w:rFonts w:ascii="Arial" w:eastAsia="MS Gothic" w:hAnsi="Arial"/>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355FA8"/>
    <w:pPr>
      <w:spacing w:after="240" w:line="400" w:lineRule="atLeast"/>
    </w:pPr>
    <w:rPr>
      <w:rFonts w:ascii="Arial" w:eastAsia="Times" w:hAnsi="Arial"/>
      <w:sz w:val="28"/>
      <w:lang w:eastAsia="en-US"/>
    </w:rPr>
  </w:style>
  <w:style w:type="character" w:customStyle="1" w:styleId="Heading1Char">
    <w:name w:val="Heading 1 Char"/>
    <w:link w:val="Heading1"/>
    <w:uiPriority w:val="1"/>
    <w:rsid w:val="00355FA8"/>
    <w:rPr>
      <w:rFonts w:ascii="Arial" w:eastAsia="MS Gothic" w:hAnsi="Arial" w:cs="Arial"/>
      <w:bCs/>
      <w:color w:val="201547"/>
      <w:kern w:val="32"/>
      <w:sz w:val="44"/>
      <w:szCs w:val="40"/>
      <w:lang w:eastAsia="en-US"/>
    </w:rPr>
  </w:style>
  <w:style w:type="character" w:customStyle="1" w:styleId="Heading2Char">
    <w:name w:val="Heading 2 Char"/>
    <w:link w:val="Heading2"/>
    <w:uiPriority w:val="1"/>
    <w:rsid w:val="00355FA8"/>
    <w:rPr>
      <w:rFonts w:ascii="Arial" w:hAnsi="Arial"/>
      <w:b/>
      <w:color w:val="201547"/>
      <w:sz w:val="36"/>
      <w:szCs w:val="28"/>
      <w:lang w:eastAsia="en-US"/>
    </w:rPr>
  </w:style>
  <w:style w:type="character" w:customStyle="1" w:styleId="Heading3Char">
    <w:name w:val="Heading 3 Char"/>
    <w:link w:val="Heading3"/>
    <w:uiPriority w:val="1"/>
    <w:rsid w:val="00ED195F"/>
    <w:rPr>
      <w:rFonts w:ascii="Arial" w:eastAsia="MS Gothic" w:hAnsi="Arial"/>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8A5D60"/>
    <w:pPr>
      <w:spacing w:after="300"/>
    </w:pPr>
    <w:rPr>
      <w:rFonts w:ascii="Arial" w:hAnsi="Arial" w:cs="Arial"/>
      <w:b/>
      <w:color w:val="201547"/>
      <w:sz w:val="18"/>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55FA8"/>
    <w:pPr>
      <w:numPr>
        <w:numId w:val="7"/>
      </w:numPr>
      <w:ind w:left="425" w:hanging="425"/>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355FA8"/>
    <w:pPr>
      <w:keepNext/>
      <w:keepLines/>
      <w:tabs>
        <w:tab w:val="right" w:leader="dot" w:pos="10206"/>
      </w:tabs>
      <w:spacing w:before="160" w:line="320" w:lineRule="atLeast"/>
    </w:pPr>
    <w:rPr>
      <w:b/>
      <w:noProof/>
      <w:sz w:val="28"/>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355FA8"/>
    <w:pPr>
      <w:keepLines/>
      <w:tabs>
        <w:tab w:val="right" w:leader="dot" w:pos="10206"/>
      </w:tabs>
      <w:spacing w:line="320" w:lineRule="atLeast"/>
    </w:pPr>
    <w:rPr>
      <w:noProof/>
      <w:sz w:val="28"/>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355FA8"/>
    <w:pPr>
      <w:spacing w:before="240" w:after="200" w:line="300" w:lineRule="atLeast"/>
    </w:pPr>
    <w:rPr>
      <w:rFonts w:ascii="Arial" w:eastAsia="Times" w:hAnsi="Arial"/>
      <w:sz w:val="28"/>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355FA8"/>
    <w:rPr>
      <w:rFonts w:asciiTheme="minorHAnsi" w:hAnsiTheme="minorHAnsi"/>
      <w:color w:val="004C97"/>
      <w:sz w:val="28"/>
      <w:u w:val="dotted"/>
    </w:rPr>
  </w:style>
  <w:style w:type="paragraph" w:customStyle="1" w:styleId="Documentsubtitle">
    <w:name w:val="Document subtitle"/>
    <w:uiPriority w:val="8"/>
    <w:rsid w:val="00355FA8"/>
    <w:pPr>
      <w:spacing w:after="100"/>
    </w:pPr>
    <w:rPr>
      <w:rFonts w:ascii="Arial" w:hAnsi="Arial"/>
      <w:color w:val="201547"/>
      <w:sz w:val="36"/>
      <w:szCs w:val="24"/>
      <w:lang w:eastAsia="en-US"/>
    </w:rPr>
  </w:style>
  <w:style w:type="paragraph" w:styleId="FootnoteText">
    <w:name w:val="footnote text"/>
    <w:basedOn w:val="Normal"/>
    <w:link w:val="FootnoteTextChar"/>
    <w:uiPriority w:val="8"/>
    <w:rsid w:val="00355FA8"/>
    <w:pPr>
      <w:spacing w:before="60" w:after="60" w:line="220" w:lineRule="atLeast"/>
    </w:pPr>
    <w:rPr>
      <w:rFonts w:eastAsia="MS Gothic" w:cs="Arial"/>
      <w:sz w:val="24"/>
      <w:szCs w:val="16"/>
    </w:rPr>
  </w:style>
  <w:style w:type="character" w:customStyle="1" w:styleId="FootnoteTextChar">
    <w:name w:val="Footnote Text Char"/>
    <w:link w:val="FootnoteText"/>
    <w:uiPriority w:val="8"/>
    <w:rsid w:val="00355FA8"/>
    <w:rPr>
      <w:rFonts w:ascii="Arial" w:eastAsia="MS Gothic" w:hAnsi="Arial" w:cs="Arial"/>
      <w:sz w:val="24"/>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55FA8"/>
    <w:pPr>
      <w:numPr>
        <w:numId w:val="3"/>
      </w:numPr>
      <w:ind w:left="425" w:hanging="425"/>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355FA8"/>
    <w:rPr>
      <w:rFonts w:ascii="Arial" w:eastAsia="Times" w:hAnsi="Arial"/>
      <w:sz w:val="28"/>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rPr>
      <w:color w:val="201547"/>
    </w:rPr>
  </w:style>
  <w:style w:type="paragraph" w:styleId="TOCHeading">
    <w:name w:val="TOC Heading"/>
    <w:basedOn w:val="Heading1"/>
    <w:next w:val="Normal"/>
    <w:uiPriority w:val="39"/>
    <w:unhideWhenUsed/>
    <w:qFormat/>
    <w:rsid w:val="00600B39"/>
    <w:pPr>
      <w:spacing w:before="240" w:after="0" w:line="259" w:lineRule="auto"/>
      <w:outlineLvl w:val="9"/>
    </w:pPr>
    <w:rPr>
      <w:rFonts w:asciiTheme="majorHAnsi" w:eastAsiaTheme="majorEastAsia" w:hAnsiTheme="majorHAnsi" w:cstheme="majorBidi"/>
      <w:bCs w:val="0"/>
      <w:color w:val="00857E" w:themeColor="accent1" w:themeShade="BF"/>
      <w:kern w:val="0"/>
      <w:sz w:val="32"/>
      <w:szCs w:val="32"/>
      <w:lang w:val="en-US"/>
    </w:rPr>
  </w:style>
  <w:style w:type="character" w:styleId="Mention">
    <w:name w:val="Mention"/>
    <w:basedOn w:val="DefaultParagraphFont"/>
    <w:uiPriority w:val="99"/>
    <w:unhideWhenUsed/>
    <w:rsid w:val="00600B39"/>
    <w:rPr>
      <w:color w:val="2B579A"/>
      <w:shd w:val="clear" w:color="auto" w:fill="E1DFDD"/>
    </w:rPr>
  </w:style>
  <w:style w:type="character" w:customStyle="1" w:styleId="FooterChar">
    <w:name w:val="Footer Char"/>
    <w:basedOn w:val="DefaultParagraphFont"/>
    <w:link w:val="Footer"/>
    <w:uiPriority w:val="99"/>
    <w:rsid w:val="00600B39"/>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quality@dffh.vic.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ic.gov.au/pride-our-future-victorias-lgbtiq-strategy-2022-3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pride-our-future-victorias-lgbtiq-strategy-2022-32" TargetMode="Externa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DFFH">
      <a:dk1>
        <a:srgbClr val="000000"/>
      </a:dk1>
      <a:lt1>
        <a:srgbClr val="FFFFFF"/>
      </a:lt1>
      <a:dk2>
        <a:srgbClr val="535659"/>
      </a:dk2>
      <a:lt2>
        <a:srgbClr val="D9D9D6"/>
      </a:lt2>
      <a:accent1>
        <a:srgbClr val="00B2A9"/>
      </a:accent1>
      <a:accent2>
        <a:srgbClr val="500778"/>
      </a:accent2>
      <a:accent3>
        <a:srgbClr val="00B140"/>
      </a:accent3>
      <a:accent4>
        <a:srgbClr val="0090DA"/>
      </a:accent4>
      <a:accent5>
        <a:srgbClr val="201547"/>
      </a:accent5>
      <a:accent6>
        <a:srgbClr val="FFC000"/>
      </a:accent6>
      <a:hlink>
        <a:srgbClr val="0090DA"/>
      </a:hlink>
      <a:folHlink>
        <a:srgbClr val="50067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8" ma:contentTypeDescription="Create a new document." ma:contentTypeScope="" ma:versionID="c0b173c6f56aa607894277b14dde4e12">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bb1ab8fba57c9c453f45a7f55551d11"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1ef5222-d273-4e86-adbf-8aa3d9e99a84">
      <UserInfo>
        <DisplayName>Gerry Goswell (DFFH)</DisplayName>
        <AccountId>25</AccountId>
        <AccountType/>
      </UserInfo>
      <UserInfo>
        <DisplayName>Kelsey Brewer (DFFH)</DisplayName>
        <AccountId>14</AccountId>
        <AccountType/>
      </UserInfo>
      <UserInfo>
        <DisplayName>Brad Bowden (DFFH)</DisplayName>
        <AccountId>62</AccountId>
        <AccountType/>
      </UserInfo>
      <UserInfo>
        <DisplayName>Sarah Alexander (DFFH)</DisplayName>
        <AccountId>66</AccountId>
        <AccountType/>
      </UserInfo>
      <UserInfo>
        <DisplayName>Hannah Settatree (DFFH)</DisplayName>
        <AccountId>58</AccountId>
        <AccountType/>
      </UserInfo>
      <UserInfo>
        <DisplayName>Helen Kelly (DFFH)</DisplayName>
        <AccountId>46</AccountId>
        <AccountType/>
      </UserInfo>
      <UserInfo>
        <DisplayName>Parmes M (DFFH)</DisplayName>
        <AccountId>65</AccountId>
        <AccountType/>
      </UserInfo>
    </SharedWithUsers>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EB11F9E-1FB3-4F74-B257-34F04BB0224C}"/>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81a669a9-4c03-4d16-87ee-6a524753b854"/>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13</Pages>
  <Words>2992</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Pride in our future: Victoria’s LGBTIQ+ strategy 2022–32 – summary - accessible</vt:lpstr>
    </vt:vector>
  </TitlesOfParts>
  <Company>Victoria State Government, Department of Families, Fairness and Housing</Company>
  <LinksUpToDate>false</LinksUpToDate>
  <CharactersWithSpaces>20013</CharactersWithSpaces>
  <SharedDoc>false</SharedDoc>
  <HyperlinkBase/>
  <HLinks>
    <vt:vector size="18" baseType="variant">
      <vt:variant>
        <vt:i4>327769</vt:i4>
      </vt:variant>
      <vt:variant>
        <vt:i4>6</vt:i4>
      </vt:variant>
      <vt:variant>
        <vt:i4>0</vt:i4>
      </vt:variant>
      <vt:variant>
        <vt:i4>5</vt:i4>
      </vt:variant>
      <vt:variant>
        <vt:lpwstr>https://www.vic.gov.au/victorian-lgbtiq-strategy</vt:lpwstr>
      </vt:variant>
      <vt:variant>
        <vt:lpwstr/>
      </vt:variant>
      <vt:variant>
        <vt:i4>5308424</vt:i4>
      </vt:variant>
      <vt:variant>
        <vt:i4>3</vt:i4>
      </vt:variant>
      <vt:variant>
        <vt:i4>0</vt:i4>
      </vt:variant>
      <vt:variant>
        <vt:i4>5</vt:i4>
      </vt:variant>
      <vt:variant>
        <vt:lpwstr>https://creativecommons.org/licenses/by/4.0/</vt:lpwstr>
      </vt:variant>
      <vt:variant>
        <vt:lpwstr/>
      </vt:variant>
      <vt:variant>
        <vt:i4>4259936</vt:i4>
      </vt:variant>
      <vt:variant>
        <vt:i4>0</vt:i4>
      </vt:variant>
      <vt:variant>
        <vt:i4>0</vt:i4>
      </vt:variant>
      <vt:variant>
        <vt:i4>5</vt:i4>
      </vt:variant>
      <vt:variant>
        <vt:lpwstr>mailto:equality@dffh.vic.gov.au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Pride in our future: Victoria’s LGBTIQ+ strategy 2022–32 – summary - accessible</dc:title>
  <dc:subject>Pride in our future: Victoria’s LGBTIQ+ strategy 2022–32 – summary - accessible</dc:subject>
  <dc:creator>Fairer Victoria</dc:creator>
  <cp:keywords>Victoria, Pride in our future, LGBTIQ+, strategy, summary, accessible</cp:keywords>
  <cp:lastModifiedBy>Suzanne Hall (DFFH)</cp:lastModifiedBy>
  <cp:revision>12</cp:revision>
  <cp:lastPrinted>2021-01-29T05:27:00Z</cp:lastPrinted>
  <dcterms:created xsi:type="dcterms:W3CDTF">2022-01-25T01:49:00Z</dcterms:created>
  <dcterms:modified xsi:type="dcterms:W3CDTF">2023-11-10T00:27:00Z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v5 17062021</vt:lpwstr>
  </property>
  <property fmtid="{D5CDD505-2E9C-101B-9397-08002B2CF9AE}" pid="5" name="MSIP_Label_efdf5488-3066-4b6c-8fea-9472b8a1f34c_Enabled">
    <vt:lpwstr>true</vt:lpwstr>
  </property>
  <property fmtid="{D5CDD505-2E9C-101B-9397-08002B2CF9AE}" pid="6" name="MSIP_Label_efdf5488-3066-4b6c-8fea-9472b8a1f34c_SetDate">
    <vt:lpwstr>2022-02-03T23:26:15Z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982f5a45-d769-46f8-9796-26fa0ca4984e</vt:lpwstr>
  </property>
  <property fmtid="{D5CDD505-2E9C-101B-9397-08002B2CF9AE}" pid="11" name="MSIP_Label_efdf5488-3066-4b6c-8fea-9472b8a1f34c_ContentBits">
    <vt:lpwstr>0</vt:lpwstr>
  </property>
</Properties>
</file>