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1F42" w:rsidR="00853088" w:rsidP="00431F42" w:rsidRDefault="00853088" w14:paraId="677B32FC" w14:textId="77777777">
      <w:pPr>
        <w:pStyle w:val="Documenttitle"/>
      </w:pPr>
      <w:r w:rsidRPr="00FE1E85">
        <w:t xml:space="preserve">Rainbow </w:t>
      </w:r>
      <w:r>
        <w:t xml:space="preserve">Ready </w:t>
      </w:r>
      <w:r w:rsidRPr="00FE1E85">
        <w:t>roadmap</w:t>
      </w:r>
    </w:p>
    <w:p w:rsidRPr="00FE1E85" w:rsidR="00853088" w:rsidP="003440CB" w:rsidRDefault="00853088" w14:paraId="7C5FD698" w14:textId="77777777">
      <w:pPr>
        <w:pStyle w:val="Documentsubtitle"/>
      </w:pPr>
      <w:r w:rsidRPr="003440CB">
        <w:t>Guide A: User guide</w:t>
      </w:r>
      <w:r>
        <w:t xml:space="preserve"> (accessible)</w:t>
      </w:r>
    </w:p>
    <w:p w:rsidR="00853088" w:rsidP="00430393" w:rsidRDefault="00A45AE0" w14:paraId="03B87863" w14:textId="77777777">
      <w:pPr>
        <w:pStyle w:val="Bannermarking"/>
      </w:pPr>
      <w:r>
        <w:fldChar w:fldCharType="begin"/>
      </w:r>
      <w:r>
        <w:instrText>FILLIN  "Type the protective marking" \d OFFICIAL \o  \* MERGEFORMAT</w:instrText>
      </w:r>
      <w:r>
        <w:fldChar w:fldCharType="separate"/>
      </w:r>
      <w:r w:rsidR="00853088">
        <w:t>OFFICIAL</w:t>
      </w:r>
      <w:r>
        <w:fldChar w:fldCharType="end"/>
      </w:r>
    </w:p>
    <w:p w:rsidR="004E41BF" w:rsidP="00FE4081" w:rsidRDefault="004E41BF" w14:paraId="2758ABFB" w14:textId="77777777">
      <w:pPr>
        <w:pStyle w:val="Body"/>
        <w:sectPr w:rsidR="004E41BF" w:rsidSect="004E41BF">
          <w:headerReference w:type="even" r:id="rId11"/>
          <w:headerReference w:type="default" r:id="rId12"/>
          <w:footerReference w:type="even" r:id="rId13"/>
          <w:footerReference w:type="default" r:id="rId14"/>
          <w:headerReference w:type="first" r:id="rId15"/>
          <w:footerReference w:type="first" r:id="rId16"/>
          <w:pgSz w:w="11906" w:h="16838" w:orient="portrait"/>
          <w:pgMar w:top="3974" w:right="1310" w:bottom="850" w:left="1310" w:header="706" w:footer="706" w:gutter="0"/>
          <w:cols w:space="708"/>
          <w:titlePg/>
          <w:docGrid w:linePitch="360"/>
        </w:sectPr>
      </w:pPr>
    </w:p>
    <w:p w:rsidRPr="00FE4081" w:rsidR="00FE4081" w:rsidP="0044575A" w:rsidRDefault="009B3D5C" w14:paraId="3B4B7FED" w14:textId="0FCA871D">
      <w:pPr>
        <w:pStyle w:val="Accessibilitypara"/>
      </w:pPr>
      <w:r w:rsidRPr="0055119B">
        <w:t>To receive this document in another format</w:t>
      </w:r>
      <w:r>
        <w:t>,</w:t>
      </w:r>
      <w:r w:rsidRPr="0055119B">
        <w:t xml:space="preserve"> </w:t>
      </w:r>
      <w:hyperlink w:history="1" r:id="rId17">
        <w:r>
          <w:rPr>
            <w:rStyle w:val="Hyperlink"/>
            <w:b/>
            <w:bCs/>
          </w:rPr>
          <w:t>email the Equality Unit</w:t>
        </w:r>
      </w:hyperlink>
      <w:r w:rsidRPr="009B3D5C">
        <w:rPr>
          <w:b/>
          <w:bCs/>
        </w:rPr>
        <w:t xml:space="preserve"> </w:t>
      </w:r>
      <w:r w:rsidRPr="009B3D5C">
        <w:t>&lt;equality@dffh.vic.gov.au&gt;.</w:t>
      </w:r>
      <w:r w:rsidRPr="0055119B">
        <w:rPr>
          <w:color w:val="004C97"/>
        </w:rPr>
        <w:t xml:space="preserve"> </w:t>
      </w:r>
    </w:p>
    <w:p w:rsidRPr="0055119B" w:rsidR="009B3D5C" w:rsidP="009B3D5C" w:rsidRDefault="009B3D5C" w14:paraId="2B14B9DF" w14:textId="77777777">
      <w:pPr>
        <w:pStyle w:val="Imprint"/>
        <w:spacing w:after="120"/>
      </w:pPr>
      <w:r w:rsidRPr="0055119B">
        <w:t>Authorised and published by the Victorian Government, 1 Treasury Place, Melbourne.</w:t>
      </w:r>
    </w:p>
    <w:p w:rsidRPr="009B3D5C" w:rsidR="009B3D5C" w:rsidP="009B3D5C" w:rsidRDefault="009B3D5C" w14:paraId="552B62C6" w14:textId="77777777">
      <w:pPr>
        <w:pStyle w:val="Imprint"/>
        <w:spacing w:after="120"/>
      </w:pPr>
      <w:r w:rsidRPr="0055119B">
        <w:t xml:space="preserve">© State of Victoria, Australia, Department </w:t>
      </w:r>
      <w:r w:rsidRPr="001B058F">
        <w:t xml:space="preserve">of </w:t>
      </w:r>
      <w:r>
        <w:t>Families, Fairness and Housin</w:t>
      </w:r>
      <w:r w:rsidRPr="009B3D5C">
        <w:t>g, May 2022.</w:t>
      </w:r>
    </w:p>
    <w:p w:rsidRPr="009B3D5C" w:rsidR="009B3D5C" w:rsidP="009B3D5C" w:rsidRDefault="009B3D5C" w14:paraId="7C7919B2" w14:textId="77777777">
      <w:pPr>
        <w:pStyle w:val="Imprint"/>
        <w:spacing w:after="120"/>
      </w:pPr>
      <w:bookmarkStart w:name="_Hlk62746129" w:id="0"/>
      <w:r w:rsidRPr="009B3D5C">
        <w:t>In this document, ‘Aboriginal’ refers to both Aboriginal and Torres Strait Islander people.</w:t>
      </w:r>
    </w:p>
    <w:p w:rsidRPr="009A6471" w:rsidR="009A6471" w:rsidP="009A6471" w:rsidRDefault="009A6471" w14:paraId="3F3BB0C8" w14:textId="7676E7EC">
      <w:pPr>
        <w:pStyle w:val="Imprint"/>
        <w:spacing w:after="120"/>
      </w:pPr>
      <w:bookmarkStart w:name="_Hlk103237434" w:id="1"/>
      <w:r w:rsidRPr="009A6471">
        <w:t>The Victorian Government acknowledges the contributions of Dr Catherine Barrett and Daniel Witthaus in developing this resource.</w:t>
      </w:r>
    </w:p>
    <w:p w:rsidRPr="009A6471" w:rsidR="009A6471" w:rsidP="009A6471" w:rsidRDefault="009A6471" w14:paraId="6FF9B6CE" w14:textId="78CEE39A">
      <w:pPr>
        <w:pStyle w:val="Imprint"/>
        <w:spacing w:after="120"/>
      </w:pPr>
      <w:r w:rsidR="009A6471">
        <w:rPr/>
        <w:t xml:space="preserve">ISBN </w:t>
      </w:r>
      <w:r w:rsidRPr="2D2C3CA2" w:rsidR="22D2D85B">
        <w:rPr>
          <w:rFonts w:ascii="Arial" w:hAnsi="Arial" w:eastAsia="Arial" w:cs="Arial"/>
          <w:noProof w:val="0"/>
          <w:color w:val="000000" w:themeColor="text1" w:themeTint="FF" w:themeShade="FF"/>
          <w:sz w:val="22"/>
          <w:szCs w:val="22"/>
          <w:lang w:val="en-AU"/>
        </w:rPr>
        <w:t>978-1-76130-417-0</w:t>
      </w:r>
      <w:r w:rsidR="009A6471">
        <w:rPr/>
        <w:t xml:space="preserve"> (online/PDF/Word)</w:t>
      </w:r>
    </w:p>
    <w:bookmarkEnd w:id="1"/>
    <w:p w:rsidRPr="0055119B" w:rsidR="009B3D5C" w:rsidP="009B3D5C" w:rsidRDefault="009B3D5C" w14:paraId="26166E7C" w14:textId="77777777">
      <w:pPr>
        <w:pStyle w:val="Imprint"/>
        <w:spacing w:after="120"/>
      </w:pPr>
      <w:r w:rsidRPr="0055119B" w:rsidR="009B3D5C">
        <w:rPr/>
        <w:t xml:space="preserve">Available at </w:t>
      </w:r>
      <w:hyperlink w:history="1" r:id="Rf020235e915a4bd8">
        <w:r w:rsidRPr="009B3D5C" w:rsidR="009B3D5C">
          <w:rPr>
            <w:rStyle w:val="Hyperlink"/>
          </w:rPr>
          <w:t>Rainbow Ready ro</w:t>
        </w:r>
        <w:r w:rsidRPr="009B3D5C" w:rsidR="009B3D5C">
          <w:rPr>
            <w:rStyle w:val="Hyperlink"/>
            <w:rFonts w:cs="Arial"/>
          </w:rPr>
          <w:t>admap</w:t>
        </w:r>
      </w:hyperlink>
      <w:r w:rsidRPr="00695B02" w:rsidR="009B3D5C">
        <w:rPr>
          <w:rFonts w:cs="Arial"/>
        </w:rPr>
        <w:t xml:space="preserve"> &lt;</w:t>
      </w:r>
      <w:r w:rsidRPr="009B3D5C" w:rsidR="009B3D5C">
        <w:rPr>
          <w:rStyle w:val="normaltextrun"/>
          <w:rFonts w:cs="Arial"/>
          <w:color w:val="000000"/>
          <w:bdr w:val="none" w:color="auto" w:sz="0" w:space="0" w:frame="1"/>
        </w:rPr>
        <w:t>https://www.vic.gov.au/rainbow-ready-roadmap&gt;.</w:t>
      </w:r>
      <w:r w:rsidRPr="00E33237" w:rsidR="009B3D5C">
        <w:rPr>
          <w:color w:val="004C97"/>
        </w:rPr>
        <w:t xml:space="preserve"> </w:t>
      </w:r>
    </w:p>
    <w:bookmarkEnd w:id="0"/>
    <w:p w:rsidR="000D2ABA" w:rsidP="00431F42" w:rsidRDefault="000D2ABA" w14:paraId="7059F254" w14:textId="77777777">
      <w:pPr>
        <w:pStyle w:val="Body"/>
      </w:pPr>
      <w:r>
        <w:br w:type="page"/>
      </w:r>
    </w:p>
    <w:p w:rsidRPr="00B57329" w:rsidR="00AD784C" w:rsidP="002365B4" w:rsidRDefault="00AD784C" w14:paraId="4028DB6E" w14:textId="0B4EE14E">
      <w:pPr>
        <w:pStyle w:val="TOCheadingreport"/>
      </w:pPr>
      <w:r w:rsidRPr="00B57329">
        <w:t>Contents</w:t>
      </w:r>
    </w:p>
    <w:p w:rsidR="00F11A6B" w:rsidRDefault="00EA36AF" w14:paraId="3E6DC7F0" w14:textId="726E3A91">
      <w:pPr>
        <w:pStyle w:val="TOC2"/>
        <w:rPr>
          <w:rFonts w:asciiTheme="minorHAnsi" w:hAnsiTheme="minorHAnsi" w:eastAsiaTheme="minorEastAsia" w:cstheme="minorBidi"/>
          <w:kern w:val="2"/>
          <w:sz w:val="22"/>
          <w:szCs w:val="22"/>
          <w:lang w:val="en-US" w:eastAsia="ja-JP"/>
          <w14:ligatures w14:val="standardContextual"/>
        </w:rPr>
      </w:pPr>
      <w:r>
        <w:fldChar w:fldCharType="begin"/>
      </w:r>
      <w:r>
        <w:instrText xml:space="preserve"> TOC \h \z \u \t "Heading 1,2,Heading 2,3,Section title,1" </w:instrText>
      </w:r>
      <w:r>
        <w:fldChar w:fldCharType="separate"/>
      </w:r>
      <w:hyperlink w:history="1" w:anchor="_Toc144934376">
        <w:r w:rsidRPr="006B5074" w:rsidR="00F11A6B">
          <w:rPr>
            <w:rStyle w:val="Hyperlink"/>
          </w:rPr>
          <w:t>Introduction</w:t>
        </w:r>
        <w:r w:rsidR="00F11A6B">
          <w:rPr>
            <w:webHidden/>
          </w:rPr>
          <w:tab/>
        </w:r>
        <w:r w:rsidR="00F11A6B">
          <w:rPr>
            <w:webHidden/>
          </w:rPr>
          <w:fldChar w:fldCharType="begin"/>
        </w:r>
        <w:r w:rsidR="00F11A6B">
          <w:rPr>
            <w:webHidden/>
          </w:rPr>
          <w:instrText xml:space="preserve"> PAGEREF _Toc144934376 \h </w:instrText>
        </w:r>
        <w:r w:rsidR="00F11A6B">
          <w:rPr>
            <w:webHidden/>
          </w:rPr>
        </w:r>
        <w:r w:rsidR="00F11A6B">
          <w:rPr>
            <w:webHidden/>
          </w:rPr>
          <w:fldChar w:fldCharType="separate"/>
        </w:r>
        <w:r w:rsidR="00F11A6B">
          <w:rPr>
            <w:webHidden/>
          </w:rPr>
          <w:t>4</w:t>
        </w:r>
        <w:r w:rsidR="00F11A6B">
          <w:rPr>
            <w:webHidden/>
          </w:rPr>
          <w:fldChar w:fldCharType="end"/>
        </w:r>
      </w:hyperlink>
    </w:p>
    <w:p w:rsidR="00F11A6B" w:rsidRDefault="00F11A6B" w14:paraId="149C06AD" w14:textId="3D322EA4">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77">
        <w:r w:rsidRPr="006B5074">
          <w:rPr>
            <w:rStyle w:val="Hyperlink"/>
            <w:noProof/>
          </w:rPr>
          <w:t>Why do we need the Rainbow Ready roadmap?</w:t>
        </w:r>
        <w:r>
          <w:rPr>
            <w:noProof/>
            <w:webHidden/>
          </w:rPr>
          <w:tab/>
        </w:r>
        <w:r>
          <w:rPr>
            <w:noProof/>
            <w:webHidden/>
          </w:rPr>
          <w:fldChar w:fldCharType="begin"/>
        </w:r>
        <w:r>
          <w:rPr>
            <w:noProof/>
            <w:webHidden/>
          </w:rPr>
          <w:instrText xml:space="preserve"> PAGEREF _Toc144934377 \h </w:instrText>
        </w:r>
        <w:r>
          <w:rPr>
            <w:noProof/>
            <w:webHidden/>
          </w:rPr>
        </w:r>
        <w:r>
          <w:rPr>
            <w:noProof/>
            <w:webHidden/>
          </w:rPr>
          <w:fldChar w:fldCharType="separate"/>
        </w:r>
        <w:r>
          <w:rPr>
            <w:noProof/>
            <w:webHidden/>
          </w:rPr>
          <w:t>4</w:t>
        </w:r>
        <w:r>
          <w:rPr>
            <w:noProof/>
            <w:webHidden/>
          </w:rPr>
          <w:fldChar w:fldCharType="end"/>
        </w:r>
      </w:hyperlink>
    </w:p>
    <w:p w:rsidR="00F11A6B" w:rsidRDefault="00F11A6B" w14:paraId="40B8CF13" w14:textId="7532871A">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78">
        <w:r w:rsidRPr="006B5074">
          <w:rPr>
            <w:rStyle w:val="Hyperlink"/>
            <w:noProof/>
          </w:rPr>
          <w:t>How was the Rainbow Ready roadmap developed?</w:t>
        </w:r>
        <w:r>
          <w:rPr>
            <w:noProof/>
            <w:webHidden/>
          </w:rPr>
          <w:tab/>
        </w:r>
        <w:r>
          <w:rPr>
            <w:noProof/>
            <w:webHidden/>
          </w:rPr>
          <w:fldChar w:fldCharType="begin"/>
        </w:r>
        <w:r>
          <w:rPr>
            <w:noProof/>
            <w:webHidden/>
          </w:rPr>
          <w:instrText xml:space="preserve"> PAGEREF _Toc144934378 \h </w:instrText>
        </w:r>
        <w:r>
          <w:rPr>
            <w:noProof/>
            <w:webHidden/>
          </w:rPr>
        </w:r>
        <w:r>
          <w:rPr>
            <w:noProof/>
            <w:webHidden/>
          </w:rPr>
          <w:fldChar w:fldCharType="separate"/>
        </w:r>
        <w:r>
          <w:rPr>
            <w:noProof/>
            <w:webHidden/>
          </w:rPr>
          <w:t>4</w:t>
        </w:r>
        <w:r>
          <w:rPr>
            <w:noProof/>
            <w:webHidden/>
          </w:rPr>
          <w:fldChar w:fldCharType="end"/>
        </w:r>
      </w:hyperlink>
    </w:p>
    <w:p w:rsidR="00F11A6B" w:rsidRDefault="00F11A6B" w14:paraId="0CECD689" w14:textId="07DA1704">
      <w:pPr>
        <w:pStyle w:val="TOC2"/>
        <w:rPr>
          <w:rFonts w:asciiTheme="minorHAnsi" w:hAnsiTheme="minorHAnsi" w:eastAsiaTheme="minorEastAsia" w:cstheme="minorBidi"/>
          <w:kern w:val="2"/>
          <w:sz w:val="22"/>
          <w:szCs w:val="22"/>
          <w:lang w:val="en-US" w:eastAsia="ja-JP"/>
          <w14:ligatures w14:val="standardContextual"/>
        </w:rPr>
      </w:pPr>
      <w:hyperlink w:history="1" w:anchor="_Toc144934379">
        <w:r w:rsidRPr="006B5074">
          <w:rPr>
            <w:rStyle w:val="Hyperlink"/>
          </w:rPr>
          <w:t>About the roadmap</w:t>
        </w:r>
        <w:r>
          <w:rPr>
            <w:webHidden/>
          </w:rPr>
          <w:tab/>
        </w:r>
        <w:r>
          <w:rPr>
            <w:webHidden/>
          </w:rPr>
          <w:fldChar w:fldCharType="begin"/>
        </w:r>
        <w:r>
          <w:rPr>
            <w:webHidden/>
          </w:rPr>
          <w:instrText xml:space="preserve"> PAGEREF _Toc144934379 \h </w:instrText>
        </w:r>
        <w:r>
          <w:rPr>
            <w:webHidden/>
          </w:rPr>
        </w:r>
        <w:r>
          <w:rPr>
            <w:webHidden/>
          </w:rPr>
          <w:fldChar w:fldCharType="separate"/>
        </w:r>
        <w:r>
          <w:rPr>
            <w:webHidden/>
          </w:rPr>
          <w:t>6</w:t>
        </w:r>
        <w:r>
          <w:rPr>
            <w:webHidden/>
          </w:rPr>
          <w:fldChar w:fldCharType="end"/>
        </w:r>
      </w:hyperlink>
    </w:p>
    <w:p w:rsidR="00F11A6B" w:rsidRDefault="00F11A6B" w14:paraId="74EEF5F2" w14:textId="35C4752E">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0">
        <w:r w:rsidRPr="006B5074">
          <w:rPr>
            <w:rStyle w:val="Hyperlink"/>
            <w:noProof/>
          </w:rPr>
          <w:t>What is the Rainbow Ready roadmap used for?</w:t>
        </w:r>
        <w:r>
          <w:rPr>
            <w:noProof/>
            <w:webHidden/>
          </w:rPr>
          <w:tab/>
        </w:r>
        <w:r>
          <w:rPr>
            <w:noProof/>
            <w:webHidden/>
          </w:rPr>
          <w:fldChar w:fldCharType="begin"/>
        </w:r>
        <w:r>
          <w:rPr>
            <w:noProof/>
            <w:webHidden/>
          </w:rPr>
          <w:instrText xml:space="preserve"> PAGEREF _Toc144934380 \h </w:instrText>
        </w:r>
        <w:r>
          <w:rPr>
            <w:noProof/>
            <w:webHidden/>
          </w:rPr>
        </w:r>
        <w:r>
          <w:rPr>
            <w:noProof/>
            <w:webHidden/>
          </w:rPr>
          <w:fldChar w:fldCharType="separate"/>
        </w:r>
        <w:r>
          <w:rPr>
            <w:noProof/>
            <w:webHidden/>
          </w:rPr>
          <w:t>6</w:t>
        </w:r>
        <w:r>
          <w:rPr>
            <w:noProof/>
            <w:webHidden/>
          </w:rPr>
          <w:fldChar w:fldCharType="end"/>
        </w:r>
      </w:hyperlink>
    </w:p>
    <w:p w:rsidR="00F11A6B" w:rsidRDefault="00F11A6B" w14:paraId="0E5E3D41" w14:textId="2D5228B7">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1">
        <w:r w:rsidRPr="006B5074">
          <w:rPr>
            <w:rStyle w:val="Hyperlink"/>
            <w:noProof/>
          </w:rPr>
          <w:t>Who can use the Rainbow Ready roadmap?</w:t>
        </w:r>
        <w:r>
          <w:rPr>
            <w:noProof/>
            <w:webHidden/>
          </w:rPr>
          <w:tab/>
        </w:r>
        <w:r>
          <w:rPr>
            <w:noProof/>
            <w:webHidden/>
          </w:rPr>
          <w:fldChar w:fldCharType="begin"/>
        </w:r>
        <w:r>
          <w:rPr>
            <w:noProof/>
            <w:webHidden/>
          </w:rPr>
          <w:instrText xml:space="preserve"> PAGEREF _Toc144934381 \h </w:instrText>
        </w:r>
        <w:r>
          <w:rPr>
            <w:noProof/>
            <w:webHidden/>
          </w:rPr>
        </w:r>
        <w:r>
          <w:rPr>
            <w:noProof/>
            <w:webHidden/>
          </w:rPr>
          <w:fldChar w:fldCharType="separate"/>
        </w:r>
        <w:r>
          <w:rPr>
            <w:noProof/>
            <w:webHidden/>
          </w:rPr>
          <w:t>6</w:t>
        </w:r>
        <w:r>
          <w:rPr>
            <w:noProof/>
            <w:webHidden/>
          </w:rPr>
          <w:fldChar w:fldCharType="end"/>
        </w:r>
      </w:hyperlink>
    </w:p>
    <w:p w:rsidR="00F11A6B" w:rsidRDefault="00F11A6B" w14:paraId="50608F4C" w14:textId="53621740">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2">
        <w:r w:rsidRPr="006B5074">
          <w:rPr>
            <w:rStyle w:val="Hyperlink"/>
            <w:noProof/>
          </w:rPr>
          <w:t xml:space="preserve">Using Victoria’s </w:t>
        </w:r>
        <w:r w:rsidR="001C40CF">
          <w:rPr>
            <w:rStyle w:val="Hyperlink"/>
            <w:noProof/>
          </w:rPr>
          <w:t>LGBTIQA+</w:t>
        </w:r>
        <w:r w:rsidRPr="006B5074">
          <w:rPr>
            <w:rStyle w:val="Hyperlink"/>
            <w:noProof/>
          </w:rPr>
          <w:t xml:space="preserve"> strategy alongside the roadmap</w:t>
        </w:r>
        <w:r>
          <w:rPr>
            <w:noProof/>
            <w:webHidden/>
          </w:rPr>
          <w:tab/>
        </w:r>
        <w:r>
          <w:rPr>
            <w:noProof/>
            <w:webHidden/>
          </w:rPr>
          <w:fldChar w:fldCharType="begin"/>
        </w:r>
        <w:r>
          <w:rPr>
            <w:noProof/>
            <w:webHidden/>
          </w:rPr>
          <w:instrText xml:space="preserve"> PAGEREF _Toc144934382 \h </w:instrText>
        </w:r>
        <w:r>
          <w:rPr>
            <w:noProof/>
            <w:webHidden/>
          </w:rPr>
        </w:r>
        <w:r>
          <w:rPr>
            <w:noProof/>
            <w:webHidden/>
          </w:rPr>
          <w:fldChar w:fldCharType="separate"/>
        </w:r>
        <w:r>
          <w:rPr>
            <w:noProof/>
            <w:webHidden/>
          </w:rPr>
          <w:t>6</w:t>
        </w:r>
        <w:r>
          <w:rPr>
            <w:noProof/>
            <w:webHidden/>
          </w:rPr>
          <w:fldChar w:fldCharType="end"/>
        </w:r>
      </w:hyperlink>
    </w:p>
    <w:p w:rsidR="00F11A6B" w:rsidRDefault="00F11A6B" w14:paraId="236648A7" w14:textId="76259D7A">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3">
        <w:r w:rsidRPr="006B5074">
          <w:rPr>
            <w:rStyle w:val="Hyperlink"/>
            <w:noProof/>
          </w:rPr>
          <w:t>What are the resources?</w:t>
        </w:r>
        <w:r>
          <w:rPr>
            <w:noProof/>
            <w:webHidden/>
          </w:rPr>
          <w:tab/>
        </w:r>
        <w:r>
          <w:rPr>
            <w:noProof/>
            <w:webHidden/>
          </w:rPr>
          <w:fldChar w:fldCharType="begin"/>
        </w:r>
        <w:r>
          <w:rPr>
            <w:noProof/>
            <w:webHidden/>
          </w:rPr>
          <w:instrText xml:space="preserve"> PAGEREF _Toc144934383 \h </w:instrText>
        </w:r>
        <w:r>
          <w:rPr>
            <w:noProof/>
            <w:webHidden/>
          </w:rPr>
        </w:r>
        <w:r>
          <w:rPr>
            <w:noProof/>
            <w:webHidden/>
          </w:rPr>
          <w:fldChar w:fldCharType="separate"/>
        </w:r>
        <w:r>
          <w:rPr>
            <w:noProof/>
            <w:webHidden/>
          </w:rPr>
          <w:t>7</w:t>
        </w:r>
        <w:r>
          <w:rPr>
            <w:noProof/>
            <w:webHidden/>
          </w:rPr>
          <w:fldChar w:fldCharType="end"/>
        </w:r>
      </w:hyperlink>
    </w:p>
    <w:p w:rsidR="00F11A6B" w:rsidRDefault="00F11A6B" w14:paraId="25FDF3AE" w14:textId="7522E2F0">
      <w:pPr>
        <w:pStyle w:val="TOC2"/>
        <w:rPr>
          <w:rFonts w:asciiTheme="minorHAnsi" w:hAnsiTheme="minorHAnsi" w:eastAsiaTheme="minorEastAsia" w:cstheme="minorBidi"/>
          <w:kern w:val="2"/>
          <w:sz w:val="22"/>
          <w:szCs w:val="22"/>
          <w:lang w:val="en-US" w:eastAsia="ja-JP"/>
          <w14:ligatures w14:val="standardContextual"/>
        </w:rPr>
      </w:pPr>
      <w:hyperlink w:history="1" w:anchor="_Toc144934384">
        <w:r w:rsidRPr="006B5074">
          <w:rPr>
            <w:rStyle w:val="Hyperlink"/>
          </w:rPr>
          <w:t xml:space="preserve">Core </w:t>
        </w:r>
        <w:r w:rsidR="001C40CF">
          <w:rPr>
            <w:rStyle w:val="Hyperlink"/>
          </w:rPr>
          <w:t>LGBTIQA+</w:t>
        </w:r>
        <w:r w:rsidRPr="006B5074">
          <w:rPr>
            <w:rStyle w:val="Hyperlink"/>
          </w:rPr>
          <w:t xml:space="preserve"> principles</w:t>
        </w:r>
        <w:r>
          <w:rPr>
            <w:webHidden/>
          </w:rPr>
          <w:tab/>
        </w:r>
        <w:r>
          <w:rPr>
            <w:webHidden/>
          </w:rPr>
          <w:fldChar w:fldCharType="begin"/>
        </w:r>
        <w:r>
          <w:rPr>
            <w:webHidden/>
          </w:rPr>
          <w:instrText xml:space="preserve"> PAGEREF _Toc144934384 \h </w:instrText>
        </w:r>
        <w:r>
          <w:rPr>
            <w:webHidden/>
          </w:rPr>
        </w:r>
        <w:r>
          <w:rPr>
            <w:webHidden/>
          </w:rPr>
          <w:fldChar w:fldCharType="separate"/>
        </w:r>
        <w:r>
          <w:rPr>
            <w:webHidden/>
          </w:rPr>
          <w:t>8</w:t>
        </w:r>
        <w:r>
          <w:rPr>
            <w:webHidden/>
          </w:rPr>
          <w:fldChar w:fldCharType="end"/>
        </w:r>
      </w:hyperlink>
    </w:p>
    <w:p w:rsidR="00F11A6B" w:rsidRDefault="00F11A6B" w14:paraId="1A7A18DB" w14:textId="1E29EA8A">
      <w:pPr>
        <w:pStyle w:val="TOC2"/>
        <w:rPr>
          <w:rFonts w:asciiTheme="minorHAnsi" w:hAnsiTheme="minorHAnsi" w:eastAsiaTheme="minorEastAsia" w:cstheme="minorBidi"/>
          <w:kern w:val="2"/>
          <w:sz w:val="22"/>
          <w:szCs w:val="22"/>
          <w:lang w:val="en-US" w:eastAsia="ja-JP"/>
          <w14:ligatures w14:val="standardContextual"/>
        </w:rPr>
      </w:pPr>
      <w:hyperlink w:history="1" w:anchor="_Toc144934385">
        <w:r w:rsidRPr="006B5074">
          <w:rPr>
            <w:rStyle w:val="Hyperlink"/>
          </w:rPr>
          <w:t>How to use the Rainbow Ready roadmap</w:t>
        </w:r>
        <w:r>
          <w:rPr>
            <w:webHidden/>
          </w:rPr>
          <w:tab/>
        </w:r>
        <w:r>
          <w:rPr>
            <w:webHidden/>
          </w:rPr>
          <w:fldChar w:fldCharType="begin"/>
        </w:r>
        <w:r>
          <w:rPr>
            <w:webHidden/>
          </w:rPr>
          <w:instrText xml:space="preserve"> PAGEREF _Toc144934385 \h </w:instrText>
        </w:r>
        <w:r>
          <w:rPr>
            <w:webHidden/>
          </w:rPr>
        </w:r>
        <w:r>
          <w:rPr>
            <w:webHidden/>
          </w:rPr>
          <w:fldChar w:fldCharType="separate"/>
        </w:r>
        <w:r>
          <w:rPr>
            <w:webHidden/>
          </w:rPr>
          <w:t>9</w:t>
        </w:r>
        <w:r>
          <w:rPr>
            <w:webHidden/>
          </w:rPr>
          <w:fldChar w:fldCharType="end"/>
        </w:r>
      </w:hyperlink>
    </w:p>
    <w:p w:rsidR="00F11A6B" w:rsidRDefault="00F11A6B" w14:paraId="59183757" w14:textId="5472594F">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6">
        <w:r w:rsidRPr="006B5074">
          <w:rPr>
            <w:rStyle w:val="Hyperlink"/>
            <w:noProof/>
          </w:rPr>
          <w:t>Intersectionality and inclusion</w:t>
        </w:r>
        <w:r>
          <w:rPr>
            <w:noProof/>
            <w:webHidden/>
          </w:rPr>
          <w:tab/>
        </w:r>
        <w:r>
          <w:rPr>
            <w:noProof/>
            <w:webHidden/>
          </w:rPr>
          <w:fldChar w:fldCharType="begin"/>
        </w:r>
        <w:r>
          <w:rPr>
            <w:noProof/>
            <w:webHidden/>
          </w:rPr>
          <w:instrText xml:space="preserve"> PAGEREF _Toc144934386 \h </w:instrText>
        </w:r>
        <w:r>
          <w:rPr>
            <w:noProof/>
            <w:webHidden/>
          </w:rPr>
        </w:r>
        <w:r>
          <w:rPr>
            <w:noProof/>
            <w:webHidden/>
          </w:rPr>
          <w:fldChar w:fldCharType="separate"/>
        </w:r>
        <w:r>
          <w:rPr>
            <w:noProof/>
            <w:webHidden/>
          </w:rPr>
          <w:t>11</w:t>
        </w:r>
        <w:r>
          <w:rPr>
            <w:noProof/>
            <w:webHidden/>
          </w:rPr>
          <w:fldChar w:fldCharType="end"/>
        </w:r>
      </w:hyperlink>
    </w:p>
    <w:p w:rsidR="00F11A6B" w:rsidRDefault="00F11A6B" w14:paraId="110FDDC6" w14:textId="09C569E2">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7">
        <w:r w:rsidRPr="006B5074">
          <w:rPr>
            <w:rStyle w:val="Hyperlink"/>
            <w:noProof/>
          </w:rPr>
          <w:t>What is intersectionality?</w:t>
        </w:r>
        <w:r>
          <w:rPr>
            <w:noProof/>
            <w:webHidden/>
          </w:rPr>
          <w:tab/>
        </w:r>
        <w:r>
          <w:rPr>
            <w:noProof/>
            <w:webHidden/>
          </w:rPr>
          <w:fldChar w:fldCharType="begin"/>
        </w:r>
        <w:r>
          <w:rPr>
            <w:noProof/>
            <w:webHidden/>
          </w:rPr>
          <w:instrText xml:space="preserve"> PAGEREF _Toc144934387 \h </w:instrText>
        </w:r>
        <w:r>
          <w:rPr>
            <w:noProof/>
            <w:webHidden/>
          </w:rPr>
        </w:r>
        <w:r>
          <w:rPr>
            <w:noProof/>
            <w:webHidden/>
          </w:rPr>
          <w:fldChar w:fldCharType="separate"/>
        </w:r>
        <w:r>
          <w:rPr>
            <w:noProof/>
            <w:webHidden/>
          </w:rPr>
          <w:t>11</w:t>
        </w:r>
        <w:r>
          <w:rPr>
            <w:noProof/>
            <w:webHidden/>
          </w:rPr>
          <w:fldChar w:fldCharType="end"/>
        </w:r>
      </w:hyperlink>
    </w:p>
    <w:p w:rsidR="00F11A6B" w:rsidRDefault="00F11A6B" w14:paraId="28BBAE40" w14:textId="5C89DE3D">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8">
        <w:r w:rsidRPr="006B5074">
          <w:rPr>
            <w:rStyle w:val="Hyperlink"/>
            <w:noProof/>
          </w:rPr>
          <w:t>Intersectionality and the Rainbow Ready roadmap</w:t>
        </w:r>
        <w:r>
          <w:rPr>
            <w:noProof/>
            <w:webHidden/>
          </w:rPr>
          <w:tab/>
        </w:r>
        <w:r>
          <w:rPr>
            <w:noProof/>
            <w:webHidden/>
          </w:rPr>
          <w:fldChar w:fldCharType="begin"/>
        </w:r>
        <w:r>
          <w:rPr>
            <w:noProof/>
            <w:webHidden/>
          </w:rPr>
          <w:instrText xml:space="preserve"> PAGEREF _Toc144934388 \h </w:instrText>
        </w:r>
        <w:r>
          <w:rPr>
            <w:noProof/>
            <w:webHidden/>
          </w:rPr>
        </w:r>
        <w:r>
          <w:rPr>
            <w:noProof/>
            <w:webHidden/>
          </w:rPr>
          <w:fldChar w:fldCharType="separate"/>
        </w:r>
        <w:r>
          <w:rPr>
            <w:noProof/>
            <w:webHidden/>
          </w:rPr>
          <w:t>11</w:t>
        </w:r>
        <w:r>
          <w:rPr>
            <w:noProof/>
            <w:webHidden/>
          </w:rPr>
          <w:fldChar w:fldCharType="end"/>
        </w:r>
      </w:hyperlink>
    </w:p>
    <w:p w:rsidR="00F11A6B" w:rsidRDefault="00F11A6B" w14:paraId="4318A55E" w14:textId="56691895">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89">
        <w:r w:rsidRPr="006B5074">
          <w:rPr>
            <w:rStyle w:val="Hyperlink"/>
            <w:noProof/>
          </w:rPr>
          <w:t xml:space="preserve">Ensuring community-wide </w:t>
        </w:r>
        <w:r w:rsidR="001C40CF">
          <w:rPr>
            <w:rStyle w:val="Hyperlink"/>
            <w:noProof/>
          </w:rPr>
          <w:t>LGBTIQA+</w:t>
        </w:r>
        <w:r w:rsidRPr="006B5074">
          <w:rPr>
            <w:rStyle w:val="Hyperlink"/>
            <w:noProof/>
          </w:rPr>
          <w:t xml:space="preserve"> inclusion</w:t>
        </w:r>
        <w:r>
          <w:rPr>
            <w:noProof/>
            <w:webHidden/>
          </w:rPr>
          <w:tab/>
        </w:r>
        <w:r>
          <w:rPr>
            <w:noProof/>
            <w:webHidden/>
          </w:rPr>
          <w:fldChar w:fldCharType="begin"/>
        </w:r>
        <w:r>
          <w:rPr>
            <w:noProof/>
            <w:webHidden/>
          </w:rPr>
          <w:instrText xml:space="preserve"> PAGEREF _Toc144934389 \h </w:instrText>
        </w:r>
        <w:r>
          <w:rPr>
            <w:noProof/>
            <w:webHidden/>
          </w:rPr>
        </w:r>
        <w:r>
          <w:rPr>
            <w:noProof/>
            <w:webHidden/>
          </w:rPr>
          <w:fldChar w:fldCharType="separate"/>
        </w:r>
        <w:r>
          <w:rPr>
            <w:noProof/>
            <w:webHidden/>
          </w:rPr>
          <w:t>11</w:t>
        </w:r>
        <w:r>
          <w:rPr>
            <w:noProof/>
            <w:webHidden/>
          </w:rPr>
          <w:fldChar w:fldCharType="end"/>
        </w:r>
      </w:hyperlink>
    </w:p>
    <w:p w:rsidR="00F11A6B" w:rsidRDefault="00F11A6B" w14:paraId="238CD201" w14:textId="403BB485">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90">
        <w:r w:rsidRPr="006B5074">
          <w:rPr>
            <w:rStyle w:val="Hyperlink"/>
            <w:rFonts w:eastAsiaTheme="majorEastAsia"/>
            <w:noProof/>
          </w:rPr>
          <w:t>Sharing your Rainbow Ready projects</w:t>
        </w:r>
        <w:r>
          <w:rPr>
            <w:noProof/>
            <w:webHidden/>
          </w:rPr>
          <w:tab/>
        </w:r>
        <w:r>
          <w:rPr>
            <w:noProof/>
            <w:webHidden/>
          </w:rPr>
          <w:fldChar w:fldCharType="begin"/>
        </w:r>
        <w:r>
          <w:rPr>
            <w:noProof/>
            <w:webHidden/>
          </w:rPr>
          <w:instrText xml:space="preserve"> PAGEREF _Toc144934390 \h </w:instrText>
        </w:r>
        <w:r>
          <w:rPr>
            <w:noProof/>
            <w:webHidden/>
          </w:rPr>
        </w:r>
        <w:r>
          <w:rPr>
            <w:noProof/>
            <w:webHidden/>
          </w:rPr>
          <w:fldChar w:fldCharType="separate"/>
        </w:r>
        <w:r>
          <w:rPr>
            <w:noProof/>
            <w:webHidden/>
          </w:rPr>
          <w:t>12</w:t>
        </w:r>
        <w:r>
          <w:rPr>
            <w:noProof/>
            <w:webHidden/>
          </w:rPr>
          <w:fldChar w:fldCharType="end"/>
        </w:r>
      </w:hyperlink>
    </w:p>
    <w:p w:rsidR="00F11A6B" w:rsidRDefault="00F11A6B" w14:paraId="6C613572" w14:textId="3C49FE02">
      <w:pPr>
        <w:pStyle w:val="TOC3"/>
        <w:rPr>
          <w:rFonts w:asciiTheme="minorHAnsi" w:hAnsiTheme="minorHAnsi" w:eastAsiaTheme="minorEastAsia" w:cstheme="minorBidi"/>
          <w:noProof/>
          <w:kern w:val="2"/>
          <w:sz w:val="22"/>
          <w:szCs w:val="22"/>
          <w:lang w:val="en-US" w:eastAsia="ja-JP"/>
          <w14:ligatures w14:val="standardContextual"/>
        </w:rPr>
      </w:pPr>
      <w:hyperlink w:history="1" w:anchor="_Toc144934391">
        <w:r w:rsidRPr="006B5074">
          <w:rPr>
            <w:rStyle w:val="Hyperlink"/>
            <w:noProof/>
          </w:rPr>
          <w:t>Where to from being Rainbow Ready?</w:t>
        </w:r>
        <w:r>
          <w:rPr>
            <w:noProof/>
            <w:webHidden/>
          </w:rPr>
          <w:tab/>
        </w:r>
        <w:r>
          <w:rPr>
            <w:noProof/>
            <w:webHidden/>
          </w:rPr>
          <w:fldChar w:fldCharType="begin"/>
        </w:r>
        <w:r>
          <w:rPr>
            <w:noProof/>
            <w:webHidden/>
          </w:rPr>
          <w:instrText xml:space="preserve"> PAGEREF _Toc144934391 \h </w:instrText>
        </w:r>
        <w:r>
          <w:rPr>
            <w:noProof/>
            <w:webHidden/>
          </w:rPr>
        </w:r>
        <w:r>
          <w:rPr>
            <w:noProof/>
            <w:webHidden/>
          </w:rPr>
          <w:fldChar w:fldCharType="separate"/>
        </w:r>
        <w:r>
          <w:rPr>
            <w:noProof/>
            <w:webHidden/>
          </w:rPr>
          <w:t>12</w:t>
        </w:r>
        <w:r>
          <w:rPr>
            <w:noProof/>
            <w:webHidden/>
          </w:rPr>
          <w:fldChar w:fldCharType="end"/>
        </w:r>
      </w:hyperlink>
    </w:p>
    <w:p w:rsidR="00FB1F6E" w:rsidP="0050714A" w:rsidRDefault="00EA36AF" w14:paraId="56D509EB" w14:textId="173D22CE">
      <w:pPr>
        <w:pStyle w:val="Body"/>
      </w:pPr>
      <w:r>
        <w:rPr>
          <w:rFonts w:eastAsia="Times New Roman"/>
          <w:b/>
          <w:noProof/>
        </w:rPr>
        <w:fldChar w:fldCharType="end"/>
      </w:r>
      <w:r w:rsidR="00FB1F6E">
        <w:br w:type="page"/>
      </w:r>
    </w:p>
    <w:p w:rsidRPr="003452DB" w:rsidR="00FE1E85" w:rsidP="006B3B21" w:rsidRDefault="00FE1E85" w14:paraId="487303EE" w14:textId="1899FFFD">
      <w:pPr>
        <w:pStyle w:val="Heading1"/>
      </w:pPr>
      <w:bookmarkStart w:name="_Toc144934376" w:id="2"/>
      <w:r w:rsidRPr="003452DB">
        <w:t>Introduction</w:t>
      </w:r>
      <w:bookmarkEnd w:id="2"/>
      <w:r w:rsidRPr="003452DB">
        <w:t xml:space="preserve"> </w:t>
      </w:r>
    </w:p>
    <w:p w:rsidR="00FE1E85" w:rsidP="008D48AC" w:rsidRDefault="61E24C94" w14:paraId="7F6A8B30" w14:textId="7D67F72F">
      <w:pPr>
        <w:pStyle w:val="Body"/>
      </w:pPr>
      <w:r>
        <w:t xml:space="preserve">The </w:t>
      </w:r>
      <w:r w:rsidRPr="7AD0111A" w:rsidR="3A4E057C">
        <w:rPr>
          <w:b/>
          <w:bCs/>
        </w:rPr>
        <w:t>Rainbow Ready roadmap</w:t>
      </w:r>
      <w:r>
        <w:t xml:space="preserve"> is a set of resources for Victorian rural and regional communities to build </w:t>
      </w:r>
      <w:r w:rsidRPr="7AD0111A">
        <w:rPr>
          <w:rFonts w:eastAsia="Times New Roman"/>
          <w:color w:val="011A3C"/>
          <w:lang w:eastAsia="en-GB"/>
        </w:rPr>
        <w:t xml:space="preserve">lesbian, gay, bisexual, trans and gender diverse, intersex </w:t>
      </w:r>
      <w:proofErr w:type="gramStart"/>
      <w:r w:rsidRPr="7AD0111A">
        <w:rPr>
          <w:rFonts w:eastAsia="Times New Roman"/>
          <w:color w:val="011A3C"/>
          <w:lang w:eastAsia="en-GB"/>
        </w:rPr>
        <w:t>an</w:t>
      </w:r>
      <w:proofErr w:type="gramEnd"/>
      <w:r w:rsidRPr="7AD0111A">
        <w:rPr>
          <w:rFonts w:eastAsia="Times New Roman"/>
          <w:color w:val="011A3C"/>
          <w:lang w:eastAsia="en-GB"/>
        </w:rPr>
        <w:t xml:space="preserve"> queer</w:t>
      </w:r>
      <w:r w:rsidRPr="7AD0111A" w:rsidR="5C89CDD0">
        <w:rPr>
          <w:rFonts w:eastAsia="Times New Roman"/>
          <w:color w:val="011A3C"/>
          <w:lang w:eastAsia="en-GB"/>
        </w:rPr>
        <w:t xml:space="preserve"> and asexual</w:t>
      </w:r>
      <w:r w:rsidRPr="7AD0111A">
        <w:rPr>
          <w:rFonts w:eastAsia="Times New Roman"/>
          <w:color w:val="011A3C"/>
          <w:lang w:eastAsia="en-GB"/>
        </w:rPr>
        <w:t xml:space="preserve"> (</w:t>
      </w:r>
      <w:r w:rsidRPr="7AD0111A" w:rsidR="70260DF3">
        <w:rPr>
          <w:rFonts w:eastAsia="Times New Roman"/>
          <w:color w:val="011A3C"/>
          <w:lang w:eastAsia="en-GB"/>
        </w:rPr>
        <w:t>LGBTIQA+</w:t>
      </w:r>
      <w:r w:rsidRPr="7AD0111A">
        <w:rPr>
          <w:rFonts w:eastAsia="Times New Roman"/>
          <w:color w:val="011A3C"/>
          <w:lang w:eastAsia="en-GB"/>
        </w:rPr>
        <w:t>) inclusion</w:t>
      </w:r>
      <w:r>
        <w:t>. The resource</w:t>
      </w:r>
      <w:r w:rsidR="017913C6">
        <w:t>s were</w:t>
      </w:r>
      <w:r>
        <w:t xml:space="preserve"> developed with </w:t>
      </w:r>
      <w:r w:rsidR="70260DF3">
        <w:t>LGBTIQA+</w:t>
      </w:r>
      <w:r>
        <w:t xml:space="preserve"> communities for all regional and rural communities to work together </w:t>
      </w:r>
      <w:r w:rsidR="3F87649A">
        <w:t xml:space="preserve">to </w:t>
      </w:r>
      <w:r>
        <w:t xml:space="preserve">address inequalities experienced by </w:t>
      </w:r>
      <w:r w:rsidR="70260DF3">
        <w:t>LGBTIQA+</w:t>
      </w:r>
      <w:r>
        <w:t xml:space="preserve"> people. The </w:t>
      </w:r>
      <w:r w:rsidRPr="7AD0111A" w:rsidR="3A4E057C">
        <w:rPr>
          <w:b/>
          <w:bCs/>
        </w:rPr>
        <w:t>Rainbow Ready roadmap</w:t>
      </w:r>
      <w:r>
        <w:t xml:space="preserve"> responds to calls from rural and regional Victorians for the need to build </w:t>
      </w:r>
      <w:r w:rsidR="70260DF3">
        <w:t>LGBTIQA+</w:t>
      </w:r>
      <w:r>
        <w:t xml:space="preserve"> inclusion </w:t>
      </w:r>
      <w:bookmarkStart w:name="_Hlk102392397" w:id="3"/>
      <w:r w:rsidR="017913C6">
        <w:t xml:space="preserve">by equipping </w:t>
      </w:r>
      <w:r w:rsidR="3A5446B0">
        <w:t>communities</w:t>
      </w:r>
      <w:r w:rsidR="017913C6">
        <w:t xml:space="preserve"> with </w:t>
      </w:r>
      <w:bookmarkEnd w:id="3"/>
      <w:r>
        <w:t xml:space="preserve">practical resources. </w:t>
      </w:r>
    </w:p>
    <w:p w:rsidRPr="00221BE0" w:rsidR="00FE1E85" w:rsidP="00221BE0" w:rsidRDefault="00FE1E85" w14:paraId="356AA673" w14:textId="0E75FDAD">
      <w:pPr>
        <w:pStyle w:val="Heading2"/>
      </w:pPr>
      <w:bookmarkStart w:name="_Toc144934377" w:id="4"/>
      <w:r w:rsidRPr="00221BE0">
        <w:t xml:space="preserve">Why do we need the Rainbow Ready </w:t>
      </w:r>
      <w:r w:rsidR="00026F8A">
        <w:t>r</w:t>
      </w:r>
      <w:r w:rsidRPr="00221BE0">
        <w:t>oadmap?</w:t>
      </w:r>
      <w:bookmarkEnd w:id="4"/>
    </w:p>
    <w:p w:rsidRPr="00864CEC" w:rsidR="00FE1E85" w:rsidP="008D48AC" w:rsidRDefault="00FE1E85" w14:paraId="578066E9" w14:textId="1DEF41F8">
      <w:pPr>
        <w:pStyle w:val="Body"/>
        <w:rPr>
          <w:lang w:eastAsia="en-GB"/>
        </w:rPr>
      </w:pPr>
      <w:r>
        <w:rPr>
          <w:lang w:eastAsia="en-GB"/>
        </w:rPr>
        <w:t xml:space="preserve">While progress has been made towards </w:t>
      </w:r>
      <w:r w:rsidR="001C40CF">
        <w:rPr>
          <w:lang w:eastAsia="en-GB"/>
        </w:rPr>
        <w:t>LGBTIQA+</w:t>
      </w:r>
      <w:r>
        <w:rPr>
          <w:lang w:eastAsia="en-GB"/>
        </w:rPr>
        <w:t xml:space="preserve"> equality,</w:t>
      </w:r>
      <w:r w:rsidRPr="00864CEC">
        <w:rPr>
          <w:lang w:eastAsia="en-GB"/>
        </w:rPr>
        <w:t xml:space="preserve"> </w:t>
      </w:r>
      <w:r>
        <w:rPr>
          <w:lang w:eastAsia="en-GB"/>
        </w:rPr>
        <w:t>m</w:t>
      </w:r>
      <w:r w:rsidRPr="00864CEC">
        <w:rPr>
          <w:lang w:eastAsia="en-GB"/>
        </w:rPr>
        <w:t xml:space="preserve">any </w:t>
      </w:r>
      <w:r w:rsidR="001C40CF">
        <w:rPr>
          <w:lang w:eastAsia="en-GB"/>
        </w:rPr>
        <w:t>LGBTIQA+</w:t>
      </w:r>
      <w:r w:rsidRPr="00864CEC">
        <w:rPr>
          <w:lang w:eastAsia="en-GB"/>
        </w:rPr>
        <w:t xml:space="preserve"> Victorians continue to face discrimination</w:t>
      </w:r>
      <w:r>
        <w:rPr>
          <w:lang w:eastAsia="en-GB"/>
        </w:rPr>
        <w:t xml:space="preserve">, </w:t>
      </w:r>
      <w:proofErr w:type="gramStart"/>
      <w:r>
        <w:rPr>
          <w:lang w:eastAsia="en-GB"/>
        </w:rPr>
        <w:t>inequalities</w:t>
      </w:r>
      <w:proofErr w:type="gramEnd"/>
      <w:r w:rsidRPr="00864CEC">
        <w:rPr>
          <w:lang w:eastAsia="en-GB"/>
        </w:rPr>
        <w:t xml:space="preserve"> and stigma</w:t>
      </w:r>
      <w:r>
        <w:rPr>
          <w:lang w:eastAsia="en-GB"/>
        </w:rPr>
        <w:t xml:space="preserve">, which can lead to poorer health and wellbeing outcomes. In regional and rural communities, </w:t>
      </w:r>
      <w:r w:rsidR="001C40CF">
        <w:rPr>
          <w:lang w:eastAsia="en-GB"/>
        </w:rPr>
        <w:t>LGBTIQA+</w:t>
      </w:r>
      <w:r>
        <w:rPr>
          <w:lang w:eastAsia="en-GB"/>
        </w:rPr>
        <w:t xml:space="preserve"> people can experience heightened discrimination and isolation, and in many cases have limited access to services and networks to help feel supported. </w:t>
      </w:r>
    </w:p>
    <w:p w:rsidRPr="00864CEC" w:rsidR="00FE1E85" w:rsidP="008D48AC" w:rsidRDefault="00FE1E85" w14:paraId="302A9D1E" w14:textId="05C28644">
      <w:pPr>
        <w:pStyle w:val="Body"/>
        <w:rPr>
          <w:lang w:eastAsia="en-GB"/>
        </w:rPr>
      </w:pPr>
      <w:r w:rsidRPr="00864CEC">
        <w:rPr>
          <w:lang w:eastAsia="en-GB"/>
        </w:rPr>
        <w:t xml:space="preserve">The </w:t>
      </w:r>
      <w:r w:rsidRPr="00853088" w:rsidR="00853088">
        <w:rPr>
          <w:b/>
          <w:bCs/>
          <w:lang w:eastAsia="en-GB"/>
        </w:rPr>
        <w:t>Rainbow Ready roadmap</w:t>
      </w:r>
      <w:r w:rsidRPr="00864CEC">
        <w:rPr>
          <w:lang w:eastAsia="en-GB"/>
        </w:rPr>
        <w:t xml:space="preserve"> aims to support communities </w:t>
      </w:r>
      <w:r>
        <w:rPr>
          <w:lang w:eastAsia="en-GB"/>
        </w:rPr>
        <w:t>to</w:t>
      </w:r>
      <w:r w:rsidRPr="00864CEC">
        <w:rPr>
          <w:lang w:eastAsia="en-GB"/>
        </w:rPr>
        <w:t xml:space="preserve"> address</w:t>
      </w:r>
      <w:r>
        <w:rPr>
          <w:lang w:eastAsia="en-GB"/>
        </w:rPr>
        <w:t xml:space="preserve"> </w:t>
      </w:r>
      <w:r w:rsidRPr="00864CEC">
        <w:rPr>
          <w:lang w:eastAsia="en-GB"/>
        </w:rPr>
        <w:t xml:space="preserve">the unique challenges faced by </w:t>
      </w:r>
      <w:r w:rsidR="001C40CF">
        <w:rPr>
          <w:lang w:eastAsia="en-GB"/>
        </w:rPr>
        <w:t>LGBTIQA+</w:t>
      </w:r>
      <w:r w:rsidRPr="00864CEC">
        <w:rPr>
          <w:lang w:eastAsia="en-GB"/>
        </w:rPr>
        <w:t xml:space="preserve"> people living in rural and regional Victoria.</w:t>
      </w:r>
      <w:r w:rsidRPr="007B5B46">
        <w:rPr>
          <w:lang w:eastAsia="en-GB"/>
        </w:rPr>
        <w:t xml:space="preserve"> </w:t>
      </w:r>
      <w:r>
        <w:rPr>
          <w:lang w:eastAsia="en-GB"/>
        </w:rPr>
        <w:t>T</w:t>
      </w:r>
      <w:r w:rsidRPr="00F90432">
        <w:rPr>
          <w:lang w:eastAsia="en-GB"/>
        </w:rPr>
        <w:t xml:space="preserve">he </w:t>
      </w:r>
      <w:r w:rsidR="00026F8A">
        <w:rPr>
          <w:lang w:eastAsia="en-GB"/>
        </w:rPr>
        <w:t>r</w:t>
      </w:r>
      <w:r w:rsidRPr="00F90432">
        <w:rPr>
          <w:lang w:eastAsia="en-GB"/>
        </w:rPr>
        <w:t>oadmap</w:t>
      </w:r>
      <w:r>
        <w:rPr>
          <w:lang w:eastAsia="en-GB"/>
        </w:rPr>
        <w:t xml:space="preserve"> also</w:t>
      </w:r>
      <w:r w:rsidRPr="00F90432">
        <w:rPr>
          <w:lang w:eastAsia="en-GB"/>
        </w:rPr>
        <w:t xml:space="preserve"> offers examples to assist people in improving </w:t>
      </w:r>
      <w:r w:rsidR="001C40CF">
        <w:rPr>
          <w:lang w:eastAsia="en-GB"/>
        </w:rPr>
        <w:t>LGBTIQA+</w:t>
      </w:r>
      <w:r>
        <w:rPr>
          <w:lang w:eastAsia="en-GB"/>
        </w:rPr>
        <w:t xml:space="preserve"> inclusion in </w:t>
      </w:r>
      <w:r w:rsidRPr="00F90432">
        <w:rPr>
          <w:lang w:eastAsia="en-GB"/>
        </w:rPr>
        <w:t>their own regions and towns.</w:t>
      </w:r>
    </w:p>
    <w:tbl>
      <w:tblPr>
        <w:tblStyle w:val="TableGrid"/>
        <w:tblW w:w="0" w:type="auto"/>
        <w:tblLook w:val="0620" w:firstRow="1" w:lastRow="0" w:firstColumn="0" w:lastColumn="0" w:noHBand="1" w:noVBand="1"/>
      </w:tblPr>
      <w:tblGrid>
        <w:gridCol w:w="9010"/>
      </w:tblGrid>
      <w:tr w:rsidR="00FE1E85" w:rsidTr="00853088" w14:paraId="7766FE19" w14:textId="77777777">
        <w:tc>
          <w:tcPr>
            <w:tcW w:w="9010" w:type="dxa"/>
            <w:tcBorders>
              <w:top w:val="nil"/>
              <w:left w:val="nil"/>
              <w:bottom w:val="nil"/>
              <w:right w:val="nil"/>
            </w:tcBorders>
            <w:shd w:val="clear" w:color="auto" w:fill="F2F2F2" w:themeFill="background1" w:themeFillShade="F2"/>
          </w:tcPr>
          <w:p w:rsidR="00FE1E85" w:rsidP="00853088" w:rsidRDefault="001C40CF" w14:paraId="6EA218CB" w14:textId="2D43B103">
            <w:pPr>
              <w:pStyle w:val="Body"/>
              <w:rPr>
                <w:lang w:eastAsia="en-GB"/>
              </w:rPr>
            </w:pPr>
            <w:bookmarkStart w:name="_Hlk96082625" w:id="5"/>
            <w:r>
              <w:rPr>
                <w:lang w:eastAsia="en-GB"/>
              </w:rPr>
              <w:t>LGBTIQA+</w:t>
            </w:r>
            <w:r w:rsidRPr="00864CEC" w:rsidR="00FE1E85">
              <w:rPr>
                <w:lang w:eastAsia="en-GB"/>
              </w:rPr>
              <w:t xml:space="preserve"> people living in rural and regional Victoria</w:t>
            </w:r>
            <w:r w:rsidR="00FE1E85">
              <w:rPr>
                <w:lang w:eastAsia="en-GB"/>
              </w:rPr>
              <w:t>:</w:t>
            </w:r>
          </w:p>
          <w:p w:rsidR="00FE1E85" w:rsidP="00221BE0" w:rsidRDefault="00FE1E85" w14:paraId="5B9E200D" w14:textId="77777777">
            <w:pPr>
              <w:pStyle w:val="Bullet1"/>
              <w:rPr>
                <w:lang w:eastAsia="en-GB"/>
              </w:rPr>
            </w:pPr>
            <w:r>
              <w:rPr>
                <w:lang w:eastAsia="en-GB"/>
              </w:rPr>
              <w:t xml:space="preserve">experience </w:t>
            </w:r>
            <w:r w:rsidRPr="008C577C">
              <w:rPr>
                <w:lang w:eastAsia="en-GB"/>
              </w:rPr>
              <w:t xml:space="preserve">higher rates of family </w:t>
            </w:r>
            <w:proofErr w:type="gramStart"/>
            <w:r w:rsidRPr="008C577C">
              <w:rPr>
                <w:lang w:eastAsia="en-GB"/>
              </w:rPr>
              <w:t>violence</w:t>
            </w:r>
            <w:proofErr w:type="gramEnd"/>
          </w:p>
          <w:p w:rsidR="00FE1E85" w:rsidP="00221BE0" w:rsidRDefault="00FE1E85" w14:paraId="5C4079BF" w14:textId="77777777">
            <w:pPr>
              <w:pStyle w:val="Bullet1"/>
              <w:rPr>
                <w:lang w:eastAsia="en-GB"/>
              </w:rPr>
            </w:pPr>
            <w:r>
              <w:rPr>
                <w:lang w:eastAsia="en-GB"/>
              </w:rPr>
              <w:t>are</w:t>
            </w:r>
            <w:r w:rsidRPr="008C577C">
              <w:rPr>
                <w:lang w:eastAsia="en-GB"/>
              </w:rPr>
              <w:t xml:space="preserve"> more likely to have a diagnosis of anxiety or </w:t>
            </w:r>
            <w:proofErr w:type="gramStart"/>
            <w:r w:rsidRPr="008C577C">
              <w:rPr>
                <w:lang w:eastAsia="en-GB"/>
              </w:rPr>
              <w:t>depression</w:t>
            </w:r>
            <w:proofErr w:type="gramEnd"/>
          </w:p>
          <w:p w:rsidR="00FE1E85" w:rsidP="00221BE0" w:rsidRDefault="00FE1E85" w14:paraId="308B8B39" w14:textId="77777777">
            <w:pPr>
              <w:pStyle w:val="Bullet1"/>
              <w:rPr>
                <w:lang w:eastAsia="en-GB"/>
              </w:rPr>
            </w:pPr>
            <w:r>
              <w:rPr>
                <w:lang w:eastAsia="en-GB"/>
              </w:rPr>
              <w:t>experience</w:t>
            </w:r>
            <w:r w:rsidRPr="008C577C">
              <w:rPr>
                <w:lang w:eastAsia="en-GB"/>
              </w:rPr>
              <w:t xml:space="preserve"> higher rates of chronic </w:t>
            </w:r>
            <w:proofErr w:type="gramStart"/>
            <w:r w:rsidRPr="008C577C">
              <w:rPr>
                <w:lang w:eastAsia="en-GB"/>
              </w:rPr>
              <w:t>disease</w:t>
            </w:r>
            <w:proofErr w:type="gramEnd"/>
          </w:p>
          <w:p w:rsidRPr="007E1AD3" w:rsidR="00FE1E85" w:rsidP="00221BE0" w:rsidRDefault="00FE1E85" w14:paraId="7468E6B1" w14:textId="77777777">
            <w:pPr>
              <w:pStyle w:val="Bullet1"/>
              <w:rPr>
                <w:lang w:eastAsia="en-GB"/>
              </w:rPr>
            </w:pPr>
            <w:r>
              <w:rPr>
                <w:lang w:eastAsia="en-GB"/>
              </w:rPr>
              <w:t>are</w:t>
            </w:r>
            <w:r w:rsidRPr="008C577C">
              <w:rPr>
                <w:lang w:eastAsia="en-GB"/>
              </w:rPr>
              <w:t xml:space="preserve"> more likely to rate their health status as fair/poor.</w:t>
            </w:r>
            <w:r w:rsidRPr="00864CEC">
              <w:rPr>
                <w:rStyle w:val="FootnoteReference"/>
                <w:rFonts w:eastAsia="Times New Roman" w:cstheme="minorHAnsi"/>
                <w:sz w:val="22"/>
                <w:szCs w:val="22"/>
                <w:lang w:eastAsia="en-GB"/>
              </w:rPr>
              <w:footnoteReference w:id="2"/>
            </w:r>
          </w:p>
        </w:tc>
      </w:tr>
    </w:tbl>
    <w:p w:rsidRPr="00221BE0" w:rsidR="00FE1E85" w:rsidP="00221BE0" w:rsidRDefault="00FE1E85" w14:paraId="452EF134" w14:textId="458507BD">
      <w:pPr>
        <w:pStyle w:val="Heading2"/>
      </w:pPr>
      <w:bookmarkStart w:name="_Toc144934378" w:id="6"/>
      <w:bookmarkEnd w:id="5"/>
      <w:r w:rsidRPr="00221BE0">
        <w:t xml:space="preserve">How was the Rainbow Ready </w:t>
      </w:r>
      <w:r w:rsidR="00026F8A">
        <w:t>r</w:t>
      </w:r>
      <w:r w:rsidRPr="00221BE0">
        <w:t>oadmap developed?</w:t>
      </w:r>
      <w:bookmarkEnd w:id="6"/>
      <w:r w:rsidRPr="00221BE0">
        <w:t xml:space="preserve"> </w:t>
      </w:r>
    </w:p>
    <w:p w:rsidRPr="00864CEC" w:rsidR="00FE1E85" w:rsidP="008D48AC" w:rsidRDefault="00FE1E85" w14:paraId="34E835ED" w14:textId="0B094A1A">
      <w:pPr>
        <w:pStyle w:val="Body"/>
        <w:rPr>
          <w:lang w:eastAsia="en-GB"/>
        </w:rPr>
      </w:pPr>
      <w:r w:rsidRPr="00864CEC">
        <w:rPr>
          <w:lang w:eastAsia="en-GB"/>
        </w:rPr>
        <w:t xml:space="preserve">In 2016, the </w:t>
      </w:r>
      <w:r>
        <w:rPr>
          <w:lang w:eastAsia="en-GB"/>
        </w:rPr>
        <w:t>Victorian Government</w:t>
      </w:r>
      <w:r w:rsidRPr="00864CEC">
        <w:rPr>
          <w:lang w:eastAsia="en-GB"/>
        </w:rPr>
        <w:t xml:space="preserve"> undertook </w:t>
      </w:r>
      <w:r>
        <w:rPr>
          <w:lang w:eastAsia="en-GB"/>
        </w:rPr>
        <w:t>the</w:t>
      </w:r>
      <w:r w:rsidRPr="00864CEC">
        <w:rPr>
          <w:lang w:eastAsia="en-GB"/>
        </w:rPr>
        <w:t xml:space="preserve"> </w:t>
      </w:r>
      <w:r w:rsidR="001C40CF">
        <w:rPr>
          <w:lang w:eastAsia="en-GB"/>
        </w:rPr>
        <w:t>LGBTIQA+</w:t>
      </w:r>
      <w:r w:rsidRPr="00864CEC">
        <w:rPr>
          <w:lang w:eastAsia="en-GB"/>
        </w:rPr>
        <w:t xml:space="preserve"> Equality Roadshow across rural and regional Victoria. The </w:t>
      </w:r>
      <w:r>
        <w:rPr>
          <w:lang w:eastAsia="en-GB"/>
        </w:rPr>
        <w:t>r</w:t>
      </w:r>
      <w:r w:rsidRPr="00864CEC">
        <w:rPr>
          <w:lang w:eastAsia="en-GB"/>
        </w:rPr>
        <w:t xml:space="preserve">oadshow visited 29 towns and hosted </w:t>
      </w:r>
      <w:r w:rsidR="009F5D8D">
        <w:rPr>
          <w:lang w:eastAsia="en-GB"/>
        </w:rPr>
        <w:t xml:space="preserve">around </w:t>
      </w:r>
      <w:r>
        <w:rPr>
          <w:lang w:eastAsia="en-GB"/>
        </w:rPr>
        <w:t xml:space="preserve">220 engagement activities with </w:t>
      </w:r>
      <w:r w:rsidR="007D7FBB">
        <w:rPr>
          <w:lang w:eastAsia="en-GB"/>
        </w:rPr>
        <w:t xml:space="preserve">more than </w:t>
      </w:r>
      <w:r>
        <w:rPr>
          <w:lang w:eastAsia="en-GB"/>
        </w:rPr>
        <w:t>2</w:t>
      </w:r>
      <w:r w:rsidR="007D7FBB">
        <w:rPr>
          <w:lang w:eastAsia="en-GB"/>
        </w:rPr>
        <w:t>,</w:t>
      </w:r>
      <w:r>
        <w:rPr>
          <w:lang w:eastAsia="en-GB"/>
        </w:rPr>
        <w:t>500 attendees</w:t>
      </w:r>
      <w:r w:rsidR="009F5D8D">
        <w:rPr>
          <w:lang w:eastAsia="en-GB"/>
        </w:rPr>
        <w:t>. The roadshow’s</w:t>
      </w:r>
      <w:r>
        <w:rPr>
          <w:lang w:eastAsia="en-GB"/>
        </w:rPr>
        <w:t xml:space="preserve"> </w:t>
      </w:r>
      <w:r w:rsidRPr="00864CEC">
        <w:rPr>
          <w:lang w:eastAsia="en-GB"/>
        </w:rPr>
        <w:t xml:space="preserve">mission </w:t>
      </w:r>
      <w:r w:rsidR="009F5D8D">
        <w:rPr>
          <w:lang w:eastAsia="en-GB"/>
        </w:rPr>
        <w:t>was to</w:t>
      </w:r>
      <w:r w:rsidRPr="00864CEC">
        <w:rPr>
          <w:lang w:eastAsia="en-GB"/>
        </w:rPr>
        <w:t xml:space="preserve"> encourag</w:t>
      </w:r>
      <w:r w:rsidR="009F5D8D">
        <w:rPr>
          <w:lang w:eastAsia="en-GB"/>
        </w:rPr>
        <w:t>e</w:t>
      </w:r>
      <w:r w:rsidRPr="00864CEC">
        <w:rPr>
          <w:lang w:eastAsia="en-GB"/>
        </w:rPr>
        <w:t xml:space="preserve"> communities to plan to build </w:t>
      </w:r>
      <w:r w:rsidR="001C40CF">
        <w:rPr>
          <w:lang w:eastAsia="en-GB"/>
        </w:rPr>
        <w:t>LGBTIQA+</w:t>
      </w:r>
      <w:r w:rsidRPr="00864CEC">
        <w:rPr>
          <w:lang w:eastAsia="en-GB"/>
        </w:rPr>
        <w:t xml:space="preserve"> inclusi</w:t>
      </w:r>
      <w:r>
        <w:rPr>
          <w:lang w:eastAsia="en-GB"/>
        </w:rPr>
        <w:t>on</w:t>
      </w:r>
      <w:r w:rsidRPr="00864CEC">
        <w:rPr>
          <w:lang w:eastAsia="en-GB"/>
        </w:rPr>
        <w:t xml:space="preserve">. </w:t>
      </w:r>
    </w:p>
    <w:p w:rsidR="00993EB2" w:rsidP="00993EB2" w:rsidRDefault="00FE1E85" w14:paraId="4204067A" w14:textId="7E6C86E8">
      <w:pPr>
        <w:pStyle w:val="Body"/>
      </w:pPr>
      <w:r w:rsidRPr="00864CEC">
        <w:t xml:space="preserve">An evaluation of the </w:t>
      </w:r>
      <w:r>
        <w:t>r</w:t>
      </w:r>
      <w:r w:rsidRPr="00864CEC">
        <w:t>oadshow</w:t>
      </w:r>
      <w:r w:rsidRPr="00864CEC">
        <w:rPr>
          <w:rStyle w:val="FootnoteReference"/>
          <w:rFonts w:cstheme="minorHAnsi"/>
          <w:sz w:val="22"/>
          <w:szCs w:val="22"/>
        </w:rPr>
        <w:footnoteReference w:id="3"/>
      </w:r>
      <w:r w:rsidRPr="00864CEC">
        <w:t xml:space="preserve"> </w:t>
      </w:r>
      <w:r>
        <w:t>showed</w:t>
      </w:r>
      <w:r w:rsidRPr="00864CEC">
        <w:t xml:space="preserve"> that </w:t>
      </w:r>
      <w:r w:rsidR="009F5D8D">
        <w:t xml:space="preserve">achieving </w:t>
      </w:r>
      <w:r w:rsidRPr="00864CEC">
        <w:t xml:space="preserve">longer term transformation would require </w:t>
      </w:r>
      <w:r w:rsidR="009F5D8D">
        <w:t>that communities are given more</w:t>
      </w:r>
      <w:r w:rsidRPr="00864CEC">
        <w:t xml:space="preserve"> support. </w:t>
      </w:r>
      <w:r>
        <w:t>Participants</w:t>
      </w:r>
      <w:r w:rsidRPr="00864CEC">
        <w:t xml:space="preserve"> reflected that a </w:t>
      </w:r>
      <w:r w:rsidRPr="00864CEC">
        <w:t xml:space="preserve">resource would help communities learn from each other when developing </w:t>
      </w:r>
      <w:r w:rsidR="001C40CF">
        <w:t>LGBTIQA+</w:t>
      </w:r>
      <w:r w:rsidRPr="00864CEC">
        <w:t xml:space="preserve"> inclusive communities. </w:t>
      </w:r>
      <w:r>
        <w:t>From there, t</w:t>
      </w:r>
      <w:r w:rsidRPr="00864CEC">
        <w:t xml:space="preserve">he Victorian Government engaged consultants to work with regional communities to design the </w:t>
      </w:r>
      <w:r w:rsidRPr="00853088" w:rsidR="00853088">
        <w:rPr>
          <w:b/>
          <w:bCs/>
        </w:rPr>
        <w:t>Rainbow Ready roadmap</w:t>
      </w:r>
      <w:r w:rsidRPr="00864CEC">
        <w:t xml:space="preserve">. The </w:t>
      </w:r>
      <w:r w:rsidR="00026F8A">
        <w:t>r</w:t>
      </w:r>
      <w:r>
        <w:t>oadmap</w:t>
      </w:r>
      <w:r w:rsidRPr="00864CEC">
        <w:t xml:space="preserve"> was developed between 2019 and 2021, </w:t>
      </w:r>
      <w:r>
        <w:t>incorporating</w:t>
      </w:r>
      <w:r w:rsidRPr="00864CEC">
        <w:t xml:space="preserve"> lessons from the </w:t>
      </w:r>
      <w:r w:rsidR="00B501D9">
        <w:t>r</w:t>
      </w:r>
      <w:r w:rsidRPr="00864CEC">
        <w:t xml:space="preserve">oadshow and </w:t>
      </w:r>
      <w:r>
        <w:t xml:space="preserve">feedback from </w:t>
      </w:r>
      <w:r w:rsidRPr="00864CEC">
        <w:t>communities in rural and regional Victoria</w:t>
      </w:r>
      <w:r w:rsidR="005E6864">
        <w:t>, and its first iterations have begun piloting across the State in 2022</w:t>
      </w:r>
      <w:r w:rsidRPr="00864CEC">
        <w:t xml:space="preserve">. </w:t>
      </w:r>
    </w:p>
    <w:p w:rsidR="00993EB2" w:rsidP="0050714A" w:rsidRDefault="00993EB2" w14:paraId="5DDC715B" w14:textId="77777777">
      <w:pPr>
        <w:pStyle w:val="Body"/>
        <w:rPr>
          <w:rFonts w:eastAsia="MS Gothic" w:cs="Arial"/>
          <w:color w:val="201547"/>
          <w:kern w:val="32"/>
          <w:sz w:val="44"/>
          <w:szCs w:val="44"/>
        </w:rPr>
      </w:pPr>
      <w:r>
        <w:br w:type="page"/>
      </w:r>
    </w:p>
    <w:p w:rsidRPr="003452DB" w:rsidR="00FE1E85" w:rsidP="006B3B21" w:rsidRDefault="00FE1E85" w14:paraId="1442CA84" w14:textId="480C4F2D">
      <w:pPr>
        <w:pStyle w:val="Heading1"/>
      </w:pPr>
      <w:bookmarkStart w:name="_Toc144934379" w:id="7"/>
      <w:r w:rsidRPr="003452DB">
        <w:t>About</w:t>
      </w:r>
      <w:r w:rsidR="00B501D9">
        <w:t xml:space="preserve"> the roadmap</w:t>
      </w:r>
      <w:bookmarkEnd w:id="7"/>
    </w:p>
    <w:p w:rsidRPr="00221BE0" w:rsidR="00FE1E85" w:rsidP="00221BE0" w:rsidRDefault="00FE1E85" w14:paraId="615FF794" w14:textId="41C8C2AE">
      <w:pPr>
        <w:pStyle w:val="Heading2"/>
      </w:pPr>
      <w:bookmarkStart w:name="_Toc144934380" w:id="8"/>
      <w:r w:rsidRPr="00221BE0">
        <w:t xml:space="preserve">What is the Rainbow Ready </w:t>
      </w:r>
      <w:r w:rsidR="00026F8A">
        <w:t>r</w:t>
      </w:r>
      <w:r w:rsidRPr="00221BE0">
        <w:t>oadmap used for?</w:t>
      </w:r>
      <w:bookmarkEnd w:id="8"/>
    </w:p>
    <w:p w:rsidR="00FE1E85" w:rsidP="006B3B21" w:rsidRDefault="00FE1E85" w14:paraId="39A9C980" w14:textId="24806CB7">
      <w:pPr>
        <w:pStyle w:val="Body"/>
      </w:pPr>
      <w:r>
        <w:t xml:space="preserve">The </w:t>
      </w:r>
      <w:r w:rsidRPr="00853088" w:rsidR="00853088">
        <w:rPr>
          <w:b/>
          <w:bCs/>
        </w:rPr>
        <w:t>Rainbow Ready roadmap</w:t>
      </w:r>
      <w:r w:rsidRPr="002E6924">
        <w:t xml:space="preserve"> resources </w:t>
      </w:r>
      <w:r w:rsidR="00E05157">
        <w:t>help</w:t>
      </w:r>
      <w:r>
        <w:t xml:space="preserve"> regional and rural communities </w:t>
      </w:r>
      <w:r w:rsidRPr="002E6924">
        <w:t xml:space="preserve">to </w:t>
      </w:r>
      <w:r>
        <w:t xml:space="preserve">identify, </w:t>
      </w:r>
      <w:r w:rsidRPr="002E6924">
        <w:t xml:space="preserve">plan, monitor and evaluate </w:t>
      </w:r>
      <w:r>
        <w:t xml:space="preserve">progress towards local </w:t>
      </w:r>
      <w:r w:rsidR="001C40CF">
        <w:t>LGBTIQA+</w:t>
      </w:r>
      <w:r>
        <w:t xml:space="preserve"> inclusion. These resources are designed to be used in a range of local and community settings</w:t>
      </w:r>
      <w:r w:rsidDel="003763BA">
        <w:t>.</w:t>
      </w:r>
      <w:r w:rsidRPr="001225D0" w:rsidDel="003763BA">
        <w:t xml:space="preserve"> </w:t>
      </w:r>
    </w:p>
    <w:p w:rsidRPr="00221BE0" w:rsidR="00FE1E85" w:rsidP="00221BE0" w:rsidRDefault="00FE1E85" w14:paraId="6FB4F348" w14:textId="3DB78727">
      <w:pPr>
        <w:pStyle w:val="Heading2"/>
      </w:pPr>
      <w:bookmarkStart w:name="_Toc144934381" w:id="9"/>
      <w:r w:rsidRPr="00221BE0">
        <w:t xml:space="preserve">Who can use the Rainbow Ready </w:t>
      </w:r>
      <w:r w:rsidR="007D7FBB">
        <w:t>r</w:t>
      </w:r>
      <w:r w:rsidRPr="00221BE0">
        <w:t>oadmap?</w:t>
      </w:r>
      <w:bookmarkEnd w:id="9"/>
    </w:p>
    <w:p w:rsidR="00FE1E85" w:rsidP="00853088" w:rsidRDefault="00FE1E85" w14:paraId="0BE5F231" w14:textId="2DC82187">
      <w:pPr>
        <w:pStyle w:val="Body"/>
      </w:pPr>
      <w:r>
        <w:t xml:space="preserve">The </w:t>
      </w:r>
      <w:r w:rsidRPr="00853088">
        <w:rPr>
          <w:b/>
          <w:bCs/>
        </w:rPr>
        <w:t xml:space="preserve">Rainbow Ready </w:t>
      </w:r>
      <w:r w:rsidRPr="00853088" w:rsidR="007D7FBB">
        <w:rPr>
          <w:b/>
          <w:bCs/>
        </w:rPr>
        <w:t>r</w:t>
      </w:r>
      <w:r w:rsidRPr="00853088">
        <w:rPr>
          <w:b/>
          <w:bCs/>
        </w:rPr>
        <w:t>oadmap</w:t>
      </w:r>
      <w:r>
        <w:t xml:space="preserve"> is designed for</w:t>
      </w:r>
      <w:r w:rsidR="009B3D5C">
        <w:t xml:space="preserve"> Victorian</w:t>
      </w:r>
      <w:r>
        <w:t xml:space="preserve"> rural and regional communities </w:t>
      </w:r>
      <w:r w:rsidR="005674A9">
        <w:t xml:space="preserve">that </w:t>
      </w:r>
      <w:r>
        <w:t xml:space="preserve">want to become more </w:t>
      </w:r>
      <w:r w:rsidR="001C40CF">
        <w:t>LGBTIQA+</w:t>
      </w:r>
      <w:r>
        <w:t xml:space="preserve"> inclusive. This includes:</w:t>
      </w:r>
    </w:p>
    <w:p w:rsidR="00FE1E85" w:rsidP="006B3B21" w:rsidRDefault="00FE1E85" w14:paraId="0F88FDF9" w14:textId="77777777">
      <w:pPr>
        <w:pStyle w:val="Bullet1"/>
      </w:pPr>
      <w:r>
        <w:t>community groups</w:t>
      </w:r>
    </w:p>
    <w:p w:rsidR="00FE1E85" w:rsidP="006B3B21" w:rsidRDefault="00FE1E85" w14:paraId="1583E777" w14:textId="77777777">
      <w:pPr>
        <w:pStyle w:val="Bullet1"/>
      </w:pPr>
      <w:r>
        <w:t>health and community services</w:t>
      </w:r>
    </w:p>
    <w:p w:rsidR="00FE1E85" w:rsidP="006B3B21" w:rsidRDefault="00FE1E85" w14:paraId="005387F1" w14:textId="77777777">
      <w:pPr>
        <w:pStyle w:val="Bullet1"/>
      </w:pPr>
      <w:r>
        <w:t>local government</w:t>
      </w:r>
    </w:p>
    <w:p w:rsidR="00FE1E85" w:rsidP="006B3B21" w:rsidRDefault="00FE1E85" w14:paraId="1F92D583" w14:textId="77777777">
      <w:pPr>
        <w:pStyle w:val="Bullet1"/>
      </w:pPr>
      <w:r>
        <w:t>business and other services</w:t>
      </w:r>
    </w:p>
    <w:p w:rsidR="00FE1E85" w:rsidP="006B3B21" w:rsidRDefault="00FE1E85" w14:paraId="5F15B577" w14:textId="77777777">
      <w:pPr>
        <w:pStyle w:val="Bullet1"/>
      </w:pPr>
      <w:r>
        <w:t xml:space="preserve">learning environments. </w:t>
      </w:r>
    </w:p>
    <w:p w:rsidR="00FE1E85" w:rsidP="006B3B21" w:rsidRDefault="00FE1E85" w14:paraId="40EEA544" w14:textId="2CAA8AD1">
      <w:pPr>
        <w:pStyle w:val="Bodyafterbullets"/>
      </w:pPr>
      <w:r w:rsidRPr="00A9620F">
        <w:t xml:space="preserve">Additionally, existing </w:t>
      </w:r>
      <w:r w:rsidR="001C40CF">
        <w:t>LGBTIQA+</w:t>
      </w:r>
      <w:r w:rsidRPr="00A9620F">
        <w:t xml:space="preserve"> groups, and those </w:t>
      </w:r>
      <w:r w:rsidR="005674A9">
        <w:t>that</w:t>
      </w:r>
      <w:r w:rsidRPr="00A9620F" w:rsidR="005674A9">
        <w:t xml:space="preserve"> </w:t>
      </w:r>
      <w:r w:rsidRPr="00A9620F">
        <w:t xml:space="preserve">are already making strides towards </w:t>
      </w:r>
      <w:r w:rsidR="001C40CF">
        <w:t>LGBTIQA+</w:t>
      </w:r>
      <w:r w:rsidRPr="00A9620F">
        <w:t xml:space="preserve"> inclusion in their township, are encouraged to use the </w:t>
      </w:r>
      <w:r w:rsidR="007D7FBB">
        <w:t>r</w:t>
      </w:r>
      <w:r w:rsidRPr="00A9620F">
        <w:t>oadmap</w:t>
      </w:r>
      <w:r w:rsidR="005674A9">
        <w:t>. They can use it to help</w:t>
      </w:r>
      <w:r w:rsidRPr="00A9620F">
        <w:t xml:space="preserve"> identify </w:t>
      </w:r>
      <w:r w:rsidR="005674A9">
        <w:t>ways to</w:t>
      </w:r>
      <w:r w:rsidRPr="00A9620F">
        <w:t xml:space="preserve"> ensure the sustainability of their group and find new opportunities to collaborate across settings.</w:t>
      </w:r>
      <w:r>
        <w:t xml:space="preserve"> </w:t>
      </w:r>
    </w:p>
    <w:p w:rsidR="00FE1E85" w:rsidP="008D48AC" w:rsidRDefault="00FE1E85" w14:paraId="2424358F" w14:textId="0C72BEF1">
      <w:pPr>
        <w:pStyle w:val="Body"/>
      </w:pPr>
      <w:r>
        <w:t xml:space="preserve">All regional and rural communities across Victoria can review the </w:t>
      </w:r>
      <w:r w:rsidR="007D7FBB">
        <w:t>r</w:t>
      </w:r>
      <w:r>
        <w:t xml:space="preserve">oadmap and undertake activities to become more </w:t>
      </w:r>
      <w:r w:rsidR="001C40CF">
        <w:t>LGBTIQA+</w:t>
      </w:r>
      <w:r>
        <w:t xml:space="preserve"> inclusive </w:t>
      </w:r>
      <w:r w:rsidR="005E6864">
        <w:t>by working towards being</w:t>
      </w:r>
      <w:r>
        <w:t xml:space="preserve"> Rainbow Ready. Whole communities, which will include </w:t>
      </w:r>
      <w:r w:rsidR="001C40CF">
        <w:t>LGBTIQA+</w:t>
      </w:r>
      <w:r>
        <w:t xml:space="preserve"> community members, their families, </w:t>
      </w:r>
      <w:proofErr w:type="gramStart"/>
      <w:r>
        <w:t>friends</w:t>
      </w:r>
      <w:proofErr w:type="gramEnd"/>
      <w:r>
        <w:t xml:space="preserve"> and allies, are encouraged to take part in or support Rainbow Ready activities. There’s a role for everybody to play in achieving true </w:t>
      </w:r>
      <w:r w:rsidR="001C40CF">
        <w:t>LGBTIQA+</w:t>
      </w:r>
      <w:r>
        <w:t xml:space="preserve"> inclusion in Victoria’s regional and rural communities.</w:t>
      </w:r>
      <w:r w:rsidR="00026F8A">
        <w:t xml:space="preserve"> </w:t>
      </w:r>
      <w:r>
        <w:t xml:space="preserve"> </w:t>
      </w:r>
    </w:p>
    <w:p w:rsidRPr="00221BE0" w:rsidR="00FE1E85" w:rsidP="00221BE0" w:rsidRDefault="00FE1E85" w14:paraId="1C276E57" w14:textId="2913DA06">
      <w:pPr>
        <w:pStyle w:val="Heading2"/>
      </w:pPr>
      <w:bookmarkStart w:name="_Toc144934382" w:id="10"/>
      <w:r w:rsidRPr="00221BE0">
        <w:t>Using Victoria</w:t>
      </w:r>
      <w:r w:rsidR="007D7FBB">
        <w:t>’</w:t>
      </w:r>
      <w:r w:rsidRPr="00221BE0">
        <w:t xml:space="preserve">s </w:t>
      </w:r>
      <w:r w:rsidR="001C40CF">
        <w:t>LGBTIQA+</w:t>
      </w:r>
      <w:r w:rsidRPr="00221BE0">
        <w:t xml:space="preserve"> strategy alongside the </w:t>
      </w:r>
      <w:r w:rsidR="007D7FBB">
        <w:t>r</w:t>
      </w:r>
      <w:r w:rsidRPr="00221BE0">
        <w:t>oadmap</w:t>
      </w:r>
      <w:bookmarkEnd w:id="10"/>
    </w:p>
    <w:p w:rsidR="00FE1E85" w:rsidP="008D48AC" w:rsidRDefault="00FE1E85" w14:paraId="2FC0CCB5" w14:textId="53D0B1B2">
      <w:pPr>
        <w:pStyle w:val="Body"/>
      </w:pPr>
      <w:r>
        <w:t>T</w:t>
      </w:r>
      <w:r w:rsidRPr="00864CEC">
        <w:t xml:space="preserve">he </w:t>
      </w:r>
      <w:r w:rsidRPr="00853088" w:rsidR="00853088">
        <w:rPr>
          <w:b/>
          <w:bCs/>
        </w:rPr>
        <w:t>Rainbow Ready roadmap</w:t>
      </w:r>
      <w:r w:rsidRPr="00864CEC">
        <w:t xml:space="preserve"> </w:t>
      </w:r>
      <w:r>
        <w:t>supports the Victorian Government’s</w:t>
      </w:r>
      <w:r w:rsidRPr="00864CEC">
        <w:t xml:space="preserve"> </w:t>
      </w:r>
      <w:r w:rsidRPr="00853088">
        <w:rPr>
          <w:b/>
          <w:bCs/>
        </w:rPr>
        <w:t xml:space="preserve">Pride in our future: Victoria’s </w:t>
      </w:r>
      <w:r w:rsidR="001C40CF">
        <w:rPr>
          <w:b/>
          <w:bCs/>
        </w:rPr>
        <w:t>LGBTIQA+</w:t>
      </w:r>
      <w:r w:rsidRPr="00853088">
        <w:rPr>
          <w:b/>
          <w:bCs/>
        </w:rPr>
        <w:t xml:space="preserve"> strategy 2022</w:t>
      </w:r>
      <w:r w:rsidRPr="00853088" w:rsidR="007D7FBB">
        <w:rPr>
          <w:b/>
          <w:bCs/>
        </w:rPr>
        <w:t>–</w:t>
      </w:r>
      <w:r w:rsidRPr="00853088">
        <w:rPr>
          <w:b/>
          <w:bCs/>
        </w:rPr>
        <w:t>32</w:t>
      </w:r>
      <w:r w:rsidR="00C05446">
        <w:t>. The strategy</w:t>
      </w:r>
      <w:r w:rsidRPr="00403E54" w:rsidR="00C05446">
        <w:t xml:space="preserve"> </w:t>
      </w:r>
      <w:r w:rsidRPr="00403E54">
        <w:t>aims to drive equality and inclusion for</w:t>
      </w:r>
      <w:r w:rsidRPr="00C74B68">
        <w:t xml:space="preserve"> Victoria’s diverse </w:t>
      </w:r>
      <w:r w:rsidR="001C40CF">
        <w:t>LGBTIQA+</w:t>
      </w:r>
      <w:r w:rsidRPr="00C74B68">
        <w:t xml:space="preserve"> communities.</w:t>
      </w:r>
      <w:r w:rsidRPr="00864CEC">
        <w:rPr>
          <w:i/>
          <w:iCs/>
        </w:rPr>
        <w:t xml:space="preserve"> </w:t>
      </w:r>
      <w:r w:rsidRPr="00864CEC">
        <w:t xml:space="preserve">The </w:t>
      </w:r>
      <w:r w:rsidRPr="00853088" w:rsidR="00853088">
        <w:rPr>
          <w:b/>
          <w:bCs/>
        </w:rPr>
        <w:t>Rainbow Ready roadmap</w:t>
      </w:r>
      <w:r w:rsidRPr="00864CEC">
        <w:t xml:space="preserve"> will bring to</w:t>
      </w:r>
      <w:r>
        <w:t xml:space="preserve"> life</w:t>
      </w:r>
      <w:r w:rsidRPr="00864CEC">
        <w:t xml:space="preserve"> </w:t>
      </w:r>
      <w:r>
        <w:t xml:space="preserve">one of the strategy’s priority areas by </w:t>
      </w:r>
      <w:r w:rsidRPr="00941EA7">
        <w:t xml:space="preserve">supporting the creation of safe, </w:t>
      </w:r>
      <w:proofErr w:type="gramStart"/>
      <w:r w:rsidRPr="00941EA7">
        <w:t>strong</w:t>
      </w:r>
      <w:proofErr w:type="gramEnd"/>
      <w:r w:rsidRPr="00941EA7">
        <w:t xml:space="preserve"> and sustainable communities in rural and regional Victoria.</w:t>
      </w:r>
    </w:p>
    <w:p w:rsidR="00FE1E85" w:rsidP="008D48AC" w:rsidRDefault="00FE1E85" w14:paraId="70141FF7" w14:textId="083DE258">
      <w:pPr>
        <w:pStyle w:val="Body"/>
        <w:rPr>
          <w:i/>
          <w:iCs/>
        </w:rPr>
      </w:pPr>
      <w:r>
        <w:t xml:space="preserve">The strategy can be used as a tool of negotiation and advocacy by community groups, businesses, </w:t>
      </w:r>
      <w:proofErr w:type="gramStart"/>
      <w:r>
        <w:t>services</w:t>
      </w:r>
      <w:proofErr w:type="gramEnd"/>
      <w:r>
        <w:t xml:space="preserve"> and organisations that want to partner with their local government, state government or any other government service to drive change as part of a Rainbow Ready project. All government departments, services and bodies have a role to play in delivering on </w:t>
      </w:r>
      <w:proofErr w:type="spellStart"/>
      <w:r>
        <w:t>statewide</w:t>
      </w:r>
      <w:proofErr w:type="spellEnd"/>
      <w:r>
        <w:t xml:space="preserve"> equality and inclusion under the </w:t>
      </w:r>
      <w:r w:rsidR="001C40CF">
        <w:t>LGBTIQA+</w:t>
      </w:r>
      <w:r>
        <w:t xml:space="preserve"> </w:t>
      </w:r>
      <w:r>
        <w:t>strategy</w:t>
      </w:r>
      <w:r w:rsidR="000648FF">
        <w:t>.</w:t>
      </w:r>
      <w:r>
        <w:t xml:space="preserve"> </w:t>
      </w:r>
      <w:r w:rsidR="000648FF">
        <w:t>A</w:t>
      </w:r>
      <w:r>
        <w:t xml:space="preserve">ctivities undertaken under Rainbow Ready can support those bodies in delivering on the strategy’s vision and objectives. </w:t>
      </w:r>
    </w:p>
    <w:p w:rsidR="00221BE0" w:rsidP="008D48AC" w:rsidRDefault="000648FF" w14:paraId="467F24AC" w14:textId="4920F3EE">
      <w:pPr>
        <w:pStyle w:val="Body"/>
      </w:pPr>
      <w:r>
        <w:t xml:space="preserve">Find out more by </w:t>
      </w:r>
      <w:hyperlink w:history="1" r:id="rId19">
        <w:r w:rsidRPr="000648FF">
          <w:rPr>
            <w:rStyle w:val="Hyperlink"/>
          </w:rPr>
          <w:t>r</w:t>
        </w:r>
        <w:r w:rsidRPr="000648FF" w:rsidR="00FE1E85">
          <w:rPr>
            <w:rStyle w:val="Hyperlink"/>
          </w:rPr>
          <w:t>ead</w:t>
        </w:r>
        <w:r w:rsidRPr="000648FF">
          <w:rPr>
            <w:rStyle w:val="Hyperlink"/>
          </w:rPr>
          <w:t>ing</w:t>
        </w:r>
        <w:r w:rsidRPr="000648FF" w:rsidR="00FE1E85">
          <w:rPr>
            <w:rStyle w:val="Hyperlink"/>
          </w:rPr>
          <w:t xml:space="preserve"> the </w:t>
        </w:r>
        <w:r w:rsidR="001C40CF">
          <w:rPr>
            <w:rStyle w:val="Hyperlink"/>
          </w:rPr>
          <w:t>LGBTIQA+</w:t>
        </w:r>
        <w:r w:rsidRPr="000648FF" w:rsidR="00FE1E85">
          <w:rPr>
            <w:rStyle w:val="Hyperlink"/>
          </w:rPr>
          <w:t xml:space="preserve"> strategy</w:t>
        </w:r>
      </w:hyperlink>
      <w:r w:rsidR="00FE1E85">
        <w:t xml:space="preserve"> </w:t>
      </w:r>
      <w:r w:rsidR="00292CC4">
        <w:t>&lt;</w:t>
      </w:r>
      <w:r w:rsidRPr="0089101E" w:rsidR="00292CC4">
        <w:t>https://www.vic.gov.au/pride-our-future-victorias-lgbtiq-strategy-2022-32</w:t>
      </w:r>
      <w:r w:rsidR="00292CC4">
        <w:rPr>
          <w:rFonts w:cstheme="minorHAnsi"/>
          <w:sz w:val="22"/>
          <w:szCs w:val="22"/>
        </w:rPr>
        <w:t>&gt;</w:t>
      </w:r>
      <w:r w:rsidR="00FE1E85">
        <w:t xml:space="preserve">. </w:t>
      </w:r>
    </w:p>
    <w:p w:rsidRPr="00221BE0" w:rsidR="00FE1E85" w:rsidP="00221BE0" w:rsidRDefault="00FE1E85" w14:paraId="5C2E4D30" w14:textId="77777777">
      <w:pPr>
        <w:pStyle w:val="Heading2"/>
      </w:pPr>
      <w:bookmarkStart w:name="_Toc144934383" w:id="11"/>
      <w:r w:rsidRPr="00221BE0">
        <w:t>What are the resources?</w:t>
      </w:r>
      <w:bookmarkEnd w:id="11"/>
    </w:p>
    <w:p w:rsidR="00FE1E85" w:rsidP="008D48AC" w:rsidRDefault="00FE1E85" w14:paraId="77541DE6" w14:textId="4ECF2D5A">
      <w:pPr>
        <w:pStyle w:val="Body"/>
      </w:pPr>
      <w:r>
        <w:t xml:space="preserve">A range of resources have been developed to support your use of the </w:t>
      </w:r>
      <w:r w:rsidRPr="00853088" w:rsidR="00853088">
        <w:rPr>
          <w:b/>
          <w:bCs/>
        </w:rPr>
        <w:t>Rainbow Ready roadmap</w:t>
      </w:r>
      <w:r>
        <w:t>.</w:t>
      </w:r>
    </w:p>
    <w:p w:rsidR="00E355BB" w:rsidP="00E355BB" w:rsidRDefault="00E355BB" w14:paraId="7D0BB6E0" w14:textId="3941DF8C">
      <w:pPr>
        <w:pStyle w:val="Heading3"/>
      </w:pPr>
      <w:r>
        <w:t>Guides</w:t>
      </w:r>
    </w:p>
    <w:tbl>
      <w:tblPr>
        <w:tblStyle w:val="TableGrid"/>
        <w:tblW w:w="0" w:type="auto"/>
        <w:shd w:val="clear" w:color="auto" w:fill="DAEEF3" w:themeFill="accent5" w:themeFillTint="33"/>
        <w:tblLook w:val="0620" w:firstRow="1" w:lastRow="0" w:firstColumn="0" w:lastColumn="0" w:noHBand="1" w:noVBand="1"/>
      </w:tblPr>
      <w:tblGrid>
        <w:gridCol w:w="962"/>
        <w:gridCol w:w="2068"/>
        <w:gridCol w:w="6043"/>
      </w:tblGrid>
      <w:tr w:rsidR="00FE1E85" w:rsidTr="00E355BB" w14:paraId="08E6F5CF" w14:textId="77777777">
        <w:trPr>
          <w:tblHeader/>
        </w:trPr>
        <w:tc>
          <w:tcPr>
            <w:tcW w:w="962" w:type="dxa"/>
            <w:shd w:val="clear" w:color="auto" w:fill="auto"/>
          </w:tcPr>
          <w:p w:rsidRPr="00E94CB1" w:rsidR="00FE1E85" w:rsidP="00E355BB" w:rsidRDefault="00E355BB" w14:paraId="710BFD3C" w14:textId="139BA17F">
            <w:pPr>
              <w:pStyle w:val="Tablecolhead"/>
              <w:rPr>
                <w:noProof/>
              </w:rPr>
            </w:pPr>
            <w:r>
              <w:rPr>
                <w:noProof/>
              </w:rPr>
              <w:t>No.</w:t>
            </w:r>
          </w:p>
        </w:tc>
        <w:tc>
          <w:tcPr>
            <w:tcW w:w="2068" w:type="dxa"/>
            <w:shd w:val="clear" w:color="auto" w:fill="auto"/>
          </w:tcPr>
          <w:p w:rsidRPr="007452B6" w:rsidR="00FE1E85" w:rsidP="00E355BB" w:rsidRDefault="00E355BB" w14:paraId="73FECA39" w14:textId="71585692">
            <w:pPr>
              <w:pStyle w:val="Tablecolhead"/>
              <w:rPr>
                <w:iCs/>
                <w:highlight w:val="yellow"/>
              </w:rPr>
            </w:pPr>
            <w:r w:rsidRPr="00E355BB">
              <w:rPr>
                <w:iCs/>
              </w:rPr>
              <w:t>Guide</w:t>
            </w:r>
          </w:p>
        </w:tc>
        <w:tc>
          <w:tcPr>
            <w:tcW w:w="6043" w:type="dxa"/>
            <w:shd w:val="clear" w:color="auto" w:fill="auto"/>
          </w:tcPr>
          <w:p w:rsidR="00FE1E85" w:rsidP="00E355BB" w:rsidRDefault="00E355BB" w14:paraId="10A0EE69" w14:textId="748364B0">
            <w:pPr>
              <w:pStyle w:val="Tablecolhead"/>
            </w:pPr>
            <w:r>
              <w:t>Description</w:t>
            </w:r>
          </w:p>
        </w:tc>
      </w:tr>
      <w:tr w:rsidR="00FE1E85" w:rsidTr="00E355BB" w14:paraId="3319C0FF" w14:textId="77777777">
        <w:tc>
          <w:tcPr>
            <w:tcW w:w="962" w:type="dxa"/>
            <w:shd w:val="clear" w:color="auto" w:fill="auto"/>
          </w:tcPr>
          <w:p w:rsidRPr="00E94CB1" w:rsidR="00FE1E85" w:rsidP="00E355BB" w:rsidRDefault="00FE1E85" w14:paraId="1F70BA80" w14:textId="77777777">
            <w:pPr>
              <w:pStyle w:val="Tabletext"/>
            </w:pPr>
            <w:r w:rsidRPr="00E94CB1">
              <w:t>A.</w:t>
            </w:r>
          </w:p>
        </w:tc>
        <w:tc>
          <w:tcPr>
            <w:tcW w:w="2068" w:type="dxa"/>
            <w:shd w:val="clear" w:color="auto" w:fill="auto"/>
          </w:tcPr>
          <w:p w:rsidRPr="00E94CB1" w:rsidR="00FE1E85" w:rsidP="00E355BB" w:rsidRDefault="00FE1E85" w14:paraId="64849B80" w14:textId="3D29074A">
            <w:pPr>
              <w:pStyle w:val="Tabletext"/>
              <w:rPr>
                <w:iCs/>
              </w:rPr>
            </w:pPr>
            <w:r w:rsidRPr="00FC7F66">
              <w:rPr>
                <w:iCs/>
              </w:rPr>
              <w:t xml:space="preserve">User </w:t>
            </w:r>
            <w:r w:rsidR="00292CC4">
              <w:rPr>
                <w:iCs/>
              </w:rPr>
              <w:t>g</w:t>
            </w:r>
            <w:r w:rsidRPr="00FC7F66">
              <w:rPr>
                <w:iCs/>
              </w:rPr>
              <w:t>uide</w:t>
            </w:r>
          </w:p>
        </w:tc>
        <w:tc>
          <w:tcPr>
            <w:tcW w:w="6043" w:type="dxa"/>
            <w:shd w:val="clear" w:color="auto" w:fill="auto"/>
          </w:tcPr>
          <w:p w:rsidR="00FE1E85" w:rsidP="00E355BB" w:rsidRDefault="00FE1E85" w14:paraId="4E4E7635" w14:textId="1C03B905">
            <w:pPr>
              <w:pStyle w:val="Tabletext"/>
            </w:pPr>
            <w:r>
              <w:t xml:space="preserve">How to use the </w:t>
            </w:r>
            <w:r w:rsidRPr="00E355BB" w:rsidR="00853088">
              <w:rPr>
                <w:b/>
                <w:bCs/>
              </w:rPr>
              <w:t>Rainbow Ready roadmap</w:t>
            </w:r>
            <w:r>
              <w:t>.</w:t>
            </w:r>
          </w:p>
        </w:tc>
      </w:tr>
      <w:tr w:rsidR="00FE1E85" w:rsidTr="00E355BB" w14:paraId="586259B3" w14:textId="77777777">
        <w:tc>
          <w:tcPr>
            <w:tcW w:w="962" w:type="dxa"/>
            <w:shd w:val="clear" w:color="auto" w:fill="auto"/>
          </w:tcPr>
          <w:p w:rsidRPr="00E94CB1" w:rsidR="00FE1E85" w:rsidP="00E355BB" w:rsidRDefault="00FE1E85" w14:paraId="7E0DC622" w14:textId="77777777">
            <w:pPr>
              <w:pStyle w:val="Tabletext"/>
            </w:pPr>
            <w:r>
              <w:t>B.</w:t>
            </w:r>
          </w:p>
        </w:tc>
        <w:tc>
          <w:tcPr>
            <w:tcW w:w="2068" w:type="dxa"/>
            <w:shd w:val="clear" w:color="auto" w:fill="auto"/>
          </w:tcPr>
          <w:p w:rsidRPr="008D0A59" w:rsidR="00FE1E85" w:rsidP="00E355BB" w:rsidRDefault="00FE1E85" w14:paraId="7CA839BF" w14:textId="095D9410">
            <w:pPr>
              <w:pStyle w:val="Tabletext"/>
              <w:rPr>
                <w:iCs/>
              </w:rPr>
            </w:pPr>
            <w:r w:rsidRPr="008D0A59">
              <w:rPr>
                <w:iCs/>
              </w:rPr>
              <w:t xml:space="preserve">Setting </w:t>
            </w:r>
            <w:r w:rsidR="00292CC4">
              <w:rPr>
                <w:iCs/>
              </w:rPr>
              <w:t>g</w:t>
            </w:r>
            <w:r w:rsidRPr="008D0A59">
              <w:rPr>
                <w:iCs/>
              </w:rPr>
              <w:t>uides</w:t>
            </w:r>
          </w:p>
        </w:tc>
        <w:tc>
          <w:tcPr>
            <w:tcW w:w="6043" w:type="dxa"/>
            <w:shd w:val="clear" w:color="auto" w:fill="auto"/>
          </w:tcPr>
          <w:p w:rsidR="00FE1E85" w:rsidP="00E355BB" w:rsidRDefault="00FE1E85" w14:paraId="5CBC6213" w14:textId="103AC083">
            <w:pPr>
              <w:pStyle w:val="Tabletext"/>
            </w:pPr>
            <w:r>
              <w:t xml:space="preserve">Guides for achieving </w:t>
            </w:r>
            <w:r w:rsidR="001C40CF">
              <w:t>LGBTIQA+</w:t>
            </w:r>
            <w:r>
              <w:t xml:space="preserve"> inclusion in five settings:</w:t>
            </w:r>
          </w:p>
          <w:p w:rsidR="00FE1E85" w:rsidP="00E355BB" w:rsidRDefault="00FE1E85" w14:paraId="420B5F53" w14:textId="77777777">
            <w:pPr>
              <w:pStyle w:val="Tablebullet1"/>
            </w:pPr>
            <w:r w:rsidRPr="005C4782">
              <w:t>community groups</w:t>
            </w:r>
          </w:p>
          <w:p w:rsidR="000648FF" w:rsidP="00E355BB" w:rsidRDefault="000648FF" w14:paraId="4EDB4DFE" w14:textId="77777777">
            <w:pPr>
              <w:pStyle w:val="Tablebullet1"/>
            </w:pPr>
            <w:r w:rsidRPr="00E94CB1">
              <w:t>local government</w:t>
            </w:r>
          </w:p>
          <w:p w:rsidR="00FE1E85" w:rsidP="00E355BB" w:rsidRDefault="00FE1E85" w14:paraId="4954C69F" w14:textId="77777777">
            <w:pPr>
              <w:pStyle w:val="Tablebullet1"/>
            </w:pPr>
            <w:r w:rsidRPr="00880EF8">
              <w:t>health and community services</w:t>
            </w:r>
          </w:p>
          <w:p w:rsidR="00FE1E85" w:rsidP="00E355BB" w:rsidRDefault="00FE1E85" w14:paraId="4EE1DD99" w14:textId="77777777">
            <w:pPr>
              <w:pStyle w:val="Tablebullet1"/>
            </w:pPr>
            <w:r w:rsidRPr="00E94CB1">
              <w:t>business and other services</w:t>
            </w:r>
          </w:p>
          <w:p w:rsidRPr="00E94CB1" w:rsidR="00FE1E85" w:rsidP="00E355BB" w:rsidRDefault="00FE1E85" w14:paraId="49FF0B53" w14:textId="77777777">
            <w:pPr>
              <w:pStyle w:val="Tablebullet1"/>
            </w:pPr>
            <w:r w:rsidRPr="00E94CB1">
              <w:t xml:space="preserve">learning environments. </w:t>
            </w:r>
          </w:p>
        </w:tc>
      </w:tr>
    </w:tbl>
    <w:p w:rsidR="00E355BB" w:rsidP="00E355BB" w:rsidRDefault="00E355BB" w14:paraId="2F29C482" w14:textId="0CA48270">
      <w:pPr>
        <w:pStyle w:val="Heading3"/>
      </w:pPr>
      <w:r>
        <w:t>Tools</w:t>
      </w:r>
    </w:p>
    <w:tbl>
      <w:tblPr>
        <w:tblStyle w:val="TableGrid"/>
        <w:tblW w:w="0" w:type="auto"/>
        <w:tblLook w:val="0620" w:firstRow="1" w:lastRow="0" w:firstColumn="0" w:lastColumn="0" w:noHBand="1" w:noVBand="1"/>
      </w:tblPr>
      <w:tblGrid>
        <w:gridCol w:w="962"/>
        <w:gridCol w:w="1733"/>
        <w:gridCol w:w="6378"/>
      </w:tblGrid>
      <w:tr w:rsidR="00E355BB" w:rsidTr="6B47B7C0" w14:paraId="320BA882" w14:textId="77777777">
        <w:trPr>
          <w:tblHeader/>
        </w:trPr>
        <w:tc>
          <w:tcPr>
            <w:tcW w:w="962" w:type="dxa"/>
            <w:shd w:val="clear" w:color="auto" w:fill="auto"/>
          </w:tcPr>
          <w:p w:rsidR="00E355BB" w:rsidP="00E355BB" w:rsidRDefault="00E355BB" w14:paraId="792FC78D" w14:textId="107A0BA9">
            <w:pPr>
              <w:pStyle w:val="Tablecolhead"/>
            </w:pPr>
            <w:r>
              <w:t>No.</w:t>
            </w:r>
          </w:p>
        </w:tc>
        <w:tc>
          <w:tcPr>
            <w:tcW w:w="1733" w:type="dxa"/>
            <w:shd w:val="clear" w:color="auto" w:fill="auto"/>
          </w:tcPr>
          <w:p w:rsidR="00E355BB" w:rsidP="00E355BB" w:rsidRDefault="00E355BB" w14:paraId="39075FD4" w14:textId="00FC60E5">
            <w:pPr>
              <w:pStyle w:val="Tablecolhead"/>
              <w:rPr>
                <w:iCs/>
              </w:rPr>
            </w:pPr>
            <w:r>
              <w:rPr>
                <w:iCs/>
              </w:rPr>
              <w:t>Tool</w:t>
            </w:r>
          </w:p>
        </w:tc>
        <w:tc>
          <w:tcPr>
            <w:tcW w:w="6378" w:type="dxa"/>
            <w:shd w:val="clear" w:color="auto" w:fill="auto"/>
          </w:tcPr>
          <w:p w:rsidRPr="00864CEC" w:rsidR="00E355BB" w:rsidP="00E355BB" w:rsidRDefault="00E355BB" w14:paraId="6AF41D0F" w14:textId="05BDEA59">
            <w:pPr>
              <w:pStyle w:val="Tablecolhead"/>
            </w:pPr>
            <w:r>
              <w:t>Description</w:t>
            </w:r>
          </w:p>
        </w:tc>
      </w:tr>
      <w:tr w:rsidR="00FE1E85" w:rsidTr="6B47B7C0" w14:paraId="7E2E2E17" w14:textId="77777777">
        <w:tc>
          <w:tcPr>
            <w:tcW w:w="962" w:type="dxa"/>
            <w:shd w:val="clear" w:color="auto" w:fill="auto"/>
          </w:tcPr>
          <w:p w:rsidRPr="00E94CB1" w:rsidR="00FE1E85" w:rsidP="00E355BB" w:rsidRDefault="00FE1E85" w14:paraId="49F2F5C7" w14:textId="77777777">
            <w:pPr>
              <w:pStyle w:val="Tabletext"/>
            </w:pPr>
            <w:r>
              <w:t>A</w:t>
            </w:r>
            <w:r w:rsidRPr="00E94CB1">
              <w:t>.</w:t>
            </w:r>
          </w:p>
        </w:tc>
        <w:tc>
          <w:tcPr>
            <w:tcW w:w="1733" w:type="dxa"/>
            <w:shd w:val="clear" w:color="auto" w:fill="auto"/>
          </w:tcPr>
          <w:p w:rsidRPr="008D0A59" w:rsidR="00FE1E85" w:rsidP="00E355BB" w:rsidRDefault="005E6864" w14:paraId="09AC584B" w14:textId="38F82D45">
            <w:pPr>
              <w:pStyle w:val="Tabletext"/>
              <w:rPr>
                <w:iCs/>
              </w:rPr>
            </w:pPr>
            <w:r>
              <w:rPr>
                <w:iCs/>
              </w:rPr>
              <w:t xml:space="preserve">Measurement </w:t>
            </w:r>
            <w:r w:rsidR="00FE1E85">
              <w:rPr>
                <w:iCs/>
              </w:rPr>
              <w:t xml:space="preserve">and </w:t>
            </w:r>
            <w:r w:rsidR="00292CC4">
              <w:rPr>
                <w:iCs/>
              </w:rPr>
              <w:t>e</w:t>
            </w:r>
            <w:r w:rsidR="00FE1E85">
              <w:rPr>
                <w:iCs/>
              </w:rPr>
              <w:t xml:space="preserve">valuation </w:t>
            </w:r>
            <w:r w:rsidR="00292CC4">
              <w:rPr>
                <w:iCs/>
              </w:rPr>
              <w:t>t</w:t>
            </w:r>
            <w:r w:rsidR="00FE1E85">
              <w:rPr>
                <w:iCs/>
              </w:rPr>
              <w:t>ool</w:t>
            </w:r>
          </w:p>
        </w:tc>
        <w:tc>
          <w:tcPr>
            <w:tcW w:w="6378" w:type="dxa"/>
            <w:shd w:val="clear" w:color="auto" w:fill="auto"/>
          </w:tcPr>
          <w:p w:rsidR="00FE1E85" w:rsidP="00E355BB" w:rsidRDefault="00FE1E85" w14:paraId="33C3EB7F" w14:textId="15C71E6E">
            <w:pPr>
              <w:pStyle w:val="Tabletext"/>
            </w:pPr>
            <w:r w:rsidRPr="00864CEC">
              <w:t xml:space="preserve">A </w:t>
            </w:r>
            <w:r>
              <w:t>tool</w:t>
            </w:r>
            <w:r w:rsidRPr="00864CEC">
              <w:t xml:space="preserve"> </w:t>
            </w:r>
            <w:r>
              <w:t xml:space="preserve">to </w:t>
            </w:r>
            <w:r w:rsidR="005E6864">
              <w:t xml:space="preserve">measure </w:t>
            </w:r>
            <w:r>
              <w:t xml:space="preserve">where your setting is at with </w:t>
            </w:r>
            <w:r w:rsidR="001C40CF">
              <w:t>LGBTIQA+</w:t>
            </w:r>
            <w:r>
              <w:t xml:space="preserve"> inclusion, and areas for improvement. This tool </w:t>
            </w:r>
            <w:r w:rsidR="005E6864">
              <w:t xml:space="preserve">can </w:t>
            </w:r>
            <w:r>
              <w:t xml:space="preserve">also </w:t>
            </w:r>
            <w:r w:rsidR="005E6864">
              <w:t xml:space="preserve">be </w:t>
            </w:r>
            <w:r>
              <w:t>used at the end of a Rainbow Ready activity to</w:t>
            </w:r>
            <w:r w:rsidR="005E6864">
              <w:t xml:space="preserve"> help you</w:t>
            </w:r>
            <w:r>
              <w:t xml:space="preserve"> measure </w:t>
            </w:r>
            <w:r w:rsidR="005E6864">
              <w:t xml:space="preserve">your </w:t>
            </w:r>
            <w:r>
              <w:t xml:space="preserve">progress and identify achievements or areas for improvement. </w:t>
            </w:r>
          </w:p>
        </w:tc>
      </w:tr>
      <w:tr w:rsidR="00FE1E85" w:rsidTr="6B47B7C0" w14:paraId="0BC07883" w14:textId="77777777">
        <w:tc>
          <w:tcPr>
            <w:tcW w:w="962" w:type="dxa"/>
            <w:shd w:val="clear" w:color="auto" w:fill="auto"/>
          </w:tcPr>
          <w:p w:rsidRPr="00E94CB1" w:rsidR="00FE1E85" w:rsidP="00E355BB" w:rsidRDefault="00FE1E85" w14:paraId="4CAB2915" w14:textId="77777777">
            <w:pPr>
              <w:pStyle w:val="Tabletext"/>
            </w:pPr>
            <w:r>
              <w:t>B</w:t>
            </w:r>
            <w:r w:rsidRPr="00E94CB1">
              <w:t>.</w:t>
            </w:r>
          </w:p>
        </w:tc>
        <w:tc>
          <w:tcPr>
            <w:tcW w:w="1733" w:type="dxa"/>
            <w:shd w:val="clear" w:color="auto" w:fill="auto"/>
          </w:tcPr>
          <w:p w:rsidRPr="008D0A59" w:rsidR="00FE1E85" w:rsidP="00E355BB" w:rsidRDefault="00FE1E85" w14:paraId="76CC9D20" w14:textId="11093444">
            <w:pPr>
              <w:pStyle w:val="Tabletext"/>
              <w:rPr>
                <w:iCs/>
              </w:rPr>
            </w:pPr>
            <w:r>
              <w:rPr>
                <w:iCs/>
              </w:rPr>
              <w:t xml:space="preserve">Action </w:t>
            </w:r>
            <w:r w:rsidR="00292CC4">
              <w:rPr>
                <w:iCs/>
              </w:rPr>
              <w:t>p</w:t>
            </w:r>
            <w:r>
              <w:rPr>
                <w:iCs/>
              </w:rPr>
              <w:t>lan</w:t>
            </w:r>
          </w:p>
        </w:tc>
        <w:tc>
          <w:tcPr>
            <w:tcW w:w="6378" w:type="dxa"/>
            <w:shd w:val="clear" w:color="auto" w:fill="auto"/>
          </w:tcPr>
          <w:p w:rsidR="00FE1E85" w:rsidP="00E355BB" w:rsidRDefault="00FE1E85" w14:paraId="22B4C399" w14:textId="2926D01F">
            <w:pPr>
              <w:pStyle w:val="Tabletext"/>
            </w:pPr>
            <w:r w:rsidRPr="00864CEC">
              <w:t xml:space="preserve">A template </w:t>
            </w:r>
            <w:r>
              <w:t>for</w:t>
            </w:r>
            <w:r w:rsidRPr="00864CEC">
              <w:t xml:space="preserve"> planning</w:t>
            </w:r>
            <w:r>
              <w:t xml:space="preserve"> your Rainbow Ready activities, including identifying </w:t>
            </w:r>
            <w:r w:rsidRPr="00864CEC">
              <w:t xml:space="preserve">actions, </w:t>
            </w:r>
            <w:proofErr w:type="gramStart"/>
            <w:r w:rsidRPr="00864CEC">
              <w:t>stakeholders</w:t>
            </w:r>
            <w:proofErr w:type="gramEnd"/>
            <w:r w:rsidRPr="00864CEC">
              <w:t xml:space="preserve"> and desired</w:t>
            </w:r>
            <w:r>
              <w:t xml:space="preserve"> </w:t>
            </w:r>
            <w:r w:rsidRPr="00864CEC">
              <w:t>outcomes.</w:t>
            </w:r>
          </w:p>
        </w:tc>
      </w:tr>
      <w:tr w:rsidR="00FE1E85" w:rsidTr="6B47B7C0" w14:paraId="20941A39" w14:textId="77777777">
        <w:tc>
          <w:tcPr>
            <w:tcW w:w="962" w:type="dxa"/>
            <w:shd w:val="clear" w:color="auto" w:fill="auto"/>
          </w:tcPr>
          <w:p w:rsidRPr="00E94CB1" w:rsidR="00FE1E85" w:rsidP="00E355BB" w:rsidRDefault="00FE1E85" w14:paraId="71DBE858" w14:textId="77777777">
            <w:pPr>
              <w:pStyle w:val="Tabletext"/>
            </w:pPr>
            <w:r>
              <w:t>C</w:t>
            </w:r>
            <w:r w:rsidRPr="00E94CB1">
              <w:t>.</w:t>
            </w:r>
          </w:p>
        </w:tc>
        <w:tc>
          <w:tcPr>
            <w:tcW w:w="1733" w:type="dxa"/>
            <w:shd w:val="clear" w:color="auto" w:fill="auto"/>
          </w:tcPr>
          <w:p w:rsidRPr="00E94CB1" w:rsidR="00FE1E85" w:rsidP="00E355BB" w:rsidRDefault="00FE1E85" w14:paraId="2AE22D30" w14:textId="46145C86">
            <w:pPr>
              <w:pStyle w:val="Tabletext"/>
              <w:rPr>
                <w:iCs/>
                <w:highlight w:val="yellow"/>
              </w:rPr>
            </w:pPr>
            <w:r w:rsidRPr="003B2480">
              <w:rPr>
                <w:iCs/>
              </w:rPr>
              <w:t xml:space="preserve">Rainbow Ready </w:t>
            </w:r>
            <w:r w:rsidR="00292CC4">
              <w:rPr>
                <w:iCs/>
              </w:rPr>
              <w:t>c</w:t>
            </w:r>
            <w:r w:rsidRPr="003B2480">
              <w:rPr>
                <w:iCs/>
              </w:rPr>
              <w:t>hecklist</w:t>
            </w:r>
          </w:p>
        </w:tc>
        <w:tc>
          <w:tcPr>
            <w:tcW w:w="6378" w:type="dxa"/>
            <w:shd w:val="clear" w:color="auto" w:fill="auto"/>
          </w:tcPr>
          <w:p w:rsidRPr="00864CEC" w:rsidR="00FE1E85" w:rsidP="00235D8C" w:rsidRDefault="00FE1E85" w14:paraId="41EC4807" w14:textId="3AF56B49">
            <w:pPr>
              <w:pStyle w:val="Tabletext"/>
              <w:spacing w:line="259" w:lineRule="auto"/>
            </w:pPr>
            <w:r>
              <w:t xml:space="preserve">A checklist to </w:t>
            </w:r>
            <w:r w:rsidR="35A7F7A8">
              <w:t>help you know if</w:t>
            </w:r>
            <w:r w:rsidR="4D4C557F">
              <w:t xml:space="preserve"> you’re </w:t>
            </w:r>
            <w:r>
              <w:t>Rainbow Ready</w:t>
            </w:r>
            <w:r w:rsidR="00F33FC2">
              <w:t xml:space="preserve">, both along the journey and when you have done </w:t>
            </w:r>
            <w:r>
              <w:t xml:space="preserve">your </w:t>
            </w:r>
            <w:r w:rsidRPr="6B47B7C0" w:rsidR="00853088">
              <w:rPr>
                <w:b/>
                <w:bCs/>
              </w:rPr>
              <w:t>Rainbow Ready roadmap</w:t>
            </w:r>
            <w:r w:rsidRPr="6B47B7C0">
              <w:rPr>
                <w:b/>
                <w:bCs/>
              </w:rPr>
              <w:t xml:space="preserve"> </w:t>
            </w:r>
            <w:r>
              <w:t>activities</w:t>
            </w:r>
            <w:r w:rsidR="00F33FC2">
              <w:t xml:space="preserve"> based on the indicators under your setting guide</w:t>
            </w:r>
            <w:r>
              <w:t xml:space="preserve">. </w:t>
            </w:r>
          </w:p>
        </w:tc>
      </w:tr>
    </w:tbl>
    <w:p w:rsidRPr="003452DB" w:rsidR="00FE1E85" w:rsidP="00221BE0" w:rsidRDefault="00FE1E85" w14:paraId="6CBEC2D6" w14:textId="7421ABAE">
      <w:pPr>
        <w:pStyle w:val="Heading1"/>
      </w:pPr>
      <w:r>
        <w:br w:type="page"/>
      </w:r>
      <w:bookmarkStart w:name="_Toc144934384" w:id="12"/>
      <w:bookmarkStart w:name="_Toc93498912" w:id="13"/>
      <w:r w:rsidRPr="00221BE0">
        <w:t xml:space="preserve">Core </w:t>
      </w:r>
      <w:r w:rsidR="001C40CF">
        <w:t>LGBTIQA+</w:t>
      </w:r>
      <w:r w:rsidRPr="00221BE0">
        <w:t xml:space="preserve"> </w:t>
      </w:r>
      <w:r w:rsidRPr="00221BE0">
        <w:rPr>
          <w:rStyle w:val="Heading1Char"/>
          <w:bCs/>
        </w:rPr>
        <w:t>principles</w:t>
      </w:r>
      <w:bookmarkEnd w:id="12"/>
      <w:r w:rsidRPr="003452DB">
        <w:t xml:space="preserve"> </w:t>
      </w:r>
    </w:p>
    <w:p w:rsidR="00FE1E85" w:rsidP="00E355BB" w:rsidRDefault="00FE1E85" w14:paraId="6D458C8B" w14:textId="343A008E">
      <w:pPr>
        <w:pStyle w:val="Body"/>
      </w:pPr>
      <w:r>
        <w:t xml:space="preserve">The </w:t>
      </w:r>
      <w:r w:rsidRPr="00853088" w:rsidR="00853088">
        <w:rPr>
          <w:b/>
          <w:bCs/>
        </w:rPr>
        <w:t>Rainbow Ready roadmap</w:t>
      </w:r>
      <w:r>
        <w:t xml:space="preserve"> is based on</w:t>
      </w:r>
      <w:r w:rsidRPr="00321112">
        <w:t xml:space="preserve"> four core </w:t>
      </w:r>
      <w:r w:rsidR="001C40CF">
        <w:t>LGBTIQA+</w:t>
      </w:r>
      <w:r>
        <w:t xml:space="preserve"> principles, each of which have been developed by </w:t>
      </w:r>
      <w:r w:rsidR="001C40CF">
        <w:t>LGBTIQA+</w:t>
      </w:r>
      <w:r>
        <w:t xml:space="preserve"> Victorians in regional and rural areas</w:t>
      </w:r>
      <w:r w:rsidR="000648FF">
        <w:t xml:space="preserve">. These </w:t>
      </w:r>
      <w:r w:rsidR="00C4501D">
        <w:t xml:space="preserve">principles </w:t>
      </w:r>
      <w:r w:rsidR="000648FF">
        <w:t>are</w:t>
      </w:r>
      <w:r>
        <w:t xml:space="preserve"> critical elements to ensure that </w:t>
      </w:r>
      <w:r w:rsidR="001C40CF">
        <w:t>LGBTIQA+</w:t>
      </w:r>
      <w:r>
        <w:t xml:space="preserve"> inclusion is meaningful and sustained throughout every phase of the </w:t>
      </w:r>
      <w:r w:rsidR="000648FF">
        <w:t xml:space="preserve">implementing the </w:t>
      </w:r>
      <w:r w:rsidRPr="00853088" w:rsidR="00853088">
        <w:rPr>
          <w:b/>
          <w:bCs/>
        </w:rPr>
        <w:t>Rainbow Ready roadmap</w:t>
      </w:r>
      <w:r>
        <w:t>.</w:t>
      </w:r>
      <w:r w:rsidRPr="00D6770D">
        <w:t xml:space="preserve"> </w:t>
      </w:r>
      <w:r>
        <w:t xml:space="preserve">The core principles should be considered frequently when using the </w:t>
      </w:r>
      <w:r w:rsidR="00292CC4">
        <w:t>r</w:t>
      </w:r>
      <w:r>
        <w:t>oadmap.</w:t>
      </w:r>
      <w:r w:rsidR="00026F8A">
        <w:t xml:space="preserve"> </w:t>
      </w:r>
    </w:p>
    <w:tbl>
      <w:tblPr>
        <w:tblStyle w:val="TableGrid"/>
        <w:tblW w:w="5000" w:type="pct"/>
        <w:shd w:val="clear" w:color="auto" w:fill="DAEEF3" w:themeFill="accent5" w:themeFillTint="33"/>
        <w:tblLook w:val="0620" w:firstRow="1" w:lastRow="0" w:firstColumn="0" w:lastColumn="0" w:noHBand="1" w:noVBand="1"/>
      </w:tblPr>
      <w:tblGrid>
        <w:gridCol w:w="678"/>
        <w:gridCol w:w="2000"/>
        <w:gridCol w:w="6598"/>
      </w:tblGrid>
      <w:tr w:rsidR="00E355BB" w:rsidTr="00E355BB" w14:paraId="169F9481" w14:textId="77777777">
        <w:trPr>
          <w:tblHeader/>
        </w:trPr>
        <w:tc>
          <w:tcPr>
            <w:tcW w:w="422" w:type="dxa"/>
            <w:shd w:val="clear" w:color="auto" w:fill="auto"/>
            <w:vAlign w:val="center"/>
          </w:tcPr>
          <w:p w:rsidRPr="00E94CB1" w:rsidR="00E355BB" w:rsidP="00E355BB" w:rsidRDefault="00E355BB" w14:paraId="02B61D41" w14:textId="36690E33">
            <w:pPr>
              <w:pStyle w:val="Tablecolhead"/>
            </w:pPr>
            <w:r>
              <w:t>No.</w:t>
            </w:r>
          </w:p>
        </w:tc>
        <w:tc>
          <w:tcPr>
            <w:tcW w:w="1769" w:type="dxa"/>
            <w:shd w:val="clear" w:color="auto" w:fill="auto"/>
            <w:vAlign w:val="center"/>
          </w:tcPr>
          <w:p w:rsidRPr="00306E79" w:rsidR="00E355BB" w:rsidP="00E355BB" w:rsidRDefault="00E355BB" w14:paraId="1F8D03FB" w14:textId="5BB94EF1">
            <w:pPr>
              <w:pStyle w:val="Tablecolhead"/>
            </w:pPr>
            <w:r>
              <w:t>Principle</w:t>
            </w:r>
          </w:p>
        </w:tc>
        <w:tc>
          <w:tcPr>
            <w:tcW w:w="5867" w:type="dxa"/>
            <w:shd w:val="clear" w:color="auto" w:fill="auto"/>
          </w:tcPr>
          <w:p w:rsidRPr="00E94CB1" w:rsidR="00E355BB" w:rsidP="00E355BB" w:rsidRDefault="00E355BB" w14:paraId="7FDE84F4" w14:textId="55556670">
            <w:pPr>
              <w:pStyle w:val="Tablecolhead"/>
            </w:pPr>
            <w:r>
              <w:t>Description</w:t>
            </w:r>
          </w:p>
        </w:tc>
      </w:tr>
      <w:tr w:rsidR="00853088" w:rsidTr="00E355BB" w14:paraId="1DCCC0C8" w14:textId="77777777">
        <w:tc>
          <w:tcPr>
            <w:tcW w:w="422" w:type="dxa"/>
            <w:shd w:val="clear" w:color="auto" w:fill="auto"/>
            <w:vAlign w:val="center"/>
          </w:tcPr>
          <w:p w:rsidRPr="00E94CB1" w:rsidR="00853088" w:rsidP="00E355BB" w:rsidRDefault="00853088" w14:paraId="06FFD2B7" w14:textId="77777777">
            <w:pPr>
              <w:pStyle w:val="Tabletext"/>
            </w:pPr>
            <w:r w:rsidRPr="00E94CB1">
              <w:t>1.</w:t>
            </w:r>
          </w:p>
        </w:tc>
        <w:tc>
          <w:tcPr>
            <w:tcW w:w="1769" w:type="dxa"/>
            <w:shd w:val="clear" w:color="auto" w:fill="auto"/>
            <w:vAlign w:val="center"/>
          </w:tcPr>
          <w:p w:rsidR="00853088" w:rsidP="00E355BB" w:rsidRDefault="00853088" w14:paraId="1F436251" w14:textId="77777777">
            <w:pPr>
              <w:pStyle w:val="Tabletext"/>
            </w:pPr>
            <w:r w:rsidRPr="00306E79">
              <w:t>Visibility</w:t>
            </w:r>
          </w:p>
        </w:tc>
        <w:tc>
          <w:tcPr>
            <w:tcW w:w="5867" w:type="dxa"/>
            <w:shd w:val="clear" w:color="auto" w:fill="auto"/>
          </w:tcPr>
          <w:p w:rsidRPr="00E355BB" w:rsidR="00853088" w:rsidP="00E355BB" w:rsidRDefault="001C40CF" w14:paraId="771F7ADD" w14:textId="30341523">
            <w:pPr>
              <w:pStyle w:val="Tabletext"/>
              <w:rPr>
                <w:b/>
                <w:bCs/>
              </w:rPr>
            </w:pPr>
            <w:r>
              <w:rPr>
                <w:b/>
                <w:bCs/>
              </w:rPr>
              <w:t>LGBTIQA+</w:t>
            </w:r>
            <w:r w:rsidRPr="00E355BB" w:rsidR="00853088">
              <w:rPr>
                <w:b/>
                <w:bCs/>
              </w:rPr>
              <w:t xml:space="preserve"> people and their culture are visible and </w:t>
            </w:r>
            <w:proofErr w:type="gramStart"/>
            <w:r w:rsidRPr="00E355BB" w:rsidR="00853088">
              <w:rPr>
                <w:b/>
                <w:bCs/>
              </w:rPr>
              <w:t>celebrated</w:t>
            </w:r>
            <w:proofErr w:type="gramEnd"/>
          </w:p>
          <w:p w:rsidR="00853088" w:rsidP="00E355BB" w:rsidRDefault="00853088" w14:paraId="0DB96E65" w14:textId="0D42A97B">
            <w:pPr>
              <w:pStyle w:val="Tabletext"/>
            </w:pPr>
            <w:r w:rsidRPr="00306E79">
              <w:t xml:space="preserve">The visibility of </w:t>
            </w:r>
            <w:r w:rsidR="001C40CF">
              <w:t>LGBTIQA+</w:t>
            </w:r>
            <w:r w:rsidRPr="00306E79">
              <w:t xml:space="preserve"> people and initiatives can indicate a shift toward</w:t>
            </w:r>
            <w:r>
              <w:t>s</w:t>
            </w:r>
            <w:r w:rsidRPr="00306E79">
              <w:t xml:space="preserve"> </w:t>
            </w:r>
            <w:r w:rsidR="001C40CF">
              <w:t>LGBTIQA+</w:t>
            </w:r>
            <w:r w:rsidRPr="00306E79">
              <w:t xml:space="preserve"> safety and equality</w:t>
            </w:r>
            <w:r>
              <w:t>.</w:t>
            </w:r>
            <w:r w:rsidRPr="00306E79">
              <w:t xml:space="preserve"> </w:t>
            </w:r>
            <w:r>
              <w:t>This</w:t>
            </w:r>
            <w:r w:rsidRPr="00306E79">
              <w:t xml:space="preserve"> is an important sign of hope for many </w:t>
            </w:r>
            <w:r w:rsidR="001C40CF">
              <w:t>LGBTIQA+</w:t>
            </w:r>
            <w:r w:rsidRPr="00306E79">
              <w:t xml:space="preserve"> people</w:t>
            </w:r>
            <w:r>
              <w:t>.</w:t>
            </w:r>
          </w:p>
        </w:tc>
      </w:tr>
      <w:tr w:rsidR="00853088" w:rsidTr="00E355BB" w14:paraId="3CBAD0F8" w14:textId="77777777">
        <w:tc>
          <w:tcPr>
            <w:tcW w:w="422" w:type="dxa"/>
            <w:shd w:val="clear" w:color="auto" w:fill="auto"/>
            <w:vAlign w:val="center"/>
          </w:tcPr>
          <w:p w:rsidRPr="00E94CB1" w:rsidR="00853088" w:rsidP="00E355BB" w:rsidRDefault="00853088" w14:paraId="1FA2BA42" w14:textId="77777777">
            <w:pPr>
              <w:pStyle w:val="Tabletext"/>
            </w:pPr>
            <w:r w:rsidRPr="00E94CB1">
              <w:t>2.</w:t>
            </w:r>
          </w:p>
        </w:tc>
        <w:tc>
          <w:tcPr>
            <w:tcW w:w="1769" w:type="dxa"/>
            <w:shd w:val="clear" w:color="auto" w:fill="auto"/>
            <w:vAlign w:val="center"/>
          </w:tcPr>
          <w:p w:rsidR="00853088" w:rsidP="00E355BB" w:rsidRDefault="00853088" w14:paraId="40D0319F" w14:textId="77777777">
            <w:pPr>
              <w:pStyle w:val="Tabletext"/>
            </w:pPr>
            <w:r>
              <w:t xml:space="preserve">Inclusion </w:t>
            </w:r>
          </w:p>
        </w:tc>
        <w:tc>
          <w:tcPr>
            <w:tcW w:w="5867" w:type="dxa"/>
            <w:shd w:val="clear" w:color="auto" w:fill="auto"/>
          </w:tcPr>
          <w:p w:rsidRPr="00E355BB" w:rsidR="00853088" w:rsidP="00E355BB" w:rsidRDefault="001C40CF" w14:paraId="0E0C6AB8" w14:textId="516C7B2C">
            <w:pPr>
              <w:pStyle w:val="Tabletext"/>
              <w:rPr>
                <w:b/>
                <w:bCs/>
              </w:rPr>
            </w:pPr>
            <w:r>
              <w:rPr>
                <w:b/>
                <w:bCs/>
              </w:rPr>
              <w:t>LGBTIQA+</w:t>
            </w:r>
            <w:r w:rsidRPr="00E355BB" w:rsidR="00853088">
              <w:rPr>
                <w:b/>
                <w:bCs/>
              </w:rPr>
              <w:t xml:space="preserve"> people are included in the </w:t>
            </w:r>
            <w:proofErr w:type="gramStart"/>
            <w:r w:rsidRPr="00E355BB" w:rsidR="00853088">
              <w:rPr>
                <w:b/>
                <w:bCs/>
              </w:rPr>
              <w:t>journey</w:t>
            </w:r>
            <w:proofErr w:type="gramEnd"/>
          </w:p>
          <w:p w:rsidR="00853088" w:rsidP="00E355BB" w:rsidRDefault="00853088" w14:paraId="0D66D30A" w14:textId="79FCC6F5">
            <w:pPr>
              <w:pStyle w:val="Tabletext"/>
            </w:pPr>
            <w:r>
              <w:t>P</w:t>
            </w:r>
            <w:r w:rsidRPr="00306E79">
              <w:t xml:space="preserve">articipation </w:t>
            </w:r>
            <w:r>
              <w:t xml:space="preserve">of </w:t>
            </w:r>
            <w:r w:rsidR="001C40CF">
              <w:t>LGBTIQA+</w:t>
            </w:r>
            <w:r w:rsidRPr="00306E79">
              <w:t xml:space="preserve"> </w:t>
            </w:r>
            <w:r>
              <w:t>people</w:t>
            </w:r>
            <w:r w:rsidRPr="00306E79">
              <w:t xml:space="preserve"> in </w:t>
            </w:r>
            <w:r>
              <w:t>activities</w:t>
            </w:r>
            <w:r w:rsidRPr="00306E79">
              <w:t xml:space="preserve"> is critical to </w:t>
            </w:r>
            <w:r>
              <w:t xml:space="preserve">achieving and maintaining </w:t>
            </w:r>
            <w:r w:rsidR="001C40CF">
              <w:t>LGBTIQA+</w:t>
            </w:r>
            <w:r>
              <w:t xml:space="preserve"> inclusion. It is also critical</w:t>
            </w:r>
            <w:r w:rsidRPr="00306E79">
              <w:t xml:space="preserve"> </w:t>
            </w:r>
            <w:r>
              <w:t>for</w:t>
            </w:r>
            <w:r w:rsidRPr="00306E79">
              <w:t xml:space="preserve"> empower</w:t>
            </w:r>
            <w:r>
              <w:t>ing</w:t>
            </w:r>
            <w:r w:rsidRPr="00306E79">
              <w:t xml:space="preserve"> </w:t>
            </w:r>
            <w:r w:rsidR="001C40CF">
              <w:t>LGBTIQA+</w:t>
            </w:r>
            <w:r w:rsidRPr="00306E79">
              <w:t xml:space="preserve"> people</w:t>
            </w:r>
            <w:r>
              <w:t xml:space="preserve">. </w:t>
            </w:r>
          </w:p>
        </w:tc>
      </w:tr>
      <w:tr w:rsidR="00853088" w:rsidTr="00E355BB" w14:paraId="63F19923" w14:textId="77777777">
        <w:tc>
          <w:tcPr>
            <w:tcW w:w="422" w:type="dxa"/>
            <w:shd w:val="clear" w:color="auto" w:fill="auto"/>
            <w:vAlign w:val="center"/>
          </w:tcPr>
          <w:p w:rsidRPr="00086D1D" w:rsidR="00853088" w:rsidP="00E355BB" w:rsidRDefault="00853088" w14:paraId="30E60233" w14:textId="77777777">
            <w:pPr>
              <w:pStyle w:val="Tabletext"/>
            </w:pPr>
            <w:r w:rsidRPr="00086D1D">
              <w:t>3.</w:t>
            </w:r>
          </w:p>
        </w:tc>
        <w:tc>
          <w:tcPr>
            <w:tcW w:w="1769" w:type="dxa"/>
            <w:shd w:val="clear" w:color="auto" w:fill="auto"/>
            <w:vAlign w:val="center"/>
          </w:tcPr>
          <w:p w:rsidRPr="00086D1D" w:rsidR="00853088" w:rsidP="00E355BB" w:rsidRDefault="00853088" w14:paraId="02EF256A" w14:textId="77777777">
            <w:pPr>
              <w:pStyle w:val="Tabletext"/>
            </w:pPr>
            <w:r w:rsidRPr="00086D1D">
              <w:t xml:space="preserve">Understanding </w:t>
            </w:r>
          </w:p>
        </w:tc>
        <w:tc>
          <w:tcPr>
            <w:tcW w:w="5867" w:type="dxa"/>
            <w:shd w:val="clear" w:color="auto" w:fill="auto"/>
          </w:tcPr>
          <w:p w:rsidRPr="00E355BB" w:rsidR="00853088" w:rsidP="00E355BB" w:rsidRDefault="001C40CF" w14:paraId="2B7B008B" w14:textId="790B6101">
            <w:pPr>
              <w:pStyle w:val="Tabletext"/>
              <w:rPr>
                <w:b/>
                <w:bCs/>
              </w:rPr>
            </w:pPr>
            <w:r>
              <w:rPr>
                <w:b/>
                <w:bCs/>
              </w:rPr>
              <w:t>LGBTIQA+</w:t>
            </w:r>
            <w:r w:rsidRPr="00E355BB" w:rsidR="00853088">
              <w:rPr>
                <w:b/>
                <w:bCs/>
              </w:rPr>
              <w:t xml:space="preserve"> inclusion is underpinned by education and </w:t>
            </w:r>
            <w:proofErr w:type="gramStart"/>
            <w:r w:rsidRPr="00E355BB" w:rsidR="00853088">
              <w:rPr>
                <w:b/>
                <w:bCs/>
              </w:rPr>
              <w:t>understanding</w:t>
            </w:r>
            <w:proofErr w:type="gramEnd"/>
            <w:r w:rsidRPr="00E355BB" w:rsidR="00853088">
              <w:rPr>
                <w:b/>
                <w:bCs/>
              </w:rPr>
              <w:t xml:space="preserve"> </w:t>
            </w:r>
          </w:p>
          <w:p w:rsidR="00853088" w:rsidP="00E355BB" w:rsidRDefault="00853088" w14:paraId="28D08E58" w14:textId="4495527B">
            <w:pPr>
              <w:pStyle w:val="Tabletext"/>
            </w:pPr>
            <w:r>
              <w:t xml:space="preserve">Education to provide all communities with knowledge of </w:t>
            </w:r>
            <w:r w:rsidR="001C40CF">
              <w:t>LGBTIQA+</w:t>
            </w:r>
            <w:r>
              <w:t xml:space="preserve"> experiences, histories and challenges is key to widespread inclusion and meaningful allyship.</w:t>
            </w:r>
          </w:p>
        </w:tc>
      </w:tr>
      <w:tr w:rsidR="00853088" w:rsidTr="00E355BB" w14:paraId="709805C9" w14:textId="77777777">
        <w:tc>
          <w:tcPr>
            <w:tcW w:w="422" w:type="dxa"/>
            <w:shd w:val="clear" w:color="auto" w:fill="auto"/>
            <w:vAlign w:val="center"/>
          </w:tcPr>
          <w:p w:rsidRPr="00E94CB1" w:rsidR="00853088" w:rsidP="00E355BB" w:rsidRDefault="00853088" w14:paraId="217D0922" w14:textId="77777777">
            <w:pPr>
              <w:pStyle w:val="Tabletext"/>
            </w:pPr>
            <w:r w:rsidRPr="00E94CB1">
              <w:t>4.</w:t>
            </w:r>
          </w:p>
        </w:tc>
        <w:tc>
          <w:tcPr>
            <w:tcW w:w="1769" w:type="dxa"/>
            <w:shd w:val="clear" w:color="auto" w:fill="auto"/>
            <w:vAlign w:val="center"/>
          </w:tcPr>
          <w:p w:rsidR="00853088" w:rsidP="00E355BB" w:rsidRDefault="00853088" w14:paraId="54D43099" w14:textId="77777777">
            <w:pPr>
              <w:pStyle w:val="Tabletext"/>
            </w:pPr>
            <w:r w:rsidRPr="00306E79">
              <w:t>Safety</w:t>
            </w:r>
          </w:p>
        </w:tc>
        <w:tc>
          <w:tcPr>
            <w:tcW w:w="5867" w:type="dxa"/>
            <w:shd w:val="clear" w:color="auto" w:fill="auto"/>
          </w:tcPr>
          <w:p w:rsidRPr="00E355BB" w:rsidR="00853088" w:rsidP="00E355BB" w:rsidRDefault="001C40CF" w14:paraId="6B592FDA" w14:textId="2F8A20E9">
            <w:pPr>
              <w:pStyle w:val="Tabletext"/>
              <w:rPr>
                <w:b/>
                <w:bCs/>
              </w:rPr>
            </w:pPr>
            <w:r>
              <w:rPr>
                <w:b/>
                <w:bCs/>
              </w:rPr>
              <w:t>LGBTIQA+</w:t>
            </w:r>
            <w:r w:rsidRPr="00E355BB" w:rsidR="00853088">
              <w:rPr>
                <w:b/>
                <w:bCs/>
              </w:rPr>
              <w:t xml:space="preserve"> peoples’ safety is a </w:t>
            </w:r>
            <w:proofErr w:type="gramStart"/>
            <w:r w:rsidRPr="00E355BB" w:rsidR="00853088">
              <w:rPr>
                <w:b/>
                <w:bCs/>
              </w:rPr>
              <w:t>priority</w:t>
            </w:r>
            <w:proofErr w:type="gramEnd"/>
          </w:p>
          <w:p w:rsidR="00853088" w:rsidP="00E355BB" w:rsidRDefault="00853088" w14:paraId="578DA8F8" w14:textId="28066F26">
            <w:pPr>
              <w:pStyle w:val="Tabletext"/>
            </w:pPr>
            <w:r w:rsidRPr="00306E79">
              <w:t xml:space="preserve">Strategies are in place to identify and reduce risks to the safety of </w:t>
            </w:r>
            <w:r w:rsidR="001C40CF">
              <w:t>LGBTIQA+</w:t>
            </w:r>
            <w:r w:rsidRPr="00306E79">
              <w:t xml:space="preserve"> people. Responses to </w:t>
            </w:r>
            <w:proofErr w:type="spellStart"/>
            <w:r w:rsidR="001C40CF">
              <w:t>LGBTIQA+</w:t>
            </w:r>
            <w:r w:rsidRPr="00306E79">
              <w:t>phobic</w:t>
            </w:r>
            <w:proofErr w:type="spellEnd"/>
            <w:r w:rsidRPr="00306E79">
              <w:t xml:space="preserve"> incidents support </w:t>
            </w:r>
            <w:r w:rsidR="001C40CF">
              <w:t>LGBTIQA+</w:t>
            </w:r>
            <w:r w:rsidRPr="00306E79">
              <w:t xml:space="preserve"> people and include actions to prevent reoccurrence.</w:t>
            </w:r>
          </w:p>
        </w:tc>
      </w:tr>
    </w:tbl>
    <w:p w:rsidR="00FE1E85" w:rsidP="00853088" w:rsidRDefault="00FE1E85" w14:paraId="1322EC1B" w14:textId="77777777">
      <w:pPr>
        <w:pStyle w:val="Body"/>
      </w:pPr>
    </w:p>
    <w:tbl>
      <w:tblPr>
        <w:tblStyle w:val="TableGrid"/>
        <w:tblpPr w:leftFromText="180" w:rightFromText="180" w:vertAnchor="text" w:horzAnchor="margin" w:tblpYSpec="center"/>
        <w:tblW w:w="0" w:type="auto"/>
        <w:tblLook w:val="0620" w:firstRow="1" w:lastRow="0" w:firstColumn="0" w:lastColumn="0" w:noHBand="1" w:noVBand="1"/>
      </w:tblPr>
      <w:tblGrid>
        <w:gridCol w:w="9270"/>
      </w:tblGrid>
      <w:tr w:rsidR="00FE1E85" w:rsidTr="00853088" w14:paraId="5B666E48" w14:textId="77777777">
        <w:tc>
          <w:tcPr>
            <w:tcW w:w="9270" w:type="dxa"/>
            <w:tcBorders>
              <w:top w:val="nil"/>
              <w:left w:val="nil"/>
              <w:bottom w:val="nil"/>
              <w:right w:val="nil"/>
            </w:tcBorders>
            <w:shd w:val="clear" w:color="auto" w:fill="F2F2F2" w:themeFill="background1" w:themeFillShade="F2"/>
          </w:tcPr>
          <w:p w:rsidR="00FE1E85" w:rsidP="00853088" w:rsidRDefault="00FE1E85" w14:paraId="4E037EA4" w14:textId="6FA870C9">
            <w:pPr>
              <w:pStyle w:val="Body"/>
            </w:pPr>
            <w:bookmarkStart w:name="_Hlk96092749" w:id="14"/>
            <w:r w:rsidRPr="00E94CB1">
              <w:t xml:space="preserve">The </w:t>
            </w:r>
            <w:r w:rsidRPr="000B15B1">
              <w:t>core principles</w:t>
            </w:r>
            <w:r>
              <w:t xml:space="preserve"> are tailored to each of the five settings in the </w:t>
            </w:r>
            <w:r w:rsidR="00292CC4">
              <w:rPr>
                <w:b/>
                <w:bCs/>
              </w:rPr>
              <w:t>s</w:t>
            </w:r>
            <w:r w:rsidRPr="00E94CB1">
              <w:rPr>
                <w:b/>
                <w:bCs/>
              </w:rPr>
              <w:t xml:space="preserve">etting </w:t>
            </w:r>
            <w:r w:rsidR="00292CC4">
              <w:rPr>
                <w:b/>
                <w:bCs/>
              </w:rPr>
              <w:t>g</w:t>
            </w:r>
            <w:r w:rsidRPr="00E94CB1">
              <w:rPr>
                <w:b/>
                <w:bCs/>
              </w:rPr>
              <w:t>uides</w:t>
            </w:r>
            <w:r>
              <w:t>, with a unique set of indicators for:</w:t>
            </w:r>
          </w:p>
          <w:p w:rsidR="00FE1E85" w:rsidP="00221BE0" w:rsidRDefault="00292CC4" w14:paraId="771E398F" w14:textId="724FFD3B">
            <w:pPr>
              <w:pStyle w:val="Bullet1"/>
            </w:pPr>
            <w:r>
              <w:t>c</w:t>
            </w:r>
            <w:r w:rsidR="00FE1E85">
              <w:t xml:space="preserve">ommunity </w:t>
            </w:r>
            <w:r>
              <w:t>g</w:t>
            </w:r>
            <w:r w:rsidR="00FE1E85">
              <w:t>roups</w:t>
            </w:r>
          </w:p>
          <w:p w:rsidR="00C4501D" w:rsidP="00C4501D" w:rsidRDefault="00C4501D" w14:paraId="13E65FD7" w14:textId="77777777">
            <w:pPr>
              <w:pStyle w:val="Bullet1"/>
            </w:pPr>
            <w:r>
              <w:t xml:space="preserve">local government </w:t>
            </w:r>
          </w:p>
          <w:p w:rsidR="00FE1E85" w:rsidP="00221BE0" w:rsidRDefault="00292CC4" w14:paraId="5D9316F0" w14:textId="42B751D3">
            <w:pPr>
              <w:pStyle w:val="Bullet1"/>
            </w:pPr>
            <w:r>
              <w:t>h</w:t>
            </w:r>
            <w:r w:rsidR="00FE1E85">
              <w:t xml:space="preserve">ealth and </w:t>
            </w:r>
            <w:r>
              <w:t>c</w:t>
            </w:r>
            <w:r w:rsidR="00FE1E85">
              <w:t>ommunity</w:t>
            </w:r>
            <w:r w:rsidRPr="00E94CB1" w:rsidR="00FE1E85">
              <w:t xml:space="preserve"> services</w:t>
            </w:r>
          </w:p>
          <w:p w:rsidR="00FE1E85" w:rsidP="00221BE0" w:rsidRDefault="00292CC4" w14:paraId="35928551" w14:textId="0F2F4604">
            <w:pPr>
              <w:pStyle w:val="Bullet1"/>
            </w:pPr>
            <w:r>
              <w:t>b</w:t>
            </w:r>
            <w:r w:rsidR="00FE1E85">
              <w:t>usiness and other services</w:t>
            </w:r>
          </w:p>
          <w:p w:rsidRPr="00E94CB1" w:rsidR="00FE1E85" w:rsidP="00221BE0" w:rsidRDefault="00292CC4" w14:paraId="1B565E25" w14:textId="61BEF64B">
            <w:pPr>
              <w:pStyle w:val="Bullet1"/>
            </w:pPr>
            <w:r>
              <w:t>l</w:t>
            </w:r>
            <w:r w:rsidR="00FE1E85">
              <w:t xml:space="preserve">earning </w:t>
            </w:r>
            <w:r>
              <w:t>e</w:t>
            </w:r>
            <w:r w:rsidR="00FE1E85">
              <w:t xml:space="preserve">nvironments.  </w:t>
            </w:r>
          </w:p>
        </w:tc>
      </w:tr>
      <w:bookmarkEnd w:id="14"/>
    </w:tbl>
    <w:p w:rsidRPr="0050714A" w:rsidR="00FE1E85" w:rsidP="0050714A" w:rsidRDefault="00FE1E85" w14:paraId="6C71FCB7" w14:textId="77777777">
      <w:pPr>
        <w:pStyle w:val="Body"/>
      </w:pPr>
      <w:r>
        <w:br w:type="page"/>
      </w:r>
    </w:p>
    <w:p w:rsidRPr="00221BE0" w:rsidR="00FE1E85" w:rsidP="005E2466" w:rsidRDefault="00FE1E85" w14:paraId="6BF8F589" w14:textId="19550595">
      <w:pPr>
        <w:pStyle w:val="Heading1"/>
      </w:pPr>
      <w:bookmarkStart w:name="_Toc103237472" w:id="15"/>
      <w:bookmarkStart w:name="_Toc144934385" w:id="16"/>
      <w:r w:rsidRPr="00221BE0">
        <w:t xml:space="preserve">How to use the Rainbow Ready </w:t>
      </w:r>
      <w:bookmarkEnd w:id="13"/>
      <w:r w:rsidR="00292CC4">
        <w:t>r</w:t>
      </w:r>
      <w:r w:rsidRPr="00221BE0">
        <w:t>oadmap</w:t>
      </w:r>
      <w:bookmarkEnd w:id="15"/>
      <w:bookmarkEnd w:id="16"/>
    </w:p>
    <w:p w:rsidRPr="00E94CB1" w:rsidR="00FE1E85" w:rsidP="0050714A" w:rsidRDefault="00FE1E85" w14:paraId="48F068C1" w14:textId="22E0EF55">
      <w:pPr>
        <w:pStyle w:val="Body"/>
      </w:pPr>
      <w:r w:rsidRPr="00E94CB1">
        <w:t xml:space="preserve">The </w:t>
      </w:r>
      <w:r w:rsidRPr="00853088" w:rsidR="00853088">
        <w:rPr>
          <w:b/>
          <w:bCs/>
        </w:rPr>
        <w:t>Rainbow Ready roadmap</w:t>
      </w:r>
      <w:r w:rsidRPr="00E94CB1">
        <w:t xml:space="preserve"> is organised into </w:t>
      </w:r>
      <w:r>
        <w:t>six</w:t>
      </w:r>
      <w:r w:rsidRPr="00E94CB1">
        <w:t xml:space="preserve"> phases.</w:t>
      </w:r>
      <w:r>
        <w:t xml:space="preserve"> At every phase, it’s critical that the voices of local </w:t>
      </w:r>
      <w:r w:rsidR="001C40CF">
        <w:t>LGBTIQA+</w:t>
      </w:r>
      <w:r>
        <w:t xml:space="preserve"> community members are heard and represented. Consider how your plans, activities and evaluations can be led by or involve local </w:t>
      </w:r>
      <w:r w:rsidR="001C40CF">
        <w:t>LGBTIQA+</w:t>
      </w:r>
      <w:r>
        <w:t xml:space="preserve"> people or groups. </w:t>
      </w:r>
    </w:p>
    <w:tbl>
      <w:tblPr>
        <w:tblStyle w:val="TableGrid"/>
        <w:tblW w:w="5000" w:type="pct"/>
        <w:tblLook w:val="04A0" w:firstRow="1" w:lastRow="0" w:firstColumn="1" w:lastColumn="0" w:noHBand="0" w:noVBand="1"/>
      </w:tblPr>
      <w:tblGrid>
        <w:gridCol w:w="603"/>
        <w:gridCol w:w="1590"/>
        <w:gridCol w:w="5256"/>
        <w:gridCol w:w="1827"/>
      </w:tblGrid>
      <w:tr w:rsidRPr="00D0713D" w:rsidR="00FE1E85" w:rsidTr="6B47B7C0" w14:paraId="5B83390D" w14:textId="77777777">
        <w:trPr>
          <w:tblHeader/>
        </w:trPr>
        <w:tc>
          <w:tcPr>
            <w:tcW w:w="325" w:type="pct"/>
            <w:shd w:val="clear" w:color="auto" w:fill="auto"/>
          </w:tcPr>
          <w:p w:rsidRPr="00E94CB1" w:rsidR="00FE1E85" w:rsidP="0050714A" w:rsidRDefault="0050714A" w14:paraId="0453F044" w14:textId="09B818A5">
            <w:pPr>
              <w:pStyle w:val="Tablecolhead"/>
            </w:pPr>
            <w:bookmarkStart w:name="_Hlk96334545" w:id="17"/>
            <w:r>
              <w:t>No.</w:t>
            </w:r>
          </w:p>
        </w:tc>
        <w:tc>
          <w:tcPr>
            <w:tcW w:w="857" w:type="pct"/>
            <w:shd w:val="clear" w:color="auto" w:fill="auto"/>
          </w:tcPr>
          <w:p w:rsidRPr="00E94CB1" w:rsidR="00FE1E85" w:rsidP="0050714A" w:rsidRDefault="0093553C" w14:paraId="2335232B" w14:textId="1F846718">
            <w:pPr>
              <w:pStyle w:val="Tablecolhead"/>
            </w:pPr>
            <w:r w:rsidRPr="00E94CB1">
              <w:t>Phase</w:t>
            </w:r>
          </w:p>
        </w:tc>
        <w:tc>
          <w:tcPr>
            <w:tcW w:w="2833" w:type="pct"/>
            <w:shd w:val="clear" w:color="auto" w:fill="auto"/>
          </w:tcPr>
          <w:p w:rsidRPr="00E94CB1" w:rsidR="00FE1E85" w:rsidP="0050714A" w:rsidRDefault="0093553C" w14:paraId="4892E084" w14:textId="18871261">
            <w:pPr>
              <w:pStyle w:val="Tablecolhead"/>
            </w:pPr>
            <w:r w:rsidRPr="00E94CB1">
              <w:t>How</w:t>
            </w:r>
          </w:p>
        </w:tc>
        <w:tc>
          <w:tcPr>
            <w:tcW w:w="985" w:type="pct"/>
            <w:shd w:val="clear" w:color="auto" w:fill="auto"/>
          </w:tcPr>
          <w:p w:rsidRPr="00E94CB1" w:rsidR="00FE1E85" w:rsidP="0050714A" w:rsidRDefault="0093553C" w14:paraId="45BC1520" w14:textId="7920572E">
            <w:pPr>
              <w:pStyle w:val="Tablecolhead"/>
            </w:pPr>
            <w:r w:rsidRPr="00E94CB1">
              <w:t>Resources</w:t>
            </w:r>
          </w:p>
        </w:tc>
      </w:tr>
      <w:tr w:rsidRPr="00D0713D" w:rsidR="00FE1E85" w:rsidTr="6B47B7C0" w14:paraId="0C1A3B66" w14:textId="77777777">
        <w:tc>
          <w:tcPr>
            <w:tcW w:w="325" w:type="pct"/>
            <w:shd w:val="clear" w:color="auto" w:fill="auto"/>
          </w:tcPr>
          <w:p w:rsidRPr="00E94CB1" w:rsidR="00FE1E85" w:rsidP="00E355BB" w:rsidRDefault="00FE1E85" w14:paraId="54308C0D" w14:textId="77777777">
            <w:pPr>
              <w:pStyle w:val="Tabletext"/>
            </w:pPr>
            <w:r w:rsidRPr="00E94CB1">
              <w:t>1.</w:t>
            </w:r>
          </w:p>
        </w:tc>
        <w:tc>
          <w:tcPr>
            <w:tcW w:w="857" w:type="pct"/>
            <w:shd w:val="clear" w:color="auto" w:fill="auto"/>
          </w:tcPr>
          <w:p w:rsidRPr="00E94CB1" w:rsidR="00FE1E85" w:rsidP="00E355BB" w:rsidRDefault="00FE1E85" w14:paraId="6579B0E0" w14:textId="4C1FEF90">
            <w:pPr>
              <w:pStyle w:val="Tabletext"/>
            </w:pPr>
            <w:r>
              <w:t>Getting started</w:t>
            </w:r>
          </w:p>
        </w:tc>
        <w:tc>
          <w:tcPr>
            <w:tcW w:w="2833" w:type="pct"/>
            <w:shd w:val="clear" w:color="auto" w:fill="auto"/>
          </w:tcPr>
          <w:p w:rsidRPr="00E355BB" w:rsidR="00FE1E85" w:rsidP="009C227F" w:rsidRDefault="00FE1E85" w14:paraId="08837FA2" w14:textId="6A2A8103">
            <w:pPr>
              <w:pStyle w:val="ListParagraph"/>
              <w:numPr>
                <w:ilvl w:val="0"/>
                <w:numId w:val="12"/>
              </w:numPr>
              <w:jc w:val="left"/>
              <w:rPr>
                <w:sz w:val="24"/>
              </w:rPr>
            </w:pPr>
            <w:r w:rsidRPr="00E355BB">
              <w:rPr>
                <w:sz w:val="24"/>
              </w:rPr>
              <w:t xml:space="preserve">Learn about the </w:t>
            </w:r>
            <w:r w:rsidRPr="00E355BB" w:rsidR="00853088">
              <w:rPr>
                <w:b/>
                <w:bCs/>
                <w:sz w:val="24"/>
              </w:rPr>
              <w:t>Rainbow Ready roadmap</w:t>
            </w:r>
            <w:r w:rsidRPr="00E355BB">
              <w:rPr>
                <w:sz w:val="24"/>
              </w:rPr>
              <w:t xml:space="preserve"> and its core principles (found in the </w:t>
            </w:r>
            <w:r w:rsidRPr="00E355BB" w:rsidR="00292CC4">
              <w:rPr>
                <w:b/>
                <w:bCs/>
                <w:sz w:val="24"/>
              </w:rPr>
              <w:t>u</w:t>
            </w:r>
            <w:r w:rsidRPr="00E355BB">
              <w:rPr>
                <w:b/>
                <w:bCs/>
                <w:sz w:val="24"/>
              </w:rPr>
              <w:t xml:space="preserve">ser </w:t>
            </w:r>
            <w:r w:rsidRPr="00E355BB" w:rsidR="00292CC4">
              <w:rPr>
                <w:b/>
                <w:bCs/>
                <w:sz w:val="24"/>
              </w:rPr>
              <w:t>g</w:t>
            </w:r>
            <w:r w:rsidRPr="00E355BB">
              <w:rPr>
                <w:b/>
                <w:bCs/>
                <w:sz w:val="24"/>
              </w:rPr>
              <w:t>uide</w:t>
            </w:r>
            <w:r w:rsidRPr="00E355BB">
              <w:rPr>
                <w:sz w:val="24"/>
              </w:rPr>
              <w:t>)</w:t>
            </w:r>
            <w:r w:rsidRPr="00E355BB" w:rsidR="0093553C">
              <w:rPr>
                <w:sz w:val="24"/>
              </w:rPr>
              <w:t>.</w:t>
            </w:r>
          </w:p>
          <w:p w:rsidRPr="00E355BB" w:rsidR="00FE1E85" w:rsidP="009C227F" w:rsidRDefault="00FE1E85" w14:paraId="37C41FCD" w14:textId="626BAFFD">
            <w:pPr>
              <w:pStyle w:val="ListParagraph"/>
              <w:numPr>
                <w:ilvl w:val="0"/>
                <w:numId w:val="12"/>
              </w:numPr>
              <w:jc w:val="left"/>
              <w:rPr>
                <w:sz w:val="24"/>
              </w:rPr>
            </w:pPr>
            <w:r w:rsidRPr="00E355BB">
              <w:rPr>
                <w:color w:val="000000" w:themeColor="text1"/>
                <w:sz w:val="24"/>
              </w:rPr>
              <w:t xml:space="preserve">Choose </w:t>
            </w:r>
            <w:r w:rsidRPr="00E355BB">
              <w:rPr>
                <w:sz w:val="24"/>
              </w:rPr>
              <w:t xml:space="preserve">your </w:t>
            </w:r>
            <w:r w:rsidRPr="00E355BB" w:rsidR="00292CC4">
              <w:rPr>
                <w:b/>
                <w:bCs/>
                <w:sz w:val="24"/>
              </w:rPr>
              <w:t>s</w:t>
            </w:r>
            <w:r w:rsidRPr="00E355BB">
              <w:rPr>
                <w:b/>
                <w:bCs/>
                <w:sz w:val="24"/>
              </w:rPr>
              <w:t xml:space="preserve">etting </w:t>
            </w:r>
            <w:r w:rsidRPr="00E355BB" w:rsidR="00292CC4">
              <w:rPr>
                <w:b/>
                <w:bCs/>
                <w:sz w:val="24"/>
              </w:rPr>
              <w:t>g</w:t>
            </w:r>
            <w:r w:rsidRPr="00E355BB">
              <w:rPr>
                <w:b/>
                <w:bCs/>
                <w:sz w:val="24"/>
              </w:rPr>
              <w:t>uide</w:t>
            </w:r>
            <w:r w:rsidRPr="00E355BB">
              <w:rPr>
                <w:sz w:val="24"/>
              </w:rPr>
              <w:t>:</w:t>
            </w:r>
          </w:p>
          <w:p w:rsidRPr="00E355BB" w:rsidR="00FE1E85" w:rsidP="00E355BB" w:rsidRDefault="00292CC4" w14:paraId="7A04CCEB" w14:textId="5E73E81A">
            <w:pPr>
              <w:pStyle w:val="Tablebullet1"/>
              <w:rPr>
                <w:szCs w:val="24"/>
              </w:rPr>
            </w:pPr>
            <w:r w:rsidRPr="00E355BB">
              <w:rPr>
                <w:szCs w:val="24"/>
              </w:rPr>
              <w:t>c</w:t>
            </w:r>
            <w:r w:rsidRPr="00E355BB" w:rsidR="00FE1E85">
              <w:rPr>
                <w:szCs w:val="24"/>
              </w:rPr>
              <w:t xml:space="preserve">ommunity </w:t>
            </w:r>
            <w:r w:rsidRPr="00E355BB">
              <w:rPr>
                <w:szCs w:val="24"/>
              </w:rPr>
              <w:t>g</w:t>
            </w:r>
            <w:r w:rsidRPr="00E355BB" w:rsidR="00FE1E85">
              <w:rPr>
                <w:szCs w:val="24"/>
              </w:rPr>
              <w:t>roups</w:t>
            </w:r>
          </w:p>
          <w:p w:rsidRPr="00E355BB" w:rsidR="0093553C" w:rsidP="00E355BB" w:rsidRDefault="0093553C" w14:paraId="107FA959" w14:textId="77777777">
            <w:pPr>
              <w:pStyle w:val="Tablebullet1"/>
              <w:rPr>
                <w:szCs w:val="24"/>
              </w:rPr>
            </w:pPr>
            <w:r w:rsidRPr="00E355BB">
              <w:rPr>
                <w:szCs w:val="24"/>
              </w:rPr>
              <w:t>local government</w:t>
            </w:r>
          </w:p>
          <w:p w:rsidRPr="00E355BB" w:rsidR="00FE1E85" w:rsidP="00E355BB" w:rsidRDefault="00292CC4" w14:paraId="25363E39" w14:textId="3F60323C">
            <w:pPr>
              <w:pStyle w:val="Tablebullet1"/>
              <w:rPr>
                <w:szCs w:val="24"/>
              </w:rPr>
            </w:pPr>
            <w:r w:rsidRPr="00E355BB">
              <w:rPr>
                <w:szCs w:val="24"/>
              </w:rPr>
              <w:t>h</w:t>
            </w:r>
            <w:r w:rsidRPr="00E355BB" w:rsidR="00FE1E85">
              <w:rPr>
                <w:szCs w:val="24"/>
              </w:rPr>
              <w:t xml:space="preserve">ealth and </w:t>
            </w:r>
            <w:r w:rsidRPr="00E355BB">
              <w:rPr>
                <w:szCs w:val="24"/>
              </w:rPr>
              <w:t>c</w:t>
            </w:r>
            <w:r w:rsidRPr="00E355BB" w:rsidR="00FE1E85">
              <w:rPr>
                <w:szCs w:val="24"/>
              </w:rPr>
              <w:t>ommunity services</w:t>
            </w:r>
          </w:p>
          <w:p w:rsidRPr="00E355BB" w:rsidR="00FE1E85" w:rsidP="00E355BB" w:rsidRDefault="00292CC4" w14:paraId="2CFDC515" w14:textId="68740874">
            <w:pPr>
              <w:pStyle w:val="Tablebullet1"/>
              <w:rPr>
                <w:szCs w:val="24"/>
              </w:rPr>
            </w:pPr>
            <w:r w:rsidRPr="00E355BB">
              <w:rPr>
                <w:szCs w:val="24"/>
              </w:rPr>
              <w:t>b</w:t>
            </w:r>
            <w:r w:rsidRPr="00E355BB" w:rsidR="00FE1E85">
              <w:rPr>
                <w:szCs w:val="24"/>
              </w:rPr>
              <w:t>usinesses and other services</w:t>
            </w:r>
          </w:p>
          <w:p w:rsidRPr="00E355BB" w:rsidR="00FE1E85" w:rsidP="00E355BB" w:rsidRDefault="00292CC4" w14:paraId="78483F76" w14:textId="1E8AEF39">
            <w:pPr>
              <w:pStyle w:val="Tablebullet1"/>
              <w:rPr>
                <w:szCs w:val="24"/>
              </w:rPr>
            </w:pPr>
            <w:r w:rsidRPr="00E355BB">
              <w:rPr>
                <w:szCs w:val="24"/>
              </w:rPr>
              <w:t>l</w:t>
            </w:r>
            <w:r w:rsidRPr="00E355BB" w:rsidR="00FE1E85">
              <w:rPr>
                <w:szCs w:val="24"/>
              </w:rPr>
              <w:t xml:space="preserve">earning </w:t>
            </w:r>
            <w:r w:rsidRPr="00E355BB">
              <w:rPr>
                <w:szCs w:val="24"/>
              </w:rPr>
              <w:t>e</w:t>
            </w:r>
            <w:r w:rsidRPr="00E355BB" w:rsidR="00FE1E85">
              <w:rPr>
                <w:szCs w:val="24"/>
              </w:rPr>
              <w:t>nvironments</w:t>
            </w:r>
            <w:r w:rsidRPr="00E355BB" w:rsidR="0093553C">
              <w:rPr>
                <w:szCs w:val="24"/>
              </w:rPr>
              <w:t>.</w:t>
            </w:r>
          </w:p>
        </w:tc>
        <w:tc>
          <w:tcPr>
            <w:tcW w:w="985" w:type="pct"/>
            <w:shd w:val="clear" w:color="auto" w:fill="auto"/>
          </w:tcPr>
          <w:p w:rsidRPr="00E94CB1" w:rsidR="00FE1E85" w:rsidP="00E355BB" w:rsidRDefault="00FE1E85" w14:paraId="06B78AF5" w14:textId="530814C7">
            <w:pPr>
              <w:pStyle w:val="Tablebullet1"/>
            </w:pPr>
            <w:r w:rsidRPr="00E94CB1">
              <w:t xml:space="preserve">User </w:t>
            </w:r>
            <w:r w:rsidR="00292CC4">
              <w:t>g</w:t>
            </w:r>
            <w:r w:rsidRPr="00E94CB1">
              <w:t>uide (this document)</w:t>
            </w:r>
          </w:p>
          <w:p w:rsidRPr="00E94CB1" w:rsidR="00FE1E85" w:rsidP="00E355BB" w:rsidRDefault="00FE1E85" w14:paraId="4A5A7A7F" w14:textId="77777777">
            <w:pPr>
              <w:pStyle w:val="Tablebullet1"/>
            </w:pPr>
            <w:r w:rsidRPr="00E94CB1">
              <w:t>Setting guides</w:t>
            </w:r>
          </w:p>
        </w:tc>
      </w:tr>
      <w:tr w:rsidRPr="00283519" w:rsidR="00FE1E85" w:rsidTr="6B47B7C0" w14:paraId="2D6A7BCB" w14:textId="77777777">
        <w:tc>
          <w:tcPr>
            <w:tcW w:w="325" w:type="pct"/>
            <w:shd w:val="clear" w:color="auto" w:fill="auto"/>
          </w:tcPr>
          <w:p w:rsidRPr="00283519" w:rsidR="00FE1E85" w:rsidP="00E355BB" w:rsidRDefault="00FE1E85" w14:paraId="656562B0" w14:textId="497B1CDE">
            <w:pPr>
              <w:pStyle w:val="Tabletext"/>
            </w:pPr>
            <w:r w:rsidRPr="00283519">
              <w:t>2.</w:t>
            </w:r>
            <w:r w:rsidR="00026F8A">
              <w:t xml:space="preserve"> </w:t>
            </w:r>
          </w:p>
        </w:tc>
        <w:tc>
          <w:tcPr>
            <w:tcW w:w="857" w:type="pct"/>
            <w:shd w:val="clear" w:color="auto" w:fill="auto"/>
          </w:tcPr>
          <w:p w:rsidRPr="00283519" w:rsidR="00FE1E85" w:rsidP="00E355BB" w:rsidRDefault="00FE1E85" w14:paraId="60DC938E" w14:textId="77777777">
            <w:pPr>
              <w:pStyle w:val="Tabletext"/>
              <w:rPr>
                <w:noProof/>
              </w:rPr>
            </w:pPr>
            <w:r w:rsidRPr="00283519">
              <w:t>Assess</w:t>
            </w:r>
          </w:p>
        </w:tc>
        <w:tc>
          <w:tcPr>
            <w:tcW w:w="2833" w:type="pct"/>
            <w:shd w:val="clear" w:color="auto" w:fill="auto"/>
          </w:tcPr>
          <w:p w:rsidRPr="00E355BB" w:rsidR="00FE1E85" w:rsidP="00954886" w:rsidRDefault="00FE1E85" w14:paraId="09159D69" w14:textId="1460E8B7">
            <w:pPr>
              <w:pStyle w:val="ListParagraph"/>
              <w:numPr>
                <w:ilvl w:val="0"/>
                <w:numId w:val="19"/>
              </w:numPr>
              <w:jc w:val="left"/>
              <w:rPr>
                <w:sz w:val="24"/>
              </w:rPr>
            </w:pPr>
            <w:r w:rsidRPr="00E355BB">
              <w:rPr>
                <w:sz w:val="24"/>
              </w:rPr>
              <w:t xml:space="preserve">Use the </w:t>
            </w:r>
            <w:r w:rsidR="004829DC">
              <w:rPr>
                <w:b/>
                <w:bCs/>
                <w:sz w:val="24"/>
              </w:rPr>
              <w:t>Measur</w:t>
            </w:r>
            <w:r w:rsidR="00B064BD">
              <w:rPr>
                <w:b/>
                <w:bCs/>
                <w:sz w:val="24"/>
              </w:rPr>
              <w:t>e</w:t>
            </w:r>
            <w:r w:rsidR="004829DC">
              <w:rPr>
                <w:b/>
                <w:bCs/>
                <w:sz w:val="24"/>
              </w:rPr>
              <w:t>ment</w:t>
            </w:r>
            <w:r w:rsidRPr="00E355BB" w:rsidR="004829DC">
              <w:rPr>
                <w:b/>
                <w:bCs/>
                <w:sz w:val="24"/>
              </w:rPr>
              <w:t xml:space="preserve"> </w:t>
            </w:r>
            <w:r w:rsidRPr="00E355BB">
              <w:rPr>
                <w:b/>
                <w:bCs/>
                <w:sz w:val="24"/>
              </w:rPr>
              <w:t xml:space="preserve">and </w:t>
            </w:r>
            <w:r w:rsidRPr="00E355BB" w:rsidR="00292CC4">
              <w:rPr>
                <w:b/>
                <w:bCs/>
                <w:sz w:val="24"/>
              </w:rPr>
              <w:t>e</w:t>
            </w:r>
            <w:r w:rsidRPr="00E355BB">
              <w:rPr>
                <w:b/>
                <w:bCs/>
                <w:sz w:val="24"/>
              </w:rPr>
              <w:t xml:space="preserve">valuation </w:t>
            </w:r>
            <w:r w:rsidRPr="00E355BB" w:rsidR="00292CC4">
              <w:rPr>
                <w:b/>
                <w:bCs/>
                <w:sz w:val="24"/>
              </w:rPr>
              <w:t>t</w:t>
            </w:r>
            <w:r w:rsidRPr="00E355BB">
              <w:rPr>
                <w:b/>
                <w:bCs/>
                <w:sz w:val="24"/>
              </w:rPr>
              <w:t>ool</w:t>
            </w:r>
            <w:r w:rsidRPr="00E355BB">
              <w:rPr>
                <w:sz w:val="24"/>
              </w:rPr>
              <w:t xml:space="preserve"> to assess the current state of your setting against the </w:t>
            </w:r>
            <w:r w:rsidR="001C40CF">
              <w:rPr>
                <w:sz w:val="24"/>
              </w:rPr>
              <w:t>LGBTIQA+</w:t>
            </w:r>
            <w:r w:rsidRPr="00E355BB">
              <w:rPr>
                <w:sz w:val="24"/>
              </w:rPr>
              <w:t xml:space="preserve"> indicators</w:t>
            </w:r>
            <w:r w:rsidRPr="00E355BB" w:rsidR="0093553C">
              <w:rPr>
                <w:sz w:val="24"/>
              </w:rPr>
              <w:t>.</w:t>
            </w:r>
          </w:p>
          <w:p w:rsidRPr="00E355BB" w:rsidR="00FE1E85" w:rsidP="009C227F" w:rsidRDefault="00FE1E85" w14:paraId="1D446B10" w14:textId="6B011E23">
            <w:pPr>
              <w:pStyle w:val="ListParagraph"/>
              <w:numPr>
                <w:ilvl w:val="0"/>
                <w:numId w:val="19"/>
              </w:numPr>
              <w:rPr>
                <w:sz w:val="24"/>
              </w:rPr>
            </w:pPr>
            <w:r w:rsidRPr="00E355BB">
              <w:rPr>
                <w:sz w:val="24"/>
              </w:rPr>
              <w:t>Indicators that aren’t met, or are partially met, can be identified as areas for improvement</w:t>
            </w:r>
            <w:r w:rsidRPr="00E355BB" w:rsidR="0093553C">
              <w:rPr>
                <w:sz w:val="24"/>
              </w:rPr>
              <w:t>.</w:t>
            </w:r>
            <w:r w:rsidRPr="00E355BB">
              <w:rPr>
                <w:sz w:val="24"/>
              </w:rPr>
              <w:t xml:space="preserve"> </w:t>
            </w:r>
          </w:p>
          <w:p w:rsidRPr="00E355BB" w:rsidR="00FE1E85" w:rsidP="00954886" w:rsidRDefault="00FE1E85" w14:paraId="64CBF4D7" w14:textId="64CC6A21">
            <w:pPr>
              <w:pStyle w:val="ListParagraph"/>
              <w:numPr>
                <w:ilvl w:val="0"/>
                <w:numId w:val="19"/>
              </w:numPr>
              <w:jc w:val="left"/>
              <w:rPr>
                <w:sz w:val="24"/>
              </w:rPr>
            </w:pPr>
            <w:r w:rsidRPr="00E355BB">
              <w:rPr>
                <w:sz w:val="24"/>
              </w:rPr>
              <w:t xml:space="preserve">Discuss your current state with stakeholders, including local </w:t>
            </w:r>
            <w:r w:rsidR="001C40CF">
              <w:rPr>
                <w:sz w:val="24"/>
              </w:rPr>
              <w:t>LGBTIQA+</w:t>
            </w:r>
            <w:r w:rsidRPr="00E355BB">
              <w:rPr>
                <w:sz w:val="24"/>
              </w:rPr>
              <w:t xml:space="preserve"> community leaders</w:t>
            </w:r>
            <w:r w:rsidRPr="00E355BB" w:rsidR="0093553C">
              <w:rPr>
                <w:sz w:val="24"/>
              </w:rPr>
              <w:t>.</w:t>
            </w:r>
            <w:r w:rsidRPr="00E355BB">
              <w:rPr>
                <w:sz w:val="24"/>
              </w:rPr>
              <w:t xml:space="preserve"> </w:t>
            </w:r>
          </w:p>
        </w:tc>
        <w:tc>
          <w:tcPr>
            <w:tcW w:w="985" w:type="pct"/>
            <w:shd w:val="clear" w:color="auto" w:fill="auto"/>
          </w:tcPr>
          <w:p w:rsidRPr="00283519" w:rsidR="00FE1E85" w:rsidP="00E355BB" w:rsidRDefault="00FE1E85" w14:paraId="7F7CC680" w14:textId="77777777">
            <w:pPr>
              <w:pStyle w:val="Tablebullet1"/>
            </w:pPr>
            <w:r w:rsidRPr="00283519">
              <w:t>Setting guides</w:t>
            </w:r>
          </w:p>
          <w:p w:rsidRPr="00283519" w:rsidR="00FE1E85" w:rsidP="00E355BB" w:rsidRDefault="00B064BD" w14:paraId="70D81A01" w14:textId="111066EE">
            <w:pPr>
              <w:pStyle w:val="Tablebullet1"/>
            </w:pPr>
            <w:proofErr w:type="spellStart"/>
            <w:r>
              <w:t>Measurment</w:t>
            </w:r>
            <w:proofErr w:type="spellEnd"/>
            <w:r w:rsidRPr="00283519">
              <w:t xml:space="preserve"> </w:t>
            </w:r>
            <w:r w:rsidRPr="00283519" w:rsidR="00FE1E85">
              <w:t xml:space="preserve">and </w:t>
            </w:r>
            <w:r w:rsidR="000E39A2">
              <w:t>e</w:t>
            </w:r>
            <w:r w:rsidRPr="00283519" w:rsidR="00FE1E85">
              <w:t xml:space="preserve">valuation </w:t>
            </w:r>
            <w:r w:rsidR="000E39A2">
              <w:t>t</w:t>
            </w:r>
            <w:r w:rsidRPr="00283519" w:rsidR="00FE1E85">
              <w:t>ool</w:t>
            </w:r>
          </w:p>
        </w:tc>
      </w:tr>
      <w:bookmarkEnd w:id="17"/>
      <w:tr w:rsidRPr="00D0713D" w:rsidR="00FE1E85" w:rsidTr="6B47B7C0" w14:paraId="4E8FE18B" w14:textId="77777777">
        <w:tc>
          <w:tcPr>
            <w:tcW w:w="325" w:type="pct"/>
            <w:shd w:val="clear" w:color="auto" w:fill="auto"/>
          </w:tcPr>
          <w:p w:rsidRPr="00E94CB1" w:rsidR="00FE1E85" w:rsidP="00E355BB" w:rsidRDefault="00FE1E85" w14:paraId="691BF615" w14:textId="77777777">
            <w:pPr>
              <w:pStyle w:val="Tabletext"/>
            </w:pPr>
            <w:r>
              <w:t>3</w:t>
            </w:r>
            <w:r w:rsidRPr="00E94CB1">
              <w:t>.</w:t>
            </w:r>
          </w:p>
        </w:tc>
        <w:tc>
          <w:tcPr>
            <w:tcW w:w="857" w:type="pct"/>
            <w:shd w:val="clear" w:color="auto" w:fill="auto"/>
          </w:tcPr>
          <w:p w:rsidRPr="00E94CB1" w:rsidR="00FE1E85" w:rsidP="00E355BB" w:rsidRDefault="00FE1E85" w14:paraId="07C49A77" w14:textId="77777777">
            <w:pPr>
              <w:pStyle w:val="Tabletext"/>
            </w:pPr>
            <w:r w:rsidRPr="00E94CB1">
              <w:t>Plan</w:t>
            </w:r>
          </w:p>
        </w:tc>
        <w:tc>
          <w:tcPr>
            <w:tcW w:w="2833" w:type="pct"/>
            <w:shd w:val="clear" w:color="auto" w:fill="auto"/>
          </w:tcPr>
          <w:p w:rsidRPr="00E355BB" w:rsidR="00FE1E85" w:rsidP="009C227F" w:rsidRDefault="00FE1E85" w14:paraId="1C6676AA" w14:textId="19D329CE">
            <w:pPr>
              <w:pStyle w:val="ListParagraph"/>
              <w:numPr>
                <w:ilvl w:val="0"/>
                <w:numId w:val="13"/>
              </w:numPr>
              <w:jc w:val="left"/>
              <w:rPr>
                <w:sz w:val="24"/>
              </w:rPr>
            </w:pPr>
            <w:r w:rsidRPr="00E355BB">
              <w:rPr>
                <w:sz w:val="24"/>
              </w:rPr>
              <w:t xml:space="preserve">Use the </w:t>
            </w:r>
            <w:r w:rsidRPr="00E355BB" w:rsidR="00292CC4">
              <w:rPr>
                <w:b/>
                <w:bCs/>
                <w:sz w:val="24"/>
              </w:rPr>
              <w:t>a</w:t>
            </w:r>
            <w:r w:rsidRPr="00E355BB">
              <w:rPr>
                <w:b/>
                <w:bCs/>
                <w:sz w:val="24"/>
              </w:rPr>
              <w:t xml:space="preserve">ction </w:t>
            </w:r>
            <w:r w:rsidRPr="00E355BB" w:rsidR="00292CC4">
              <w:rPr>
                <w:b/>
                <w:bCs/>
                <w:sz w:val="24"/>
              </w:rPr>
              <w:t>p</w:t>
            </w:r>
            <w:r w:rsidRPr="00E355BB">
              <w:rPr>
                <w:b/>
                <w:bCs/>
                <w:sz w:val="24"/>
              </w:rPr>
              <w:t>lan</w:t>
            </w:r>
            <w:r w:rsidRPr="00E355BB">
              <w:rPr>
                <w:sz w:val="24"/>
              </w:rPr>
              <w:t xml:space="preserve"> template to plan your activities, required resources and outcomes</w:t>
            </w:r>
            <w:r w:rsidRPr="00E355BB" w:rsidR="0093553C">
              <w:rPr>
                <w:sz w:val="24"/>
              </w:rPr>
              <w:t>.</w:t>
            </w:r>
          </w:p>
          <w:p w:rsidRPr="00E355BB" w:rsidR="00FE1E85" w:rsidP="009C227F" w:rsidRDefault="00FE1E85" w14:paraId="21E30A69" w14:textId="75B69C4D">
            <w:pPr>
              <w:pStyle w:val="ListParagraph"/>
              <w:numPr>
                <w:ilvl w:val="0"/>
                <w:numId w:val="13"/>
              </w:numPr>
              <w:jc w:val="left"/>
              <w:rPr>
                <w:sz w:val="24"/>
              </w:rPr>
            </w:pPr>
            <w:r w:rsidRPr="00E355BB">
              <w:rPr>
                <w:sz w:val="24"/>
              </w:rPr>
              <w:t xml:space="preserve">Discuss your proposed activities with stakeholders, including local </w:t>
            </w:r>
            <w:r w:rsidR="001C40CF">
              <w:rPr>
                <w:sz w:val="24"/>
              </w:rPr>
              <w:t>LGBTIQA+</w:t>
            </w:r>
            <w:r w:rsidRPr="00E355BB">
              <w:rPr>
                <w:sz w:val="24"/>
              </w:rPr>
              <w:t xml:space="preserve"> community members as activity leaders, </w:t>
            </w:r>
            <w:proofErr w:type="gramStart"/>
            <w:r w:rsidRPr="00E355BB">
              <w:rPr>
                <w:sz w:val="24"/>
              </w:rPr>
              <w:t>consultants</w:t>
            </w:r>
            <w:proofErr w:type="gramEnd"/>
            <w:r w:rsidRPr="00E355BB">
              <w:rPr>
                <w:sz w:val="24"/>
              </w:rPr>
              <w:t xml:space="preserve"> or supporters</w:t>
            </w:r>
            <w:r w:rsidRPr="00E355BB" w:rsidR="0093553C">
              <w:rPr>
                <w:sz w:val="24"/>
              </w:rPr>
              <w:t>.</w:t>
            </w:r>
            <w:r w:rsidRPr="00E355BB">
              <w:rPr>
                <w:sz w:val="24"/>
              </w:rPr>
              <w:t xml:space="preserve"> </w:t>
            </w:r>
          </w:p>
          <w:p w:rsidRPr="00E355BB" w:rsidR="00FE1E85" w:rsidP="009C227F" w:rsidRDefault="00FE1E85" w14:paraId="1E132FE5" w14:textId="38663EAB">
            <w:pPr>
              <w:pStyle w:val="ListParagraph"/>
              <w:numPr>
                <w:ilvl w:val="0"/>
                <w:numId w:val="13"/>
              </w:numPr>
              <w:jc w:val="left"/>
              <w:rPr>
                <w:sz w:val="24"/>
              </w:rPr>
            </w:pPr>
            <w:r w:rsidRPr="00E355BB">
              <w:rPr>
                <w:sz w:val="24"/>
              </w:rPr>
              <w:t>Consider how you can collaborate and partner with other settings to ensure community-wide inclusion in your activities</w:t>
            </w:r>
            <w:r w:rsidRPr="00E355BB" w:rsidR="0093553C">
              <w:rPr>
                <w:sz w:val="24"/>
              </w:rPr>
              <w:t>.</w:t>
            </w:r>
          </w:p>
        </w:tc>
        <w:tc>
          <w:tcPr>
            <w:tcW w:w="985" w:type="pct"/>
            <w:shd w:val="clear" w:color="auto" w:fill="auto"/>
          </w:tcPr>
          <w:p w:rsidRPr="00647F80" w:rsidR="00FE1E85" w:rsidP="00E355BB" w:rsidRDefault="00FE1E85" w14:paraId="61211E2F" w14:textId="457F0847">
            <w:pPr>
              <w:pStyle w:val="Tablebullet1"/>
            </w:pPr>
            <w:r w:rsidRPr="00647F80">
              <w:t xml:space="preserve">Action </w:t>
            </w:r>
            <w:r w:rsidR="000E39A2">
              <w:t>p</w:t>
            </w:r>
            <w:r w:rsidRPr="00647F80">
              <w:t>lan</w:t>
            </w:r>
          </w:p>
        </w:tc>
      </w:tr>
      <w:tr w:rsidRPr="00D0713D" w:rsidR="00FE1E85" w:rsidTr="6B47B7C0" w14:paraId="1F73F667" w14:textId="77777777">
        <w:tc>
          <w:tcPr>
            <w:tcW w:w="325" w:type="pct"/>
            <w:shd w:val="clear" w:color="auto" w:fill="auto"/>
          </w:tcPr>
          <w:p w:rsidRPr="00CD3F18" w:rsidR="00FE1E85" w:rsidP="00E355BB" w:rsidRDefault="00FE1E85" w14:paraId="00CC5DA1" w14:textId="77777777">
            <w:pPr>
              <w:pStyle w:val="Tabletext"/>
            </w:pPr>
            <w:r>
              <w:t>4.</w:t>
            </w:r>
          </w:p>
        </w:tc>
        <w:tc>
          <w:tcPr>
            <w:tcW w:w="857" w:type="pct"/>
            <w:shd w:val="clear" w:color="auto" w:fill="auto"/>
          </w:tcPr>
          <w:p w:rsidRPr="00E94CB1" w:rsidR="00FE1E85" w:rsidP="00E355BB" w:rsidRDefault="00FE1E85" w14:paraId="50679F68" w14:textId="77777777">
            <w:pPr>
              <w:pStyle w:val="Tabletext"/>
              <w:rPr>
                <w:noProof/>
              </w:rPr>
            </w:pPr>
            <w:r w:rsidRPr="00E94CB1">
              <w:rPr>
                <w:noProof/>
              </w:rPr>
              <w:t>Activity</w:t>
            </w:r>
          </w:p>
        </w:tc>
        <w:tc>
          <w:tcPr>
            <w:tcW w:w="2833" w:type="pct"/>
            <w:shd w:val="clear" w:color="auto" w:fill="auto"/>
          </w:tcPr>
          <w:p w:rsidRPr="00E355BB" w:rsidR="00FE1E85" w:rsidP="009C227F" w:rsidRDefault="00FE1E85" w14:paraId="325B3AA4" w14:textId="40960CE3">
            <w:pPr>
              <w:pStyle w:val="ListParagraph"/>
              <w:numPr>
                <w:ilvl w:val="0"/>
                <w:numId w:val="9"/>
              </w:numPr>
              <w:jc w:val="left"/>
              <w:rPr>
                <w:sz w:val="24"/>
              </w:rPr>
            </w:pPr>
            <w:r w:rsidRPr="00E355BB">
              <w:rPr>
                <w:sz w:val="24"/>
              </w:rPr>
              <w:t xml:space="preserve">Deliver activities under your </w:t>
            </w:r>
            <w:r w:rsidRPr="00E355BB" w:rsidR="000E39A2">
              <w:rPr>
                <w:b/>
                <w:bCs/>
                <w:sz w:val="24"/>
              </w:rPr>
              <w:t>a</w:t>
            </w:r>
            <w:r w:rsidRPr="00E355BB">
              <w:rPr>
                <w:b/>
                <w:bCs/>
                <w:sz w:val="24"/>
              </w:rPr>
              <w:t xml:space="preserve">ction </w:t>
            </w:r>
            <w:r w:rsidRPr="00E355BB" w:rsidR="000E39A2">
              <w:rPr>
                <w:b/>
                <w:bCs/>
                <w:sz w:val="24"/>
              </w:rPr>
              <w:t>p</w:t>
            </w:r>
            <w:r w:rsidRPr="00E355BB">
              <w:rPr>
                <w:b/>
                <w:bCs/>
                <w:sz w:val="24"/>
              </w:rPr>
              <w:t>lan</w:t>
            </w:r>
            <w:r w:rsidRPr="00E355BB" w:rsidR="0093553C">
              <w:rPr>
                <w:sz w:val="24"/>
              </w:rPr>
              <w:t>.</w:t>
            </w:r>
          </w:p>
          <w:p w:rsidRPr="00E355BB" w:rsidR="00FE1E85" w:rsidP="009C227F" w:rsidRDefault="00FE1E85" w14:paraId="70E56198" w14:textId="79973E57">
            <w:pPr>
              <w:pStyle w:val="ListParagraph"/>
              <w:numPr>
                <w:ilvl w:val="0"/>
                <w:numId w:val="9"/>
              </w:numPr>
              <w:jc w:val="left"/>
              <w:rPr>
                <w:sz w:val="24"/>
              </w:rPr>
            </w:pPr>
            <w:r w:rsidRPr="00E355BB">
              <w:rPr>
                <w:sz w:val="24"/>
              </w:rPr>
              <w:t xml:space="preserve">Continue to engage </w:t>
            </w:r>
            <w:r w:rsidR="001C40CF">
              <w:rPr>
                <w:sz w:val="24"/>
              </w:rPr>
              <w:t>LGBTIQA+</w:t>
            </w:r>
            <w:r w:rsidRPr="00E355BB">
              <w:rPr>
                <w:sz w:val="24"/>
              </w:rPr>
              <w:t xml:space="preserve"> community members and stakeholders, including as project leaders</w:t>
            </w:r>
            <w:r w:rsidRPr="00E355BB" w:rsidR="0093553C">
              <w:rPr>
                <w:sz w:val="24"/>
              </w:rPr>
              <w:t>.</w:t>
            </w:r>
          </w:p>
        </w:tc>
        <w:tc>
          <w:tcPr>
            <w:tcW w:w="985" w:type="pct"/>
            <w:shd w:val="clear" w:color="auto" w:fill="auto"/>
          </w:tcPr>
          <w:p w:rsidR="00FE1E85" w:rsidP="00E355BB" w:rsidRDefault="00FE1E85" w14:paraId="2ADDF104" w14:textId="577931E9">
            <w:pPr>
              <w:pStyle w:val="Tablebullet1"/>
            </w:pPr>
            <w:r w:rsidRPr="00AC7748">
              <w:t xml:space="preserve">Action </w:t>
            </w:r>
            <w:r w:rsidR="000E39A2">
              <w:t>p</w:t>
            </w:r>
            <w:r w:rsidRPr="00AC7748">
              <w:t>lan</w:t>
            </w:r>
          </w:p>
        </w:tc>
      </w:tr>
      <w:tr w:rsidRPr="00D0713D" w:rsidR="00FE1E85" w:rsidTr="6B47B7C0" w14:paraId="5B12928B" w14:textId="77777777">
        <w:tc>
          <w:tcPr>
            <w:tcW w:w="325" w:type="pct"/>
            <w:shd w:val="clear" w:color="auto" w:fill="auto"/>
          </w:tcPr>
          <w:p w:rsidRPr="00E94CB1" w:rsidR="00FE1E85" w:rsidP="00E355BB" w:rsidRDefault="00FE1E85" w14:paraId="3EC09FFD" w14:textId="77777777">
            <w:pPr>
              <w:pStyle w:val="Tabletext"/>
            </w:pPr>
            <w:r>
              <w:t>5</w:t>
            </w:r>
            <w:r w:rsidRPr="00E94CB1">
              <w:t>.</w:t>
            </w:r>
          </w:p>
        </w:tc>
        <w:tc>
          <w:tcPr>
            <w:tcW w:w="857" w:type="pct"/>
            <w:shd w:val="clear" w:color="auto" w:fill="auto"/>
          </w:tcPr>
          <w:p w:rsidRPr="00E94CB1" w:rsidR="00FE1E85" w:rsidP="00E355BB" w:rsidRDefault="00FE1E85" w14:paraId="22237A4D" w14:textId="77777777">
            <w:pPr>
              <w:pStyle w:val="Tabletext"/>
            </w:pPr>
            <w:r>
              <w:t>Evaluate</w:t>
            </w:r>
          </w:p>
        </w:tc>
        <w:tc>
          <w:tcPr>
            <w:tcW w:w="2833" w:type="pct"/>
            <w:shd w:val="clear" w:color="auto" w:fill="auto"/>
          </w:tcPr>
          <w:p w:rsidRPr="00E355BB" w:rsidR="00FE1E85" w:rsidP="009C227F" w:rsidRDefault="00FE1E85" w14:paraId="4617AC39" w14:textId="030C7875">
            <w:pPr>
              <w:pStyle w:val="ListParagraph"/>
              <w:numPr>
                <w:ilvl w:val="0"/>
                <w:numId w:val="16"/>
              </w:numPr>
              <w:jc w:val="left"/>
              <w:rPr>
                <w:sz w:val="24"/>
              </w:rPr>
            </w:pPr>
            <w:r w:rsidRPr="00E355BB">
              <w:rPr>
                <w:sz w:val="24"/>
              </w:rPr>
              <w:t xml:space="preserve">Use the </w:t>
            </w:r>
            <w:r w:rsidR="00B064BD">
              <w:rPr>
                <w:b/>
                <w:bCs/>
                <w:sz w:val="24"/>
              </w:rPr>
              <w:t>measurement</w:t>
            </w:r>
            <w:r w:rsidRPr="00E355BB" w:rsidR="00B064BD">
              <w:rPr>
                <w:b/>
                <w:bCs/>
                <w:sz w:val="24"/>
              </w:rPr>
              <w:t xml:space="preserve"> </w:t>
            </w:r>
            <w:r w:rsidRPr="00E355BB">
              <w:rPr>
                <w:b/>
                <w:bCs/>
                <w:sz w:val="24"/>
              </w:rPr>
              <w:t>and</w:t>
            </w:r>
            <w:r w:rsidRPr="00E355BB">
              <w:rPr>
                <w:sz w:val="24"/>
              </w:rPr>
              <w:t xml:space="preserve"> </w:t>
            </w:r>
            <w:r w:rsidRPr="00E355BB" w:rsidR="000E39A2">
              <w:rPr>
                <w:b/>
                <w:bCs/>
                <w:sz w:val="24"/>
              </w:rPr>
              <w:t>e</w:t>
            </w:r>
            <w:r w:rsidRPr="00E355BB">
              <w:rPr>
                <w:b/>
                <w:bCs/>
                <w:sz w:val="24"/>
              </w:rPr>
              <w:t xml:space="preserve">valuation </w:t>
            </w:r>
            <w:r w:rsidRPr="00E355BB" w:rsidR="000E39A2">
              <w:rPr>
                <w:b/>
                <w:bCs/>
                <w:sz w:val="24"/>
              </w:rPr>
              <w:t>t</w:t>
            </w:r>
            <w:r w:rsidRPr="00E355BB">
              <w:rPr>
                <w:b/>
                <w:bCs/>
                <w:sz w:val="24"/>
              </w:rPr>
              <w:t>ool</w:t>
            </w:r>
            <w:r w:rsidRPr="00E355BB">
              <w:rPr>
                <w:sz w:val="24"/>
              </w:rPr>
              <w:t xml:space="preserve"> to </w:t>
            </w:r>
            <w:r w:rsidR="00B064BD">
              <w:rPr>
                <w:sz w:val="24"/>
              </w:rPr>
              <w:t>test</w:t>
            </w:r>
            <w:r w:rsidRPr="00E355BB" w:rsidR="00B064BD">
              <w:rPr>
                <w:sz w:val="24"/>
              </w:rPr>
              <w:t xml:space="preserve"> </w:t>
            </w:r>
            <w:r w:rsidRPr="00E355BB">
              <w:rPr>
                <w:sz w:val="24"/>
              </w:rPr>
              <w:t xml:space="preserve">your progress against the indicators relevant to your </w:t>
            </w:r>
            <w:r w:rsidRPr="00E355BB" w:rsidR="000E39A2">
              <w:rPr>
                <w:b/>
                <w:bCs/>
                <w:sz w:val="24"/>
              </w:rPr>
              <w:t>s</w:t>
            </w:r>
            <w:r w:rsidRPr="00E355BB">
              <w:rPr>
                <w:b/>
                <w:bCs/>
                <w:sz w:val="24"/>
              </w:rPr>
              <w:t xml:space="preserve">etting </w:t>
            </w:r>
            <w:r w:rsidRPr="00E355BB" w:rsidR="000E39A2">
              <w:rPr>
                <w:b/>
                <w:bCs/>
                <w:sz w:val="24"/>
              </w:rPr>
              <w:t>g</w:t>
            </w:r>
            <w:r w:rsidRPr="00E355BB">
              <w:rPr>
                <w:b/>
                <w:bCs/>
                <w:sz w:val="24"/>
              </w:rPr>
              <w:t>uide</w:t>
            </w:r>
            <w:r w:rsidRPr="00E355BB" w:rsidR="0093553C">
              <w:rPr>
                <w:sz w:val="24"/>
              </w:rPr>
              <w:t>.</w:t>
            </w:r>
          </w:p>
          <w:p w:rsidRPr="00E355BB" w:rsidR="00FE1E85" w:rsidP="009C227F" w:rsidRDefault="00FE1E85" w14:paraId="1536CECA" w14:textId="1075C18D">
            <w:pPr>
              <w:pStyle w:val="ListParagraph"/>
              <w:numPr>
                <w:ilvl w:val="0"/>
                <w:numId w:val="16"/>
              </w:numPr>
              <w:jc w:val="left"/>
              <w:rPr>
                <w:sz w:val="24"/>
              </w:rPr>
            </w:pPr>
            <w:r w:rsidRPr="00E355BB">
              <w:rPr>
                <w:sz w:val="24"/>
              </w:rPr>
              <w:t xml:space="preserve">Discuss findings, including with </w:t>
            </w:r>
            <w:r w:rsidR="001C40CF">
              <w:rPr>
                <w:sz w:val="24"/>
              </w:rPr>
              <w:t>LGBTIQA+</w:t>
            </w:r>
            <w:r w:rsidRPr="00E355BB">
              <w:rPr>
                <w:sz w:val="24"/>
              </w:rPr>
              <w:t xml:space="preserve"> community members, and consider lessons learned that you could share with other parts of Victoria</w:t>
            </w:r>
            <w:r w:rsidRPr="00E355BB" w:rsidR="0093553C">
              <w:rPr>
                <w:sz w:val="24"/>
              </w:rPr>
              <w:t>.</w:t>
            </w:r>
          </w:p>
          <w:p w:rsidRPr="00E355BB" w:rsidR="00FE1E85" w:rsidP="009C227F" w:rsidRDefault="00FE1E85" w14:paraId="72A7EB2E" w14:textId="108EF5AD">
            <w:pPr>
              <w:pStyle w:val="ListParagraph"/>
              <w:numPr>
                <w:ilvl w:val="0"/>
                <w:numId w:val="16"/>
              </w:numPr>
              <w:jc w:val="left"/>
              <w:rPr>
                <w:sz w:val="24"/>
              </w:rPr>
            </w:pPr>
            <w:r w:rsidRPr="00E355BB">
              <w:rPr>
                <w:sz w:val="24"/>
              </w:rPr>
              <w:t>Repeat the evaluation</w:t>
            </w:r>
            <w:r w:rsidRPr="00E355BB">
              <w:rPr>
                <w:b/>
                <w:bCs/>
                <w:sz w:val="24"/>
              </w:rPr>
              <w:t xml:space="preserve"> </w:t>
            </w:r>
            <w:r w:rsidRPr="00E355BB">
              <w:rPr>
                <w:sz w:val="24"/>
              </w:rPr>
              <w:t xml:space="preserve">to check progress until </w:t>
            </w:r>
            <w:r w:rsidR="00B064BD">
              <w:rPr>
                <w:sz w:val="24"/>
              </w:rPr>
              <w:t>as many</w:t>
            </w:r>
            <w:r w:rsidRPr="00E355BB" w:rsidR="00B064BD">
              <w:rPr>
                <w:sz w:val="24"/>
              </w:rPr>
              <w:t xml:space="preserve"> </w:t>
            </w:r>
            <w:r w:rsidRPr="00E355BB" w:rsidR="000E39A2">
              <w:rPr>
                <w:b/>
                <w:bCs/>
                <w:sz w:val="24"/>
              </w:rPr>
              <w:t>s</w:t>
            </w:r>
            <w:r w:rsidRPr="00E355BB">
              <w:rPr>
                <w:b/>
                <w:bCs/>
                <w:sz w:val="24"/>
              </w:rPr>
              <w:t xml:space="preserve">etting </w:t>
            </w:r>
            <w:r w:rsidRPr="00E355BB" w:rsidR="000E39A2">
              <w:rPr>
                <w:b/>
                <w:bCs/>
                <w:sz w:val="24"/>
              </w:rPr>
              <w:t>g</w:t>
            </w:r>
            <w:r w:rsidRPr="00E355BB">
              <w:rPr>
                <w:b/>
                <w:bCs/>
                <w:sz w:val="24"/>
              </w:rPr>
              <w:t>uide</w:t>
            </w:r>
            <w:r w:rsidRPr="00E355BB">
              <w:rPr>
                <w:sz w:val="24"/>
              </w:rPr>
              <w:t xml:space="preserve"> indicators </w:t>
            </w:r>
            <w:r w:rsidR="00B064BD">
              <w:rPr>
                <w:sz w:val="24"/>
              </w:rPr>
              <w:t xml:space="preserve">that can be achieved </w:t>
            </w:r>
            <w:r w:rsidRPr="00E355BB">
              <w:rPr>
                <w:sz w:val="24"/>
              </w:rPr>
              <w:t>are achieved</w:t>
            </w:r>
            <w:r w:rsidRPr="00E355BB" w:rsidR="0093553C">
              <w:rPr>
                <w:sz w:val="24"/>
              </w:rPr>
              <w:t>.</w:t>
            </w:r>
          </w:p>
        </w:tc>
        <w:tc>
          <w:tcPr>
            <w:tcW w:w="985" w:type="pct"/>
            <w:shd w:val="clear" w:color="auto" w:fill="auto"/>
          </w:tcPr>
          <w:p w:rsidR="00FE1E85" w:rsidP="00E355BB" w:rsidRDefault="00FE1E85" w14:paraId="2EF62EB6" w14:textId="489EA784">
            <w:pPr>
              <w:pStyle w:val="Tablebullet1"/>
            </w:pPr>
            <w:r>
              <w:t xml:space="preserve">Assessment and </w:t>
            </w:r>
            <w:r w:rsidR="000E39A2">
              <w:t>e</w:t>
            </w:r>
            <w:r>
              <w:t xml:space="preserve">valuation </w:t>
            </w:r>
            <w:r w:rsidR="000E39A2">
              <w:t>t</w:t>
            </w:r>
            <w:r>
              <w:t>ool</w:t>
            </w:r>
          </w:p>
          <w:p w:rsidRPr="00E94CB1" w:rsidR="00FE1E85" w:rsidP="00E355BB" w:rsidRDefault="00FE1E85" w14:paraId="356ABE48" w14:textId="098D4E25">
            <w:pPr>
              <w:pStyle w:val="Tablebullet1"/>
            </w:pPr>
            <w:r>
              <w:t xml:space="preserve">Setting </w:t>
            </w:r>
            <w:r w:rsidR="000E39A2">
              <w:t>g</w:t>
            </w:r>
            <w:r>
              <w:t>uides</w:t>
            </w:r>
          </w:p>
        </w:tc>
      </w:tr>
      <w:tr w:rsidRPr="00D0713D" w:rsidR="00FE1E85" w:rsidTr="6B47B7C0" w14:paraId="2392B5E7" w14:textId="77777777">
        <w:tc>
          <w:tcPr>
            <w:tcW w:w="325" w:type="pct"/>
            <w:shd w:val="clear" w:color="auto" w:fill="auto"/>
          </w:tcPr>
          <w:p w:rsidRPr="00E94CB1" w:rsidR="00FE1E85" w:rsidP="00E355BB" w:rsidRDefault="00FE1E85" w14:paraId="728CB5C9" w14:textId="77777777">
            <w:pPr>
              <w:pStyle w:val="Tabletext"/>
            </w:pPr>
            <w:r>
              <w:t>6</w:t>
            </w:r>
            <w:r w:rsidRPr="00E94CB1">
              <w:t>.</w:t>
            </w:r>
          </w:p>
        </w:tc>
        <w:tc>
          <w:tcPr>
            <w:tcW w:w="857" w:type="pct"/>
            <w:shd w:val="clear" w:color="auto" w:fill="auto"/>
          </w:tcPr>
          <w:p w:rsidRPr="00E94CB1" w:rsidR="00FE1E85" w:rsidP="00E355BB" w:rsidRDefault="00B064BD" w14:paraId="1B26D150" w14:textId="5773A1D9">
            <w:pPr>
              <w:pStyle w:val="Tabletext"/>
            </w:pPr>
            <w:r>
              <w:t>Checklist</w:t>
            </w:r>
          </w:p>
        </w:tc>
        <w:tc>
          <w:tcPr>
            <w:tcW w:w="2833" w:type="pct"/>
            <w:shd w:val="clear" w:color="auto" w:fill="auto"/>
          </w:tcPr>
          <w:p w:rsidRPr="00E355BB" w:rsidR="00FE1E85" w:rsidRDefault="00FE1E85" w14:paraId="09AF5E64" w14:textId="5AD95313">
            <w:pPr>
              <w:numPr>
                <w:ilvl w:val="0"/>
                <w:numId w:val="10"/>
              </w:numPr>
              <w:spacing w:after="0" w:line="240" w:lineRule="auto"/>
              <w:rPr>
                <w:szCs w:val="21"/>
              </w:rPr>
            </w:pPr>
            <w:r w:rsidRPr="6B47B7C0">
              <w:rPr>
                <w:sz w:val="24"/>
                <w:szCs w:val="24"/>
              </w:rPr>
              <w:t xml:space="preserve">Access the </w:t>
            </w:r>
            <w:r w:rsidRPr="6B47B7C0">
              <w:rPr>
                <w:b/>
                <w:bCs/>
                <w:sz w:val="24"/>
                <w:szCs w:val="24"/>
              </w:rPr>
              <w:t xml:space="preserve">Rainbow Ready </w:t>
            </w:r>
            <w:r w:rsidRPr="6B47B7C0" w:rsidR="000E39A2">
              <w:rPr>
                <w:b/>
                <w:bCs/>
                <w:sz w:val="24"/>
                <w:szCs w:val="24"/>
              </w:rPr>
              <w:t>c</w:t>
            </w:r>
            <w:r w:rsidRPr="6B47B7C0">
              <w:rPr>
                <w:b/>
                <w:bCs/>
                <w:sz w:val="24"/>
                <w:szCs w:val="24"/>
              </w:rPr>
              <w:t>hecklist</w:t>
            </w:r>
            <w:r w:rsidRPr="6B47B7C0">
              <w:rPr>
                <w:sz w:val="24"/>
                <w:szCs w:val="24"/>
              </w:rPr>
              <w:t xml:space="preserve"> and review your progress against </w:t>
            </w:r>
            <w:r w:rsidRPr="6B47B7C0" w:rsidR="2A65943F">
              <w:rPr>
                <w:sz w:val="24"/>
                <w:szCs w:val="24"/>
              </w:rPr>
              <w:t>it</w:t>
            </w:r>
            <w:r w:rsidRPr="6B47B7C0" w:rsidR="1072A3BF">
              <w:rPr>
                <w:sz w:val="24"/>
                <w:szCs w:val="24"/>
              </w:rPr>
              <w:t>.</w:t>
            </w:r>
          </w:p>
          <w:p w:rsidRPr="00E355BB" w:rsidR="00FE1E85" w:rsidP="009C227F" w:rsidRDefault="2CB0126C" w14:paraId="27C4CC5D" w14:textId="5603BCCC">
            <w:pPr>
              <w:numPr>
                <w:ilvl w:val="0"/>
                <w:numId w:val="10"/>
              </w:numPr>
              <w:spacing w:after="0" w:line="240" w:lineRule="auto"/>
              <w:rPr>
                <w:sz w:val="24"/>
                <w:szCs w:val="24"/>
              </w:rPr>
            </w:pPr>
            <w:r w:rsidRPr="6B47B7C0">
              <w:rPr>
                <w:sz w:val="24"/>
                <w:szCs w:val="24"/>
              </w:rPr>
              <w:t xml:space="preserve">You can use the </w:t>
            </w:r>
            <w:r w:rsidRPr="00235D8C">
              <w:rPr>
                <w:b/>
                <w:bCs/>
                <w:sz w:val="24"/>
                <w:szCs w:val="24"/>
              </w:rPr>
              <w:t xml:space="preserve">Rainbow Ready checklist </w:t>
            </w:r>
            <w:r w:rsidRPr="6B47B7C0">
              <w:rPr>
                <w:sz w:val="24"/>
                <w:szCs w:val="24"/>
              </w:rPr>
              <w:t>tool</w:t>
            </w:r>
            <w:r w:rsidRPr="00235D8C">
              <w:rPr>
                <w:b/>
                <w:bCs/>
                <w:sz w:val="24"/>
                <w:szCs w:val="24"/>
              </w:rPr>
              <w:t xml:space="preserve"> </w:t>
            </w:r>
            <w:r w:rsidRPr="6B47B7C0">
              <w:rPr>
                <w:sz w:val="24"/>
                <w:szCs w:val="24"/>
              </w:rPr>
              <w:t>to measure your own progress at any time during, or at the end of your work</w:t>
            </w:r>
            <w:r w:rsidRPr="6B47B7C0" w:rsidR="4119A5E8">
              <w:rPr>
                <w:sz w:val="24"/>
                <w:szCs w:val="24"/>
              </w:rPr>
              <w:t>.</w:t>
            </w:r>
          </w:p>
          <w:p w:rsidRPr="00B064BD" w:rsidR="00B064BD" w:rsidP="00B064BD" w:rsidRDefault="2CB0126C" w14:paraId="3149069A" w14:textId="5E54E20F">
            <w:pPr>
              <w:pStyle w:val="ListParagraph"/>
              <w:numPr>
                <w:ilvl w:val="0"/>
                <w:numId w:val="10"/>
              </w:numPr>
              <w:rPr>
                <w:rFonts w:eastAsia="Times New Roman" w:cs="Times New Roman"/>
                <w:sz w:val="24"/>
              </w:rPr>
            </w:pPr>
            <w:r w:rsidRPr="6B47B7C0">
              <w:rPr>
                <w:rFonts w:eastAsia="Times New Roman" w:cs="Times New Roman"/>
                <w:sz w:val="24"/>
              </w:rPr>
              <w:t xml:space="preserve">Share your </w:t>
            </w:r>
            <w:r w:rsidRPr="00235D8C">
              <w:rPr>
                <w:rFonts w:eastAsia="Times New Roman" w:cs="Times New Roman"/>
                <w:b/>
                <w:bCs/>
                <w:sz w:val="24"/>
              </w:rPr>
              <w:t>Rainbow Ready</w:t>
            </w:r>
            <w:r w:rsidRPr="6B47B7C0">
              <w:rPr>
                <w:rFonts w:eastAsia="Times New Roman" w:cs="Times New Roman"/>
                <w:sz w:val="24"/>
              </w:rPr>
              <w:t xml:space="preserve"> roadmap work so that others can learn from your stories of success and lessons learned. </w:t>
            </w:r>
          </w:p>
          <w:p w:rsidRPr="00E355BB" w:rsidR="00FE1E85" w:rsidP="000845AA" w:rsidRDefault="00FE1E85" w14:paraId="25436365" w14:textId="58A48904">
            <w:pPr>
              <w:spacing w:after="0" w:line="240" w:lineRule="auto"/>
              <w:rPr>
                <w:sz w:val="24"/>
                <w:szCs w:val="24"/>
              </w:rPr>
            </w:pPr>
          </w:p>
        </w:tc>
        <w:tc>
          <w:tcPr>
            <w:tcW w:w="985" w:type="pct"/>
            <w:shd w:val="clear" w:color="auto" w:fill="auto"/>
          </w:tcPr>
          <w:p w:rsidR="00FE1E85" w:rsidP="00E355BB" w:rsidRDefault="00FE1E85" w14:paraId="2548DF14" w14:textId="393311F8">
            <w:pPr>
              <w:pStyle w:val="Tablebullet1"/>
            </w:pPr>
            <w:r w:rsidRPr="00E94CB1">
              <w:t xml:space="preserve">Rainbow Ready </w:t>
            </w:r>
            <w:r w:rsidR="000E39A2">
              <w:t>c</w:t>
            </w:r>
            <w:r w:rsidRPr="00E94CB1">
              <w:t>hecklist</w:t>
            </w:r>
          </w:p>
          <w:p w:rsidRPr="00E94CB1" w:rsidR="00FE1E85" w:rsidP="00E355BB" w:rsidRDefault="00FE1E85" w14:paraId="39483E81" w14:textId="29A0E489">
            <w:pPr>
              <w:pStyle w:val="Tablebullet1"/>
            </w:pPr>
          </w:p>
        </w:tc>
      </w:tr>
    </w:tbl>
    <w:p w:rsidRPr="007F2413" w:rsidR="0050714A" w:rsidP="0050714A" w:rsidRDefault="0050714A" w14:paraId="6DB51355" w14:textId="77777777">
      <w:pPr>
        <w:pStyle w:val="Heading3"/>
        <w:rPr>
          <w:lang w:eastAsia="en-GB"/>
        </w:rPr>
      </w:pPr>
      <w:r>
        <w:t>Choosing your setting guide</w:t>
      </w:r>
    </w:p>
    <w:p w:rsidR="0050714A" w:rsidP="0050714A" w:rsidRDefault="0050714A" w14:paraId="5E4499BF" w14:textId="77777777">
      <w:pPr>
        <w:pStyle w:val="Body"/>
        <w:framePr w:hSpace="180" w:wrap="around" w:hAnchor="margin" w:vAnchor="text" w:yAlign="center"/>
      </w:pPr>
      <w:r>
        <w:t xml:space="preserve">Choosing your </w:t>
      </w:r>
      <w:r>
        <w:rPr>
          <w:b/>
          <w:bCs/>
        </w:rPr>
        <w:t>s</w:t>
      </w:r>
      <w:r w:rsidRPr="00E94CB1">
        <w:rPr>
          <w:b/>
          <w:bCs/>
        </w:rPr>
        <w:t xml:space="preserve">etting </w:t>
      </w:r>
      <w:r>
        <w:rPr>
          <w:b/>
          <w:bCs/>
        </w:rPr>
        <w:t>g</w:t>
      </w:r>
      <w:r w:rsidRPr="00E94CB1">
        <w:rPr>
          <w:b/>
          <w:bCs/>
        </w:rPr>
        <w:t>uide</w:t>
      </w:r>
      <w:r>
        <w:t xml:space="preserve"> is an important step in using the </w:t>
      </w:r>
      <w:r w:rsidRPr="00853088">
        <w:rPr>
          <w:b/>
          <w:bCs/>
        </w:rPr>
        <w:t>Rainbow Ready roadmap</w:t>
      </w:r>
      <w:r>
        <w:t xml:space="preserve">. You are encouraged to use the setting guide that best fits your group or setting. </w:t>
      </w:r>
      <w:r w:rsidRPr="00E94CB1">
        <w:t>For example</w:t>
      </w:r>
      <w:r>
        <w:t>:</w:t>
      </w:r>
    </w:p>
    <w:p w:rsidRPr="0050714A" w:rsidR="0050714A" w:rsidP="0050714A" w:rsidRDefault="0050714A" w14:paraId="08CB2BD3" w14:textId="77777777">
      <w:pPr>
        <w:pStyle w:val="Bullet1"/>
        <w:framePr w:hSpace="180" w:wrap="around" w:hAnchor="margin" w:vAnchor="text" w:yAlign="center"/>
      </w:pPr>
      <w:r w:rsidRPr="00E868E2">
        <w:t xml:space="preserve">an aged care </w:t>
      </w:r>
      <w:r>
        <w:t>provider</w:t>
      </w:r>
      <w:r w:rsidRPr="00E868E2">
        <w:t xml:space="preserve"> would select the </w:t>
      </w:r>
      <w:proofErr w:type="gramStart"/>
      <w:r w:rsidRPr="0050714A">
        <w:rPr>
          <w:b/>
          <w:bCs/>
        </w:rPr>
        <w:t>Setting</w:t>
      </w:r>
      <w:proofErr w:type="gramEnd"/>
      <w:r w:rsidRPr="0050714A">
        <w:rPr>
          <w:b/>
          <w:bCs/>
        </w:rPr>
        <w:t xml:space="preserve"> guide for health and community services</w:t>
      </w:r>
    </w:p>
    <w:p w:rsidRPr="0050714A" w:rsidR="0050714A" w:rsidP="0050714A" w:rsidRDefault="0050714A" w14:paraId="755D05A8" w14:textId="77777777">
      <w:pPr>
        <w:pStyle w:val="Bullet1"/>
        <w:framePr w:hSpace="180" w:wrap="around" w:hAnchor="margin" w:vAnchor="text" w:yAlign="center"/>
      </w:pPr>
      <w:r w:rsidRPr="0050714A">
        <w:t xml:space="preserve">a university would select the </w:t>
      </w:r>
      <w:proofErr w:type="gramStart"/>
      <w:r w:rsidRPr="0050714A">
        <w:rPr>
          <w:b/>
          <w:bCs/>
        </w:rPr>
        <w:t>Setting</w:t>
      </w:r>
      <w:proofErr w:type="gramEnd"/>
      <w:r w:rsidRPr="0050714A">
        <w:rPr>
          <w:b/>
          <w:bCs/>
        </w:rPr>
        <w:t xml:space="preserve"> guide for learning environments</w:t>
      </w:r>
    </w:p>
    <w:p w:rsidRPr="0050714A" w:rsidR="0050714A" w:rsidP="0050714A" w:rsidRDefault="0050714A" w14:paraId="0CAEED3A" w14:textId="77777777">
      <w:pPr>
        <w:pStyle w:val="Bullet1"/>
        <w:framePr w:hSpace="180" w:wrap="around" w:hAnchor="margin" w:vAnchor="text" w:yAlign="center"/>
      </w:pPr>
      <w:r w:rsidRPr="0050714A">
        <w:t xml:space="preserve">a local rainbow </w:t>
      </w:r>
      <w:proofErr w:type="gramStart"/>
      <w:r w:rsidRPr="0050714A">
        <w:t>families</w:t>
      </w:r>
      <w:proofErr w:type="gramEnd"/>
      <w:r w:rsidRPr="0050714A">
        <w:t xml:space="preserve"> group would select the </w:t>
      </w:r>
      <w:r w:rsidRPr="0050714A">
        <w:rPr>
          <w:b/>
          <w:bCs/>
        </w:rPr>
        <w:t>Setting guide for community groups</w:t>
      </w:r>
      <w:r w:rsidRPr="0050714A">
        <w:t>.</w:t>
      </w:r>
    </w:p>
    <w:p w:rsidR="00FE1E85" w:rsidP="0050714A" w:rsidRDefault="0050714A" w14:paraId="4E592CFE" w14:textId="4E903985">
      <w:pPr>
        <w:pStyle w:val="Bodyafterbullets"/>
      </w:pPr>
      <w:r>
        <w:t>Some users may find that their group or setting sits across more than one of the setting guides. For example, a youth group at a university could select either the setting guide for learning environments or the setting guide for community groups. In this instance, selecting one guide that best fits your setting is perfectly fine.</w:t>
      </w:r>
    </w:p>
    <w:p w:rsidRPr="008B603D" w:rsidR="006178D2" w:rsidP="0050714A" w:rsidRDefault="006178D2" w14:paraId="0DFB81CE" w14:textId="35C8F82F">
      <w:pPr>
        <w:pStyle w:val="Bodyafterbullets"/>
        <w:rPr>
          <w:sz w:val="14"/>
          <w:szCs w:val="14"/>
        </w:rPr>
      </w:pPr>
      <w:r>
        <w:t>If you have another idea for a future setting guide, particularly one that your industry or sector may benefit from, please let us know. We may be producing more in future iterations of this project.</w:t>
      </w:r>
    </w:p>
    <w:p w:rsidR="006B3B21" w:rsidP="006B3B21" w:rsidRDefault="006B3B21" w14:paraId="2A251F7D" w14:textId="34354874">
      <w:pPr>
        <w:pStyle w:val="Body"/>
        <w:rPr>
          <w:rFonts w:eastAsia="MS Gothic" w:cs="Arial"/>
          <w:color w:val="201547"/>
          <w:kern w:val="32"/>
          <w:sz w:val="44"/>
          <w:szCs w:val="44"/>
        </w:rPr>
      </w:pPr>
      <w:bookmarkStart w:name="_Toc72847239" w:id="18"/>
      <w:r>
        <w:br w:type="page"/>
      </w:r>
    </w:p>
    <w:p w:rsidRPr="003452DB" w:rsidR="00FE1E85" w:rsidP="005E2466" w:rsidRDefault="00FE1E85" w14:paraId="5D831C2B" w14:textId="154A4AE5">
      <w:pPr>
        <w:pStyle w:val="Heading2"/>
      </w:pPr>
      <w:bookmarkStart w:name="_Toc144934386" w:id="19"/>
      <w:r w:rsidRPr="003452DB">
        <w:t xml:space="preserve">Intersectionality </w:t>
      </w:r>
      <w:r w:rsidR="00B501D9">
        <w:t>and inclusion</w:t>
      </w:r>
      <w:bookmarkEnd w:id="19"/>
    </w:p>
    <w:p w:rsidRPr="00221BE0" w:rsidR="00FE1E85" w:rsidP="00221BE0" w:rsidRDefault="00FE1E85" w14:paraId="09DC986F" w14:textId="77777777">
      <w:pPr>
        <w:pStyle w:val="Heading2"/>
      </w:pPr>
      <w:bookmarkStart w:name="_Toc103237474" w:id="20"/>
      <w:bookmarkStart w:name="_Toc144934387" w:id="21"/>
      <w:r w:rsidRPr="00221BE0">
        <w:t>What is intersectionality?</w:t>
      </w:r>
      <w:bookmarkEnd w:id="20"/>
      <w:bookmarkEnd w:id="21"/>
    </w:p>
    <w:p w:rsidRPr="0054146E" w:rsidR="00FE1E85" w:rsidP="00221BE0" w:rsidRDefault="00FE1E85" w14:paraId="6ED082A2" w14:textId="1C6C14A5">
      <w:pPr>
        <w:pStyle w:val="Body"/>
      </w:pPr>
      <w:r w:rsidRPr="0054146E">
        <w:t>Intersectionality is an approach to understanding the diverse experiences of people and their identities</w:t>
      </w:r>
      <w:r w:rsidR="00BF002E">
        <w:t>. It involves</w:t>
      </w:r>
      <w:r w:rsidRPr="0054146E">
        <w:t xml:space="preserve"> recognising that this can create different layers and types of discrimination for an individual or group. It is important to understand that </w:t>
      </w:r>
      <w:r w:rsidR="001C40CF">
        <w:t>LGBTIQA+</w:t>
      </w:r>
      <w:r w:rsidRPr="0054146E">
        <w:t xml:space="preserve"> experiences are not all the same.</w:t>
      </w:r>
    </w:p>
    <w:p w:rsidRPr="0054146E" w:rsidR="00FE1E85" w:rsidP="00221BE0" w:rsidRDefault="00FE1E85" w14:paraId="6E3B9A32" w14:textId="42964E81">
      <w:pPr>
        <w:pStyle w:val="Body"/>
      </w:pPr>
      <w:r w:rsidRPr="0054146E">
        <w:t xml:space="preserve">As well as being diverse in their sexuality, gender identity or sex characteristics, </w:t>
      </w:r>
      <w:r w:rsidR="001C40CF">
        <w:t>LGBTIQA+</w:t>
      </w:r>
      <w:r w:rsidRPr="0054146E">
        <w:t xml:space="preserve"> people are diverse in other ways. This might include their Aboriginality, ethnicity, </w:t>
      </w:r>
      <w:r w:rsidR="00BF002E">
        <w:t xml:space="preserve">skin </w:t>
      </w:r>
      <w:r w:rsidRPr="0054146E">
        <w:t xml:space="preserve">colour, nationality, refugee or asylum seeker background, migration or via status, language, faith, ability, age, mental health, housing status or geographic location. For example, </w:t>
      </w:r>
      <w:r w:rsidR="001C40CF">
        <w:t>LGBTIQA+</w:t>
      </w:r>
      <w:r w:rsidRPr="0054146E">
        <w:t xml:space="preserve"> Victorians from ethnic faith communities experience life as </w:t>
      </w:r>
      <w:r w:rsidR="001C40CF">
        <w:t>LGBTIQA+</w:t>
      </w:r>
      <w:r w:rsidRPr="0054146E">
        <w:t>, as well as being a person of colour and person of faith.</w:t>
      </w:r>
    </w:p>
    <w:p w:rsidRPr="00221BE0" w:rsidR="00FE1E85" w:rsidP="00221BE0" w:rsidRDefault="00FE1E85" w14:paraId="6C6E9DF8" w14:textId="2CB22EC1">
      <w:pPr>
        <w:pStyle w:val="Heading2"/>
      </w:pPr>
      <w:bookmarkStart w:name="_Toc144934388" w:id="22"/>
      <w:r w:rsidRPr="00221BE0">
        <w:t xml:space="preserve">Intersectionality and the Rainbow Ready </w:t>
      </w:r>
      <w:r w:rsidR="000E39A2">
        <w:t>r</w:t>
      </w:r>
      <w:r w:rsidRPr="00221BE0">
        <w:t>oadmap</w:t>
      </w:r>
      <w:bookmarkEnd w:id="22"/>
    </w:p>
    <w:p w:rsidRPr="0054146E" w:rsidR="00FE1E85" w:rsidP="00221BE0" w:rsidRDefault="00FE1E85" w14:paraId="6AAF2701" w14:textId="1B4E8C93">
      <w:pPr>
        <w:pStyle w:val="Body"/>
      </w:pPr>
      <w:r w:rsidRPr="0054146E">
        <w:t xml:space="preserve">The </w:t>
      </w:r>
      <w:r w:rsidRPr="00853088" w:rsidR="00853088">
        <w:rPr>
          <w:b/>
          <w:bCs/>
        </w:rPr>
        <w:t>Rainbow Ready roadmap</w:t>
      </w:r>
      <w:r w:rsidRPr="0054146E">
        <w:t xml:space="preserve"> must be reviewed and used with an intersectional lens. </w:t>
      </w:r>
      <w:r w:rsidR="00BF002E">
        <w:t>This means</w:t>
      </w:r>
      <w:r w:rsidRPr="0054146E">
        <w:t xml:space="preserve"> recogni</w:t>
      </w:r>
      <w:r w:rsidR="00BF002E">
        <w:t>sing</w:t>
      </w:r>
      <w:r w:rsidRPr="0054146E">
        <w:t xml:space="preserve"> the diversity of </w:t>
      </w:r>
      <w:r w:rsidR="001C40CF">
        <w:t>LGBTIQA+</w:t>
      </w:r>
      <w:r w:rsidRPr="0054146E">
        <w:t xml:space="preserve"> communities, their </w:t>
      </w:r>
      <w:proofErr w:type="gramStart"/>
      <w:r w:rsidRPr="0054146E">
        <w:t>experiences</w:t>
      </w:r>
      <w:proofErr w:type="gramEnd"/>
      <w:r w:rsidRPr="0054146E">
        <w:t xml:space="preserve"> and identities. </w:t>
      </w:r>
    </w:p>
    <w:p w:rsidRPr="0054146E" w:rsidR="00FE1E85" w:rsidP="0061698F" w:rsidRDefault="00FE1E85" w14:paraId="74B3A4B8" w14:textId="7FA110B8">
      <w:pPr>
        <w:pStyle w:val="Body"/>
      </w:pPr>
      <w:r w:rsidRPr="0054146E">
        <w:t xml:space="preserve">At every stage of using the </w:t>
      </w:r>
      <w:r w:rsidRPr="00853088" w:rsidR="00853088">
        <w:rPr>
          <w:b/>
          <w:bCs/>
        </w:rPr>
        <w:t>Rainbow Ready roadmap</w:t>
      </w:r>
      <w:r w:rsidRPr="0054146E">
        <w:t xml:space="preserve">, consider how your actions and activities will be implemented to engage, </w:t>
      </w:r>
      <w:proofErr w:type="gramStart"/>
      <w:r w:rsidRPr="0054146E">
        <w:t>support</w:t>
      </w:r>
      <w:proofErr w:type="gramEnd"/>
      <w:r w:rsidRPr="0054146E">
        <w:t xml:space="preserve"> and respond to the needs of a wide range of </w:t>
      </w:r>
      <w:r w:rsidR="001C40CF">
        <w:t>LGBTIQA+</w:t>
      </w:r>
      <w:r w:rsidRPr="0054146E">
        <w:t xml:space="preserve"> people and communities. Additionally, ensure the people involved in planning, consulting on, delivering and evaluating your activities are themselves diverse in their </w:t>
      </w:r>
      <w:r w:rsidR="001C40CF">
        <w:t>LGBTIQA+</w:t>
      </w:r>
      <w:r w:rsidRPr="0054146E">
        <w:t xml:space="preserve"> identities and experiences. </w:t>
      </w:r>
    </w:p>
    <w:tbl>
      <w:tblPr>
        <w:tblStyle w:val="TableGrid"/>
        <w:tblpPr w:leftFromText="180" w:rightFromText="180" w:vertAnchor="text" w:horzAnchor="margin" w:tblpYSpec="center"/>
        <w:tblW w:w="0" w:type="auto"/>
        <w:tblLook w:val="0620" w:firstRow="1" w:lastRow="0" w:firstColumn="0" w:lastColumn="0" w:noHBand="1" w:noVBand="1"/>
      </w:tblPr>
      <w:tblGrid>
        <w:gridCol w:w="9010"/>
      </w:tblGrid>
      <w:tr w:rsidRPr="0054146E" w:rsidR="00FE1E85" w:rsidTr="0050714A" w14:paraId="1633F43F" w14:textId="77777777">
        <w:tc>
          <w:tcPr>
            <w:tcW w:w="9010" w:type="dxa"/>
            <w:tcBorders>
              <w:top w:val="nil"/>
              <w:left w:val="nil"/>
              <w:bottom w:val="nil"/>
              <w:right w:val="nil"/>
            </w:tcBorders>
            <w:shd w:val="clear" w:color="auto" w:fill="F2F2F2" w:themeFill="background1" w:themeFillShade="F2"/>
          </w:tcPr>
          <w:p w:rsidRPr="0054146E" w:rsidR="00FE1E85" w:rsidP="00221BE0" w:rsidRDefault="00FE1E85" w14:paraId="1A003D14" w14:textId="610B5868">
            <w:pPr>
              <w:pStyle w:val="Body"/>
            </w:pPr>
            <w:r w:rsidRPr="472E39CB">
              <w:t>In applying an intersectional lens to your project, ask the question</w:t>
            </w:r>
            <w:r w:rsidR="00581EE4">
              <w:t>s</w:t>
            </w:r>
            <w:r w:rsidR="00C30424">
              <w:t>:</w:t>
            </w:r>
            <w:r w:rsidRPr="472E39CB">
              <w:t xml:space="preserve"> </w:t>
            </w:r>
            <w:r w:rsidR="00C30424">
              <w:t>W</w:t>
            </w:r>
            <w:r w:rsidRPr="472E39CB">
              <w:t xml:space="preserve">ho is not at the table? Are we including </w:t>
            </w:r>
            <w:r w:rsidR="001C40CF">
              <w:t>LGBTIQA+</w:t>
            </w:r>
            <w:r w:rsidRPr="472E39CB">
              <w:t xml:space="preserve"> people with different identities and lived experiences in planning and project delivery? How are we enabling the voices of those who we don’t usually hear from?</w:t>
            </w:r>
            <w:r w:rsidR="00026F8A">
              <w:t xml:space="preserve"> </w:t>
            </w:r>
            <w:r w:rsidRPr="472E39CB">
              <w:t xml:space="preserve"> </w:t>
            </w:r>
          </w:p>
        </w:tc>
      </w:tr>
    </w:tbl>
    <w:p w:rsidRPr="00221BE0" w:rsidR="00FE1E85" w:rsidP="00221BE0" w:rsidRDefault="00FE1E85" w14:paraId="622DCF67" w14:textId="0B4B6779">
      <w:pPr>
        <w:pStyle w:val="Heading2"/>
      </w:pPr>
      <w:bookmarkStart w:name="_Toc144934389" w:id="23"/>
      <w:r w:rsidRPr="00221BE0">
        <w:t xml:space="preserve">Ensuring </w:t>
      </w:r>
      <w:proofErr w:type="gramStart"/>
      <w:r w:rsidRPr="00221BE0">
        <w:t>community-wide</w:t>
      </w:r>
      <w:proofErr w:type="gramEnd"/>
      <w:r w:rsidRPr="00221BE0">
        <w:t xml:space="preserve"> </w:t>
      </w:r>
      <w:r w:rsidR="001C40CF">
        <w:t>LGBTIQA+</w:t>
      </w:r>
      <w:r w:rsidRPr="00221BE0">
        <w:t xml:space="preserve"> inclusion</w:t>
      </w:r>
      <w:bookmarkEnd w:id="23"/>
    </w:p>
    <w:p w:rsidRPr="0054146E" w:rsidR="00FE1E85" w:rsidP="00221BE0" w:rsidRDefault="00FE1E85" w14:paraId="127A9D4E" w14:textId="6D9D77EE">
      <w:pPr>
        <w:pStyle w:val="Body"/>
      </w:pPr>
      <w:r w:rsidRPr="0054146E">
        <w:t xml:space="preserve">In using the </w:t>
      </w:r>
      <w:r w:rsidRPr="00853088" w:rsidR="00853088">
        <w:rPr>
          <w:b/>
          <w:bCs/>
        </w:rPr>
        <w:t>Rainbow Ready roadmap</w:t>
      </w:r>
      <w:r w:rsidRPr="0054146E">
        <w:t xml:space="preserve">, it’s important for your setting to consider opportunities to collaborate with individuals and groups from other settings in your wider community. Widespread </w:t>
      </w:r>
      <w:r w:rsidR="001C40CF">
        <w:t>LGBTIQA+</w:t>
      </w:r>
      <w:r w:rsidRPr="0054146E">
        <w:t xml:space="preserve"> inclusion cannot be achieved in isolation, and townships must ensure all environments are safe and welcoming for </w:t>
      </w:r>
      <w:r w:rsidR="001C40CF">
        <w:t>LGBTIQA+</w:t>
      </w:r>
      <w:r w:rsidRPr="0054146E">
        <w:t xml:space="preserve"> people. Consider how you can forge a meaningful partnership with another setting in the planning phase of your activities.</w:t>
      </w:r>
      <w:r w:rsidR="00026F8A">
        <w:t xml:space="preserve"> </w:t>
      </w:r>
    </w:p>
    <w:p w:rsidRPr="0054146E" w:rsidR="00FE1E85" w:rsidP="00221BE0" w:rsidRDefault="00FE1E85" w14:paraId="3C47407A" w14:textId="4DB331EB">
      <w:pPr>
        <w:pStyle w:val="Body"/>
      </w:pPr>
      <w:r w:rsidRPr="0054146E">
        <w:t xml:space="preserve">For example, a local </w:t>
      </w:r>
      <w:r w:rsidR="001C40CF">
        <w:t>LGBTIQA+</w:t>
      </w:r>
      <w:r w:rsidRPr="0054146E">
        <w:t xml:space="preserve"> sporting group could work with </w:t>
      </w:r>
      <w:r w:rsidR="000E39A2">
        <w:t>l</w:t>
      </w:r>
      <w:r w:rsidRPr="0054146E">
        <w:t xml:space="preserve">ocal </w:t>
      </w:r>
      <w:r w:rsidR="000E39A2">
        <w:t>g</w:t>
      </w:r>
      <w:r w:rsidRPr="0054146E">
        <w:t xml:space="preserve">overnment to ensure the group is promoted by the </w:t>
      </w:r>
      <w:r w:rsidR="000E39A2">
        <w:t>c</w:t>
      </w:r>
      <w:r w:rsidRPr="0054146E">
        <w:t xml:space="preserve">ouncil, and that </w:t>
      </w:r>
      <w:r w:rsidR="006178D2">
        <w:t xml:space="preserve">all </w:t>
      </w:r>
      <w:r w:rsidR="000E39A2">
        <w:t>c</w:t>
      </w:r>
      <w:r w:rsidRPr="0054146E">
        <w:t xml:space="preserve">ouncil sporting facilities are welcoming of </w:t>
      </w:r>
      <w:r w:rsidR="001C40CF">
        <w:t>LGBTIQA+</w:t>
      </w:r>
      <w:r w:rsidRPr="0054146E">
        <w:t xml:space="preserve"> people. </w:t>
      </w:r>
      <w:bookmarkStart w:name="_Hlk100672989" w:id="24"/>
    </w:p>
    <w:bookmarkEnd w:id="24"/>
    <w:p w:rsidR="0050714A" w:rsidP="00221BE0" w:rsidRDefault="00FE1E85" w14:paraId="66A41E8C" w14:textId="7A5FAA3E">
      <w:pPr>
        <w:pStyle w:val="Body"/>
        <w:rPr>
          <w:rFonts w:cstheme="minorHAnsi"/>
          <w:sz w:val="22"/>
          <w:szCs w:val="22"/>
        </w:rPr>
      </w:pPr>
      <w:r w:rsidRPr="0054146E">
        <w:t xml:space="preserve">In addition to working with your broader township, consider how you might collaborate with metropolitan groups, </w:t>
      </w:r>
      <w:proofErr w:type="gramStart"/>
      <w:r w:rsidRPr="0054146E">
        <w:t>organisations</w:t>
      </w:r>
      <w:proofErr w:type="gramEnd"/>
      <w:r w:rsidRPr="0054146E">
        <w:t xml:space="preserve"> and service providers. Many metropolitan </w:t>
      </w:r>
      <w:r w:rsidR="001C40CF">
        <w:t>LGBTIQA+</w:t>
      </w:r>
      <w:r w:rsidRPr="0054146E">
        <w:t xml:space="preserve"> groups and organisations deliver activities and services across rural and regional Victoria. Forging partnerships with these groups can be an effective way to gain wider support for your township, leverage their existing knowledge and frameworks for </w:t>
      </w:r>
      <w:r w:rsidR="001C40CF">
        <w:t>LGBTIQA+</w:t>
      </w:r>
      <w:r w:rsidRPr="0054146E">
        <w:t xml:space="preserve"> inclusion, and encourage </w:t>
      </w:r>
      <w:proofErr w:type="spellStart"/>
      <w:r w:rsidRPr="0054146E">
        <w:t>statewide</w:t>
      </w:r>
      <w:proofErr w:type="spellEnd"/>
      <w:r w:rsidRPr="0054146E">
        <w:t xml:space="preserve"> expansion of services available to metropolitan areas.</w:t>
      </w:r>
      <w:r w:rsidRPr="0050714A" w:rsidR="0050714A">
        <w:rPr>
          <w:rFonts w:cstheme="minorHAnsi"/>
          <w:sz w:val="22"/>
          <w:szCs w:val="22"/>
        </w:rPr>
        <w:t xml:space="preserve"> </w:t>
      </w:r>
    </w:p>
    <w:p w:rsidRPr="0054146E" w:rsidR="00FE1E85" w:rsidP="0050714A" w:rsidRDefault="0050714A" w14:paraId="42A5504F" w14:textId="43130515">
      <w:pPr>
        <w:pStyle w:val="Quotetext"/>
      </w:pPr>
      <w:r w:rsidRPr="0054146E">
        <w:t xml:space="preserve">The Victorian Pride Centre’s </w:t>
      </w:r>
      <w:hyperlink w:history="1" r:id="rId20">
        <w:r w:rsidRPr="000E39A2">
          <w:rPr>
            <w:rStyle w:val="Hyperlink"/>
            <w:rFonts w:cstheme="minorHAnsi"/>
            <w:sz w:val="22"/>
            <w:szCs w:val="22"/>
          </w:rPr>
          <w:t>resource directory</w:t>
        </w:r>
      </w:hyperlink>
      <w:r w:rsidRPr="0054146E">
        <w:t xml:space="preserve"> </w:t>
      </w:r>
      <w:r>
        <w:t>&lt;</w:t>
      </w:r>
      <w:r w:rsidRPr="00954886">
        <w:t>https://pridecentre.org.au/resource-directory/</w:t>
      </w:r>
      <w:r>
        <w:t xml:space="preserve">&gt; </w:t>
      </w:r>
      <w:r w:rsidRPr="0054146E">
        <w:t xml:space="preserve">can be a good place to start in identifying </w:t>
      </w:r>
      <w:proofErr w:type="spellStart"/>
      <w:r w:rsidRPr="0054146E">
        <w:t>statewide</w:t>
      </w:r>
      <w:proofErr w:type="spellEnd"/>
      <w:r w:rsidRPr="0054146E">
        <w:t xml:space="preserve"> </w:t>
      </w:r>
      <w:r w:rsidR="001C40CF">
        <w:t>LGBTIQA+</w:t>
      </w:r>
      <w:r w:rsidRPr="0054146E">
        <w:t xml:space="preserve"> resources, </w:t>
      </w:r>
      <w:proofErr w:type="gramStart"/>
      <w:r w:rsidRPr="0054146E">
        <w:t>groups</w:t>
      </w:r>
      <w:proofErr w:type="gramEnd"/>
      <w:r w:rsidRPr="0054146E">
        <w:t xml:space="preserve"> and services.</w:t>
      </w:r>
    </w:p>
    <w:p w:rsidRPr="00221BE0" w:rsidR="00FE1E85" w:rsidRDefault="4BBABABD" w14:paraId="31773B9E" w14:textId="4E01ED8E">
      <w:pPr>
        <w:pStyle w:val="Heading2"/>
        <w:rPr>
          <w:rFonts w:eastAsiaTheme="majorEastAsia"/>
        </w:rPr>
      </w:pPr>
      <w:bookmarkStart w:name="_Toc144934390" w:id="25"/>
      <w:bookmarkEnd w:id="18"/>
      <w:r w:rsidRPr="6B47B7C0">
        <w:rPr>
          <w:rFonts w:eastAsiaTheme="majorEastAsia"/>
        </w:rPr>
        <w:t>Sharing your Rainbow Ready projects</w:t>
      </w:r>
      <w:bookmarkEnd w:id="25"/>
    </w:p>
    <w:p w:rsidR="00FE1E85" w:rsidP="00221BE0" w:rsidRDefault="0024631D" w14:paraId="582CFE72" w14:textId="0F9B5DD0">
      <w:pPr>
        <w:pStyle w:val="Body"/>
      </w:pPr>
      <w:r>
        <w:t xml:space="preserve">When you feel you have </w:t>
      </w:r>
      <w:r w:rsidRPr="0024631D">
        <w:t xml:space="preserve">done your </w:t>
      </w:r>
      <w:r w:rsidRPr="00E94CB1" w:rsidR="00FE1E85">
        <w:t xml:space="preserve">Rainbow Ready </w:t>
      </w:r>
      <w:r w:rsidRPr="0024631D">
        <w:t xml:space="preserve">roadmap projects based on the indicators under your setting </w:t>
      </w:r>
      <w:proofErr w:type="gramStart"/>
      <w:r w:rsidRPr="0024631D">
        <w:t>guide</w:t>
      </w:r>
      <w:r>
        <w:t xml:space="preserve">  you</w:t>
      </w:r>
      <w:proofErr w:type="gramEnd"/>
      <w:r>
        <w:t xml:space="preserve"> may want to find a way to </w:t>
      </w:r>
      <w:r w:rsidR="00FE1E85">
        <w:t>publicly</w:t>
      </w:r>
      <w:r w:rsidRPr="00E94CB1" w:rsidR="00FE1E85">
        <w:t xml:space="preserve"> share</w:t>
      </w:r>
      <w:r>
        <w:t xml:space="preserve"> your results</w:t>
      </w:r>
      <w:r w:rsidR="009B3D5C">
        <w:t xml:space="preserve"> –</w:t>
      </w:r>
      <w:r w:rsidR="005C4E2B">
        <w:t xml:space="preserve"> </w:t>
      </w:r>
      <w:r w:rsidR="00FE1E85">
        <w:t>for example</w:t>
      </w:r>
      <w:r w:rsidR="005C4E2B">
        <w:t>,</w:t>
      </w:r>
      <w:r w:rsidR="00FE1E85">
        <w:t xml:space="preserve"> via your group or organisation’s website</w:t>
      </w:r>
      <w:r w:rsidR="005C4E2B">
        <w:t xml:space="preserve">. </w:t>
      </w:r>
    </w:p>
    <w:p w:rsidR="0024631D" w:rsidRDefault="00FE1E85" w14:paraId="799FB5B4" w14:textId="0F7EA305">
      <w:pPr>
        <w:pStyle w:val="Body"/>
      </w:pPr>
      <w:r>
        <w:t xml:space="preserve">Publicly sharing your group, service or organisation’s Rainbow Ready </w:t>
      </w:r>
      <w:r w:rsidR="22CE2C27">
        <w:t>projects</w:t>
      </w:r>
      <w:r>
        <w:t xml:space="preserve"> is a good way to assist others in your region or town to continue or build on the work</w:t>
      </w:r>
      <w:r w:rsidR="005C4E2B">
        <w:t xml:space="preserve"> already</w:t>
      </w:r>
      <w:r>
        <w:t xml:space="preserve"> undertaken. </w:t>
      </w:r>
      <w:r w:rsidR="00954886">
        <w:t>Importantly, it’s an opportunity to celebrate your achievements.</w:t>
      </w:r>
    </w:p>
    <w:p w:rsidRPr="00E94CB1" w:rsidR="00FE1E85" w:rsidP="00221BE0" w:rsidRDefault="0024631D" w14:paraId="5D189B76" w14:textId="0840A533">
      <w:pPr>
        <w:pStyle w:val="Body"/>
      </w:pPr>
      <w:r>
        <w:t xml:space="preserve">We’d also ask not only that you let us know, in the Equality Unit, but also that you share your success stories and learnings of what worked and what didn’t in your project, so that others across rural and regional Victoria, and elsewhere, can learn from your experiences. </w:t>
      </w:r>
      <w:r w:rsidRPr="0024631D">
        <w:t xml:space="preserve">It’s one of the main purposes of this project, as </w:t>
      </w:r>
      <w:r w:rsidR="001C40CF">
        <w:t>LGBTIQA+</w:t>
      </w:r>
      <w:r w:rsidRPr="0024631D">
        <w:t xml:space="preserve"> people across the state told us they would like to see how inclusion work was done. We want you to share your stories so that others can apply the lessons in their own town, </w:t>
      </w:r>
      <w:proofErr w:type="gramStart"/>
      <w:r w:rsidRPr="0024631D">
        <w:t>community</w:t>
      </w:r>
      <w:proofErr w:type="gramEnd"/>
      <w:r w:rsidRPr="0024631D">
        <w:t xml:space="preserve"> or organisation</w:t>
      </w:r>
      <w:r>
        <w:t>.</w:t>
      </w:r>
      <w:r w:rsidR="00954886">
        <w:t xml:space="preserve"> </w:t>
      </w:r>
    </w:p>
    <w:p w:rsidRPr="00221BE0" w:rsidR="00FE1E85" w:rsidP="00221BE0" w:rsidRDefault="00FE1E85" w14:paraId="1410F24F" w14:textId="330E59B7">
      <w:pPr>
        <w:pStyle w:val="Heading2"/>
      </w:pPr>
      <w:bookmarkStart w:name="_Toc144934391" w:id="26"/>
      <w:r w:rsidRPr="00221BE0">
        <w:t xml:space="preserve">Where to from </w:t>
      </w:r>
      <w:r w:rsidR="00216FFA">
        <w:t xml:space="preserve">being </w:t>
      </w:r>
      <w:r w:rsidRPr="00221BE0">
        <w:t>Rainbow Ready?</w:t>
      </w:r>
      <w:bookmarkEnd w:id="26"/>
    </w:p>
    <w:p w:rsidR="00216FFA" w:rsidP="00221BE0" w:rsidRDefault="00FE1E85" w14:paraId="69F35A18" w14:textId="19664581">
      <w:pPr>
        <w:pStyle w:val="Body"/>
      </w:pPr>
      <w:r>
        <w:t xml:space="preserve">The </w:t>
      </w:r>
      <w:r w:rsidRPr="00853088" w:rsidR="00853088">
        <w:rPr>
          <w:b/>
          <w:bCs/>
        </w:rPr>
        <w:t>Rainbow Ready roadmap</w:t>
      </w:r>
      <w:r w:rsidRPr="002731FF">
        <w:t xml:space="preserve"> has been designed specifically for rural and regional Victorian settings and </w:t>
      </w:r>
      <w:r w:rsidR="0024631D">
        <w:t xml:space="preserve">can </w:t>
      </w:r>
      <w:r w:rsidRPr="002731FF">
        <w:t>offer a pathway to undertaking Rainbow Tick</w:t>
      </w:r>
      <w:r w:rsidR="0001530B">
        <w:t xml:space="preserve"> accreditation</w:t>
      </w:r>
      <w:r>
        <w:t xml:space="preserve">. </w:t>
      </w:r>
      <w:r w:rsidRPr="00216FFA" w:rsidR="00216FFA">
        <w:t xml:space="preserve">Undertaking activities suggested within the Rainbow Ready roadmap </w:t>
      </w:r>
      <w:r w:rsidR="00216FFA">
        <w:t>can</w:t>
      </w:r>
      <w:r w:rsidRPr="00216FFA" w:rsidR="00216FFA">
        <w:t xml:space="preserve"> help you gather evidence that you may use later if you choose to go down the path of the Rainbow Tick.</w:t>
      </w:r>
      <w:r w:rsidR="00216FFA">
        <w:t xml:space="preserve"> </w:t>
      </w:r>
    </w:p>
    <w:p w:rsidRPr="002731FF" w:rsidR="00FE1E85" w:rsidP="00221BE0" w:rsidRDefault="00FE1E85" w14:paraId="692C7E83" w14:textId="038525EE">
      <w:pPr>
        <w:pStyle w:val="Body"/>
      </w:pPr>
      <w:r w:rsidRPr="00864CEC">
        <w:t xml:space="preserve">Those </w:t>
      </w:r>
      <w:r w:rsidR="0024631D">
        <w:t>l</w:t>
      </w:r>
      <w:r w:rsidRPr="0024631D" w:rsidR="0024631D">
        <w:t xml:space="preserve">arger health and human services </w:t>
      </w:r>
      <w:r w:rsidRPr="00864CEC">
        <w:t xml:space="preserve">who achieve Rainbow Ready status are encouraged to consider Rainbow Tick </w:t>
      </w:r>
      <w:r>
        <w:t>accreditation</w:t>
      </w:r>
      <w:r w:rsidRPr="00864CEC">
        <w:t xml:space="preserve">, where appropriate. </w:t>
      </w:r>
      <w:r w:rsidRPr="002731FF">
        <w:t>Rainbow Tick is a national accreditation program for health and human services organisations</w:t>
      </w:r>
      <w:r>
        <w:t>, and other large services,</w:t>
      </w:r>
      <w:r w:rsidRPr="002731FF">
        <w:t xml:space="preserve"> to show they are safe, </w:t>
      </w:r>
      <w:proofErr w:type="gramStart"/>
      <w:r w:rsidRPr="002731FF">
        <w:t>inclusive</w:t>
      </w:r>
      <w:proofErr w:type="gramEnd"/>
      <w:r w:rsidRPr="002731FF">
        <w:t xml:space="preserve"> and affirming </w:t>
      </w:r>
      <w:r>
        <w:t xml:space="preserve">of </w:t>
      </w:r>
      <w:r w:rsidR="001C40CF">
        <w:t>LGBTIQA+</w:t>
      </w:r>
      <w:r>
        <w:t xml:space="preserve"> people</w:t>
      </w:r>
      <w:r w:rsidRPr="002731FF">
        <w:t xml:space="preserve">. </w:t>
      </w:r>
    </w:p>
    <w:p w:rsidR="00216FFA" w:rsidP="00221BE0" w:rsidRDefault="0001530B" w14:paraId="4DE4F760" w14:textId="0D61BFEC">
      <w:pPr>
        <w:pStyle w:val="Body"/>
      </w:pPr>
      <w:r>
        <w:t>Go online to f</w:t>
      </w:r>
      <w:r w:rsidR="000E39A2">
        <w:t xml:space="preserve">ind out </w:t>
      </w:r>
      <w:r w:rsidR="00FE1E85">
        <w:t>m</w:t>
      </w:r>
      <w:r w:rsidRPr="00864CEC" w:rsidR="00FE1E85">
        <w:t xml:space="preserve">ore </w:t>
      </w:r>
      <w:r w:rsidR="000E39A2">
        <w:t xml:space="preserve">about the </w:t>
      </w:r>
      <w:hyperlink w:history="1" r:id="rId21">
        <w:r w:rsidRPr="000E39A2" w:rsidR="00FE1E85">
          <w:rPr>
            <w:rStyle w:val="Hyperlink"/>
          </w:rPr>
          <w:t>Rainbow Tick</w:t>
        </w:r>
      </w:hyperlink>
      <w:r w:rsidRPr="00864CEC" w:rsidR="00FE1E85">
        <w:t xml:space="preserve"> </w:t>
      </w:r>
      <w:r w:rsidR="000E39A2">
        <w:t>&lt;</w:t>
      </w:r>
      <w:r w:rsidRPr="0061698F" w:rsidR="000E39A2">
        <w:t>https://rainbowhealthaustralia.org.au/rainbow-tick</w:t>
      </w:r>
      <w:r w:rsidR="000E39A2">
        <w:rPr>
          <w:rFonts w:cstheme="minorHAnsi"/>
          <w:sz w:val="22"/>
          <w:szCs w:val="22"/>
        </w:rPr>
        <w:t>&gt;</w:t>
      </w:r>
      <w:r w:rsidRPr="00864CEC" w:rsidR="00FE1E85">
        <w:t>.</w:t>
      </w:r>
    </w:p>
    <w:sectPr w:rsidR="00216FFA" w:rsidSect="009A6471">
      <w:pgSz w:w="11906" w:h="16838" w:orient="portrait"/>
      <w:pgMar w:top="1411" w:right="1310" w:bottom="850" w:left="131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116" w:rsidRDefault="00204116" w14:paraId="448832F5" w14:textId="77777777">
      <w:r>
        <w:separator/>
      </w:r>
    </w:p>
    <w:p w:rsidR="00204116" w:rsidRDefault="00204116" w14:paraId="3817C1E3" w14:textId="77777777"/>
  </w:endnote>
  <w:endnote w:type="continuationSeparator" w:id="0">
    <w:p w:rsidR="00204116" w:rsidRDefault="00204116" w14:paraId="026A9A32" w14:textId="77777777">
      <w:r>
        <w:continuationSeparator/>
      </w:r>
    </w:p>
    <w:p w:rsidR="00204116" w:rsidRDefault="00204116" w14:paraId="4EAA14E1" w14:textId="77777777"/>
  </w:endnote>
  <w:endnote w:type="continuationNotice" w:id="1">
    <w:p w:rsidR="00FB27D9" w:rsidRDefault="00FB27D9" w14:paraId="1DA032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duster">
    <w:altName w:val="Comic Sans MS"/>
    <w:charset w:val="4D"/>
    <w:family w:val="script"/>
    <w:pitch w:val="variable"/>
    <w:sig w:usb0="80000023" w:usb1="00000000" w:usb2="00000000" w:usb3="00000000" w:csb0="00000001" w:csb1="00000000"/>
  </w:font>
  <w:font w:name="Times New Roman (Headings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B4BC7" w:rsidRDefault="001C7128" w14:paraId="21E06AB0" w14:textId="22901273">
    <w:pPr>
      <w:pStyle w:val="Footer"/>
    </w:pPr>
    <w:r>
      <w:rPr>
        <w:noProof/>
        <w:lang w:eastAsia="en-AU"/>
      </w:rPr>
      <mc:AlternateContent>
        <mc:Choice Requires="wps">
          <w:drawing>
            <wp:anchor distT="0" distB="0" distL="114300" distR="114300" simplePos="0" relativeHeight="251658242"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C7128" w:rsidR="001C7128" w:rsidP="001C7128" w:rsidRDefault="001C7128" w14:paraId="08EC5D7E" w14:textId="292E2C3E">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w14:anchorId="6C4F5CD3">
            <v:shapetype id="_x0000_t202" coordsize="21600,21600" o:spt="202" path="m,l,21600r21600,l21600,xe" w14:anchorId="6EBCE929">
              <v:stroke joinstyle="miter"/>
              <v:path gradientshapeok="t" o:connecttype="rect"/>
            </v:shapetype>
            <v:shape id="Text Box 3"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1C7128" w:rsidR="001C7128" w:rsidP="001C7128" w:rsidRDefault="001C7128" w14:paraId="08CE8BEA"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4918659" w14:textId="5CB96CC1">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w14:anchorId="76897C49">
            <v:shape id="Text Box 11"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w14:anchorId="1BA32EAB">
              <v:textbox inset=",0,,0">
                <w:txbxContent>
                  <w:p w:rsidRPr="00EB4BC7" w:rsidR="00EB4BC7" w:rsidP="00EB4BC7" w:rsidRDefault="00EB4BC7" w14:paraId="09E77742"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B4BC7" w:rsidRDefault="00EB4BC7" w14:paraId="043C3CA5" w14:textId="77777777">
    <w:pPr>
      <w:pStyle w:val="Footer"/>
    </w:pPr>
  </w:p>
  <w:p w:rsidR="00EF1512" w:rsidRDefault="00EF1512" w14:paraId="5150111E" w14:textId="25DB2CD8"/>
  <w:p w:rsidR="00431A70" w:rsidRDefault="00EB4BC7" w14:paraId="795C27F3" w14:textId="735E2BCF">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2C5B7C" w:rsidRDefault="00EB4BC7" w14:paraId="6C8B923F" w14:textId="188DBC95">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w14:anchorId="1D170375">
            <v:shapetype id="_x0000_t202" coordsize="21600,21600" o:spt="202" path="m,l,21600r21600,l21600,xe" w14:anchorId="47C005B9">
              <v:stroke joinstyle="miter"/>
              <v:path gradientshapeok="t" o:connecttype="rect"/>
            </v:shapetype>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2C5B7C" w:rsidRDefault="00EB4BC7" w14:paraId="17D1F485"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E2466" w:rsidRDefault="00FC36F6" w14:paraId="2DAD614C" w14:textId="08175387">
    <w:pPr>
      <w:pStyle w:val="Footer"/>
    </w:pPr>
    <w:r>
      <w:rPr>
        <w:noProof/>
      </w:rPr>
      <w:drawing>
        <wp:anchor distT="0" distB="0" distL="114300" distR="114300" simplePos="0" relativeHeight="251658244" behindDoc="1" locked="1" layoutInCell="1" allowOverlap="1" wp14:anchorId="082648E6" wp14:editId="5B96DEF0">
          <wp:simplePos x="0" y="0"/>
          <wp:positionH relativeFrom="page">
            <wp:posOffset>0</wp:posOffset>
          </wp:positionH>
          <wp:positionV relativeFrom="page">
            <wp:align>bottom</wp:align>
          </wp:positionV>
          <wp:extent cx="7560000" cy="921600"/>
          <wp:effectExtent l="0" t="0" r="0" b="5715"/>
          <wp:wrapNone/>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466">
      <w:rPr>
        <w:noProof/>
      </w:rPr>
      <mc:AlternateContent>
        <mc:Choice Requires="wps">
          <w:drawing>
            <wp:anchor distT="0" distB="0" distL="114300" distR="114300" simplePos="0" relativeHeight="251658243" behindDoc="0" locked="0" layoutInCell="0" allowOverlap="1" wp14:anchorId="3AEBA2BA" wp14:editId="5A61113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E2466" w:rsidR="005E2466" w:rsidP="005E2466" w:rsidRDefault="005E2466" w14:paraId="5BC15E95" w14:textId="5EDD7AD3">
                          <w:pPr>
                            <w:spacing w:after="0"/>
                            <w:jc w:val="center"/>
                            <w:rPr>
                              <w:rFonts w:ascii="Arial Black" w:hAnsi="Arial Black"/>
                              <w:color w:val="000000"/>
                              <w:sz w:val="20"/>
                            </w:rPr>
                          </w:pPr>
                          <w:r w:rsidRPr="005E24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CCED6CE">
            <v:shapetype id="_x0000_t202" coordsize="21600,21600" o:spt="202" path="m,l,21600r21600,l21600,xe" w14:anchorId="3AEBA2BA">
              <v:stroke joinstyle="miter"/>
              <v:path gradientshapeok="t" o:connecttype="rect"/>
            </v:shapetype>
            <v:shape id="Text Box 1"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5E2466" w:rsidR="005E2466" w:rsidP="005E2466" w:rsidRDefault="005E2466" w14:paraId="75F360E3" w14:textId="5EDD7AD3">
                    <w:pPr>
                      <w:spacing w:after="0"/>
                      <w:jc w:val="center"/>
                      <w:rPr>
                        <w:rFonts w:ascii="Arial Black" w:hAnsi="Arial Black"/>
                        <w:color w:val="000000"/>
                        <w:sz w:val="20"/>
                      </w:rPr>
                    </w:pPr>
                    <w:r w:rsidRPr="005E246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116" w:rsidP="00207717" w:rsidRDefault="00204116" w14:paraId="3BA9B34D" w14:textId="77777777">
      <w:pPr>
        <w:spacing w:before="120"/>
      </w:pPr>
      <w:r>
        <w:separator/>
      </w:r>
    </w:p>
  </w:footnote>
  <w:footnote w:type="continuationSeparator" w:id="0">
    <w:p w:rsidR="00204116" w:rsidRDefault="00204116" w14:paraId="40B6D861" w14:textId="77777777">
      <w:r>
        <w:continuationSeparator/>
      </w:r>
    </w:p>
    <w:p w:rsidR="00204116" w:rsidRDefault="00204116" w14:paraId="4197E677" w14:textId="77777777"/>
  </w:footnote>
  <w:footnote w:type="continuationNotice" w:id="1">
    <w:p w:rsidR="00FB27D9" w:rsidRDefault="00FB27D9" w14:paraId="7301435B" w14:textId="77777777">
      <w:pPr>
        <w:spacing w:after="0" w:line="240" w:lineRule="auto"/>
      </w:pPr>
    </w:p>
  </w:footnote>
  <w:footnote w:id="2">
    <w:p w:rsidR="00FE1E85" w:rsidP="00FE1E85" w:rsidRDefault="00FE1E85" w14:paraId="1635F9EC" w14:textId="43CAA0E5">
      <w:pPr>
        <w:pStyle w:val="FootnoteText"/>
      </w:pPr>
      <w:r w:rsidRPr="003365C0">
        <w:rPr>
          <w:rStyle w:val="FootnoteReference"/>
          <w:sz w:val="16"/>
        </w:rPr>
        <w:footnoteRef/>
      </w:r>
      <w:r w:rsidRPr="003365C0">
        <w:rPr>
          <w:sz w:val="16"/>
        </w:rPr>
        <w:t xml:space="preserve"> </w:t>
      </w:r>
      <w:r w:rsidRPr="009A28A8" w:rsidR="00CE19D1">
        <w:t>Refer to</w:t>
      </w:r>
      <w:r w:rsidRPr="009A28A8">
        <w:t xml:space="preserve">: </w:t>
      </w:r>
      <w:hyperlink w:history="1" r:id="rId1">
        <w:r w:rsidRPr="009A28A8" w:rsidR="00CE19D1">
          <w:rPr>
            <w:rStyle w:val="Hyperlink"/>
          </w:rPr>
          <w:t>The health and wellbeing of the lesbian, gay, bisexual, transgender, intersex and queer population in Victoria: Findings from the Victorian Population Health Survey 2017</w:t>
        </w:r>
      </w:hyperlink>
      <w:r w:rsidRPr="00CE19D1" w:rsidR="00CE19D1">
        <w:rPr>
          <w:sz w:val="16"/>
        </w:rPr>
        <w:t xml:space="preserve"> </w:t>
      </w:r>
      <w:r w:rsidRPr="00853088" w:rsidR="00CE19D1">
        <w:t>&lt;</w:t>
      </w:r>
      <w:r w:rsidRPr="00853088" w:rsidR="005E4B7F">
        <w:t>https://vahi.vic.gov.au/report/population-health/health-and-wellbeing-lgbtiq-population-victoria</w:t>
      </w:r>
      <w:r w:rsidRPr="00853088" w:rsidR="00CE19D1">
        <w:t>&gt;.</w:t>
      </w:r>
    </w:p>
  </w:footnote>
  <w:footnote w:id="3">
    <w:p w:rsidRPr="003365C0" w:rsidR="00FE1E85" w:rsidP="00853088" w:rsidRDefault="00FE1E85" w14:paraId="2FC19559" w14:textId="4756EA2D">
      <w:pPr>
        <w:pStyle w:val="FootnoteText"/>
      </w:pPr>
      <w:r w:rsidRPr="003365C0">
        <w:rPr>
          <w:rStyle w:val="FootnoteReference"/>
          <w:sz w:val="16"/>
        </w:rPr>
        <w:footnoteRef/>
      </w:r>
      <w:r w:rsidRPr="003365C0">
        <w:t xml:space="preserve"> </w:t>
      </w:r>
      <w:proofErr w:type="spellStart"/>
      <w:r w:rsidRPr="003365C0">
        <w:t>Besley</w:t>
      </w:r>
      <w:proofErr w:type="spellEnd"/>
      <w:r w:rsidRPr="003365C0">
        <w:t xml:space="preserve"> </w:t>
      </w:r>
      <w:r w:rsidR="00CE19D1">
        <w:t xml:space="preserve">M, </w:t>
      </w:r>
      <w:r w:rsidRPr="003365C0">
        <w:t xml:space="preserve">Chandler </w:t>
      </w:r>
      <w:r w:rsidR="00CE19D1">
        <w:t xml:space="preserve">P </w:t>
      </w:r>
      <w:r w:rsidRPr="003365C0">
        <w:t>2018</w:t>
      </w:r>
      <w:r w:rsidR="00CE19D1">
        <w:t>,</w:t>
      </w:r>
      <w:r w:rsidRPr="003365C0">
        <w:t xml:space="preserve"> </w:t>
      </w:r>
      <w:r w:rsidRPr="00FB4B7D">
        <w:t xml:space="preserve">Program </w:t>
      </w:r>
      <w:r w:rsidRPr="00FB4B7D" w:rsidR="00CE19D1">
        <w:t>l</w:t>
      </w:r>
      <w:r w:rsidRPr="00FB4B7D">
        <w:t xml:space="preserve">ogic for </w:t>
      </w:r>
      <w:r w:rsidR="001C40CF">
        <w:t>LGBTIQA+</w:t>
      </w:r>
      <w:r w:rsidRPr="00FB4B7D">
        <w:t xml:space="preserve"> Equality Roadshow </w:t>
      </w:r>
      <w:r w:rsidRPr="00FB4B7D" w:rsidR="00CE19D1">
        <w:t>e</w:t>
      </w:r>
      <w:r w:rsidRPr="00FB4B7D">
        <w:t>valuation</w:t>
      </w:r>
      <w:r w:rsidR="00CE19D1">
        <w:t>,</w:t>
      </w:r>
      <w:r w:rsidRPr="003365C0">
        <w:t xml:space="preserve"> VicHealth</w:t>
      </w:r>
      <w:r w:rsidR="00CE19D1">
        <w:t>,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A70" w:rsidRDefault="00C60411" w14:paraId="1B8F185F" w14:textId="3B103123">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alignment="right" w:relativeTo="margin" w:leader="none"/>
    </w:r>
    <w:r>
      <w:t>Document title</w:t>
    </w:r>
    <w:r>
      <w:rPr>
        <w:noProof/>
      </w:rPr>
      <w:t xml:space="preserve"> </w:t>
    </w:r>
    <w:r w:rsidRPr="009C245E" w:rsid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C7128" w:rsidR="00562811" w:rsidP="001C7128" w:rsidRDefault="00FE1E85" w14:paraId="082BA3E9" w14:textId="11083526">
    <w:pPr>
      <w:pStyle w:val="Header"/>
    </w:pPr>
    <w:r w:rsidRPr="00FE1E85">
      <w:t xml:space="preserve">Rainbow </w:t>
    </w:r>
    <w:r w:rsidR="00993EB2">
      <w:t xml:space="preserve">Ready </w:t>
    </w:r>
    <w:r w:rsidRPr="00FE1E85">
      <w:t>roadmap</w:t>
    </w:r>
    <w:r w:rsidR="00993EB2">
      <w:t xml:space="preserve"> – </w:t>
    </w:r>
    <w:r w:rsidRPr="00993EB2" w:rsidR="00993EB2">
      <w:t>Guide A: User guide</w:t>
    </w:r>
    <w:r w:rsidR="009B3D5C">
      <w:t xml:space="preserve"> (accessible)</w:t>
    </w:r>
    <w:r w:rsidR="001C7128">
      <w:ptab w:alignment="right" w:relativeTo="margin" w:leader="none"/>
    </w:r>
    <w:r w:rsidRPr="00DE6C85" w:rsidR="001C7128">
      <w:rPr>
        <w:b w:val="0"/>
        <w:bCs/>
      </w:rPr>
      <w:fldChar w:fldCharType="begin"/>
    </w:r>
    <w:r w:rsidRPr="00DE6C85" w:rsidR="001C7128">
      <w:rPr>
        <w:bCs/>
      </w:rPr>
      <w:instrText xml:space="preserve"> PAGE </w:instrText>
    </w:r>
    <w:r w:rsidRPr="00DE6C85" w:rsidR="001C7128">
      <w:rPr>
        <w:b w:val="0"/>
        <w:bCs/>
      </w:rPr>
      <w:fldChar w:fldCharType="separate"/>
    </w:r>
    <w:r w:rsidR="001C7128">
      <w:rPr>
        <w:bCs/>
      </w:rPr>
      <w:t>7</w:t>
    </w:r>
    <w:r w:rsidRPr="00DE6C85" w:rsidR="001C7128">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611" w:rsidRDefault="00CD0611" w14:paraId="01998E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73"/>
    <w:multiLevelType w:val="hybridMultilevel"/>
    <w:tmpl w:val="98C4331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58D2618"/>
    <w:multiLevelType w:val="hybridMultilevel"/>
    <w:tmpl w:val="B7D2990E"/>
    <w:lvl w:ilvl="0" w:tplc="B4EA0CC8">
      <w:start w:val="1"/>
      <w:numFmt w:val="decimal"/>
      <w:lvlText w:val="%1."/>
      <w:lvlJc w:val="left"/>
      <w:pPr>
        <w:ind w:left="360" w:hanging="360"/>
      </w:pPr>
      <w:rPr>
        <w:rFonts w:hint="default" w:cstheme="minorHAnsi"/>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DC6E52"/>
    <w:multiLevelType w:val="hybridMultilevel"/>
    <w:tmpl w:val="B7D2990E"/>
    <w:lvl w:ilvl="0" w:tplc="B4EA0CC8">
      <w:start w:val="1"/>
      <w:numFmt w:val="decimal"/>
      <w:lvlText w:val="%1."/>
      <w:lvlJc w:val="left"/>
      <w:pPr>
        <w:ind w:left="360" w:hanging="360"/>
      </w:pPr>
      <w:rPr>
        <w:rFonts w:hint="default" w:cstheme="minorHAnsi"/>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472BF3"/>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F77B5"/>
    <w:multiLevelType w:val="hybridMultilevel"/>
    <w:tmpl w:val="3AA66F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781462"/>
    <w:multiLevelType w:val="hybridMultilevel"/>
    <w:tmpl w:val="3BD250CE"/>
    <w:lvl w:ilvl="0" w:tplc="0C090001">
      <w:start w:val="1"/>
      <w:numFmt w:val="bullet"/>
      <w:lvlText w:val=""/>
      <w:lvlJc w:val="left"/>
      <w:pPr>
        <w:ind w:left="360" w:hanging="360"/>
      </w:pPr>
      <w:rPr>
        <w:rFonts w:hint="default" w:ascii="Symbol" w:hAnsi="Symbol"/>
        <w:b/>
        <w:color w:val="000000" w:themeColor="text1"/>
      </w:rPr>
    </w:lvl>
    <w:lvl w:ilvl="1" w:tplc="0C090001">
      <w:start w:val="1"/>
      <w:numFmt w:val="bullet"/>
      <w:lvlText w:val=""/>
      <w:lvlJc w:val="left"/>
      <w:pPr>
        <w:ind w:left="1080" w:hanging="360"/>
      </w:pPr>
      <w:rPr>
        <w:rFonts w:hint="default" w:ascii="Symbol" w:hAnsi="Symbo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965E5"/>
    <w:multiLevelType w:val="hybridMultilevel"/>
    <w:tmpl w:val="A9C6B19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6A95D32"/>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AE8"/>
    <w:multiLevelType w:val="multilevel"/>
    <w:tmpl w:val="892022CA"/>
    <w:lvl w:ilvl="0">
      <w:start w:val="1"/>
      <w:numFmt w:val="decimal"/>
      <w:lvlText w:val="%1."/>
      <w:lvlJc w:val="left"/>
      <w:pPr>
        <w:ind w:left="360" w:hanging="360"/>
      </w:pPr>
      <w:rPr>
        <w:b/>
        <w:bCs/>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A48F4"/>
    <w:multiLevelType w:val="hybridMultilevel"/>
    <w:tmpl w:val="B7D2990E"/>
    <w:lvl w:ilvl="0" w:tplc="B4EA0CC8">
      <w:start w:val="1"/>
      <w:numFmt w:val="decimal"/>
      <w:lvlText w:val="%1."/>
      <w:lvlJc w:val="left"/>
      <w:pPr>
        <w:ind w:left="360" w:hanging="360"/>
      </w:pPr>
      <w:rPr>
        <w:rFonts w:hint="default" w:cstheme="minorHAnsi"/>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A766D"/>
    <w:multiLevelType w:val="hybridMultilevel"/>
    <w:tmpl w:val="09C4F3E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2ED428FB"/>
    <w:multiLevelType w:val="hybridMultilevel"/>
    <w:tmpl w:val="B7D2990E"/>
    <w:lvl w:ilvl="0" w:tplc="B4EA0CC8">
      <w:start w:val="1"/>
      <w:numFmt w:val="decimal"/>
      <w:lvlText w:val="%1."/>
      <w:lvlJc w:val="left"/>
      <w:pPr>
        <w:ind w:left="360" w:hanging="360"/>
      </w:pPr>
      <w:rPr>
        <w:rFonts w:hint="default" w:cstheme="minorHAnsi"/>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F367FE"/>
    <w:multiLevelType w:val="hybridMultilevel"/>
    <w:tmpl w:val="87B6CCF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2297CEA"/>
    <w:multiLevelType w:val="hybridMultilevel"/>
    <w:tmpl w:val="C7A211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4F0146E"/>
    <w:multiLevelType w:val="hybridMultilevel"/>
    <w:tmpl w:val="FD18387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974D3B"/>
    <w:multiLevelType w:val="hybridMultilevel"/>
    <w:tmpl w:val="060EB78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429B7A41"/>
    <w:multiLevelType w:val="hybridMultilevel"/>
    <w:tmpl w:val="3C32AA38"/>
    <w:lvl w:ilvl="0" w:tplc="597C5668">
      <w:start w:val="1"/>
      <w:numFmt w:val="decimal"/>
      <w:lvlText w:val="%1."/>
      <w:lvlJc w:val="left"/>
      <w:pPr>
        <w:ind w:left="360" w:hanging="360"/>
      </w:pPr>
      <w:rPr>
        <w:b/>
        <w:bCs/>
      </w:rPr>
    </w:lvl>
    <w:lvl w:ilvl="1" w:tplc="0C090001">
      <w:start w:val="1"/>
      <w:numFmt w:val="bullet"/>
      <w:lvlText w:val=""/>
      <w:lvlJc w:val="left"/>
      <w:pPr>
        <w:ind w:left="1080" w:hanging="360"/>
      </w:pPr>
      <w:rPr>
        <w:rFonts w:hint="default" w:ascii="Symbol" w:hAnsi="Symbol"/>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50B6D"/>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932C6"/>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C2CE2"/>
    <w:multiLevelType w:val="hybridMultilevel"/>
    <w:tmpl w:val="C8A2AA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A55105"/>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A0D1D"/>
    <w:multiLevelType w:val="hybridMultilevel"/>
    <w:tmpl w:val="6D40909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55D87C17"/>
    <w:multiLevelType w:val="hybridMultilevel"/>
    <w:tmpl w:val="8C8C6E0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59090081"/>
    <w:multiLevelType w:val="hybridMultilevel"/>
    <w:tmpl w:val="0B8AF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3470BE"/>
    <w:multiLevelType w:val="hybridMultilevel"/>
    <w:tmpl w:val="D88AA2E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59FA13CE"/>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C0345A"/>
    <w:multiLevelType w:val="multilevel"/>
    <w:tmpl w:val="36384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E4C50F6"/>
    <w:multiLevelType w:val="hybridMultilevel"/>
    <w:tmpl w:val="748A5D2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5EE367D0"/>
    <w:multiLevelType w:val="hybridMultilevel"/>
    <w:tmpl w:val="425AD28C"/>
    <w:lvl w:ilvl="0" w:tplc="FFFFFFFF">
      <w:start w:val="1"/>
      <w:numFmt w:val="decimal"/>
      <w:lvlText w:val="%1."/>
      <w:lvlJc w:val="left"/>
      <w:pPr>
        <w:ind w:left="360" w:hanging="360"/>
      </w:pPr>
    </w:lvl>
    <w:lvl w:ilvl="1" w:tplc="0C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26026A"/>
    <w:multiLevelType w:val="hybridMultilevel"/>
    <w:tmpl w:val="A6A8E5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70A34E5"/>
    <w:multiLevelType w:val="hybridMultilevel"/>
    <w:tmpl w:val="DCD0B73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6ED93BE0"/>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4FD4C1F"/>
    <w:multiLevelType w:val="hybridMultilevel"/>
    <w:tmpl w:val="046A9DD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9" w15:restartNumberingAfterBreak="0">
    <w:nsid w:val="7972682C"/>
    <w:multiLevelType w:val="hybridMultilevel"/>
    <w:tmpl w:val="9EF46B2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C75712A"/>
    <w:multiLevelType w:val="hybridMultilevel"/>
    <w:tmpl w:val="B7D2990E"/>
    <w:lvl w:ilvl="0" w:tplc="B4EA0CC8">
      <w:start w:val="1"/>
      <w:numFmt w:val="decimal"/>
      <w:lvlText w:val="%1."/>
      <w:lvlJc w:val="left"/>
      <w:pPr>
        <w:ind w:left="360" w:hanging="360"/>
      </w:pPr>
      <w:rPr>
        <w:rFonts w:hint="default" w:cstheme="minorHAnsi"/>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83738369">
    <w:abstractNumId w:val="16"/>
  </w:num>
  <w:num w:numId="2" w16cid:durableId="815146739">
    <w:abstractNumId w:val="24"/>
  </w:num>
  <w:num w:numId="3" w16cid:durableId="952708480">
    <w:abstractNumId w:val="23"/>
  </w:num>
  <w:num w:numId="4" w16cid:durableId="411467353">
    <w:abstractNumId w:val="35"/>
  </w:num>
  <w:num w:numId="5" w16cid:durableId="361638887">
    <w:abstractNumId w:val="17"/>
  </w:num>
  <w:num w:numId="6" w16cid:durableId="1799228006">
    <w:abstractNumId w:val="2"/>
  </w:num>
  <w:num w:numId="7" w16cid:durableId="1298341327">
    <w:abstractNumId w:val="25"/>
  </w:num>
  <w:num w:numId="8" w16cid:durableId="1895508317">
    <w:abstractNumId w:val="19"/>
  </w:num>
  <w:num w:numId="9" w16cid:durableId="782962013">
    <w:abstractNumId w:val="30"/>
  </w:num>
  <w:num w:numId="10" w16cid:durableId="1487815382">
    <w:abstractNumId w:val="22"/>
  </w:num>
  <w:num w:numId="11" w16cid:durableId="1487933129">
    <w:abstractNumId w:val="36"/>
  </w:num>
  <w:num w:numId="12" w16cid:durableId="1424954560">
    <w:abstractNumId w:val="5"/>
  </w:num>
  <w:num w:numId="13" w16cid:durableId="2082209844">
    <w:abstractNumId w:val="28"/>
  </w:num>
  <w:num w:numId="14" w16cid:durableId="570232761">
    <w:abstractNumId w:val="27"/>
  </w:num>
  <w:num w:numId="15" w16cid:durableId="251278984">
    <w:abstractNumId w:val="32"/>
  </w:num>
  <w:num w:numId="16" w16cid:durableId="1273324883">
    <w:abstractNumId w:val="8"/>
  </w:num>
  <w:num w:numId="17" w16cid:durableId="737089803">
    <w:abstractNumId w:val="34"/>
  </w:num>
  <w:num w:numId="18" w16cid:durableId="1856069342">
    <w:abstractNumId w:val="14"/>
  </w:num>
  <w:num w:numId="19" w16cid:durableId="1948661849">
    <w:abstractNumId w:val="39"/>
  </w:num>
  <w:num w:numId="20" w16cid:durableId="2122411644">
    <w:abstractNumId w:val="15"/>
  </w:num>
  <w:num w:numId="21" w16cid:durableId="1695841489">
    <w:abstractNumId w:val="1"/>
  </w:num>
  <w:num w:numId="22" w16cid:durableId="21825525">
    <w:abstractNumId w:val="18"/>
  </w:num>
  <w:num w:numId="23" w16cid:durableId="48500236">
    <w:abstractNumId w:val="11"/>
  </w:num>
  <w:num w:numId="24" w16cid:durableId="1253589733">
    <w:abstractNumId w:val="26"/>
  </w:num>
  <w:num w:numId="25" w16cid:durableId="349188658">
    <w:abstractNumId w:val="0"/>
  </w:num>
  <w:num w:numId="26" w16cid:durableId="1648894458">
    <w:abstractNumId w:val="6"/>
  </w:num>
  <w:num w:numId="27" w16cid:durableId="1003703988">
    <w:abstractNumId w:val="7"/>
  </w:num>
  <w:num w:numId="28" w16cid:durableId="1810584145">
    <w:abstractNumId w:val="29"/>
  </w:num>
  <w:num w:numId="29" w16cid:durableId="1162891619">
    <w:abstractNumId w:val="38"/>
  </w:num>
  <w:num w:numId="30" w16cid:durableId="661661398">
    <w:abstractNumId w:val="13"/>
  </w:num>
  <w:num w:numId="31" w16cid:durableId="1386950839">
    <w:abstractNumId w:val="20"/>
  </w:num>
  <w:num w:numId="32" w16cid:durableId="2025129715">
    <w:abstractNumId w:val="12"/>
  </w:num>
  <w:num w:numId="33" w16cid:durableId="768544322">
    <w:abstractNumId w:val="10"/>
  </w:num>
  <w:num w:numId="34" w16cid:durableId="282153304">
    <w:abstractNumId w:val="37"/>
  </w:num>
  <w:num w:numId="35" w16cid:durableId="234703086">
    <w:abstractNumId w:val="21"/>
  </w:num>
  <w:num w:numId="36" w16cid:durableId="1102535098">
    <w:abstractNumId w:val="3"/>
  </w:num>
  <w:num w:numId="37" w16cid:durableId="988939561">
    <w:abstractNumId w:val="4"/>
  </w:num>
  <w:num w:numId="38" w16cid:durableId="1129936796">
    <w:abstractNumId w:val="40"/>
  </w:num>
  <w:num w:numId="39" w16cid:durableId="1423716963">
    <w:abstractNumId w:val="9"/>
  </w:num>
  <w:num w:numId="40" w16cid:durableId="1039428372">
    <w:abstractNumId w:val="33"/>
  </w:num>
  <w:num w:numId="41" w16cid:durableId="1492019951">
    <w:abstractNumId w:val="31"/>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tru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30B"/>
    <w:rsid w:val="000154FD"/>
    <w:rsid w:val="00017C48"/>
    <w:rsid w:val="00020678"/>
    <w:rsid w:val="00022271"/>
    <w:rsid w:val="000235E8"/>
    <w:rsid w:val="00024D89"/>
    <w:rsid w:val="000250B6"/>
    <w:rsid w:val="00026F8A"/>
    <w:rsid w:val="00033D81"/>
    <w:rsid w:val="00033DC9"/>
    <w:rsid w:val="00037366"/>
    <w:rsid w:val="00041BF0"/>
    <w:rsid w:val="00042C8A"/>
    <w:rsid w:val="0004536B"/>
    <w:rsid w:val="00046B68"/>
    <w:rsid w:val="000527DD"/>
    <w:rsid w:val="00056EC4"/>
    <w:rsid w:val="000578B2"/>
    <w:rsid w:val="00060959"/>
    <w:rsid w:val="00060C8F"/>
    <w:rsid w:val="0006298A"/>
    <w:rsid w:val="000648FF"/>
    <w:rsid w:val="000663CD"/>
    <w:rsid w:val="000733FE"/>
    <w:rsid w:val="00074219"/>
    <w:rsid w:val="00074ED5"/>
    <w:rsid w:val="0008170F"/>
    <w:rsid w:val="00081956"/>
    <w:rsid w:val="0008204A"/>
    <w:rsid w:val="000845A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9A2"/>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40CF"/>
    <w:rsid w:val="001C4C98"/>
    <w:rsid w:val="001C7128"/>
    <w:rsid w:val="001D0B75"/>
    <w:rsid w:val="001D39A5"/>
    <w:rsid w:val="001D3C09"/>
    <w:rsid w:val="001D44E8"/>
    <w:rsid w:val="001D48D0"/>
    <w:rsid w:val="001D5B14"/>
    <w:rsid w:val="001D60EC"/>
    <w:rsid w:val="001D6F59"/>
    <w:rsid w:val="001E44DF"/>
    <w:rsid w:val="001E68A5"/>
    <w:rsid w:val="001E6BB0"/>
    <w:rsid w:val="001E7282"/>
    <w:rsid w:val="001E7CE9"/>
    <w:rsid w:val="001F3826"/>
    <w:rsid w:val="001F6E46"/>
    <w:rsid w:val="001F7C91"/>
    <w:rsid w:val="002033B7"/>
    <w:rsid w:val="00204116"/>
    <w:rsid w:val="00206463"/>
    <w:rsid w:val="00206F2F"/>
    <w:rsid w:val="00207717"/>
    <w:rsid w:val="0021053D"/>
    <w:rsid w:val="00210A92"/>
    <w:rsid w:val="00212B95"/>
    <w:rsid w:val="00215CC8"/>
    <w:rsid w:val="00216C03"/>
    <w:rsid w:val="00216FFA"/>
    <w:rsid w:val="00220A1A"/>
    <w:rsid w:val="00220C04"/>
    <w:rsid w:val="00221BE0"/>
    <w:rsid w:val="0022278D"/>
    <w:rsid w:val="0022701F"/>
    <w:rsid w:val="00227C68"/>
    <w:rsid w:val="002333F5"/>
    <w:rsid w:val="00233724"/>
    <w:rsid w:val="00235D8C"/>
    <w:rsid w:val="002365B4"/>
    <w:rsid w:val="002432E1"/>
    <w:rsid w:val="00246207"/>
    <w:rsid w:val="0024631D"/>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5C7B"/>
    <w:rsid w:val="002862F1"/>
    <w:rsid w:val="00291373"/>
    <w:rsid w:val="00292CC4"/>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7F3"/>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382"/>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40CB"/>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08D"/>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575A"/>
    <w:rsid w:val="004468B4"/>
    <w:rsid w:val="00446D86"/>
    <w:rsid w:val="0045230A"/>
    <w:rsid w:val="00454AD0"/>
    <w:rsid w:val="00457337"/>
    <w:rsid w:val="00462E3D"/>
    <w:rsid w:val="00463BE1"/>
    <w:rsid w:val="00466E79"/>
    <w:rsid w:val="00470D7D"/>
    <w:rsid w:val="0047372D"/>
    <w:rsid w:val="00473BA3"/>
    <w:rsid w:val="004743DD"/>
    <w:rsid w:val="00474CEA"/>
    <w:rsid w:val="004829DC"/>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7B"/>
    <w:rsid w:val="004B4185"/>
    <w:rsid w:val="004C014B"/>
    <w:rsid w:val="004C1FA0"/>
    <w:rsid w:val="004C5541"/>
    <w:rsid w:val="004C6EEE"/>
    <w:rsid w:val="004C702B"/>
    <w:rsid w:val="004D0033"/>
    <w:rsid w:val="004D016B"/>
    <w:rsid w:val="004D1B22"/>
    <w:rsid w:val="004D23CC"/>
    <w:rsid w:val="004D36F2"/>
    <w:rsid w:val="004E1106"/>
    <w:rsid w:val="004E138F"/>
    <w:rsid w:val="004E41BF"/>
    <w:rsid w:val="004E4649"/>
    <w:rsid w:val="004E5C2B"/>
    <w:rsid w:val="004F00DD"/>
    <w:rsid w:val="004F2133"/>
    <w:rsid w:val="004F5398"/>
    <w:rsid w:val="004F55F1"/>
    <w:rsid w:val="004F6936"/>
    <w:rsid w:val="00503DC6"/>
    <w:rsid w:val="00506F5D"/>
    <w:rsid w:val="0050714A"/>
    <w:rsid w:val="00510C37"/>
    <w:rsid w:val="005126D0"/>
    <w:rsid w:val="00514667"/>
    <w:rsid w:val="0051568D"/>
    <w:rsid w:val="00526AC7"/>
    <w:rsid w:val="00526C15"/>
    <w:rsid w:val="00536499"/>
    <w:rsid w:val="00542A03"/>
    <w:rsid w:val="00543903"/>
    <w:rsid w:val="00543BCC"/>
    <w:rsid w:val="00543F11"/>
    <w:rsid w:val="00546305"/>
    <w:rsid w:val="00547051"/>
    <w:rsid w:val="00547A95"/>
    <w:rsid w:val="0055119B"/>
    <w:rsid w:val="00561202"/>
    <w:rsid w:val="00562507"/>
    <w:rsid w:val="00562811"/>
    <w:rsid w:val="005674A9"/>
    <w:rsid w:val="00572031"/>
    <w:rsid w:val="00572282"/>
    <w:rsid w:val="00573CE3"/>
    <w:rsid w:val="00576E84"/>
    <w:rsid w:val="00580394"/>
    <w:rsid w:val="005809CD"/>
    <w:rsid w:val="00581EE4"/>
    <w:rsid w:val="00582B8C"/>
    <w:rsid w:val="0058757E"/>
    <w:rsid w:val="00596A4B"/>
    <w:rsid w:val="00597507"/>
    <w:rsid w:val="005A479D"/>
    <w:rsid w:val="005B1C6D"/>
    <w:rsid w:val="005B21B6"/>
    <w:rsid w:val="005B3A08"/>
    <w:rsid w:val="005B6AB9"/>
    <w:rsid w:val="005B7A63"/>
    <w:rsid w:val="005C0955"/>
    <w:rsid w:val="005C49DA"/>
    <w:rsid w:val="005C4E2B"/>
    <w:rsid w:val="005C50F3"/>
    <w:rsid w:val="005C54B5"/>
    <w:rsid w:val="005C5D80"/>
    <w:rsid w:val="005C5D91"/>
    <w:rsid w:val="005D07B8"/>
    <w:rsid w:val="005D6597"/>
    <w:rsid w:val="005E14E7"/>
    <w:rsid w:val="005E2343"/>
    <w:rsid w:val="005E2466"/>
    <w:rsid w:val="005E26A3"/>
    <w:rsid w:val="005E2ECB"/>
    <w:rsid w:val="005E447E"/>
    <w:rsid w:val="005E4B7F"/>
    <w:rsid w:val="005E4FD1"/>
    <w:rsid w:val="005E6864"/>
    <w:rsid w:val="005F0775"/>
    <w:rsid w:val="005F0CF5"/>
    <w:rsid w:val="005F21EB"/>
    <w:rsid w:val="005F64CF"/>
    <w:rsid w:val="006041AD"/>
    <w:rsid w:val="00605908"/>
    <w:rsid w:val="00607850"/>
    <w:rsid w:val="00607EF7"/>
    <w:rsid w:val="00610D7C"/>
    <w:rsid w:val="00613414"/>
    <w:rsid w:val="0061698F"/>
    <w:rsid w:val="006178D2"/>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FF"/>
    <w:rsid w:val="006505BD"/>
    <w:rsid w:val="006508EA"/>
    <w:rsid w:val="0065092E"/>
    <w:rsid w:val="006557A7"/>
    <w:rsid w:val="00656290"/>
    <w:rsid w:val="006601C9"/>
    <w:rsid w:val="006608D8"/>
    <w:rsid w:val="00660D46"/>
    <w:rsid w:val="006621D7"/>
    <w:rsid w:val="0066302A"/>
    <w:rsid w:val="00664710"/>
    <w:rsid w:val="00667770"/>
    <w:rsid w:val="00670597"/>
    <w:rsid w:val="006706D0"/>
    <w:rsid w:val="00677574"/>
    <w:rsid w:val="006812ED"/>
    <w:rsid w:val="00683878"/>
    <w:rsid w:val="00684055"/>
    <w:rsid w:val="00684380"/>
    <w:rsid w:val="0068454C"/>
    <w:rsid w:val="00691B62"/>
    <w:rsid w:val="006933B5"/>
    <w:rsid w:val="00693546"/>
    <w:rsid w:val="00693D14"/>
    <w:rsid w:val="00695B02"/>
    <w:rsid w:val="00696F27"/>
    <w:rsid w:val="006A18C2"/>
    <w:rsid w:val="006A2717"/>
    <w:rsid w:val="006A3383"/>
    <w:rsid w:val="006B077C"/>
    <w:rsid w:val="006B0C81"/>
    <w:rsid w:val="006B3B2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4E6"/>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D7FBB"/>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088"/>
    <w:rsid w:val="00853EE4"/>
    <w:rsid w:val="00855535"/>
    <w:rsid w:val="008561D3"/>
    <w:rsid w:val="00857C5A"/>
    <w:rsid w:val="0086255E"/>
    <w:rsid w:val="008633F0"/>
    <w:rsid w:val="00863B7C"/>
    <w:rsid w:val="00867D9D"/>
    <w:rsid w:val="00872E0A"/>
    <w:rsid w:val="00873594"/>
    <w:rsid w:val="00875285"/>
    <w:rsid w:val="00877635"/>
    <w:rsid w:val="00884B62"/>
    <w:rsid w:val="0088529C"/>
    <w:rsid w:val="00887903"/>
    <w:rsid w:val="0089101E"/>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36C6"/>
    <w:rsid w:val="008D4236"/>
    <w:rsid w:val="008D462F"/>
    <w:rsid w:val="008D48AC"/>
    <w:rsid w:val="008D60D5"/>
    <w:rsid w:val="008D6DCF"/>
    <w:rsid w:val="008E191F"/>
    <w:rsid w:val="008E4376"/>
    <w:rsid w:val="008E4A28"/>
    <w:rsid w:val="008E4D40"/>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553C"/>
    <w:rsid w:val="00937BD9"/>
    <w:rsid w:val="00950E2C"/>
    <w:rsid w:val="00951D50"/>
    <w:rsid w:val="009525EB"/>
    <w:rsid w:val="0095470B"/>
    <w:rsid w:val="00954874"/>
    <w:rsid w:val="00954886"/>
    <w:rsid w:val="0095615A"/>
    <w:rsid w:val="00961400"/>
    <w:rsid w:val="00963646"/>
    <w:rsid w:val="0096506F"/>
    <w:rsid w:val="0096632D"/>
    <w:rsid w:val="00967124"/>
    <w:rsid w:val="0097166C"/>
    <w:rsid w:val="009718C7"/>
    <w:rsid w:val="00971E89"/>
    <w:rsid w:val="0097559F"/>
    <w:rsid w:val="009761EA"/>
    <w:rsid w:val="0097761E"/>
    <w:rsid w:val="00980D7B"/>
    <w:rsid w:val="00982454"/>
    <w:rsid w:val="00982CF0"/>
    <w:rsid w:val="0098506C"/>
    <w:rsid w:val="009853E1"/>
    <w:rsid w:val="00986E6B"/>
    <w:rsid w:val="0098784E"/>
    <w:rsid w:val="00990032"/>
    <w:rsid w:val="00990B19"/>
    <w:rsid w:val="0099153B"/>
    <w:rsid w:val="00991769"/>
    <w:rsid w:val="0099232C"/>
    <w:rsid w:val="00993EB2"/>
    <w:rsid w:val="00994386"/>
    <w:rsid w:val="009A13D8"/>
    <w:rsid w:val="009A279E"/>
    <w:rsid w:val="009A28A8"/>
    <w:rsid w:val="009A3015"/>
    <w:rsid w:val="009A3490"/>
    <w:rsid w:val="009A6471"/>
    <w:rsid w:val="009B05FD"/>
    <w:rsid w:val="009B0A6F"/>
    <w:rsid w:val="009B0A94"/>
    <w:rsid w:val="009B0C62"/>
    <w:rsid w:val="009B2AE8"/>
    <w:rsid w:val="009B3D5C"/>
    <w:rsid w:val="009B5622"/>
    <w:rsid w:val="009B59E9"/>
    <w:rsid w:val="009B70AA"/>
    <w:rsid w:val="009C227F"/>
    <w:rsid w:val="009C245E"/>
    <w:rsid w:val="009C3CF1"/>
    <w:rsid w:val="009C4D4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5D8D"/>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45AE0"/>
    <w:rsid w:val="00A53D9A"/>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64C3"/>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4BD"/>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1D9"/>
    <w:rsid w:val="00B519CD"/>
    <w:rsid w:val="00B5273A"/>
    <w:rsid w:val="00B55F6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6914"/>
    <w:rsid w:val="00BC7468"/>
    <w:rsid w:val="00BC7D4F"/>
    <w:rsid w:val="00BC7ED7"/>
    <w:rsid w:val="00BD283E"/>
    <w:rsid w:val="00BD2850"/>
    <w:rsid w:val="00BE28D2"/>
    <w:rsid w:val="00BE4A64"/>
    <w:rsid w:val="00BE5E43"/>
    <w:rsid w:val="00BF002E"/>
    <w:rsid w:val="00BF557D"/>
    <w:rsid w:val="00BF658D"/>
    <w:rsid w:val="00BF7F58"/>
    <w:rsid w:val="00C01381"/>
    <w:rsid w:val="00C01AB1"/>
    <w:rsid w:val="00C026A0"/>
    <w:rsid w:val="00C05446"/>
    <w:rsid w:val="00C06137"/>
    <w:rsid w:val="00C06929"/>
    <w:rsid w:val="00C079B8"/>
    <w:rsid w:val="00C10037"/>
    <w:rsid w:val="00C115E1"/>
    <w:rsid w:val="00C123EA"/>
    <w:rsid w:val="00C12969"/>
    <w:rsid w:val="00C12A49"/>
    <w:rsid w:val="00C12B05"/>
    <w:rsid w:val="00C133EE"/>
    <w:rsid w:val="00C149D0"/>
    <w:rsid w:val="00C15D95"/>
    <w:rsid w:val="00C15E29"/>
    <w:rsid w:val="00C26588"/>
    <w:rsid w:val="00C27897"/>
    <w:rsid w:val="00C27DE9"/>
    <w:rsid w:val="00C30424"/>
    <w:rsid w:val="00C32989"/>
    <w:rsid w:val="00C33388"/>
    <w:rsid w:val="00C35484"/>
    <w:rsid w:val="00C4173A"/>
    <w:rsid w:val="00C4501D"/>
    <w:rsid w:val="00C50DED"/>
    <w:rsid w:val="00C52217"/>
    <w:rsid w:val="00C602FF"/>
    <w:rsid w:val="00C60411"/>
    <w:rsid w:val="00C61174"/>
    <w:rsid w:val="00C6148F"/>
    <w:rsid w:val="00C621B1"/>
    <w:rsid w:val="00C62F7A"/>
    <w:rsid w:val="00C63B9C"/>
    <w:rsid w:val="00C6682F"/>
    <w:rsid w:val="00C67BF4"/>
    <w:rsid w:val="00C67C45"/>
    <w:rsid w:val="00C7275E"/>
    <w:rsid w:val="00C731AF"/>
    <w:rsid w:val="00C7395C"/>
    <w:rsid w:val="00C74C5D"/>
    <w:rsid w:val="00C863C4"/>
    <w:rsid w:val="00C90DAB"/>
    <w:rsid w:val="00C920EA"/>
    <w:rsid w:val="00C9322F"/>
    <w:rsid w:val="00C93C3E"/>
    <w:rsid w:val="00CA12E3"/>
    <w:rsid w:val="00CA1476"/>
    <w:rsid w:val="00CA6611"/>
    <w:rsid w:val="00CA6AE6"/>
    <w:rsid w:val="00CA782F"/>
    <w:rsid w:val="00CB0663"/>
    <w:rsid w:val="00CB187B"/>
    <w:rsid w:val="00CB2835"/>
    <w:rsid w:val="00CB3285"/>
    <w:rsid w:val="00CB4500"/>
    <w:rsid w:val="00CB5EA8"/>
    <w:rsid w:val="00CC0C72"/>
    <w:rsid w:val="00CC2BFD"/>
    <w:rsid w:val="00CC6F40"/>
    <w:rsid w:val="00CD0611"/>
    <w:rsid w:val="00CD3476"/>
    <w:rsid w:val="00CD64DF"/>
    <w:rsid w:val="00CD768F"/>
    <w:rsid w:val="00CE19D1"/>
    <w:rsid w:val="00CE225F"/>
    <w:rsid w:val="00CE2CC0"/>
    <w:rsid w:val="00CF230C"/>
    <w:rsid w:val="00CF2F50"/>
    <w:rsid w:val="00CF6198"/>
    <w:rsid w:val="00D02919"/>
    <w:rsid w:val="00D04C61"/>
    <w:rsid w:val="00D05B8D"/>
    <w:rsid w:val="00D05B9B"/>
    <w:rsid w:val="00D065A2"/>
    <w:rsid w:val="00D079AA"/>
    <w:rsid w:val="00D07F00"/>
    <w:rsid w:val="00D1130F"/>
    <w:rsid w:val="00D1571F"/>
    <w:rsid w:val="00D17B72"/>
    <w:rsid w:val="00D24BDF"/>
    <w:rsid w:val="00D3185C"/>
    <w:rsid w:val="00D3205F"/>
    <w:rsid w:val="00D32647"/>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19E7"/>
    <w:rsid w:val="00D75EA7"/>
    <w:rsid w:val="00D77252"/>
    <w:rsid w:val="00D81ADF"/>
    <w:rsid w:val="00D81F21"/>
    <w:rsid w:val="00D83D06"/>
    <w:rsid w:val="00D864F2"/>
    <w:rsid w:val="00D86B31"/>
    <w:rsid w:val="00D91086"/>
    <w:rsid w:val="00D943F8"/>
    <w:rsid w:val="00D94EB2"/>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0E0"/>
    <w:rsid w:val="00DF731A"/>
    <w:rsid w:val="00E04BBB"/>
    <w:rsid w:val="00E05157"/>
    <w:rsid w:val="00E06B75"/>
    <w:rsid w:val="00E11332"/>
    <w:rsid w:val="00E11352"/>
    <w:rsid w:val="00E170DC"/>
    <w:rsid w:val="00E17546"/>
    <w:rsid w:val="00E210B5"/>
    <w:rsid w:val="00E261B3"/>
    <w:rsid w:val="00E26818"/>
    <w:rsid w:val="00E27FFC"/>
    <w:rsid w:val="00E30B15"/>
    <w:rsid w:val="00E33237"/>
    <w:rsid w:val="00E355BB"/>
    <w:rsid w:val="00E40181"/>
    <w:rsid w:val="00E54950"/>
    <w:rsid w:val="00E55FB3"/>
    <w:rsid w:val="00E56A01"/>
    <w:rsid w:val="00E629A1"/>
    <w:rsid w:val="00E6794C"/>
    <w:rsid w:val="00E71591"/>
    <w:rsid w:val="00E71CEB"/>
    <w:rsid w:val="00E7474F"/>
    <w:rsid w:val="00E80DE3"/>
    <w:rsid w:val="00E82C55"/>
    <w:rsid w:val="00E852BD"/>
    <w:rsid w:val="00E8787E"/>
    <w:rsid w:val="00E92AC3"/>
    <w:rsid w:val="00EA1226"/>
    <w:rsid w:val="00EA2F6A"/>
    <w:rsid w:val="00EA36AF"/>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7878"/>
    <w:rsid w:val="00EF109B"/>
    <w:rsid w:val="00EF1512"/>
    <w:rsid w:val="00EF201C"/>
    <w:rsid w:val="00EF2C72"/>
    <w:rsid w:val="00EF36AF"/>
    <w:rsid w:val="00EF3CE1"/>
    <w:rsid w:val="00EF59A3"/>
    <w:rsid w:val="00EF6675"/>
    <w:rsid w:val="00F0063D"/>
    <w:rsid w:val="00F00F9C"/>
    <w:rsid w:val="00F01E5F"/>
    <w:rsid w:val="00F024F3"/>
    <w:rsid w:val="00F02ABA"/>
    <w:rsid w:val="00F0437A"/>
    <w:rsid w:val="00F101B8"/>
    <w:rsid w:val="00F11037"/>
    <w:rsid w:val="00F11A6B"/>
    <w:rsid w:val="00F15144"/>
    <w:rsid w:val="00F16F1B"/>
    <w:rsid w:val="00F250A9"/>
    <w:rsid w:val="00F267AF"/>
    <w:rsid w:val="00F30FF4"/>
    <w:rsid w:val="00F3122E"/>
    <w:rsid w:val="00F32368"/>
    <w:rsid w:val="00F331AD"/>
    <w:rsid w:val="00F33FC2"/>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55E"/>
    <w:rsid w:val="00F61A9F"/>
    <w:rsid w:val="00F61B5F"/>
    <w:rsid w:val="00F64696"/>
    <w:rsid w:val="00F65AA9"/>
    <w:rsid w:val="00F6768F"/>
    <w:rsid w:val="00F72C2C"/>
    <w:rsid w:val="00F741F2"/>
    <w:rsid w:val="00F76CAB"/>
    <w:rsid w:val="00F772C6"/>
    <w:rsid w:val="00F815B5"/>
    <w:rsid w:val="00F85195"/>
    <w:rsid w:val="00F857D4"/>
    <w:rsid w:val="00F860FB"/>
    <w:rsid w:val="00F868E3"/>
    <w:rsid w:val="00F938BA"/>
    <w:rsid w:val="00F97919"/>
    <w:rsid w:val="00FA230B"/>
    <w:rsid w:val="00FA2C46"/>
    <w:rsid w:val="00FA3525"/>
    <w:rsid w:val="00FA5A53"/>
    <w:rsid w:val="00FA7238"/>
    <w:rsid w:val="00FB1F6E"/>
    <w:rsid w:val="00FB27D9"/>
    <w:rsid w:val="00FB4769"/>
    <w:rsid w:val="00FB4B7D"/>
    <w:rsid w:val="00FB4CDA"/>
    <w:rsid w:val="00FB6481"/>
    <w:rsid w:val="00FB6D36"/>
    <w:rsid w:val="00FC0965"/>
    <w:rsid w:val="00FC0F81"/>
    <w:rsid w:val="00FC252F"/>
    <w:rsid w:val="00FC36F6"/>
    <w:rsid w:val="00FC395C"/>
    <w:rsid w:val="00FC5E8E"/>
    <w:rsid w:val="00FC67D1"/>
    <w:rsid w:val="00FD3766"/>
    <w:rsid w:val="00FD3D05"/>
    <w:rsid w:val="00FD47C4"/>
    <w:rsid w:val="00FD6EDC"/>
    <w:rsid w:val="00FE1E85"/>
    <w:rsid w:val="00FE2DCF"/>
    <w:rsid w:val="00FE331E"/>
    <w:rsid w:val="00FE3FA7"/>
    <w:rsid w:val="00FE4081"/>
    <w:rsid w:val="00FE72CA"/>
    <w:rsid w:val="00FF2A4E"/>
    <w:rsid w:val="00FF2FCE"/>
    <w:rsid w:val="00FF4F7D"/>
    <w:rsid w:val="00FF6D9D"/>
    <w:rsid w:val="00FF7620"/>
    <w:rsid w:val="00FF7DD5"/>
    <w:rsid w:val="017913C6"/>
    <w:rsid w:val="09E5794F"/>
    <w:rsid w:val="1072A3BF"/>
    <w:rsid w:val="1C325EA2"/>
    <w:rsid w:val="22CE2C27"/>
    <w:rsid w:val="22D2D85B"/>
    <w:rsid w:val="2A25A572"/>
    <w:rsid w:val="2A65943F"/>
    <w:rsid w:val="2B315268"/>
    <w:rsid w:val="2CB0126C"/>
    <w:rsid w:val="2D2C3CA2"/>
    <w:rsid w:val="35A7F7A8"/>
    <w:rsid w:val="3A4E057C"/>
    <w:rsid w:val="3A5446B0"/>
    <w:rsid w:val="3F87649A"/>
    <w:rsid w:val="4119A5E8"/>
    <w:rsid w:val="4BBABABD"/>
    <w:rsid w:val="4D4C557F"/>
    <w:rsid w:val="50639847"/>
    <w:rsid w:val="55E7045E"/>
    <w:rsid w:val="5C89CDD0"/>
    <w:rsid w:val="61E24C94"/>
    <w:rsid w:val="6B47B7C0"/>
    <w:rsid w:val="70260DF3"/>
    <w:rsid w:val="7279029E"/>
    <w:rsid w:val="7AD011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BFB29B87-9E3C-4F92-AA43-2241EF86EB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hAnsi="Arial" w:eastAsia="MS Gothic"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hAnsi="Arial" w:eastAsia="MS Mincho"/>
      <w:b/>
      <w:bCs/>
      <w:iCs/>
      <w:color w:val="201547"/>
      <w:sz w:val="21"/>
      <w:szCs w:val="26"/>
      <w:lang w:eastAsia="en-US"/>
    </w:rPr>
  </w:style>
  <w:style w:type="paragraph" w:styleId="Heading6">
    <w:name w:val="heading 6"/>
    <w:basedOn w:val="Normal"/>
    <w:next w:val="Normal"/>
    <w:link w:val="Heading6Char"/>
    <w:uiPriority w:val="9"/>
    <w:unhideWhenUsed/>
    <w:qFormat/>
    <w:rsid w:val="00FE1E85"/>
    <w:pPr>
      <w:keepNext/>
      <w:keepLines/>
      <w:spacing w:before="40" w:after="0" w:line="240" w:lineRule="auto"/>
      <w:jc w:val="both"/>
      <w:outlineLvl w:val="5"/>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853088"/>
    <w:pPr>
      <w:spacing w:after="120" w:line="320" w:lineRule="atLeast"/>
    </w:pPr>
    <w:rPr>
      <w:rFonts w:ascii="Arial" w:hAnsi="Arial" w:eastAsia="Times"/>
      <w:sz w:val="24"/>
      <w:lang w:eastAsia="en-US"/>
    </w:rPr>
  </w:style>
  <w:style w:type="character" w:styleId="Heading1Char" w:customStyle="1">
    <w:name w:val="Heading 1 Char"/>
    <w:link w:val="Heading1"/>
    <w:uiPriority w:val="9"/>
    <w:rsid w:val="00DC2DC7"/>
    <w:rPr>
      <w:rFonts w:ascii="Arial" w:hAnsi="Arial" w:eastAsia="MS Gothic" w:cs="Arial"/>
      <w:bCs/>
      <w:color w:val="201547"/>
      <w:kern w:val="32"/>
      <w:sz w:val="44"/>
      <w:szCs w:val="44"/>
      <w:lang w:eastAsia="en-US"/>
    </w:rPr>
  </w:style>
  <w:style w:type="character" w:styleId="Heading2Char" w:customStyle="1">
    <w:name w:val="Heading 2 Char"/>
    <w:link w:val="Heading2"/>
    <w:uiPriority w:val="9"/>
    <w:rsid w:val="00F15144"/>
    <w:rPr>
      <w:rFonts w:ascii="Arial" w:hAnsi="Arial"/>
      <w:b/>
      <w:color w:val="201547"/>
      <w:sz w:val="32"/>
      <w:szCs w:val="28"/>
      <w:lang w:eastAsia="en-US"/>
    </w:rPr>
  </w:style>
  <w:style w:type="character" w:styleId="Heading3Char" w:customStyle="1">
    <w:name w:val="Heading 3 Char"/>
    <w:link w:val="Heading3"/>
    <w:uiPriority w:val="9"/>
    <w:rsid w:val="00F15144"/>
    <w:rPr>
      <w:rFonts w:ascii="Arial" w:hAnsi="Arial" w:eastAsia="MS Gothic"/>
      <w:bCs/>
      <w:color w:val="201547"/>
      <w:sz w:val="28"/>
      <w:szCs w:val="26"/>
      <w:lang w:eastAsia="en-US"/>
    </w:rPr>
  </w:style>
  <w:style w:type="character" w:styleId="Heading4Char" w:customStyle="1">
    <w:name w:val="Heading 4 Char"/>
    <w:link w:val="Heading4"/>
    <w:uiPriority w:val="9"/>
    <w:rsid w:val="00F15144"/>
    <w:rPr>
      <w:rFonts w:ascii="Arial" w:hAnsi="Arial" w:eastAsia="MS Mincho"/>
      <w:b/>
      <w:bCs/>
      <w:color w:val="201547"/>
      <w:sz w:val="24"/>
      <w:szCs w:val="22"/>
      <w:lang w:eastAsia="en-US"/>
    </w:rPr>
  </w:style>
  <w:style w:type="paragraph" w:styleId="Header">
    <w:name w:val="header"/>
    <w:link w:val="HeaderChar"/>
    <w:uiPriority w:val="99"/>
    <w:rsid w:val="00853088"/>
    <w:rPr>
      <w:rFonts w:ascii="Arial" w:hAnsi="Arial" w:cs="Arial"/>
      <w:b/>
      <w:color w:val="201547"/>
      <w:sz w:val="21"/>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853088"/>
    <w:pPr>
      <w:keepNext/>
      <w:keepLines/>
      <w:tabs>
        <w:tab w:val="right" w:leader="dot" w:pos="9299"/>
      </w:tabs>
      <w:spacing w:before="160" w:after="60"/>
    </w:pPr>
    <w:rPr>
      <w:b/>
      <w:noProof/>
      <w:sz w:val="24"/>
    </w:rPr>
  </w:style>
  <w:style w:type="character" w:styleId="Heading5Char" w:customStyle="1">
    <w:name w:val="Heading 5 Char"/>
    <w:link w:val="Heading5"/>
    <w:uiPriority w:val="9"/>
    <w:rsid w:val="004C014B"/>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853088"/>
    <w:pPr>
      <w:keepLines/>
      <w:tabs>
        <w:tab w:val="right" w:leader="dot" w:pos="9299"/>
      </w:tabs>
      <w:spacing w:after="60"/>
    </w:pPr>
    <w:rPr>
      <w:noProof/>
      <w:sz w:val="24"/>
    </w:rPr>
  </w:style>
  <w:style w:type="paragraph" w:styleId="TOC3">
    <w:name w:val="toc 3"/>
    <w:basedOn w:val="Normal"/>
    <w:next w:val="Normal"/>
    <w:uiPriority w:val="39"/>
    <w:rsid w:val="0050714A"/>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Tabletext" w:customStyle="1">
    <w:name w:val="Table text"/>
    <w:uiPriority w:val="3"/>
    <w:qFormat/>
    <w:rsid w:val="00853088"/>
    <w:pPr>
      <w:spacing w:before="80" w:after="60"/>
    </w:pPr>
    <w:rPr>
      <w:rFonts w:ascii="Arial" w:hAnsi="Arial"/>
      <w:sz w:val="24"/>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styleId="Accessibilitypara" w:customStyle="1">
    <w:name w:val="Accessibility para"/>
    <w:uiPriority w:val="8"/>
    <w:rsid w:val="009B3D5C"/>
    <w:pPr>
      <w:spacing w:before="120" w:after="200" w:line="300" w:lineRule="atLeast"/>
    </w:pPr>
    <w:rPr>
      <w:rFonts w:ascii="Arial" w:hAnsi="Arial" w:eastAsia="Times"/>
      <w:sz w:val="28"/>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C60411"/>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3"/>
      </w:numPr>
    </w:pPr>
  </w:style>
  <w:style w:type="numbering" w:styleId="ZZTablebullets" w:customStyle="1">
    <w:name w:val="ZZ Table bullets"/>
    <w:basedOn w:val="NoList"/>
    <w:rsid w:val="00C60411"/>
    <w:pPr>
      <w:numPr>
        <w:numId w:val="3"/>
      </w:numPr>
    </w:pPr>
  </w:style>
  <w:style w:type="paragraph" w:styleId="Tablecolhead" w:customStyle="1">
    <w:name w:val="Table col head"/>
    <w:uiPriority w:val="3"/>
    <w:qFormat/>
    <w:rsid w:val="00853088"/>
    <w:pPr>
      <w:spacing w:before="80" w:after="60"/>
    </w:pPr>
    <w:rPr>
      <w:rFonts w:ascii="Arial" w:hAnsi="Arial"/>
      <w:b/>
      <w:color w:val="201547"/>
      <w:sz w:val="24"/>
      <w:lang w:eastAsia="en-US"/>
    </w:rPr>
  </w:style>
  <w:style w:type="paragraph" w:styleId="Bulletafternumbers1" w:customStyle="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853088"/>
    <w:pPr>
      <w:spacing w:before="60" w:after="60" w:line="220" w:lineRule="atLeast"/>
    </w:pPr>
    <w:rPr>
      <w:rFonts w:eastAsia="MS Gothic" w:cs="Arial"/>
      <w:szCs w:val="16"/>
    </w:rPr>
  </w:style>
  <w:style w:type="character" w:styleId="FootnoteTextChar" w:customStyle="1">
    <w:name w:val="Footnote Text Char"/>
    <w:link w:val="FootnoteText"/>
    <w:uiPriority w:val="99"/>
    <w:rsid w:val="00853088"/>
    <w:rPr>
      <w:rFonts w:ascii="Arial" w:hAnsi="Arial" w:eastAsia="MS Gothic" w:cs="Arial"/>
      <w:sz w:val="21"/>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2"/>
      </w:numPr>
    </w:pPr>
  </w:style>
  <w:style w:type="numbering" w:styleId="ZZNumbersdigit" w:customStyle="1">
    <w:name w:val="ZZ Numbers digit"/>
    <w:rsid w:val="00F15144"/>
    <w:pPr>
      <w:numPr>
        <w:numId w:val="1"/>
      </w:numPr>
    </w:pPr>
  </w:style>
  <w:style w:type="numbering" w:styleId="ZZQuotebullets" w:customStyle="1">
    <w:name w:val="ZZ Quote bullets"/>
    <w:basedOn w:val="ZZNumbersdigit"/>
    <w:rsid w:val="00C60411"/>
    <w:pPr>
      <w:numPr>
        <w:numId w:val="4"/>
      </w:numPr>
    </w:pPr>
  </w:style>
  <w:style w:type="paragraph" w:styleId="Numberdigit" w:customStyle="1">
    <w:name w:val="Number digit"/>
    <w:basedOn w:val="Body"/>
    <w:uiPriority w:val="2"/>
    <w:rsid w:val="00F15144"/>
    <w:pPr>
      <w:numPr>
        <w:numId w:val="1"/>
      </w:numPr>
    </w:pPr>
  </w:style>
  <w:style w:type="paragraph" w:styleId="Numberloweralphaindent" w:customStyle="1">
    <w:name w:val="Number lower alpha indent"/>
    <w:basedOn w:val="Body"/>
    <w:uiPriority w:val="3"/>
    <w:rsid w:val="00C60411"/>
    <w:pPr>
      <w:numPr>
        <w:ilvl w:val="1"/>
        <w:numId w:val="6"/>
      </w:numPr>
    </w:pPr>
  </w:style>
  <w:style w:type="paragraph" w:styleId="Numberdigitindent" w:customStyle="1">
    <w:name w:val="Number digit indent"/>
    <w:basedOn w:val="Body"/>
    <w:uiPriority w:val="3"/>
    <w:rsid w:val="00F15144"/>
    <w:pPr>
      <w:numPr>
        <w:ilvl w:val="1"/>
        <w:numId w:val="1"/>
      </w:numPr>
    </w:pPr>
  </w:style>
  <w:style w:type="paragraph" w:styleId="Numberloweralpha" w:customStyle="1">
    <w:name w:val="Number lower alpha"/>
    <w:basedOn w:val="Body"/>
    <w:uiPriority w:val="3"/>
    <w:rsid w:val="00C60411"/>
    <w:pPr>
      <w:numPr>
        <w:numId w:val="6"/>
      </w:numPr>
    </w:pPr>
  </w:style>
  <w:style w:type="paragraph" w:styleId="Numberlowerroman" w:customStyle="1">
    <w:name w:val="Number lower roman"/>
    <w:basedOn w:val="Body"/>
    <w:uiPriority w:val="3"/>
    <w:rsid w:val="00C60411"/>
    <w:pPr>
      <w:numPr>
        <w:numId w:val="5"/>
      </w:numPr>
    </w:pPr>
  </w:style>
  <w:style w:type="paragraph" w:styleId="Numberlowerromanindent" w:customStyle="1">
    <w:name w:val="Number lower roman indent"/>
    <w:basedOn w:val="Body"/>
    <w:uiPriority w:val="3"/>
    <w:rsid w:val="00C60411"/>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F15144"/>
    <w:pPr>
      <w:numPr>
        <w:ilvl w:val="3"/>
        <w:numId w:val="1"/>
      </w:numPr>
    </w:pPr>
  </w:style>
  <w:style w:type="numbering" w:styleId="ZZNumberslowerroman" w:customStyle="1">
    <w:name w:val="ZZ Numbers lower roman"/>
    <w:basedOn w:val="ZZQuotebullets"/>
    <w:rsid w:val="00C60411"/>
    <w:pPr>
      <w:numPr>
        <w:numId w:val="5"/>
      </w:numPr>
    </w:pPr>
  </w:style>
  <w:style w:type="numbering" w:styleId="ZZNumbersloweralpha" w:customStyle="1">
    <w:name w:val="ZZ Numbers lower alpha"/>
    <w:basedOn w:val="NoList"/>
    <w:rsid w:val="00C60411"/>
    <w:pPr>
      <w:numPr>
        <w:numId w:val="6"/>
      </w:numPr>
    </w:pPr>
  </w:style>
  <w:style w:type="paragraph" w:styleId="Quotebullet1" w:customStyle="1">
    <w:name w:val="Quote bullet 1"/>
    <w:basedOn w:val="Quotetext"/>
    <w:rsid w:val="00C60411"/>
    <w:pPr>
      <w:numPr>
        <w:numId w:val="4"/>
      </w:numPr>
    </w:pPr>
  </w:style>
  <w:style w:type="paragraph" w:styleId="Quotebullet2" w:customStyle="1">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853088"/>
    <w:rPr>
      <w:rFonts w:ascii="Arial" w:hAnsi="Arial" w:eastAsia="Times"/>
      <w:sz w:val="24"/>
      <w:lang w:eastAsia="en-US"/>
    </w:rPr>
  </w:style>
  <w:style w:type="paragraph" w:styleId="Bannermarking" w:customStyle="1">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9B3D5C"/>
    <w:pPr>
      <w:spacing w:after="60" w:line="270" w:lineRule="atLeast"/>
    </w:pPr>
  </w:style>
  <w:style w:type="paragraph" w:styleId="Introtext" w:customStyle="1">
    <w:name w:val="Intro text"/>
    <w:basedOn w:val="Body"/>
    <w:uiPriority w:val="11"/>
    <w:rsid w:val="001C7128"/>
    <w:rPr>
      <w:color w:val="201547"/>
    </w:rPr>
  </w:style>
  <w:style w:type="character" w:styleId="HeaderChar" w:customStyle="1">
    <w:name w:val="Header Char"/>
    <w:basedOn w:val="DefaultParagraphFont"/>
    <w:link w:val="Header"/>
    <w:uiPriority w:val="99"/>
    <w:rsid w:val="00853088"/>
    <w:rPr>
      <w:rFonts w:ascii="Arial" w:hAnsi="Arial" w:cs="Arial"/>
      <w:b/>
      <w:color w:val="201547"/>
      <w:sz w:val="21"/>
      <w:szCs w:val="18"/>
      <w:lang w:eastAsia="en-US"/>
    </w:rPr>
  </w:style>
  <w:style w:type="character" w:styleId="Heading6Char" w:customStyle="1">
    <w:name w:val="Heading 6 Char"/>
    <w:basedOn w:val="DefaultParagraphFont"/>
    <w:link w:val="Heading6"/>
    <w:uiPriority w:val="9"/>
    <w:rsid w:val="00FE1E85"/>
    <w:rPr>
      <w:rFonts w:asciiTheme="majorHAnsi" w:hAnsiTheme="majorHAnsi" w:eastAsiaTheme="majorEastAsia"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EE7878"/>
    <w:pPr>
      <w:spacing w:after="0" w:line="240" w:lineRule="auto"/>
      <w:ind w:left="720"/>
      <w:contextualSpacing/>
      <w:jc w:val="both"/>
    </w:pPr>
    <w:rPr>
      <w:rFonts w:eastAsiaTheme="minorHAnsi" w:cstheme="minorBidi"/>
      <w:szCs w:val="24"/>
    </w:rPr>
  </w:style>
  <w:style w:type="character" w:styleId="ListParagraphChar" w:customStyle="1">
    <w:name w:val="List Paragraph Char"/>
    <w:link w:val="ListParagraph"/>
    <w:uiPriority w:val="34"/>
    <w:locked/>
    <w:rsid w:val="00EE7878"/>
    <w:rPr>
      <w:rFonts w:ascii="Arial" w:hAnsi="Arial" w:eastAsiaTheme="minorHAnsi" w:cstheme="minorBidi"/>
      <w:sz w:val="21"/>
      <w:szCs w:val="24"/>
      <w:lang w:eastAsia="en-US"/>
    </w:rPr>
  </w:style>
  <w:style w:type="character" w:styleId="acopre" w:customStyle="1">
    <w:name w:val="acopre"/>
    <w:basedOn w:val="DefaultParagraphFont"/>
    <w:rsid w:val="00FE1E85"/>
  </w:style>
  <w:style w:type="paragraph" w:styleId="NormalWeb">
    <w:name w:val="Normal (Web)"/>
    <w:basedOn w:val="Normal"/>
    <w:uiPriority w:val="99"/>
    <w:unhideWhenUsed/>
    <w:rsid w:val="00FE1E85"/>
    <w:pPr>
      <w:spacing w:before="100" w:beforeAutospacing="1" w:after="100" w:afterAutospacing="1" w:line="240" w:lineRule="auto"/>
      <w:jc w:val="both"/>
    </w:pPr>
    <w:rPr>
      <w:rFonts w:ascii="Times New Roman" w:hAnsi="Times New Roman"/>
      <w:sz w:val="24"/>
      <w:szCs w:val="24"/>
      <w:lang w:eastAsia="en-GB"/>
    </w:rPr>
  </w:style>
  <w:style w:type="character" w:styleId="Emphasis">
    <w:name w:val="Emphasis"/>
    <w:basedOn w:val="DefaultParagraphFont"/>
    <w:uiPriority w:val="20"/>
    <w:qFormat/>
    <w:rsid w:val="00FE1E85"/>
    <w:rPr>
      <w:i/>
      <w:iCs/>
    </w:rPr>
  </w:style>
  <w:style w:type="character" w:styleId="name" w:customStyle="1">
    <w:name w:val="name"/>
    <w:basedOn w:val="DefaultParagraphFont"/>
    <w:rsid w:val="00FE1E85"/>
  </w:style>
  <w:style w:type="character" w:styleId="blog-button" w:customStyle="1">
    <w:name w:val="blog-button"/>
    <w:basedOn w:val="DefaultParagraphFont"/>
    <w:rsid w:val="00FE1E85"/>
  </w:style>
  <w:style w:type="character" w:styleId="FooterChar" w:customStyle="1">
    <w:name w:val="Footer Char"/>
    <w:basedOn w:val="DefaultParagraphFont"/>
    <w:link w:val="Footer"/>
    <w:uiPriority w:val="99"/>
    <w:rsid w:val="00FE1E85"/>
    <w:rPr>
      <w:rFonts w:ascii="Arial" w:hAnsi="Arial" w:cs="Arial"/>
      <w:sz w:val="18"/>
      <w:szCs w:val="18"/>
      <w:lang w:eastAsia="en-US"/>
    </w:rPr>
  </w:style>
  <w:style w:type="character" w:styleId="tribe-event-date-start" w:customStyle="1">
    <w:name w:val="tribe-event-date-start"/>
    <w:basedOn w:val="DefaultParagraphFont"/>
    <w:rsid w:val="00FE1E85"/>
  </w:style>
  <w:style w:type="character" w:styleId="tribe-event-time" w:customStyle="1">
    <w:name w:val="tribe-event-time"/>
    <w:basedOn w:val="DefaultParagraphFont"/>
    <w:rsid w:val="00FE1E85"/>
  </w:style>
  <w:style w:type="character" w:styleId="attention" w:customStyle="1">
    <w:name w:val="attention"/>
    <w:basedOn w:val="DefaultParagraphFont"/>
    <w:rsid w:val="00FE1E85"/>
  </w:style>
  <w:style w:type="paragraph" w:styleId="TOCHeading">
    <w:name w:val="TOC Heading"/>
    <w:basedOn w:val="Heading1"/>
    <w:next w:val="Normal"/>
    <w:uiPriority w:val="39"/>
    <w:unhideWhenUsed/>
    <w:qFormat/>
    <w:rsid w:val="00FE1E85"/>
    <w:pPr>
      <w:spacing w:before="480" w:line="276" w:lineRule="auto"/>
      <w:outlineLvl w:val="9"/>
    </w:pPr>
    <w:rPr>
      <w:rFonts w:ascii="Chalkduster" w:hAnsi="Chalkduster" w:cs="Times New Roman (Headings CS)" w:eastAsiaTheme="majorEastAsia"/>
      <w:b/>
      <w:caps/>
      <w:color w:val="365F91" w:themeColor="accent1" w:themeShade="BF"/>
      <w:kern w:val="0"/>
      <w:sz w:val="28"/>
      <w:szCs w:val="28"/>
      <w:lang w:val="en-US"/>
    </w:rPr>
  </w:style>
  <w:style w:type="character" w:styleId="rpl-text-label" w:customStyle="1">
    <w:name w:val="rpl-text-label"/>
    <w:basedOn w:val="DefaultParagraphFont"/>
    <w:rsid w:val="00FE1E85"/>
  </w:style>
  <w:style w:type="character" w:styleId="rpl-text-icongroup" w:customStyle="1">
    <w:name w:val="rpl-text-icon__group"/>
    <w:basedOn w:val="DefaultParagraphFont"/>
    <w:rsid w:val="00FE1E85"/>
  </w:style>
  <w:style w:type="paragraph" w:styleId="rpl-hero-bannerdescription" w:customStyle="1">
    <w:name w:val="rpl-hero-banner__description"/>
    <w:basedOn w:val="Normal"/>
    <w:rsid w:val="00FE1E85"/>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unhideWhenUsed/>
    <w:rsid w:val="00FE1E85"/>
    <w:rPr>
      <w:color w:val="2B579A"/>
      <w:shd w:val="clear" w:color="auto" w:fill="E1DFDD"/>
    </w:rPr>
  </w:style>
  <w:style w:type="paragraph" w:styleId="NoSpacing">
    <w:name w:val="No Spacing"/>
    <w:uiPriority w:val="1"/>
    <w:qFormat/>
    <w:rsid w:val="00FE1E85"/>
    <w:pPr>
      <w:jc w:val="both"/>
    </w:pPr>
    <w:rPr>
      <w:rFonts w:asciiTheme="minorHAnsi" w:hAnsiTheme="minorHAnsi" w:eastAsiaTheme="minorHAnsi" w:cstheme="minorBidi"/>
      <w:sz w:val="24"/>
      <w:szCs w:val="24"/>
      <w:lang w:eastAsia="en-US"/>
    </w:rPr>
  </w:style>
  <w:style w:type="character" w:styleId="PlaceholderText">
    <w:name w:val="Placeholder Text"/>
    <w:basedOn w:val="DefaultParagraphFont"/>
    <w:uiPriority w:val="99"/>
    <w:semiHidden/>
    <w:rsid w:val="00FE1E85"/>
    <w:rPr>
      <w:color w:val="808080"/>
    </w:rPr>
  </w:style>
  <w:style w:type="character" w:styleId="normaltextrun" w:customStyle="1">
    <w:name w:val="normaltextrun"/>
    <w:basedOn w:val="DefaultParagraphFont"/>
    <w:rsid w:val="00FE1E85"/>
  </w:style>
  <w:style w:type="paragraph" w:styleId="Sectiontitle" w:customStyle="1">
    <w:name w:val="Section title"/>
    <w:basedOn w:val="Heading1"/>
    <w:uiPriority w:val="11"/>
    <w:rsid w:val="006B3B21"/>
    <w:pPr>
      <w:jc w:val="center"/>
    </w:pPr>
    <w:rPr>
      <w:b/>
      <w:sz w:val="40"/>
      <w:szCs w:val="40"/>
    </w:rPr>
  </w:style>
  <w:style w:type="paragraph" w:styleId="m-4297245943914275974imprint" w:customStyle="1">
    <w:name w:val="m_-4297245943914275974imprint"/>
    <w:basedOn w:val="Normal"/>
    <w:rsid w:val="009A6471"/>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826038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hyperlink" Target="https://rainbowhealthaustralia.org.au/rainbow-tick"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equality@dffh.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pridecentre.org.au/resource-directory/"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vic.gov.au/pride-our-future-victorias-lgbtiq-strategy-2022-3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https://www.vic.gov.au/rainbow-ready-roadmap" TargetMode="External" Id="Rf020235e915a4bd8" /></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vahi.vic.gov.au/report/population-health/health-and-wellbeing-lgbtiq-population-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1ef5222-d273-4e86-adbf-8aa3d9e99a84"/>
    <ds:schemaRef ds:uri="5ce0f2b5-5be5-4508-bce9-d7011ece0659"/>
    <ds:schemaRef ds:uri="http://purl.org/dc/terms/"/>
    <ds:schemaRef ds:uri="06badf41-c0a1-41a6-983a-efd542c2c878"/>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C1AC64E-0C56-4FC0-8F85-E15EA89F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Guide A: User guide (accessible)</dc:title>
  <dc:subject>Rainbow ready roadmap</dc:subject>
  <dc:creator>Fairer Victoria</dc:creator>
  <cp:keywords/>
  <dc:description/>
  <cp:revision>24</cp:revision>
  <cp:lastPrinted>2021-01-30T00:27:00Z</cp:lastPrinted>
  <dcterms:created xsi:type="dcterms:W3CDTF">2023-09-07T23:12:00Z</dcterms:created>
  <dcterms:modified xsi:type="dcterms:W3CDTF">2023-11-10T00:13:05Z</dcterms:modified>
  <cp:category>Rainbow ready roadmap, LGBTIQ+,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2022-09-28T08:04:27Z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8a49442f-e867-4ae3-9845-4b5208d1914e</vt:lpwstr>
  </property>
  <property fmtid="{D5CDD505-2E9C-101B-9397-08002B2CF9AE}" pid="11" name="MSIP_Label_43e64453-338c-4f93-8a4d-0039a0a41f2a_ContentBits">
    <vt:lpwstr>2</vt:lpwstr>
  </property>
  <property fmtid="{D5CDD505-2E9C-101B-9397-08002B2CF9AE}" pid="12" name="MediaServiceImageTags">
    <vt:lpwstr/>
  </property>
</Properties>
</file>