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8B36" w14:textId="77777777" w:rsidR="00944261" w:rsidRPr="00431F42" w:rsidRDefault="00944261" w:rsidP="00431F42">
      <w:pPr>
        <w:pStyle w:val="Documenttitle"/>
      </w:pPr>
      <w:r w:rsidRPr="00FE1E85">
        <w:t xml:space="preserve">Rainbow </w:t>
      </w:r>
      <w:r>
        <w:t xml:space="preserve">Ready </w:t>
      </w:r>
      <w:r w:rsidRPr="00FE1E85">
        <w:t>roadmap</w:t>
      </w:r>
    </w:p>
    <w:p w14:paraId="62B1776C" w14:textId="77777777" w:rsidR="00944261" w:rsidRPr="00FE1E85" w:rsidRDefault="00944261" w:rsidP="008158E6">
      <w:pPr>
        <w:pStyle w:val="Documentsubtitle"/>
      </w:pPr>
      <w:r w:rsidRPr="008158E6">
        <w:t>Guide B3: Setting guide for health and community services</w:t>
      </w:r>
      <w:r>
        <w:t xml:space="preserve"> </w:t>
      </w:r>
      <w:r w:rsidRPr="00366F2D">
        <w:t>(accessible)</w:t>
      </w:r>
    </w:p>
    <w:p w14:paraId="4D3F5E26" w14:textId="77777777" w:rsidR="00944261" w:rsidRDefault="00B0614E" w:rsidP="00430393">
      <w:pPr>
        <w:pStyle w:val="Bannermarking"/>
      </w:pPr>
      <w:fldSimple w:instr="FILLIN  &quot;Type the protective marking&quot; \d OFFICIAL \o  \* MERGEFORMAT">
        <w:r w:rsidR="00944261">
          <w:t>OFFICIAL</w:t>
        </w:r>
      </w:fldSimple>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969" w:right="1304" w:bottom="851" w:left="1304" w:header="680" w:footer="567" w:gutter="0"/>
          <w:cols w:space="340"/>
          <w:titlePg/>
          <w:docGrid w:linePitch="360"/>
        </w:sectPr>
      </w:pPr>
    </w:p>
    <w:p w14:paraId="11161D67" w14:textId="77777777" w:rsidR="004B6EA0" w:rsidRPr="0055119B" w:rsidRDefault="004B6EA0" w:rsidP="004B6EA0">
      <w:pPr>
        <w:pStyle w:val="Accessibilitypara"/>
      </w:pPr>
      <w:r w:rsidRPr="0055119B">
        <w:t>To receive this document in another format</w:t>
      </w:r>
      <w:r>
        <w:t>,</w:t>
      </w:r>
      <w:r w:rsidRPr="0055119B">
        <w:t xml:space="preserve"> </w:t>
      </w:r>
      <w:hyperlink r:id="rId17" w:history="1">
        <w:r>
          <w:rPr>
            <w:rStyle w:val="Hyperlink"/>
            <w:b/>
            <w:bCs/>
          </w:rPr>
          <w:t>email the Equality Unit</w:t>
        </w:r>
      </w:hyperlink>
      <w:r w:rsidRPr="009B3D5C">
        <w:rPr>
          <w:b/>
          <w:bCs/>
        </w:rPr>
        <w:t xml:space="preserve"> </w:t>
      </w:r>
      <w:r w:rsidRPr="009B3D5C">
        <w:t>&lt;equality@dffh.vic.gov.au&gt;.</w:t>
      </w:r>
      <w:r w:rsidRPr="0055119B">
        <w:rPr>
          <w:color w:val="004C97"/>
        </w:rPr>
        <w:t xml:space="preserve"> </w:t>
      </w:r>
    </w:p>
    <w:p w14:paraId="1872B749" w14:textId="77777777" w:rsidR="004B6EA0" w:rsidRPr="0055119B" w:rsidRDefault="004B6EA0" w:rsidP="004B6EA0">
      <w:pPr>
        <w:pStyle w:val="Imprint"/>
        <w:spacing w:after="120"/>
      </w:pPr>
      <w:r w:rsidRPr="0055119B">
        <w:t>Authorised and published by the Victorian Government, 1 Treasury Place, Melbourne.</w:t>
      </w:r>
    </w:p>
    <w:p w14:paraId="03EE2E36" w14:textId="77777777" w:rsidR="004B6EA0" w:rsidRPr="009B3D5C" w:rsidRDefault="004B6EA0" w:rsidP="004B6EA0">
      <w:pPr>
        <w:pStyle w:val="Imprint"/>
        <w:spacing w:after="120"/>
      </w:pPr>
      <w:r w:rsidRPr="0055119B">
        <w:t xml:space="preserve">© State of Victoria, Australia, Department </w:t>
      </w:r>
      <w:r w:rsidRPr="001B058F">
        <w:t xml:space="preserve">of </w:t>
      </w:r>
      <w:r>
        <w:t>Families, Fairness and Housin</w:t>
      </w:r>
      <w:r w:rsidRPr="009B3D5C">
        <w:t>g, May 2022.</w:t>
      </w:r>
    </w:p>
    <w:p w14:paraId="636F740E" w14:textId="77777777" w:rsidR="004B6EA0" w:rsidRPr="009B3D5C" w:rsidRDefault="004B6EA0" w:rsidP="004B6EA0">
      <w:pPr>
        <w:pStyle w:val="Imprint"/>
        <w:spacing w:after="120"/>
      </w:pPr>
      <w:r w:rsidRPr="009B3D5C">
        <w:t>In this document, ‘Aboriginal’ refers to both Aboriginal and Torres Strait Islander people.</w:t>
      </w:r>
    </w:p>
    <w:p w14:paraId="56ABD2F9" w14:textId="77777777" w:rsidR="00D8557A" w:rsidRPr="009A6471" w:rsidRDefault="00D8557A" w:rsidP="00D8557A">
      <w:pPr>
        <w:pStyle w:val="Imprint"/>
        <w:spacing w:after="120"/>
      </w:pPr>
      <w:r w:rsidRPr="009A6471">
        <w:t>The Victorian Government acknowledges the contributions of Dr Catherine Barrett and Daniel Witthaus in developing this resource.</w:t>
      </w:r>
    </w:p>
    <w:p w14:paraId="18C97785" w14:textId="0866906B" w:rsidR="00D8557A" w:rsidRPr="009A6471" w:rsidRDefault="00D8557A" w:rsidP="00D8557A">
      <w:pPr>
        <w:pStyle w:val="Imprint"/>
        <w:spacing w:after="120"/>
      </w:pPr>
      <w:r w:rsidRPr="009A6471">
        <w:t xml:space="preserve">ISBN </w:t>
      </w:r>
      <w:r w:rsidR="00DE1E0F">
        <w:rPr>
          <w:rFonts w:cs="Arial"/>
          <w:color w:val="000000"/>
        </w:rPr>
        <w:t xml:space="preserve">978-1-76130-420-0 </w:t>
      </w:r>
      <w:r w:rsidRPr="009A6471">
        <w:t>(online/PDF/Word)</w:t>
      </w:r>
    </w:p>
    <w:p w14:paraId="0FBBA7BF" w14:textId="77777777" w:rsidR="004B6EA0" w:rsidRPr="0055119B" w:rsidRDefault="004B6EA0" w:rsidP="004B6EA0">
      <w:pPr>
        <w:pStyle w:val="Imprint"/>
        <w:spacing w:after="120"/>
      </w:pPr>
      <w:r w:rsidRPr="0055119B">
        <w:t xml:space="preserve">Available at </w:t>
      </w:r>
      <w:hyperlink r:id="rId18" w:history="1">
        <w:r w:rsidRPr="009B3D5C">
          <w:rPr>
            <w:rStyle w:val="Hyperlink"/>
          </w:rPr>
          <w:t>Rainbow Ready ro</w:t>
        </w:r>
        <w:r w:rsidRPr="009B3D5C">
          <w:rPr>
            <w:rStyle w:val="Hyperlink"/>
            <w:rFonts w:cs="Arial"/>
          </w:rPr>
          <w:t>admap</w:t>
        </w:r>
      </w:hyperlink>
      <w:r w:rsidRPr="00695B02">
        <w:rPr>
          <w:rFonts w:cs="Arial"/>
        </w:rPr>
        <w:t xml:space="preserve"> &lt;</w:t>
      </w:r>
      <w:r w:rsidRPr="009B3D5C">
        <w:rPr>
          <w:rStyle w:val="normaltextrun"/>
          <w:rFonts w:cs="Arial"/>
          <w:color w:val="000000"/>
          <w:bdr w:val="none" w:sz="0" w:space="0" w:color="auto" w:frame="1"/>
        </w:rPr>
        <w:t>https://www.vic.gov.au/rainbow-ready-roadmap&gt;.</w:t>
      </w:r>
      <w:r w:rsidRPr="00E33237">
        <w:rPr>
          <w:color w:val="004C97"/>
        </w:rPr>
        <w:t xml:space="preserve"> </w:t>
      </w:r>
    </w:p>
    <w:p w14:paraId="7059F254" w14:textId="77777777" w:rsidR="000D2ABA" w:rsidRDefault="000D2ABA" w:rsidP="00431F42">
      <w:pPr>
        <w:pStyle w:val="Body"/>
      </w:pPr>
      <w:r>
        <w:br w:type="page"/>
      </w:r>
    </w:p>
    <w:p w14:paraId="4028DB6E" w14:textId="0B4EE14E" w:rsidR="00AD784C" w:rsidRPr="00B57329" w:rsidRDefault="00AD784C" w:rsidP="002365B4">
      <w:pPr>
        <w:pStyle w:val="TOCheadingreport"/>
      </w:pPr>
      <w:r w:rsidRPr="00B57329">
        <w:t>Contents</w:t>
      </w:r>
    </w:p>
    <w:p w14:paraId="34F78789" w14:textId="250768EB" w:rsidR="00D8557A" w:rsidRDefault="00EA36AF">
      <w:pPr>
        <w:pStyle w:val="TOC2"/>
        <w:rPr>
          <w:rFonts w:asciiTheme="minorHAnsi" w:eastAsiaTheme="minorEastAsia" w:hAnsiTheme="minorHAnsi" w:cstheme="minorBidi"/>
          <w:sz w:val="22"/>
          <w:szCs w:val="22"/>
          <w:lang w:eastAsia="en-AU"/>
        </w:rPr>
      </w:pPr>
      <w:r>
        <w:fldChar w:fldCharType="begin"/>
      </w:r>
      <w:r>
        <w:instrText xml:space="preserve"> TOC \h \z \u \t "Heading 1,2,Heading 2,3,Section title,1" </w:instrText>
      </w:r>
      <w:r>
        <w:fldChar w:fldCharType="separate"/>
      </w:r>
      <w:hyperlink w:anchor="_Toc103237542" w:history="1">
        <w:r w:rsidR="00D8557A" w:rsidRPr="00DF1657">
          <w:rPr>
            <w:rStyle w:val="Hyperlink"/>
          </w:rPr>
          <w:t>About the Rainbow Ready roadmap</w:t>
        </w:r>
        <w:r w:rsidR="00D8557A">
          <w:rPr>
            <w:webHidden/>
          </w:rPr>
          <w:tab/>
        </w:r>
        <w:r w:rsidR="00D8557A">
          <w:rPr>
            <w:webHidden/>
          </w:rPr>
          <w:fldChar w:fldCharType="begin"/>
        </w:r>
        <w:r w:rsidR="00D8557A">
          <w:rPr>
            <w:webHidden/>
          </w:rPr>
          <w:instrText xml:space="preserve"> PAGEREF _Toc103237542 \h </w:instrText>
        </w:r>
        <w:r w:rsidR="00D8557A">
          <w:rPr>
            <w:webHidden/>
          </w:rPr>
        </w:r>
        <w:r w:rsidR="00D8557A">
          <w:rPr>
            <w:webHidden/>
          </w:rPr>
          <w:fldChar w:fldCharType="separate"/>
        </w:r>
        <w:r w:rsidR="00D8557A">
          <w:rPr>
            <w:webHidden/>
          </w:rPr>
          <w:t>4</w:t>
        </w:r>
        <w:r w:rsidR="00D8557A">
          <w:rPr>
            <w:webHidden/>
          </w:rPr>
          <w:fldChar w:fldCharType="end"/>
        </w:r>
      </w:hyperlink>
    </w:p>
    <w:p w14:paraId="17176C89" w14:textId="06AE969F" w:rsidR="00D8557A" w:rsidRDefault="00B0614E">
      <w:pPr>
        <w:pStyle w:val="TOC2"/>
        <w:rPr>
          <w:rFonts w:asciiTheme="minorHAnsi" w:eastAsiaTheme="minorEastAsia" w:hAnsiTheme="minorHAnsi" w:cstheme="minorBidi"/>
          <w:sz w:val="22"/>
          <w:szCs w:val="22"/>
          <w:lang w:eastAsia="en-AU"/>
        </w:rPr>
      </w:pPr>
      <w:hyperlink w:anchor="_Toc103237543" w:history="1">
        <w:r w:rsidR="00D8557A" w:rsidRPr="00DF1657">
          <w:rPr>
            <w:rStyle w:val="Hyperlink"/>
          </w:rPr>
          <w:t>About this setting guide</w:t>
        </w:r>
        <w:r w:rsidR="00D8557A">
          <w:rPr>
            <w:webHidden/>
          </w:rPr>
          <w:tab/>
        </w:r>
        <w:r w:rsidR="00D8557A">
          <w:rPr>
            <w:webHidden/>
          </w:rPr>
          <w:fldChar w:fldCharType="begin"/>
        </w:r>
        <w:r w:rsidR="00D8557A">
          <w:rPr>
            <w:webHidden/>
          </w:rPr>
          <w:instrText xml:space="preserve"> PAGEREF _Toc103237543 \h </w:instrText>
        </w:r>
        <w:r w:rsidR="00D8557A">
          <w:rPr>
            <w:webHidden/>
          </w:rPr>
        </w:r>
        <w:r w:rsidR="00D8557A">
          <w:rPr>
            <w:webHidden/>
          </w:rPr>
          <w:fldChar w:fldCharType="separate"/>
        </w:r>
        <w:r w:rsidR="00D8557A">
          <w:rPr>
            <w:webHidden/>
          </w:rPr>
          <w:t>4</w:t>
        </w:r>
        <w:r w:rsidR="00D8557A">
          <w:rPr>
            <w:webHidden/>
          </w:rPr>
          <w:fldChar w:fldCharType="end"/>
        </w:r>
      </w:hyperlink>
    </w:p>
    <w:p w14:paraId="78AB8E78" w14:textId="1AA68F27" w:rsidR="00D8557A" w:rsidRDefault="00B0614E">
      <w:pPr>
        <w:pStyle w:val="TOC2"/>
        <w:rPr>
          <w:rFonts w:asciiTheme="minorHAnsi" w:eastAsiaTheme="minorEastAsia" w:hAnsiTheme="minorHAnsi" w:cstheme="minorBidi"/>
          <w:sz w:val="22"/>
          <w:szCs w:val="22"/>
          <w:lang w:eastAsia="en-AU"/>
        </w:rPr>
      </w:pPr>
      <w:hyperlink w:anchor="_Toc103237544" w:history="1">
        <w:r w:rsidR="00D8557A" w:rsidRPr="00DF1657">
          <w:rPr>
            <w:rStyle w:val="Hyperlink"/>
          </w:rPr>
          <w:t>Using the setting guide</w:t>
        </w:r>
        <w:r w:rsidR="00D8557A">
          <w:rPr>
            <w:webHidden/>
          </w:rPr>
          <w:tab/>
        </w:r>
        <w:r w:rsidR="00D8557A">
          <w:rPr>
            <w:webHidden/>
          </w:rPr>
          <w:fldChar w:fldCharType="begin"/>
        </w:r>
        <w:r w:rsidR="00D8557A">
          <w:rPr>
            <w:webHidden/>
          </w:rPr>
          <w:instrText xml:space="preserve"> PAGEREF _Toc103237544 \h </w:instrText>
        </w:r>
        <w:r w:rsidR="00D8557A">
          <w:rPr>
            <w:webHidden/>
          </w:rPr>
        </w:r>
        <w:r w:rsidR="00D8557A">
          <w:rPr>
            <w:webHidden/>
          </w:rPr>
          <w:fldChar w:fldCharType="separate"/>
        </w:r>
        <w:r w:rsidR="00D8557A">
          <w:rPr>
            <w:webHidden/>
          </w:rPr>
          <w:t>4</w:t>
        </w:r>
        <w:r w:rsidR="00D8557A">
          <w:rPr>
            <w:webHidden/>
          </w:rPr>
          <w:fldChar w:fldCharType="end"/>
        </w:r>
      </w:hyperlink>
    </w:p>
    <w:p w14:paraId="68859577" w14:textId="19BFB36C" w:rsidR="00D8557A" w:rsidRDefault="00B0614E">
      <w:pPr>
        <w:pStyle w:val="TOC3"/>
        <w:rPr>
          <w:rFonts w:asciiTheme="minorHAnsi" w:eastAsiaTheme="minorEastAsia" w:hAnsiTheme="minorHAnsi" w:cstheme="minorBidi"/>
          <w:noProof/>
          <w:sz w:val="22"/>
          <w:szCs w:val="22"/>
          <w:lang w:eastAsia="en-AU"/>
        </w:rPr>
      </w:pPr>
      <w:hyperlink w:anchor="_Toc103237545" w:history="1">
        <w:r w:rsidR="00D8557A" w:rsidRPr="00DF1657">
          <w:rPr>
            <w:rStyle w:val="Hyperlink"/>
            <w:noProof/>
          </w:rPr>
          <w:t>Steps</w:t>
        </w:r>
        <w:r w:rsidR="00D8557A">
          <w:rPr>
            <w:noProof/>
            <w:webHidden/>
          </w:rPr>
          <w:tab/>
        </w:r>
        <w:r w:rsidR="00D8557A">
          <w:rPr>
            <w:noProof/>
            <w:webHidden/>
          </w:rPr>
          <w:fldChar w:fldCharType="begin"/>
        </w:r>
        <w:r w:rsidR="00D8557A">
          <w:rPr>
            <w:noProof/>
            <w:webHidden/>
          </w:rPr>
          <w:instrText xml:space="preserve"> PAGEREF _Toc103237545 \h </w:instrText>
        </w:r>
        <w:r w:rsidR="00D8557A">
          <w:rPr>
            <w:noProof/>
            <w:webHidden/>
          </w:rPr>
        </w:r>
        <w:r w:rsidR="00D8557A">
          <w:rPr>
            <w:noProof/>
            <w:webHidden/>
          </w:rPr>
          <w:fldChar w:fldCharType="separate"/>
        </w:r>
        <w:r w:rsidR="00D8557A">
          <w:rPr>
            <w:noProof/>
            <w:webHidden/>
          </w:rPr>
          <w:t>4</w:t>
        </w:r>
        <w:r w:rsidR="00D8557A">
          <w:rPr>
            <w:noProof/>
            <w:webHidden/>
          </w:rPr>
          <w:fldChar w:fldCharType="end"/>
        </w:r>
      </w:hyperlink>
    </w:p>
    <w:p w14:paraId="6205E6B0" w14:textId="00A76CA4" w:rsidR="00D8557A" w:rsidRDefault="00B0614E">
      <w:pPr>
        <w:pStyle w:val="TOC2"/>
        <w:rPr>
          <w:rFonts w:asciiTheme="minorHAnsi" w:eastAsiaTheme="minorEastAsia" w:hAnsiTheme="minorHAnsi" w:cstheme="minorBidi"/>
          <w:sz w:val="22"/>
          <w:szCs w:val="22"/>
          <w:lang w:eastAsia="en-AU"/>
        </w:rPr>
      </w:pPr>
      <w:hyperlink w:anchor="_Toc103237547" w:history="1">
        <w:r w:rsidR="00D8557A" w:rsidRPr="00DF1657">
          <w:rPr>
            <w:rStyle w:val="Hyperlink"/>
          </w:rPr>
          <w:t>Goal and indicators for health and community services</w:t>
        </w:r>
        <w:r w:rsidR="00D8557A">
          <w:rPr>
            <w:webHidden/>
          </w:rPr>
          <w:tab/>
        </w:r>
        <w:r w:rsidR="00D8557A">
          <w:rPr>
            <w:webHidden/>
          </w:rPr>
          <w:fldChar w:fldCharType="begin"/>
        </w:r>
        <w:r w:rsidR="00D8557A">
          <w:rPr>
            <w:webHidden/>
          </w:rPr>
          <w:instrText xml:space="preserve"> PAGEREF _Toc103237547 \h </w:instrText>
        </w:r>
        <w:r w:rsidR="00D8557A">
          <w:rPr>
            <w:webHidden/>
          </w:rPr>
        </w:r>
        <w:r w:rsidR="00D8557A">
          <w:rPr>
            <w:webHidden/>
          </w:rPr>
          <w:fldChar w:fldCharType="separate"/>
        </w:r>
        <w:r w:rsidR="00D8557A">
          <w:rPr>
            <w:webHidden/>
          </w:rPr>
          <w:t>6</w:t>
        </w:r>
        <w:r w:rsidR="00D8557A">
          <w:rPr>
            <w:webHidden/>
          </w:rPr>
          <w:fldChar w:fldCharType="end"/>
        </w:r>
      </w:hyperlink>
    </w:p>
    <w:p w14:paraId="176FCE86" w14:textId="1D60ADF3" w:rsidR="00D8557A" w:rsidRDefault="00B0614E">
      <w:pPr>
        <w:pStyle w:val="TOC3"/>
        <w:rPr>
          <w:rFonts w:asciiTheme="minorHAnsi" w:eastAsiaTheme="minorEastAsia" w:hAnsiTheme="minorHAnsi" w:cstheme="minorBidi"/>
          <w:noProof/>
          <w:sz w:val="22"/>
          <w:szCs w:val="22"/>
          <w:lang w:eastAsia="en-AU"/>
        </w:rPr>
      </w:pPr>
      <w:hyperlink w:anchor="_Toc103237548" w:history="1">
        <w:r w:rsidR="00D8557A" w:rsidRPr="00DF1657">
          <w:rPr>
            <w:rStyle w:val="Hyperlink"/>
            <w:noProof/>
          </w:rPr>
          <w:t>Goal</w:t>
        </w:r>
        <w:r w:rsidR="00D8557A">
          <w:rPr>
            <w:noProof/>
            <w:webHidden/>
          </w:rPr>
          <w:tab/>
        </w:r>
        <w:r w:rsidR="00D8557A">
          <w:rPr>
            <w:noProof/>
            <w:webHidden/>
          </w:rPr>
          <w:fldChar w:fldCharType="begin"/>
        </w:r>
        <w:r w:rsidR="00D8557A">
          <w:rPr>
            <w:noProof/>
            <w:webHidden/>
          </w:rPr>
          <w:instrText xml:space="preserve"> PAGEREF _Toc103237548 \h </w:instrText>
        </w:r>
        <w:r w:rsidR="00D8557A">
          <w:rPr>
            <w:noProof/>
            <w:webHidden/>
          </w:rPr>
        </w:r>
        <w:r w:rsidR="00D8557A">
          <w:rPr>
            <w:noProof/>
            <w:webHidden/>
          </w:rPr>
          <w:fldChar w:fldCharType="separate"/>
        </w:r>
        <w:r w:rsidR="00D8557A">
          <w:rPr>
            <w:noProof/>
            <w:webHidden/>
          </w:rPr>
          <w:t>6</w:t>
        </w:r>
        <w:r w:rsidR="00D8557A">
          <w:rPr>
            <w:noProof/>
            <w:webHidden/>
          </w:rPr>
          <w:fldChar w:fldCharType="end"/>
        </w:r>
      </w:hyperlink>
    </w:p>
    <w:p w14:paraId="3752A354" w14:textId="222818FE" w:rsidR="00D8557A" w:rsidRDefault="00B0614E">
      <w:pPr>
        <w:pStyle w:val="TOC3"/>
        <w:rPr>
          <w:rFonts w:asciiTheme="minorHAnsi" w:eastAsiaTheme="minorEastAsia" w:hAnsiTheme="minorHAnsi" w:cstheme="minorBidi"/>
          <w:noProof/>
          <w:sz w:val="22"/>
          <w:szCs w:val="22"/>
          <w:lang w:eastAsia="en-AU"/>
        </w:rPr>
      </w:pPr>
      <w:hyperlink w:anchor="_Toc103237549" w:history="1">
        <w:r w:rsidR="00D8557A" w:rsidRPr="00DF1657">
          <w:rPr>
            <w:rStyle w:val="Hyperlink"/>
            <w:noProof/>
          </w:rPr>
          <w:t>Indicators</w:t>
        </w:r>
        <w:r w:rsidR="00D8557A">
          <w:rPr>
            <w:noProof/>
            <w:webHidden/>
          </w:rPr>
          <w:tab/>
        </w:r>
        <w:r w:rsidR="00D8557A">
          <w:rPr>
            <w:noProof/>
            <w:webHidden/>
          </w:rPr>
          <w:fldChar w:fldCharType="begin"/>
        </w:r>
        <w:r w:rsidR="00D8557A">
          <w:rPr>
            <w:noProof/>
            <w:webHidden/>
          </w:rPr>
          <w:instrText xml:space="preserve"> PAGEREF _Toc103237549 \h </w:instrText>
        </w:r>
        <w:r w:rsidR="00D8557A">
          <w:rPr>
            <w:noProof/>
            <w:webHidden/>
          </w:rPr>
        </w:r>
        <w:r w:rsidR="00D8557A">
          <w:rPr>
            <w:noProof/>
            <w:webHidden/>
          </w:rPr>
          <w:fldChar w:fldCharType="separate"/>
        </w:r>
        <w:r w:rsidR="00D8557A">
          <w:rPr>
            <w:noProof/>
            <w:webHidden/>
          </w:rPr>
          <w:t>6</w:t>
        </w:r>
        <w:r w:rsidR="00D8557A">
          <w:rPr>
            <w:noProof/>
            <w:webHidden/>
          </w:rPr>
          <w:fldChar w:fldCharType="end"/>
        </w:r>
      </w:hyperlink>
    </w:p>
    <w:p w14:paraId="78508D47" w14:textId="3B08B38F" w:rsidR="00D8557A" w:rsidRDefault="00B0614E">
      <w:pPr>
        <w:pStyle w:val="TOC2"/>
        <w:rPr>
          <w:rFonts w:asciiTheme="minorHAnsi" w:eastAsiaTheme="minorEastAsia" w:hAnsiTheme="minorHAnsi" w:cstheme="minorBidi"/>
          <w:sz w:val="22"/>
          <w:szCs w:val="22"/>
          <w:lang w:eastAsia="en-AU"/>
        </w:rPr>
      </w:pPr>
      <w:hyperlink w:anchor="_Toc103237550" w:history="1">
        <w:r w:rsidR="00D8557A" w:rsidRPr="00DF1657">
          <w:rPr>
            <w:rStyle w:val="Hyperlink"/>
          </w:rPr>
          <w:t>Tips and suggested activities</w:t>
        </w:r>
        <w:r w:rsidR="00D8557A">
          <w:rPr>
            <w:webHidden/>
          </w:rPr>
          <w:tab/>
        </w:r>
        <w:r w:rsidR="00D8557A">
          <w:rPr>
            <w:webHidden/>
          </w:rPr>
          <w:fldChar w:fldCharType="begin"/>
        </w:r>
        <w:r w:rsidR="00D8557A">
          <w:rPr>
            <w:webHidden/>
          </w:rPr>
          <w:instrText xml:space="preserve"> PAGEREF _Toc103237550 \h </w:instrText>
        </w:r>
        <w:r w:rsidR="00D8557A">
          <w:rPr>
            <w:webHidden/>
          </w:rPr>
        </w:r>
        <w:r w:rsidR="00D8557A">
          <w:rPr>
            <w:webHidden/>
          </w:rPr>
          <w:fldChar w:fldCharType="separate"/>
        </w:r>
        <w:r w:rsidR="00D8557A">
          <w:rPr>
            <w:webHidden/>
          </w:rPr>
          <w:t>8</w:t>
        </w:r>
        <w:r w:rsidR="00D8557A">
          <w:rPr>
            <w:webHidden/>
          </w:rPr>
          <w:fldChar w:fldCharType="end"/>
        </w:r>
      </w:hyperlink>
    </w:p>
    <w:p w14:paraId="7B85889A" w14:textId="14E33086" w:rsidR="00FE1E85" w:rsidRPr="00D27EC5" w:rsidRDefault="00EA36AF" w:rsidP="003949F6">
      <w:pPr>
        <w:pStyle w:val="Body"/>
      </w:pPr>
      <w:r>
        <w:rPr>
          <w:rFonts w:eastAsia="Times New Roman"/>
          <w:b/>
          <w:noProof/>
        </w:rPr>
        <w:fldChar w:fldCharType="end"/>
      </w:r>
      <w:r w:rsidR="00FB1F6E">
        <w:br w:type="page"/>
      </w:r>
    </w:p>
    <w:p w14:paraId="23989436" w14:textId="1B50F177" w:rsidR="00FE1E85" w:rsidRPr="00D27EC5" w:rsidRDefault="00FE1E85" w:rsidP="00664710">
      <w:pPr>
        <w:pStyle w:val="Heading1"/>
        <w:rPr>
          <w:color w:val="4F81BD" w:themeColor="accent1"/>
        </w:rPr>
      </w:pPr>
      <w:bookmarkStart w:id="0" w:name="_Toc103237542"/>
      <w:r w:rsidRPr="00D27EC5">
        <w:t xml:space="preserve">About the Rainbow Ready </w:t>
      </w:r>
      <w:r w:rsidR="00CE2CC0">
        <w:t>r</w:t>
      </w:r>
      <w:r w:rsidRPr="00D27EC5">
        <w:t>oad</w:t>
      </w:r>
      <w:r w:rsidR="00CE2CC0">
        <w:t>m</w:t>
      </w:r>
      <w:r w:rsidRPr="00D27EC5">
        <w:t>ap</w:t>
      </w:r>
      <w:bookmarkEnd w:id="0"/>
    </w:p>
    <w:p w14:paraId="2F7A905E" w14:textId="490928FA" w:rsidR="00FE1E85" w:rsidRDefault="00FE1E85" w:rsidP="00221BE0">
      <w:pPr>
        <w:pStyle w:val="Body"/>
      </w:pPr>
      <w:r w:rsidRPr="00864CEC">
        <w:t xml:space="preserve">The </w:t>
      </w:r>
      <w:r w:rsidR="00944261" w:rsidRPr="00944261">
        <w:rPr>
          <w:b/>
          <w:bCs/>
        </w:rPr>
        <w:t>Rainbow Ready roadmap</w:t>
      </w:r>
      <w:r w:rsidR="00A228D0" w:rsidRPr="00864CEC">
        <w:t xml:space="preserve"> </w:t>
      </w:r>
      <w:r w:rsidR="00A228D0">
        <w:t>is a set of resources for rural and regional communities to build</w:t>
      </w:r>
      <w:r w:rsidR="00A228D0" w:rsidRPr="00864CEC">
        <w:t xml:space="preserve"> </w:t>
      </w:r>
      <w:r w:rsidR="00A228D0" w:rsidRPr="00864CEC">
        <w:rPr>
          <w:rFonts w:eastAsia="Times New Roman"/>
          <w:color w:val="011A3C"/>
          <w:lang w:eastAsia="en-GB"/>
        </w:rPr>
        <w:t>lesbian, gay, bisexual, trans and gender diverse, intersex</w:t>
      </w:r>
      <w:r w:rsidR="00650DA6">
        <w:rPr>
          <w:rFonts w:eastAsia="Times New Roman"/>
          <w:color w:val="011A3C"/>
          <w:lang w:eastAsia="en-GB"/>
        </w:rPr>
        <w:t>,</w:t>
      </w:r>
      <w:r w:rsidR="00A228D0" w:rsidRPr="00864CEC">
        <w:rPr>
          <w:rFonts w:eastAsia="Times New Roman"/>
          <w:color w:val="011A3C"/>
          <w:lang w:eastAsia="en-GB"/>
        </w:rPr>
        <w:t xml:space="preserve"> queer</w:t>
      </w:r>
      <w:r w:rsidR="00650DA6">
        <w:rPr>
          <w:rFonts w:eastAsia="Times New Roman"/>
          <w:color w:val="011A3C"/>
          <w:lang w:eastAsia="en-GB"/>
        </w:rPr>
        <w:t xml:space="preserve"> and asexual</w:t>
      </w:r>
      <w:r w:rsidR="00A228D0" w:rsidRPr="00864CEC">
        <w:rPr>
          <w:rFonts w:eastAsia="Times New Roman"/>
          <w:color w:val="011A3C"/>
          <w:lang w:eastAsia="en-GB"/>
        </w:rPr>
        <w:t xml:space="preserve"> (</w:t>
      </w:r>
      <w:r w:rsidR="00650DA6">
        <w:rPr>
          <w:rFonts w:eastAsia="Times New Roman"/>
          <w:color w:val="011A3C"/>
          <w:lang w:eastAsia="en-GB"/>
        </w:rPr>
        <w:t>LGBTIQA+</w:t>
      </w:r>
      <w:r w:rsidR="00A228D0" w:rsidRPr="00864CEC">
        <w:rPr>
          <w:rFonts w:eastAsia="Times New Roman"/>
          <w:color w:val="011A3C"/>
          <w:lang w:eastAsia="en-GB"/>
        </w:rPr>
        <w:t>) inclusion</w:t>
      </w:r>
      <w:r w:rsidR="00A228D0" w:rsidRPr="00864CEC">
        <w:t>. The resource</w:t>
      </w:r>
      <w:r w:rsidR="00A228D0">
        <w:t>s were</w:t>
      </w:r>
      <w:r w:rsidR="00A228D0" w:rsidRPr="00864CEC">
        <w:t xml:space="preserve"> developed </w:t>
      </w:r>
      <w:r w:rsidR="00A228D0">
        <w:t xml:space="preserve">by </w:t>
      </w:r>
      <w:r w:rsidR="00650DA6">
        <w:t>LGBTIQA+</w:t>
      </w:r>
      <w:r w:rsidR="00A228D0">
        <w:t xml:space="preserve"> communities for all regional and rural communities </w:t>
      </w:r>
      <w:r w:rsidR="00A228D0" w:rsidRPr="00864CEC">
        <w:t>to</w:t>
      </w:r>
      <w:r w:rsidR="00A228D0">
        <w:t xml:space="preserve"> work together to </w:t>
      </w:r>
      <w:r w:rsidR="00A228D0" w:rsidRPr="00152BDB">
        <w:t xml:space="preserve">address inequalities experienced by </w:t>
      </w:r>
      <w:r w:rsidR="00650DA6">
        <w:t>LGBTIQA+</w:t>
      </w:r>
      <w:r w:rsidR="00A228D0" w:rsidRPr="00152BDB">
        <w:t xml:space="preserve"> people</w:t>
      </w:r>
      <w:r w:rsidR="00A228D0">
        <w:t xml:space="preserve">. The </w:t>
      </w:r>
      <w:r w:rsidR="00944261" w:rsidRPr="00944261">
        <w:rPr>
          <w:b/>
          <w:bCs/>
        </w:rPr>
        <w:t>Rainbow Ready roadmap</w:t>
      </w:r>
      <w:r w:rsidR="00A228D0">
        <w:t xml:space="preserve"> responds to </w:t>
      </w:r>
      <w:r w:rsidR="00A228D0" w:rsidRPr="00152BDB">
        <w:t xml:space="preserve">calls from rural and regional Victorians for the need to build </w:t>
      </w:r>
      <w:r w:rsidR="00650DA6">
        <w:t>LGBTIQA+</w:t>
      </w:r>
      <w:r w:rsidR="00A228D0" w:rsidRPr="00152BDB">
        <w:t xml:space="preserve"> inclusion</w:t>
      </w:r>
      <w:r w:rsidR="00A228D0">
        <w:t xml:space="preserve"> by equipping communities with practical </w:t>
      </w:r>
      <w:r>
        <w:t>resources</w:t>
      </w:r>
      <w:r w:rsidRPr="00152BDB">
        <w:t xml:space="preserve">. </w:t>
      </w:r>
    </w:p>
    <w:p w14:paraId="2648A6DC" w14:textId="60780478" w:rsidR="00FE1E85" w:rsidRDefault="00FE1E85" w:rsidP="00221BE0">
      <w:pPr>
        <w:pStyle w:val="Heading1"/>
      </w:pPr>
      <w:bookmarkStart w:id="1" w:name="_Toc103237543"/>
      <w:r w:rsidRPr="00D27EC5">
        <w:t xml:space="preserve">About this </w:t>
      </w:r>
      <w:r w:rsidR="00CE2CC0">
        <w:t>s</w:t>
      </w:r>
      <w:r w:rsidRPr="00D27EC5">
        <w:t xml:space="preserve">etting </w:t>
      </w:r>
      <w:r w:rsidR="00CE2CC0">
        <w:t>g</w:t>
      </w:r>
      <w:r w:rsidRPr="00D27EC5">
        <w:t>uide</w:t>
      </w:r>
      <w:bookmarkEnd w:id="1"/>
      <w:r w:rsidRPr="00D27EC5">
        <w:t xml:space="preserve"> </w:t>
      </w:r>
    </w:p>
    <w:p w14:paraId="775049BB" w14:textId="74117E04" w:rsidR="00944261" w:rsidRPr="00944261" w:rsidRDefault="00944261" w:rsidP="00944261">
      <w:pPr>
        <w:pStyle w:val="Body"/>
      </w:pPr>
      <w:r w:rsidRPr="00267046">
        <w:t xml:space="preserve">The </w:t>
      </w:r>
      <w:r>
        <w:t>s</w:t>
      </w:r>
      <w:r w:rsidRPr="00267046">
        <w:t xml:space="preserve">etting </w:t>
      </w:r>
      <w:r>
        <w:t>g</w:t>
      </w:r>
      <w:r w:rsidRPr="00267046">
        <w:t xml:space="preserve">uide should be read following </w:t>
      </w:r>
      <w:r>
        <w:rPr>
          <w:b/>
          <w:bCs/>
        </w:rPr>
        <w:t xml:space="preserve">Guide A: </w:t>
      </w:r>
      <w:r w:rsidRPr="00267046">
        <w:rPr>
          <w:b/>
          <w:bCs/>
        </w:rPr>
        <w:t xml:space="preserve">User </w:t>
      </w:r>
      <w:r>
        <w:rPr>
          <w:b/>
          <w:bCs/>
        </w:rPr>
        <w:t>g</w:t>
      </w:r>
      <w:r w:rsidRPr="00267046">
        <w:rPr>
          <w:b/>
          <w:bCs/>
        </w:rPr>
        <w:t>uide</w:t>
      </w:r>
      <w:r w:rsidRPr="00267046">
        <w:t>.</w:t>
      </w:r>
    </w:p>
    <w:p w14:paraId="7C027FA1" w14:textId="7F75E4DE" w:rsidR="00FE1E85" w:rsidRPr="001864B9" w:rsidRDefault="00FE1E85" w:rsidP="00221BE0">
      <w:pPr>
        <w:pStyle w:val="Body"/>
      </w:pPr>
      <w:r w:rsidRPr="001864B9">
        <w:rPr>
          <w:lang w:eastAsia="en-GB"/>
        </w:rPr>
        <w:t xml:space="preserve">The </w:t>
      </w:r>
      <w:r w:rsidRPr="00944261">
        <w:rPr>
          <w:b/>
          <w:bCs/>
          <w:lang w:eastAsia="en-GB"/>
        </w:rPr>
        <w:t xml:space="preserve">Setting </w:t>
      </w:r>
      <w:r w:rsidR="00A228D0" w:rsidRPr="00944261">
        <w:rPr>
          <w:b/>
          <w:bCs/>
          <w:lang w:eastAsia="en-GB"/>
        </w:rPr>
        <w:t>g</w:t>
      </w:r>
      <w:r w:rsidRPr="00944261">
        <w:rPr>
          <w:b/>
          <w:bCs/>
          <w:lang w:eastAsia="en-GB"/>
        </w:rPr>
        <w:t xml:space="preserve">uide for </w:t>
      </w:r>
      <w:r w:rsidR="00A228D0" w:rsidRPr="00944261">
        <w:rPr>
          <w:b/>
          <w:bCs/>
          <w:lang w:eastAsia="en-GB"/>
        </w:rPr>
        <w:t>h</w:t>
      </w:r>
      <w:r w:rsidRPr="00944261">
        <w:rPr>
          <w:b/>
          <w:bCs/>
          <w:lang w:eastAsia="en-GB"/>
        </w:rPr>
        <w:t xml:space="preserve">ealth and </w:t>
      </w:r>
      <w:r w:rsidR="00A228D0" w:rsidRPr="00944261">
        <w:rPr>
          <w:b/>
          <w:bCs/>
          <w:lang w:eastAsia="en-GB"/>
        </w:rPr>
        <w:t>c</w:t>
      </w:r>
      <w:r w:rsidRPr="00944261">
        <w:rPr>
          <w:b/>
          <w:bCs/>
          <w:lang w:eastAsia="en-GB"/>
        </w:rPr>
        <w:t xml:space="preserve">ommunity </w:t>
      </w:r>
      <w:r w:rsidR="00A228D0" w:rsidRPr="00944261">
        <w:rPr>
          <w:b/>
          <w:bCs/>
          <w:lang w:eastAsia="en-GB"/>
        </w:rPr>
        <w:t>s</w:t>
      </w:r>
      <w:r w:rsidRPr="00944261">
        <w:rPr>
          <w:b/>
          <w:bCs/>
          <w:lang w:eastAsia="en-GB"/>
        </w:rPr>
        <w:t>ervices</w:t>
      </w:r>
      <w:r w:rsidRPr="001864B9">
        <w:rPr>
          <w:lang w:eastAsia="en-GB"/>
        </w:rPr>
        <w:t xml:space="preserve"> has been developed for rural and regional </w:t>
      </w:r>
      <w:r w:rsidRPr="001864B9">
        <w:rPr>
          <w:b/>
          <w:bCs/>
          <w:lang w:eastAsia="en-GB"/>
        </w:rPr>
        <w:t xml:space="preserve">health and community services </w:t>
      </w:r>
      <w:r w:rsidRPr="001864B9">
        <w:rPr>
          <w:lang w:eastAsia="en-GB"/>
        </w:rPr>
        <w:t xml:space="preserve">that want to be more </w:t>
      </w:r>
      <w:r w:rsidR="00650DA6">
        <w:rPr>
          <w:lang w:eastAsia="en-GB"/>
        </w:rPr>
        <w:t>LGBTIQA+</w:t>
      </w:r>
      <w:r w:rsidRPr="001864B9">
        <w:rPr>
          <w:lang w:eastAsia="en-GB"/>
        </w:rPr>
        <w:t xml:space="preserve"> inclusive. Health and community </w:t>
      </w:r>
      <w:r w:rsidR="00A228D0">
        <w:rPr>
          <w:lang w:eastAsia="en-GB"/>
        </w:rPr>
        <w:t>s</w:t>
      </w:r>
      <w:r w:rsidRPr="001864B9">
        <w:rPr>
          <w:lang w:eastAsia="en-GB"/>
        </w:rPr>
        <w:t xml:space="preserve">ervices include hospitals, residential aged care homes, home services, disability services, mental health services, alcohol and other drug services, housing and homelessness sectors, child and family services, neighbourhood houses and other services. </w:t>
      </w:r>
    </w:p>
    <w:p w14:paraId="3815DCF9" w14:textId="77777777" w:rsidR="00944261" w:rsidRPr="00A31340" w:rsidRDefault="00944261" w:rsidP="00944261">
      <w:pPr>
        <w:pStyle w:val="Body"/>
      </w:pPr>
      <w:r w:rsidRPr="00A31340">
        <w:t xml:space="preserve">This </w:t>
      </w:r>
      <w:r>
        <w:t>s</w:t>
      </w:r>
      <w:r w:rsidRPr="00A31340">
        <w:t xml:space="preserve">etting </w:t>
      </w:r>
      <w:r>
        <w:t>g</w:t>
      </w:r>
      <w:r w:rsidRPr="00A31340">
        <w:t>uide includes:</w:t>
      </w:r>
    </w:p>
    <w:p w14:paraId="5EA21CA8" w14:textId="68DA27FC" w:rsidR="00944261" w:rsidRPr="00A31340" w:rsidRDefault="00944261" w:rsidP="00944261">
      <w:pPr>
        <w:pStyle w:val="Numberdigit"/>
      </w:pPr>
      <w:r w:rsidRPr="00A31340">
        <w:t xml:space="preserve">A goal for </w:t>
      </w:r>
      <w:r>
        <w:t>health and community services</w:t>
      </w:r>
      <w:r w:rsidRPr="00A31340">
        <w:t xml:space="preserve"> to become </w:t>
      </w:r>
      <w:r w:rsidR="00650DA6">
        <w:t>LGBTIQA+</w:t>
      </w:r>
      <w:r w:rsidRPr="00A31340">
        <w:t xml:space="preserve"> inclusive </w:t>
      </w:r>
    </w:p>
    <w:p w14:paraId="39C5DE8E" w14:textId="77777777" w:rsidR="00944261" w:rsidRPr="00A31340" w:rsidRDefault="00944261" w:rsidP="00944261">
      <w:pPr>
        <w:pStyle w:val="Numberdigit"/>
        <w:rPr>
          <w:bCs/>
        </w:rPr>
      </w:pPr>
      <w:r w:rsidRPr="00A31340">
        <w:rPr>
          <w:bCs/>
        </w:rPr>
        <w:t xml:space="preserve">10 indicators to show that the goal has been achieved </w:t>
      </w:r>
    </w:p>
    <w:p w14:paraId="667FA596" w14:textId="77777777" w:rsidR="00944261" w:rsidRPr="00A31340" w:rsidRDefault="00944261" w:rsidP="00944261">
      <w:pPr>
        <w:pStyle w:val="Numberdigit"/>
      </w:pPr>
      <w:r>
        <w:t>Tips and s</w:t>
      </w:r>
      <w:r w:rsidRPr="00A31340">
        <w:t xml:space="preserve">uggested </w:t>
      </w:r>
      <w:r>
        <w:t>activities</w:t>
      </w:r>
      <w:r w:rsidRPr="00A31340">
        <w:t xml:space="preserve"> for achieving each indicator</w:t>
      </w:r>
    </w:p>
    <w:p w14:paraId="6AB4F8FE" w14:textId="773FB620" w:rsidR="00FE1E85" w:rsidRPr="00221BE0" w:rsidRDefault="00FE1E85" w:rsidP="00026F8A">
      <w:pPr>
        <w:pStyle w:val="Heading1"/>
      </w:pPr>
      <w:bookmarkStart w:id="2" w:name="_Toc103237544"/>
      <w:r w:rsidRPr="00221BE0">
        <w:t xml:space="preserve">Using the </w:t>
      </w:r>
      <w:r w:rsidR="00CE2CC0">
        <w:t>s</w:t>
      </w:r>
      <w:r w:rsidRPr="00221BE0">
        <w:t xml:space="preserve">etting </w:t>
      </w:r>
      <w:r w:rsidR="00CE2CC0">
        <w:t>g</w:t>
      </w:r>
      <w:r w:rsidRPr="00221BE0">
        <w:t>uide</w:t>
      </w:r>
      <w:bookmarkEnd w:id="2"/>
    </w:p>
    <w:p w14:paraId="3BC120E9" w14:textId="74140D96" w:rsidR="00FE1E85" w:rsidRPr="00A31340" w:rsidRDefault="00FE1E85" w:rsidP="00221BE0">
      <w:pPr>
        <w:pStyle w:val="Body"/>
      </w:pPr>
      <w:r w:rsidRPr="00A31340">
        <w:t xml:space="preserve">This </w:t>
      </w:r>
      <w:r w:rsidR="00A228D0">
        <w:t>s</w:t>
      </w:r>
      <w:r w:rsidRPr="00A31340">
        <w:t xml:space="preserve">etting </w:t>
      </w:r>
      <w:r w:rsidR="00A228D0">
        <w:t>g</w:t>
      </w:r>
      <w:r w:rsidRPr="00A31340">
        <w:t>uide is used in:</w:t>
      </w:r>
    </w:p>
    <w:p w14:paraId="73499FBD" w14:textId="143CDAD2" w:rsidR="00A228D0" w:rsidRPr="001040C8" w:rsidRDefault="00A228D0" w:rsidP="00A228D0">
      <w:pPr>
        <w:pStyle w:val="Bullet1"/>
      </w:pPr>
      <w:r>
        <w:rPr>
          <w:b/>
          <w:bCs/>
        </w:rPr>
        <w:t>p</w:t>
      </w:r>
      <w:r w:rsidRPr="001040C8">
        <w:rPr>
          <w:b/>
          <w:bCs/>
        </w:rPr>
        <w:t xml:space="preserve">hase 2 – </w:t>
      </w:r>
      <w:r>
        <w:rPr>
          <w:b/>
          <w:bCs/>
        </w:rPr>
        <w:t xml:space="preserve">assess </w:t>
      </w:r>
      <w:r>
        <w:t xml:space="preserve">your community group’s current state of </w:t>
      </w:r>
      <w:r w:rsidR="00650DA6">
        <w:t>LGBTIQA+</w:t>
      </w:r>
      <w:r>
        <w:t xml:space="preserve"> inclusivity with the </w:t>
      </w:r>
      <w:r w:rsidR="00E77895" w:rsidRPr="00E77895">
        <w:t xml:space="preserve">measurement and </w:t>
      </w:r>
      <w:r>
        <w:t xml:space="preserve">evaluation tool, identifying areas for improvement </w:t>
      </w:r>
    </w:p>
    <w:p w14:paraId="6A81F87D" w14:textId="16094F31" w:rsidR="00A228D0" w:rsidRPr="00552435" w:rsidRDefault="00A228D0" w:rsidP="00A228D0">
      <w:pPr>
        <w:pStyle w:val="Bullet1"/>
      </w:pPr>
      <w:r>
        <w:rPr>
          <w:b/>
          <w:bCs/>
        </w:rPr>
        <w:t>p</w:t>
      </w:r>
      <w:r w:rsidRPr="001040C8">
        <w:rPr>
          <w:b/>
          <w:bCs/>
        </w:rPr>
        <w:t>ha</w:t>
      </w:r>
      <w:r>
        <w:rPr>
          <w:b/>
          <w:bCs/>
        </w:rPr>
        <w:t xml:space="preserve">se 3 – plan </w:t>
      </w:r>
      <w:r>
        <w:t>your activities using the action plan</w:t>
      </w:r>
    </w:p>
    <w:p w14:paraId="3004B181" w14:textId="7DA36FD2" w:rsidR="00FE1E85" w:rsidRDefault="00A228D0" w:rsidP="00A228D0">
      <w:pPr>
        <w:pStyle w:val="Bullet1"/>
      </w:pPr>
      <w:r>
        <w:rPr>
          <w:b/>
          <w:bCs/>
        </w:rPr>
        <w:t xml:space="preserve">phase 4 – evaluate </w:t>
      </w:r>
      <w:r>
        <w:t xml:space="preserve">your progress, again using the </w:t>
      </w:r>
      <w:r w:rsidR="00E77895" w:rsidRPr="00E77895">
        <w:t xml:space="preserve">measurement and </w:t>
      </w:r>
      <w:r>
        <w:t xml:space="preserve">evaluation tool to measure action and activity outcomes against the indicators for </w:t>
      </w:r>
      <w:r w:rsidR="00650DA6">
        <w:t>LGBTIQA+</w:t>
      </w:r>
      <w:r>
        <w:t xml:space="preserve"> inclusivity.</w:t>
      </w:r>
    </w:p>
    <w:p w14:paraId="532B07CB" w14:textId="5F07CD7E" w:rsidR="00A228D0" w:rsidRDefault="00944261" w:rsidP="00944261">
      <w:pPr>
        <w:pStyle w:val="Heading2"/>
      </w:pPr>
      <w:bookmarkStart w:id="3" w:name="_Toc103237545"/>
      <w:r w:rsidRPr="00A31340">
        <w:t>Steps</w:t>
      </w:r>
      <w:bookmarkEnd w:id="3"/>
    </w:p>
    <w:p w14:paraId="06FAED77" w14:textId="6C99A4DC" w:rsidR="00944261" w:rsidRPr="00A31340" w:rsidRDefault="00944261" w:rsidP="00944261">
      <w:pPr>
        <w:pStyle w:val="Numberdigit"/>
        <w:numPr>
          <w:ilvl w:val="0"/>
          <w:numId w:val="40"/>
        </w:numPr>
      </w:pPr>
      <w:r w:rsidRPr="00A31340">
        <w:t xml:space="preserve">Read this </w:t>
      </w:r>
      <w:r w:rsidRPr="00944261">
        <w:rPr>
          <w:b/>
          <w:bCs/>
        </w:rPr>
        <w:t>setting guide</w:t>
      </w:r>
      <w:r w:rsidRPr="00A31340">
        <w:t xml:space="preserve"> </w:t>
      </w:r>
      <w:r>
        <w:t>including</w:t>
      </w:r>
      <w:r w:rsidRPr="00A31340">
        <w:t xml:space="preserve"> its goal, indicato</w:t>
      </w:r>
      <w:r>
        <w:t xml:space="preserve">rs, tips and suggested activities. </w:t>
      </w:r>
    </w:p>
    <w:p w14:paraId="6374B363" w14:textId="30D88F7E" w:rsidR="00944261" w:rsidRPr="00E7240F" w:rsidRDefault="00944261" w:rsidP="00944261">
      <w:pPr>
        <w:pStyle w:val="Numberdigit"/>
      </w:pPr>
      <w:r w:rsidRPr="00A50A8E">
        <w:t xml:space="preserve">Complete an assessment of the current state of your community group against the indicators for </w:t>
      </w:r>
      <w:r w:rsidR="00650DA6">
        <w:t>LGBTIQA+</w:t>
      </w:r>
      <w:r w:rsidRPr="00A50A8E">
        <w:t xml:space="preserve"> inclusion, using the </w:t>
      </w:r>
      <w:r w:rsidR="00E77895">
        <w:rPr>
          <w:b/>
          <w:bCs/>
        </w:rPr>
        <w:t xml:space="preserve">measurement </w:t>
      </w:r>
      <w:r>
        <w:rPr>
          <w:b/>
          <w:bCs/>
        </w:rPr>
        <w:t>and e</w:t>
      </w:r>
      <w:r w:rsidRPr="00A50A8E">
        <w:rPr>
          <w:b/>
          <w:bCs/>
        </w:rPr>
        <w:t xml:space="preserve">valuation </w:t>
      </w:r>
      <w:r>
        <w:rPr>
          <w:b/>
          <w:bCs/>
        </w:rPr>
        <w:t>t</w:t>
      </w:r>
      <w:r w:rsidRPr="00A50A8E">
        <w:rPr>
          <w:b/>
          <w:bCs/>
        </w:rPr>
        <w:t>ool</w:t>
      </w:r>
      <w:r>
        <w:t>.</w:t>
      </w:r>
    </w:p>
    <w:p w14:paraId="0F12DB69" w14:textId="54B17869" w:rsidR="00944261" w:rsidRPr="00BF0047" w:rsidRDefault="00944261" w:rsidP="00944261">
      <w:pPr>
        <w:pStyle w:val="Numberdigit"/>
      </w:pPr>
      <w:r w:rsidRPr="00A31340">
        <w:rPr>
          <w:rFonts w:cstheme="minorHAnsi"/>
          <w:color w:val="000000" w:themeColor="text1"/>
        </w:rPr>
        <w:t xml:space="preserve">Use the results </w:t>
      </w:r>
      <w:r w:rsidRPr="00283519">
        <w:rPr>
          <w:rFonts w:cstheme="minorHAnsi"/>
          <w:color w:val="000000" w:themeColor="text1"/>
        </w:rPr>
        <w:t xml:space="preserve">and the </w:t>
      </w:r>
      <w:r>
        <w:rPr>
          <w:rFonts w:cstheme="minorHAnsi"/>
          <w:color w:val="000000" w:themeColor="text1"/>
        </w:rPr>
        <w:t>s</w:t>
      </w:r>
      <w:r w:rsidRPr="00283519">
        <w:rPr>
          <w:rFonts w:cstheme="minorHAnsi"/>
          <w:color w:val="000000" w:themeColor="text1"/>
        </w:rPr>
        <w:t xml:space="preserve">etting </w:t>
      </w:r>
      <w:r>
        <w:rPr>
          <w:rFonts w:cstheme="minorHAnsi"/>
          <w:color w:val="000000" w:themeColor="text1"/>
        </w:rPr>
        <w:t>g</w:t>
      </w:r>
      <w:r w:rsidRPr="00283519">
        <w:rPr>
          <w:rFonts w:cstheme="minorHAnsi"/>
          <w:color w:val="000000" w:themeColor="text1"/>
        </w:rPr>
        <w:t>uide</w:t>
      </w:r>
      <w:r>
        <w:rPr>
          <w:rFonts w:cstheme="minorHAnsi"/>
          <w:color w:val="000000" w:themeColor="text1"/>
        </w:rPr>
        <w:t xml:space="preserve"> </w:t>
      </w:r>
      <w:r w:rsidRPr="00A31340">
        <w:rPr>
          <w:rFonts w:cstheme="minorHAnsi"/>
          <w:color w:val="000000" w:themeColor="text1"/>
        </w:rPr>
        <w:t>to</w:t>
      </w:r>
      <w:r>
        <w:rPr>
          <w:rFonts w:cstheme="minorHAnsi"/>
          <w:color w:val="000000" w:themeColor="text1"/>
        </w:rPr>
        <w:t xml:space="preserve"> identify areas for opportunity. D</w:t>
      </w:r>
      <w:r w:rsidRPr="00A31340">
        <w:rPr>
          <w:rFonts w:cstheme="minorHAnsi"/>
          <w:color w:val="000000" w:themeColor="text1"/>
        </w:rPr>
        <w:t xml:space="preserve">evelop your </w:t>
      </w:r>
      <w:r>
        <w:rPr>
          <w:rFonts w:cstheme="minorHAnsi"/>
          <w:b/>
          <w:bCs/>
          <w:color w:val="000000" w:themeColor="text1"/>
        </w:rPr>
        <w:t>a</w:t>
      </w:r>
      <w:r w:rsidRPr="00A31340">
        <w:rPr>
          <w:rFonts w:cstheme="minorHAnsi"/>
          <w:b/>
          <w:bCs/>
          <w:color w:val="000000" w:themeColor="text1"/>
        </w:rPr>
        <w:t xml:space="preserve">ction </w:t>
      </w:r>
      <w:r>
        <w:rPr>
          <w:rFonts w:cstheme="minorHAnsi"/>
          <w:b/>
          <w:bCs/>
          <w:color w:val="000000" w:themeColor="text1"/>
        </w:rPr>
        <w:t>p</w:t>
      </w:r>
      <w:r w:rsidRPr="00A31340">
        <w:rPr>
          <w:rFonts w:cstheme="minorHAnsi"/>
          <w:b/>
          <w:bCs/>
          <w:color w:val="000000" w:themeColor="text1"/>
        </w:rPr>
        <w:t>lan</w:t>
      </w:r>
      <w:r>
        <w:rPr>
          <w:rFonts w:cstheme="minorHAnsi"/>
          <w:b/>
          <w:bCs/>
          <w:color w:val="000000" w:themeColor="text1"/>
        </w:rPr>
        <w:t xml:space="preserve"> </w:t>
      </w:r>
      <w:r>
        <w:rPr>
          <w:rFonts w:cstheme="minorHAnsi"/>
          <w:color w:val="000000" w:themeColor="text1"/>
        </w:rPr>
        <w:t xml:space="preserve">to improve against the </w:t>
      </w:r>
      <w:r w:rsidR="00650DA6">
        <w:rPr>
          <w:rFonts w:cstheme="minorHAnsi"/>
          <w:color w:val="000000" w:themeColor="text1"/>
        </w:rPr>
        <w:t>LGBTIQA+</w:t>
      </w:r>
      <w:r>
        <w:rPr>
          <w:rFonts w:cstheme="minorHAnsi"/>
          <w:color w:val="000000" w:themeColor="text1"/>
        </w:rPr>
        <w:t xml:space="preserve"> indicators of inclusion</w:t>
      </w:r>
      <w:r>
        <w:t>.</w:t>
      </w:r>
    </w:p>
    <w:p w14:paraId="6177FF4B" w14:textId="4C23F79E" w:rsidR="00944261" w:rsidRPr="00A31340" w:rsidRDefault="00944261" w:rsidP="00944261">
      <w:pPr>
        <w:pStyle w:val="Numberdigit"/>
      </w:pPr>
      <w:r w:rsidRPr="00A31340">
        <w:rPr>
          <w:rFonts w:cstheme="minorHAnsi"/>
          <w:color w:val="000000" w:themeColor="text1"/>
        </w:rPr>
        <w:t xml:space="preserve">Deliver </w:t>
      </w:r>
      <w:r>
        <w:rPr>
          <w:rFonts w:cstheme="minorHAnsi"/>
          <w:color w:val="000000" w:themeColor="text1"/>
        </w:rPr>
        <w:t>the activities under your</w:t>
      </w:r>
      <w:r w:rsidRPr="00A31340">
        <w:rPr>
          <w:rFonts w:cstheme="minorHAnsi"/>
          <w:color w:val="000000" w:themeColor="text1"/>
        </w:rPr>
        <w:t xml:space="preserve"> </w:t>
      </w:r>
      <w:r>
        <w:rPr>
          <w:rFonts w:cstheme="minorHAnsi"/>
          <w:b/>
          <w:bCs/>
          <w:color w:val="000000" w:themeColor="text1"/>
        </w:rPr>
        <w:t>a</w:t>
      </w:r>
      <w:r w:rsidRPr="00A31340">
        <w:rPr>
          <w:rFonts w:cstheme="minorHAnsi"/>
          <w:b/>
          <w:bCs/>
          <w:color w:val="000000" w:themeColor="text1"/>
        </w:rPr>
        <w:t xml:space="preserve">ction </w:t>
      </w:r>
      <w:r>
        <w:rPr>
          <w:rFonts w:cstheme="minorHAnsi"/>
          <w:b/>
          <w:bCs/>
          <w:color w:val="000000" w:themeColor="text1"/>
        </w:rPr>
        <w:t>p</w:t>
      </w:r>
      <w:r w:rsidRPr="00A31340">
        <w:rPr>
          <w:rFonts w:cstheme="minorHAnsi"/>
          <w:b/>
          <w:bCs/>
          <w:color w:val="000000" w:themeColor="text1"/>
        </w:rPr>
        <w:t>lan</w:t>
      </w:r>
      <w:r>
        <w:t>.</w:t>
      </w:r>
    </w:p>
    <w:p w14:paraId="5389CA45" w14:textId="3EF2961C" w:rsidR="00944261" w:rsidRPr="00794843" w:rsidRDefault="00944261" w:rsidP="00944261">
      <w:pPr>
        <w:pStyle w:val="Numberdigit"/>
      </w:pPr>
      <w:r>
        <w:t>After you have completed your project, use</w:t>
      </w:r>
      <w:r w:rsidRPr="00A31340">
        <w:t xml:space="preserve"> the </w:t>
      </w:r>
      <w:r w:rsidR="00E77895">
        <w:rPr>
          <w:b/>
          <w:bCs/>
        </w:rPr>
        <w:t xml:space="preserve">measurment </w:t>
      </w:r>
      <w:r>
        <w:rPr>
          <w:b/>
          <w:bCs/>
        </w:rPr>
        <w:t>and evaluation</w:t>
      </w:r>
      <w:r w:rsidRPr="00A31340">
        <w:rPr>
          <w:b/>
          <w:bCs/>
        </w:rPr>
        <w:t xml:space="preserve"> </w:t>
      </w:r>
      <w:r>
        <w:rPr>
          <w:b/>
          <w:bCs/>
        </w:rPr>
        <w:t>t</w:t>
      </w:r>
      <w:r w:rsidRPr="00A31340">
        <w:rPr>
          <w:b/>
          <w:bCs/>
        </w:rPr>
        <w:t>ool</w:t>
      </w:r>
      <w:r>
        <w:rPr>
          <w:b/>
          <w:bCs/>
        </w:rPr>
        <w:t xml:space="preserve"> </w:t>
      </w:r>
      <w:r>
        <w:t xml:space="preserve">to again measure your progress against the </w:t>
      </w:r>
      <w:r w:rsidR="00650DA6">
        <w:t>LGBTIQA+</w:t>
      </w:r>
      <w:r>
        <w:t xml:space="preserve"> indicators of inclusion.</w:t>
      </w:r>
    </w:p>
    <w:p w14:paraId="682193BA" w14:textId="7B757866" w:rsidR="00944261" w:rsidRPr="00A31340" w:rsidRDefault="00944261" w:rsidP="00944261">
      <w:pPr>
        <w:pStyle w:val="Numberdigit"/>
        <w:rPr>
          <w:rFonts w:cstheme="minorHAnsi"/>
          <w:color w:val="000000" w:themeColor="text1"/>
        </w:rPr>
      </w:pPr>
      <w:r w:rsidRPr="00A31340">
        <w:rPr>
          <w:rFonts w:cstheme="minorHAnsi"/>
          <w:color w:val="000000" w:themeColor="text1"/>
        </w:rPr>
        <w:t xml:space="preserve">Discuss </w:t>
      </w:r>
      <w:r>
        <w:rPr>
          <w:rFonts w:cstheme="minorHAnsi"/>
          <w:color w:val="000000" w:themeColor="text1"/>
        </w:rPr>
        <w:t>evaluation</w:t>
      </w:r>
      <w:r w:rsidRPr="00A31340">
        <w:rPr>
          <w:rFonts w:cstheme="minorHAnsi"/>
          <w:color w:val="000000" w:themeColor="text1"/>
        </w:rPr>
        <w:t xml:space="preserve"> results </w:t>
      </w:r>
      <w:r>
        <w:rPr>
          <w:rFonts w:cstheme="minorHAnsi"/>
          <w:color w:val="000000" w:themeColor="text1"/>
        </w:rPr>
        <w:t xml:space="preserve">and findings </w:t>
      </w:r>
      <w:r w:rsidRPr="00A31340">
        <w:rPr>
          <w:rFonts w:cstheme="minorHAnsi"/>
          <w:color w:val="000000" w:themeColor="text1"/>
        </w:rPr>
        <w:t xml:space="preserve">with </w:t>
      </w:r>
      <w:r>
        <w:rPr>
          <w:rFonts w:cstheme="minorHAnsi"/>
          <w:color w:val="000000" w:themeColor="text1"/>
        </w:rPr>
        <w:t xml:space="preserve">your project team and </w:t>
      </w:r>
      <w:r w:rsidR="00650DA6">
        <w:rPr>
          <w:rFonts w:cstheme="minorHAnsi"/>
          <w:color w:val="000000" w:themeColor="text1"/>
        </w:rPr>
        <w:t>LGBTIQA+</w:t>
      </w:r>
      <w:r>
        <w:rPr>
          <w:rFonts w:cstheme="minorHAnsi"/>
          <w:color w:val="000000" w:themeColor="text1"/>
        </w:rPr>
        <w:t xml:space="preserve"> community members. Consider making the evaluation report publicly available to show progress</w:t>
      </w:r>
      <w:r>
        <w:t>.</w:t>
      </w:r>
    </w:p>
    <w:p w14:paraId="6B2D3E87" w14:textId="56324BB0" w:rsidR="00944261" w:rsidRPr="00A31340" w:rsidRDefault="00944261" w:rsidP="00944261">
      <w:pPr>
        <w:pStyle w:val="Numberdigit"/>
        <w:rPr>
          <w:rFonts w:cstheme="minorHAnsi"/>
          <w:color w:val="000000" w:themeColor="text1"/>
        </w:rPr>
      </w:pPr>
      <w:r w:rsidRPr="00A31340">
        <w:rPr>
          <w:rFonts w:cstheme="minorHAnsi"/>
          <w:color w:val="000000" w:themeColor="text1"/>
        </w:rPr>
        <w:t xml:space="preserve">Repeat </w:t>
      </w:r>
      <w:r>
        <w:rPr>
          <w:rFonts w:cstheme="minorHAnsi"/>
          <w:color w:val="000000" w:themeColor="text1"/>
        </w:rPr>
        <w:t>your evaluation</w:t>
      </w:r>
      <w:r w:rsidRPr="00A31340">
        <w:rPr>
          <w:rFonts w:cstheme="minorHAnsi"/>
          <w:color w:val="000000" w:themeColor="text1"/>
        </w:rPr>
        <w:t xml:space="preserve"> to check progress until all indicators </w:t>
      </w:r>
      <w:r w:rsidR="00E77895">
        <w:rPr>
          <w:rFonts w:cstheme="minorHAnsi"/>
          <w:color w:val="000000" w:themeColor="text1"/>
        </w:rPr>
        <w:t xml:space="preserve">that can be </w:t>
      </w:r>
      <w:r w:rsidRPr="00A31340">
        <w:rPr>
          <w:rFonts w:cstheme="minorHAnsi"/>
          <w:color w:val="000000" w:themeColor="text1"/>
        </w:rPr>
        <w:t>have been achieved</w:t>
      </w:r>
      <w:r>
        <w:t>.</w:t>
      </w:r>
    </w:p>
    <w:p w14:paraId="0E6930C1" w14:textId="589BEBFF" w:rsidR="00944261" w:rsidRPr="00A31340" w:rsidRDefault="00E77895" w:rsidP="00EE6648">
      <w:pPr>
        <w:pStyle w:val="Heading2"/>
      </w:pPr>
      <w:bookmarkStart w:id="4" w:name="_Toc103237546"/>
      <w:r>
        <w:t>When you’re</w:t>
      </w:r>
      <w:r w:rsidRPr="00A31340">
        <w:t xml:space="preserve"> </w:t>
      </w:r>
      <w:r w:rsidR="00944261" w:rsidRPr="00A31340">
        <w:t xml:space="preserve">Rainbow Ready </w:t>
      </w:r>
      <w:bookmarkEnd w:id="4"/>
    </w:p>
    <w:p w14:paraId="082FE952" w14:textId="0460538D" w:rsidR="00E77895" w:rsidRDefault="00E77895" w:rsidP="00E77895">
      <w:pPr>
        <w:pStyle w:val="Body"/>
      </w:pPr>
      <w:bookmarkStart w:id="5" w:name="_Hlk115276499"/>
      <w:r>
        <w:t xml:space="preserve">When you feel you have finished your Rainbow Ready project please do share the good news. We want to hear how you’re driving </w:t>
      </w:r>
      <w:r w:rsidR="00650DA6">
        <w:t>LGBTIQA+</w:t>
      </w:r>
      <w:r>
        <w:t xml:space="preserve"> inclusion in your local community. To share your story, both your successes and your lessons learned, simply email the Equality Unit.</w:t>
      </w:r>
    </w:p>
    <w:p w14:paraId="524E1BBE" w14:textId="7E9B9E96" w:rsidR="00E77895" w:rsidRDefault="00E77895" w:rsidP="00E77895">
      <w:pPr>
        <w:pStyle w:val="Body"/>
      </w:pPr>
      <w:r>
        <w:t xml:space="preserve">It’s one of the main purposes of this project, as </w:t>
      </w:r>
      <w:r w:rsidR="00650DA6">
        <w:t>LGBTIQA+</w:t>
      </w:r>
      <w:r>
        <w:t xml:space="preserve"> people across the state told us they would like to see how inclusion work was done. We want you to share your stories so that others can apply the lessons in their own town, community or organisation. </w:t>
      </w:r>
      <w:bookmarkEnd w:id="5"/>
    </w:p>
    <w:p w14:paraId="1B282368" w14:textId="77777777" w:rsidR="00EE6648" w:rsidRDefault="00EE6648" w:rsidP="003949F6">
      <w:pPr>
        <w:pStyle w:val="Body"/>
        <w:rPr>
          <w:rFonts w:eastAsia="MS Gothic" w:cs="Arial"/>
          <w:color w:val="201547"/>
          <w:kern w:val="32"/>
          <w:sz w:val="44"/>
          <w:szCs w:val="44"/>
        </w:rPr>
      </w:pPr>
      <w:r>
        <w:br w:type="page"/>
      </w:r>
    </w:p>
    <w:p w14:paraId="65806BFF" w14:textId="439DE35C" w:rsidR="00FE1E85" w:rsidRPr="00D27EC5" w:rsidRDefault="00A228D0" w:rsidP="00664710">
      <w:pPr>
        <w:pStyle w:val="Heading1"/>
      </w:pPr>
      <w:bookmarkStart w:id="6" w:name="_Toc103237547"/>
      <w:r>
        <w:t>Goal and indicators</w:t>
      </w:r>
      <w:r w:rsidR="00FE1E85" w:rsidRPr="00D27EC5">
        <w:t xml:space="preserve"> for </w:t>
      </w:r>
      <w:r w:rsidR="00CE2CC0">
        <w:t>h</w:t>
      </w:r>
      <w:r w:rsidR="00FE1E85" w:rsidRPr="00D27EC5">
        <w:t xml:space="preserve">ealth and </w:t>
      </w:r>
      <w:r w:rsidR="00CE2CC0">
        <w:t>c</w:t>
      </w:r>
      <w:r w:rsidR="00FE1E85" w:rsidRPr="00D27EC5">
        <w:t xml:space="preserve">ommunity </w:t>
      </w:r>
      <w:r w:rsidR="00CE2CC0">
        <w:t>s</w:t>
      </w:r>
      <w:r w:rsidR="00FE1E85" w:rsidRPr="00D27EC5">
        <w:t>ervices</w:t>
      </w:r>
      <w:bookmarkEnd w:id="6"/>
    </w:p>
    <w:p w14:paraId="1D852423" w14:textId="77777777" w:rsidR="00EE6648" w:rsidRDefault="00EE6648" w:rsidP="00EE6648">
      <w:pPr>
        <w:pStyle w:val="Heading2"/>
      </w:pPr>
      <w:bookmarkStart w:id="7" w:name="_Toc103237548"/>
      <w:r w:rsidRPr="00A31340">
        <w:t>Goal</w:t>
      </w:r>
      <w:bookmarkEnd w:id="7"/>
    </w:p>
    <w:p w14:paraId="17C80CB6" w14:textId="63C1A49A" w:rsidR="00EE6648" w:rsidRPr="00A31340" w:rsidRDefault="00EE6648" w:rsidP="00EE6648">
      <w:pPr>
        <w:pStyle w:val="Body"/>
      </w:pPr>
      <w:r>
        <w:t xml:space="preserve">Service providers in health and community services understand </w:t>
      </w:r>
      <w:r w:rsidR="00650DA6">
        <w:t>LGBTIQA+</w:t>
      </w:r>
      <w:r>
        <w:t xml:space="preserve"> inequalities and ensure their services are </w:t>
      </w:r>
      <w:r w:rsidR="00650DA6">
        <w:t>LGBTIQA+</w:t>
      </w:r>
      <w:r>
        <w:t xml:space="preserve"> inclusive and responsive. </w:t>
      </w:r>
    </w:p>
    <w:p w14:paraId="3BF092D6" w14:textId="77777777" w:rsidR="00EE6648" w:rsidRDefault="00EE6648" w:rsidP="00EE6648">
      <w:pPr>
        <w:pStyle w:val="Heading2"/>
      </w:pPr>
      <w:bookmarkStart w:id="8" w:name="_Toc103237549"/>
      <w:r w:rsidRPr="00A31340">
        <w:t>Indicators</w:t>
      </w:r>
      <w:bookmarkEnd w:id="8"/>
    </w:p>
    <w:p w14:paraId="173DE433" w14:textId="16D49D96" w:rsidR="00EE6648" w:rsidRDefault="00EE6648" w:rsidP="00EE6648">
      <w:pPr>
        <w:pStyle w:val="Body"/>
      </w:pPr>
      <w:r>
        <w:t xml:space="preserve">Indicators are measures used to understand the ways in which a health or community service has strengthened its </w:t>
      </w:r>
      <w:r w:rsidR="00650DA6">
        <w:t>LGBTIQA+</w:t>
      </w:r>
      <w:r>
        <w:t xml:space="preserve"> inclusion, and where there might be room for improvement. </w:t>
      </w:r>
    </w:p>
    <w:p w14:paraId="3C6844CE" w14:textId="75AE3DB5" w:rsidR="00EE6648" w:rsidRPr="00B4222A" w:rsidRDefault="00EE6648" w:rsidP="00EE6648">
      <w:pPr>
        <w:pStyle w:val="Body"/>
      </w:pPr>
      <w:r>
        <w:t xml:space="preserve">Each indicator aligns with one of the four core principles of </w:t>
      </w:r>
      <w:r w:rsidR="00650DA6">
        <w:t>LGBTIQA+</w:t>
      </w:r>
      <w:r>
        <w:t xml:space="preserve"> inclusion. </w:t>
      </w:r>
    </w:p>
    <w:p w14:paraId="0724693B" w14:textId="77777777" w:rsidR="00EE6648" w:rsidRPr="00A967D5" w:rsidRDefault="00EE6648" w:rsidP="00EE6648">
      <w:pPr>
        <w:pStyle w:val="Heading3"/>
      </w:pPr>
      <w:r w:rsidRPr="00A967D5">
        <w:t>Understanding</w:t>
      </w:r>
    </w:p>
    <w:p w14:paraId="7B1592BB" w14:textId="38824E21" w:rsidR="00EE6648" w:rsidRPr="00075DAF" w:rsidRDefault="00EE6648" w:rsidP="00EE6648">
      <w:pPr>
        <w:pStyle w:val="Numberdigit"/>
        <w:numPr>
          <w:ilvl w:val="0"/>
          <w:numId w:val="41"/>
        </w:numPr>
      </w:pPr>
      <w:r w:rsidRPr="00A31340">
        <w:t xml:space="preserve">Education is provided to </w:t>
      </w:r>
      <w:r>
        <w:t xml:space="preserve">ensure staff and volunteers understand the experiences and needs of </w:t>
      </w:r>
      <w:r w:rsidR="00650DA6">
        <w:t>LGBTIQA+</w:t>
      </w:r>
      <w:r>
        <w:t xml:space="preserve"> service users. </w:t>
      </w:r>
    </w:p>
    <w:p w14:paraId="05AB19A8" w14:textId="77777777" w:rsidR="00EE6648" w:rsidRPr="00A31340" w:rsidRDefault="00EE6648" w:rsidP="00EE6648">
      <w:pPr>
        <w:pStyle w:val="Heading3"/>
        <w:rPr>
          <w:noProof/>
        </w:rPr>
      </w:pPr>
      <w:r>
        <w:rPr>
          <w:noProof/>
        </w:rPr>
        <w:t xml:space="preserve">Inclusion </w:t>
      </w:r>
    </w:p>
    <w:p w14:paraId="1003F01E" w14:textId="79FC07C0" w:rsidR="00EE6648" w:rsidRPr="00EE6648" w:rsidRDefault="00EE6648" w:rsidP="00EE6648">
      <w:pPr>
        <w:pStyle w:val="Numberdigit"/>
        <w:numPr>
          <w:ilvl w:val="0"/>
          <w:numId w:val="41"/>
        </w:numPr>
      </w:pPr>
      <w:r w:rsidRPr="00EE6648">
        <w:t xml:space="preserve">The service engages </w:t>
      </w:r>
      <w:r w:rsidR="00650DA6">
        <w:t>LGBTIQA+</w:t>
      </w:r>
      <w:r w:rsidRPr="00EE6648">
        <w:t xml:space="preserve"> service users to plan, implement and evaluate improvements to the service.</w:t>
      </w:r>
    </w:p>
    <w:p w14:paraId="021F5737" w14:textId="77777777" w:rsidR="00EE6648" w:rsidRPr="00A31340" w:rsidRDefault="00EE6648" w:rsidP="00EE6648">
      <w:pPr>
        <w:pStyle w:val="Heading3"/>
        <w:rPr>
          <w:noProof/>
        </w:rPr>
      </w:pPr>
      <w:r>
        <w:rPr>
          <w:noProof/>
        </w:rPr>
        <w:t>Visibility</w:t>
      </w:r>
    </w:p>
    <w:p w14:paraId="076181D2" w14:textId="54C240B1" w:rsidR="00EE6648" w:rsidRPr="00EE6648" w:rsidRDefault="00EE6648" w:rsidP="00EE6648">
      <w:pPr>
        <w:pStyle w:val="Numberdigit"/>
        <w:numPr>
          <w:ilvl w:val="0"/>
          <w:numId w:val="41"/>
        </w:numPr>
      </w:pPr>
      <w:r w:rsidRPr="00EE6648">
        <w:t xml:space="preserve">The service recognises and supports local </w:t>
      </w:r>
      <w:r w:rsidR="00650DA6">
        <w:t>LGBTIQA+</w:t>
      </w:r>
      <w:r w:rsidRPr="00EE6648">
        <w:t xml:space="preserve"> events and commemorations.</w:t>
      </w:r>
    </w:p>
    <w:p w14:paraId="42BE088B" w14:textId="3B38AE87" w:rsidR="00EE6648" w:rsidRPr="00EE6648" w:rsidRDefault="00650DA6" w:rsidP="00EE6648">
      <w:pPr>
        <w:pStyle w:val="Numberdigit"/>
        <w:numPr>
          <w:ilvl w:val="0"/>
          <w:numId w:val="41"/>
        </w:numPr>
      </w:pPr>
      <w:r>
        <w:t>LGBTIQA+</w:t>
      </w:r>
      <w:r w:rsidR="00EE6648" w:rsidRPr="00EE6648">
        <w:t xml:space="preserve"> inclusive language and images are used in service materials and on websites.</w:t>
      </w:r>
    </w:p>
    <w:p w14:paraId="0F5A9043" w14:textId="088C3DEC" w:rsidR="00EE6648" w:rsidRPr="00EE6648" w:rsidRDefault="00EE6648" w:rsidP="00EE6648">
      <w:pPr>
        <w:pStyle w:val="Numberdigit"/>
        <w:numPr>
          <w:ilvl w:val="0"/>
          <w:numId w:val="41"/>
        </w:numPr>
      </w:pPr>
      <w:r w:rsidRPr="00EE6648">
        <w:t xml:space="preserve">The service has a statement of </w:t>
      </w:r>
      <w:r w:rsidR="00650DA6">
        <w:t>LGBTIQA+</w:t>
      </w:r>
      <w:r w:rsidRPr="00EE6648">
        <w:t xml:space="preserve"> inclusion that is publicly visible.</w:t>
      </w:r>
    </w:p>
    <w:p w14:paraId="205D0161" w14:textId="07304827" w:rsidR="00EE6648" w:rsidRPr="00EE6648" w:rsidRDefault="00EE6648" w:rsidP="00EE6648">
      <w:pPr>
        <w:pStyle w:val="Numberdigit"/>
        <w:numPr>
          <w:ilvl w:val="0"/>
          <w:numId w:val="41"/>
        </w:numPr>
      </w:pPr>
      <w:r w:rsidRPr="00EE6648">
        <w:t xml:space="preserve">The service displays messages of welcome to </w:t>
      </w:r>
      <w:r w:rsidR="00650DA6">
        <w:t>LGBTIQA+</w:t>
      </w:r>
      <w:r w:rsidRPr="00EE6648">
        <w:t xml:space="preserve"> service users.</w:t>
      </w:r>
    </w:p>
    <w:p w14:paraId="2B0AB211" w14:textId="77777777" w:rsidR="00EE6648" w:rsidRDefault="00EE6648" w:rsidP="00EE6648">
      <w:pPr>
        <w:pStyle w:val="Heading3"/>
        <w:rPr>
          <w:noProof/>
        </w:rPr>
      </w:pPr>
      <w:r>
        <w:rPr>
          <w:noProof/>
        </w:rPr>
        <w:t>Safety</w:t>
      </w:r>
    </w:p>
    <w:p w14:paraId="3690C706" w14:textId="624CA33C" w:rsidR="00EE6648" w:rsidRPr="00EE6648" w:rsidRDefault="00EE6648" w:rsidP="00EE6648">
      <w:pPr>
        <w:pStyle w:val="Numberdigit"/>
        <w:numPr>
          <w:ilvl w:val="0"/>
          <w:numId w:val="41"/>
        </w:numPr>
      </w:pPr>
      <w:r w:rsidRPr="00EE6648">
        <w:t xml:space="preserve">The service provides a safe and inclusive workplace for </w:t>
      </w:r>
      <w:r w:rsidR="00650DA6">
        <w:t>LGBTIQA+</w:t>
      </w:r>
      <w:r w:rsidRPr="00EE6648">
        <w:t xml:space="preserve"> staff and volunteers.</w:t>
      </w:r>
    </w:p>
    <w:p w14:paraId="6B300612" w14:textId="311F0EF0" w:rsidR="00EE6648" w:rsidRPr="00EE6648" w:rsidRDefault="00EE6648" w:rsidP="00EE6648">
      <w:pPr>
        <w:pStyle w:val="Numberdigit"/>
        <w:numPr>
          <w:ilvl w:val="0"/>
          <w:numId w:val="41"/>
        </w:numPr>
      </w:pPr>
      <w:r w:rsidRPr="00EE6648">
        <w:t xml:space="preserve">Service user assessment, processes and documentation tools are </w:t>
      </w:r>
      <w:r w:rsidR="00650DA6">
        <w:t>LGBTIQA+</w:t>
      </w:r>
      <w:r w:rsidRPr="00EE6648">
        <w:t xml:space="preserve"> inclusive and confidential.</w:t>
      </w:r>
    </w:p>
    <w:p w14:paraId="2C65D906" w14:textId="28BC096B" w:rsidR="00EE6648" w:rsidRPr="00EE6648" w:rsidRDefault="00EE6648" w:rsidP="00EE6648">
      <w:pPr>
        <w:pStyle w:val="Numberdigit"/>
        <w:numPr>
          <w:ilvl w:val="0"/>
          <w:numId w:val="41"/>
        </w:numPr>
      </w:pPr>
      <w:r w:rsidRPr="00EE6648">
        <w:t xml:space="preserve">Potential risks to the safety of </w:t>
      </w:r>
      <w:r w:rsidR="00650DA6">
        <w:t>LGBTIQA+</w:t>
      </w:r>
      <w:r w:rsidRPr="00EE6648">
        <w:t xml:space="preserve"> service users are identified and inform plans to promote </w:t>
      </w:r>
      <w:r w:rsidR="00650DA6">
        <w:t>LGBTIQA+</w:t>
      </w:r>
      <w:r w:rsidRPr="00EE6648">
        <w:t xml:space="preserve"> safety.</w:t>
      </w:r>
    </w:p>
    <w:p w14:paraId="5A439804" w14:textId="1D3F4189" w:rsidR="00EE6648" w:rsidRPr="00EE6648" w:rsidRDefault="00EE6648" w:rsidP="00EE6648">
      <w:pPr>
        <w:pStyle w:val="Numberdigit"/>
        <w:numPr>
          <w:ilvl w:val="0"/>
          <w:numId w:val="41"/>
        </w:numPr>
      </w:pPr>
      <w:r w:rsidRPr="00EE6648">
        <w:t xml:space="preserve">The service responds to </w:t>
      </w:r>
      <w:r w:rsidR="00E77895">
        <w:t>anti-</w:t>
      </w:r>
      <w:r w:rsidR="00650DA6">
        <w:t>LGBTIQA+</w:t>
      </w:r>
      <w:r w:rsidRPr="00EE6648">
        <w:t xml:space="preserve"> incidents by advocating for the rights of </w:t>
      </w:r>
      <w:r w:rsidR="00650DA6">
        <w:t>LGBTIQA+</w:t>
      </w:r>
      <w:r w:rsidRPr="00EE6648">
        <w:t xml:space="preserve"> service users and takes steps to prevent recurrence. </w:t>
      </w:r>
    </w:p>
    <w:p w14:paraId="7B6296CD" w14:textId="2417949F" w:rsidR="00EE6648" w:rsidRDefault="00EE6648" w:rsidP="003949F6">
      <w:pPr>
        <w:pStyle w:val="Bodyafterbullets"/>
        <w:rPr>
          <w:rFonts w:cstheme="minorHAnsi"/>
          <w:color w:val="000000" w:themeColor="text1"/>
        </w:rPr>
      </w:pPr>
      <w:r w:rsidRPr="00A31340">
        <w:t>The 10 indicators are used to show the goal has been achieved or areas for improvement</w:t>
      </w:r>
      <w:r>
        <w:t>.</w:t>
      </w:r>
    </w:p>
    <w:p w14:paraId="125C6499" w14:textId="77777777" w:rsidR="00EE6648" w:rsidRDefault="00EE6648" w:rsidP="003949F6">
      <w:pPr>
        <w:pStyle w:val="Body"/>
        <w:rPr>
          <w:rFonts w:eastAsia="MS Gothic" w:cs="Arial"/>
          <w:color w:val="201547"/>
          <w:kern w:val="32"/>
          <w:sz w:val="44"/>
          <w:szCs w:val="44"/>
        </w:rPr>
      </w:pPr>
      <w:r>
        <w:br w:type="page"/>
      </w:r>
    </w:p>
    <w:p w14:paraId="6058C189" w14:textId="37AD6730" w:rsidR="00FE1E85" w:rsidRPr="00D444D7" w:rsidRDefault="00FE1E85" w:rsidP="00664710">
      <w:pPr>
        <w:pStyle w:val="Heading1"/>
      </w:pPr>
      <w:bookmarkStart w:id="9" w:name="_Toc103237550"/>
      <w:r w:rsidRPr="00D444D7">
        <w:t>Tips and suggested activities</w:t>
      </w:r>
      <w:bookmarkEnd w:id="9"/>
    </w:p>
    <w:p w14:paraId="182CDD72" w14:textId="79FB77B0" w:rsidR="00FE1E85" w:rsidRDefault="00A228D0" w:rsidP="00221BE0">
      <w:pPr>
        <w:pStyle w:val="Body"/>
      </w:pPr>
      <w:r>
        <w:t xml:space="preserve">The following </w:t>
      </w:r>
      <w:r w:rsidRPr="00221BE0">
        <w:t>activities</w:t>
      </w:r>
      <w:r>
        <w:t xml:space="preserve"> and tips will help you achieve the indicators and progress your </w:t>
      </w:r>
      <w:r w:rsidR="00944261" w:rsidRPr="00944261">
        <w:rPr>
          <w:b/>
          <w:bCs/>
        </w:rPr>
        <w:t>Rainbow Ready roadmap</w:t>
      </w:r>
      <w:r>
        <w:t xml:space="preserve"> activities</w:t>
      </w:r>
      <w:r w:rsidR="00FE1E85">
        <w:t xml:space="preserve">. </w:t>
      </w:r>
    </w:p>
    <w:p w14:paraId="0EF90585" w14:textId="77777777" w:rsidR="00EE6648" w:rsidRDefault="00EE6648" w:rsidP="00EE6648">
      <w:pPr>
        <w:pStyle w:val="Heading2"/>
      </w:pPr>
      <w:bookmarkStart w:id="10" w:name="_Toc103237551"/>
      <w:r>
        <w:t>Are you considering intersectionality?</w:t>
      </w:r>
      <w:bookmarkEnd w:id="10"/>
    </w:p>
    <w:p w14:paraId="02558694" w14:textId="77777777" w:rsidR="00EE6648" w:rsidRPr="00EE6648" w:rsidRDefault="00EE6648" w:rsidP="00EE6648">
      <w:pPr>
        <w:pStyle w:val="Body"/>
      </w:pPr>
      <w:r>
        <w:t xml:space="preserve">Intersectionality </w:t>
      </w:r>
      <w:r w:rsidRPr="00A50A8E">
        <w:t>is an approach to understanding the diverse experiences of people and their identities</w:t>
      </w:r>
      <w:r>
        <w:t xml:space="preserve">. It involves </w:t>
      </w:r>
      <w:r w:rsidRPr="00A50A8E">
        <w:t xml:space="preserve">recognising that this can create different layers and types of </w:t>
      </w:r>
      <w:r w:rsidRPr="00EE6648">
        <w:t xml:space="preserve">discrimination for an individual or group. </w:t>
      </w:r>
    </w:p>
    <w:p w14:paraId="26188547" w14:textId="1EC1E6C9" w:rsidR="00EE6648" w:rsidRPr="00EE6648" w:rsidRDefault="00EE6648" w:rsidP="00EE6648">
      <w:pPr>
        <w:pStyle w:val="Body"/>
      </w:pPr>
      <w:r w:rsidRPr="00EE6648">
        <w:t xml:space="preserve">It is important to understand that </w:t>
      </w:r>
      <w:r w:rsidR="00650DA6">
        <w:t>LGBTIQA+</w:t>
      </w:r>
      <w:r w:rsidRPr="00EE6648">
        <w:t xml:space="preserve"> experiences are not all the same.</w:t>
      </w:r>
    </w:p>
    <w:p w14:paraId="15BDC067" w14:textId="10A9742C" w:rsidR="00EE6648" w:rsidRPr="00EE6648" w:rsidRDefault="00EE6648" w:rsidP="00EE6648">
      <w:pPr>
        <w:pStyle w:val="Body"/>
      </w:pPr>
      <w:r w:rsidRPr="00EE6648">
        <w:t xml:space="preserve">As well as being diverse in their sexuality, gender identity or sex characteristics, </w:t>
      </w:r>
      <w:r w:rsidR="00650DA6">
        <w:t>LGBTIQA+</w:t>
      </w:r>
      <w:r w:rsidRPr="00EE6648">
        <w:t xml:space="preserve"> people are diverse in other ways. This might include their Aboriginality, ethnicity, skin colour, nationality, refugee or asylum seeker background, migration or via status, language, faith, ability, age, mental health, housing status or geographic location. For example, </w:t>
      </w:r>
      <w:r w:rsidR="00650DA6">
        <w:t>LGBTIQA+</w:t>
      </w:r>
      <w:r w:rsidRPr="00EE6648">
        <w:t xml:space="preserve"> Victorians from ethnic faith communities experience life as </w:t>
      </w:r>
      <w:r w:rsidR="00650DA6">
        <w:t>LGBTIQA+</w:t>
      </w:r>
      <w:r w:rsidRPr="00EE6648">
        <w:t>, as well as being a person of colour and person of faith.</w:t>
      </w:r>
    </w:p>
    <w:p w14:paraId="3F2B8590" w14:textId="08F01F2F" w:rsidR="00EE6648" w:rsidRDefault="00EE6648" w:rsidP="00EE6648">
      <w:pPr>
        <w:pStyle w:val="Body"/>
      </w:pPr>
      <w:r w:rsidRPr="00EE6648">
        <w:t>It is critical to consider</w:t>
      </w:r>
      <w:r w:rsidRPr="00A50A8E">
        <w:t xml:space="preserve"> intersectionality when using the </w:t>
      </w:r>
      <w:r w:rsidRPr="00944261">
        <w:rPr>
          <w:b/>
          <w:bCs/>
        </w:rPr>
        <w:t>Rainbow Ready roadmap</w:t>
      </w:r>
      <w:r>
        <w:t>.</w:t>
      </w:r>
      <w:r w:rsidRPr="00A50A8E">
        <w:t xml:space="preserve"> </w:t>
      </w:r>
      <w:r>
        <w:t xml:space="preserve">This will help </w:t>
      </w:r>
      <w:r w:rsidRPr="00A50A8E">
        <w:t>ensure your activit</w:t>
      </w:r>
      <w:r>
        <w:t>ies</w:t>
      </w:r>
      <w:r w:rsidRPr="00A50A8E">
        <w:t xml:space="preserve"> engage, include, support and respond to the needs of all </w:t>
      </w:r>
      <w:r w:rsidR="00650DA6">
        <w:t>LGBTIQA+</w:t>
      </w:r>
      <w:r w:rsidRPr="00A50A8E">
        <w:t xml:space="preserve"> people.</w:t>
      </w:r>
      <w:r>
        <w:t xml:space="preserve"> Ask the questions: Who is not at the table? Are we including </w:t>
      </w:r>
      <w:r w:rsidR="00650DA6">
        <w:t>LGBTIQA+</w:t>
      </w:r>
      <w:r>
        <w:t xml:space="preserve"> people with different identities and lived experiences in planning and project delivery? How are we enabling the voices of those who we don’t usually hear from?</w:t>
      </w:r>
    </w:p>
    <w:tbl>
      <w:tblPr>
        <w:tblStyle w:val="TableGrid"/>
        <w:tblW w:w="5000" w:type="pct"/>
        <w:shd w:val="clear" w:color="auto" w:fill="FFFFFF" w:themeFill="background1"/>
        <w:tblLook w:val="0620" w:firstRow="1" w:lastRow="0" w:firstColumn="0" w:lastColumn="0" w:noHBand="1" w:noVBand="1"/>
      </w:tblPr>
      <w:tblGrid>
        <w:gridCol w:w="3090"/>
        <w:gridCol w:w="3093"/>
        <w:gridCol w:w="3093"/>
      </w:tblGrid>
      <w:tr w:rsidR="00944261" w:rsidRPr="003E58B6" w14:paraId="603271C9" w14:textId="77777777" w:rsidTr="6630AD52">
        <w:trPr>
          <w:tblHeader/>
        </w:trPr>
        <w:tc>
          <w:tcPr>
            <w:tcW w:w="1666" w:type="pct"/>
            <w:shd w:val="clear" w:color="auto" w:fill="FFFFFF" w:themeFill="background1"/>
          </w:tcPr>
          <w:p w14:paraId="46D2B911" w14:textId="5AECD358" w:rsidR="00944261" w:rsidRPr="00A31340" w:rsidRDefault="00944261" w:rsidP="00944261">
            <w:pPr>
              <w:pStyle w:val="Tablecolhead"/>
            </w:pPr>
            <w:r w:rsidRPr="00A31340">
              <w:t>Indicator</w:t>
            </w:r>
          </w:p>
        </w:tc>
        <w:tc>
          <w:tcPr>
            <w:tcW w:w="1667" w:type="pct"/>
            <w:shd w:val="clear" w:color="auto" w:fill="FFFFFF" w:themeFill="background1"/>
          </w:tcPr>
          <w:p w14:paraId="6E5E93C9" w14:textId="1D3CBF04" w:rsidR="00944261" w:rsidRPr="00A31340" w:rsidRDefault="00944261" w:rsidP="00944261">
            <w:pPr>
              <w:pStyle w:val="Tablecolhead"/>
            </w:pPr>
            <w:r w:rsidRPr="00A31340">
              <w:t>Tips</w:t>
            </w:r>
          </w:p>
        </w:tc>
        <w:tc>
          <w:tcPr>
            <w:tcW w:w="1667" w:type="pct"/>
            <w:shd w:val="clear" w:color="auto" w:fill="FFFFFF" w:themeFill="background1"/>
          </w:tcPr>
          <w:p w14:paraId="068CBCC4" w14:textId="3B470C17" w:rsidR="00944261" w:rsidRPr="00A31340" w:rsidRDefault="00944261" w:rsidP="00944261">
            <w:pPr>
              <w:pStyle w:val="Tablecolhead"/>
            </w:pPr>
            <w:r w:rsidRPr="00A31340">
              <w:t>Activities</w:t>
            </w:r>
          </w:p>
        </w:tc>
      </w:tr>
      <w:tr w:rsidR="00944261" w:rsidRPr="003E58B6" w14:paraId="46333346" w14:textId="77777777" w:rsidTr="6630AD52">
        <w:tc>
          <w:tcPr>
            <w:tcW w:w="1666" w:type="pct"/>
            <w:shd w:val="clear" w:color="auto" w:fill="FFFFFF" w:themeFill="background1"/>
          </w:tcPr>
          <w:p w14:paraId="6F3CD39C" w14:textId="7EE8F45C" w:rsidR="00944261" w:rsidRPr="00944261" w:rsidRDefault="00944261" w:rsidP="009C227F">
            <w:pPr>
              <w:pStyle w:val="ListParagraph"/>
              <w:numPr>
                <w:ilvl w:val="0"/>
                <w:numId w:val="33"/>
              </w:numPr>
              <w:jc w:val="left"/>
            </w:pPr>
            <w:r w:rsidRPr="00944261">
              <w:rPr>
                <w:rFonts w:cstheme="minorHAnsi"/>
                <w:b/>
                <w:bCs/>
                <w:color w:val="000000" w:themeColor="text1"/>
              </w:rPr>
              <w:t xml:space="preserve">Education is provided to ensure staff and volunteers understand the experiences and needs of </w:t>
            </w:r>
            <w:r w:rsidR="00650DA6">
              <w:rPr>
                <w:rFonts w:cstheme="minorHAnsi"/>
                <w:b/>
                <w:bCs/>
                <w:color w:val="000000" w:themeColor="text1"/>
              </w:rPr>
              <w:t>LGBTIQA+</w:t>
            </w:r>
            <w:r w:rsidRPr="00944261">
              <w:rPr>
                <w:rFonts w:cstheme="minorHAnsi"/>
                <w:b/>
                <w:bCs/>
                <w:color w:val="000000" w:themeColor="text1"/>
              </w:rPr>
              <w:t xml:space="preserve"> service users </w:t>
            </w:r>
          </w:p>
        </w:tc>
        <w:tc>
          <w:tcPr>
            <w:tcW w:w="1667" w:type="pct"/>
            <w:shd w:val="clear" w:color="auto" w:fill="FFFFFF" w:themeFill="background1"/>
          </w:tcPr>
          <w:p w14:paraId="0B8EE8B5" w14:textId="19B610FA" w:rsidR="00944261" w:rsidRPr="00A31340" w:rsidRDefault="00944261" w:rsidP="00944261">
            <w:pPr>
              <w:pStyle w:val="Tablebullet1"/>
            </w:pPr>
            <w:r>
              <w:t>Staff and volunteers</w:t>
            </w:r>
            <w:r w:rsidRPr="00A31340">
              <w:t xml:space="preserve"> who understand </w:t>
            </w:r>
            <w:r w:rsidR="00650DA6">
              <w:t>LGBTIQA+</w:t>
            </w:r>
            <w:r w:rsidRPr="00A31340">
              <w:t xml:space="preserve"> health and wellbeing inequalities may be more likely to understand the need for and support </w:t>
            </w:r>
            <w:r w:rsidR="00650DA6">
              <w:t>LGBTIQA+</w:t>
            </w:r>
            <w:r w:rsidRPr="00A31340">
              <w:t xml:space="preserve"> i</w:t>
            </w:r>
            <w:r>
              <w:t>nclusive service delivery.</w:t>
            </w:r>
          </w:p>
          <w:p w14:paraId="048223ED" w14:textId="78B60768" w:rsidR="00944261" w:rsidRPr="00A31340" w:rsidRDefault="00944261" w:rsidP="00944261">
            <w:pPr>
              <w:pStyle w:val="Tablebullet1"/>
            </w:pPr>
            <w:r>
              <w:t xml:space="preserve">Training should support staff to reflect on their own values and beliefs, and the impact these have on how they engage with </w:t>
            </w:r>
            <w:r w:rsidR="00650DA6">
              <w:t>LGBTIQA+</w:t>
            </w:r>
            <w:r>
              <w:t xml:space="preserve"> service users.</w:t>
            </w:r>
          </w:p>
        </w:tc>
        <w:tc>
          <w:tcPr>
            <w:tcW w:w="1667" w:type="pct"/>
            <w:shd w:val="clear" w:color="auto" w:fill="FFFFFF" w:themeFill="background1"/>
          </w:tcPr>
          <w:p w14:paraId="0FA8E91B" w14:textId="7A4710A5" w:rsidR="00944261" w:rsidRDefault="00944261" w:rsidP="00944261">
            <w:pPr>
              <w:pStyle w:val="Tablebullet1"/>
            </w:pPr>
            <w:r w:rsidRPr="4B6F6D11">
              <w:t xml:space="preserve">Schedule annual training for staff and volunteers to build knowledge and understanding of </w:t>
            </w:r>
            <w:r w:rsidR="00650DA6">
              <w:t>LGBTIQA+</w:t>
            </w:r>
            <w:r w:rsidRPr="4B6F6D11">
              <w:t xml:space="preserve"> experiences</w:t>
            </w:r>
            <w:r>
              <w:t>.</w:t>
            </w:r>
          </w:p>
          <w:p w14:paraId="5E037883" w14:textId="1356917D" w:rsidR="00944261" w:rsidRPr="00283519" w:rsidRDefault="00944261" w:rsidP="00944261">
            <w:pPr>
              <w:pStyle w:val="Tablebullet1"/>
            </w:pPr>
            <w:r>
              <w:t xml:space="preserve">Develop a service policy on </w:t>
            </w:r>
            <w:r w:rsidR="00650DA6">
              <w:t>LGBTIQA+</w:t>
            </w:r>
            <w:r>
              <w:t xml:space="preserve"> inclusivity to guide inclusive practices across the service.</w:t>
            </w:r>
          </w:p>
        </w:tc>
      </w:tr>
      <w:tr w:rsidR="00944261" w:rsidRPr="003E58B6" w14:paraId="3A04E7A4" w14:textId="77777777" w:rsidTr="6630AD52">
        <w:tc>
          <w:tcPr>
            <w:tcW w:w="1666" w:type="pct"/>
            <w:shd w:val="clear" w:color="auto" w:fill="FFFFFF" w:themeFill="background1"/>
          </w:tcPr>
          <w:p w14:paraId="613ECFC5" w14:textId="7B183283" w:rsidR="00944261" w:rsidRPr="00944261" w:rsidRDefault="00944261" w:rsidP="009C227F">
            <w:pPr>
              <w:pStyle w:val="ListParagraph"/>
              <w:numPr>
                <w:ilvl w:val="0"/>
                <w:numId w:val="33"/>
              </w:numPr>
              <w:jc w:val="left"/>
              <w:rPr>
                <w:b/>
                <w:bCs/>
              </w:rPr>
            </w:pPr>
            <w:r w:rsidRPr="00944261">
              <w:rPr>
                <w:b/>
                <w:bCs/>
              </w:rPr>
              <w:t xml:space="preserve">The service engages </w:t>
            </w:r>
            <w:r w:rsidR="00650DA6">
              <w:rPr>
                <w:b/>
                <w:bCs/>
              </w:rPr>
              <w:t>LGBTIQA+</w:t>
            </w:r>
            <w:r w:rsidRPr="00944261">
              <w:rPr>
                <w:b/>
                <w:bCs/>
              </w:rPr>
              <w:t xml:space="preserve"> service users to plan, implement and evaluate improvements to the service</w:t>
            </w:r>
          </w:p>
        </w:tc>
        <w:tc>
          <w:tcPr>
            <w:tcW w:w="1667" w:type="pct"/>
            <w:shd w:val="clear" w:color="auto" w:fill="FFFFFF" w:themeFill="background1"/>
          </w:tcPr>
          <w:p w14:paraId="41B5B2ED" w14:textId="1CC6F416" w:rsidR="00944261" w:rsidRPr="00173531" w:rsidRDefault="00944261" w:rsidP="00944261">
            <w:pPr>
              <w:pStyle w:val="Tablebullet1"/>
            </w:pPr>
            <w:r w:rsidRPr="00A31340">
              <w:t xml:space="preserve">Supporting </w:t>
            </w:r>
            <w:r w:rsidR="00650DA6">
              <w:t>LGBTIQA+</w:t>
            </w:r>
            <w:r w:rsidRPr="00A31340">
              <w:t xml:space="preserve"> community members to </w:t>
            </w:r>
            <w:r>
              <w:t xml:space="preserve">take part in service planning and evaluation shows </w:t>
            </w:r>
            <w:r w:rsidRPr="00173531">
              <w:t xml:space="preserve">that </w:t>
            </w:r>
            <w:r w:rsidR="00650DA6">
              <w:t>LGBTIQA+</w:t>
            </w:r>
            <w:r w:rsidRPr="00173531">
              <w:t xml:space="preserve"> voices are helping to shape services in a way that best responds to their needs</w:t>
            </w:r>
            <w:r>
              <w:t>.</w:t>
            </w:r>
          </w:p>
          <w:p w14:paraId="729DF953" w14:textId="178EBC46" w:rsidR="00944261" w:rsidRPr="003E58B6" w:rsidRDefault="00650DA6" w:rsidP="00944261">
            <w:pPr>
              <w:pStyle w:val="Tablebullet1"/>
            </w:pPr>
            <w:r>
              <w:t>LGBTIQA+</w:t>
            </w:r>
            <w:r w:rsidR="00944261">
              <w:t xml:space="preserve"> community members should only be engaged where the service intends to take action. Engagement without action can erode trust.</w:t>
            </w:r>
          </w:p>
        </w:tc>
        <w:tc>
          <w:tcPr>
            <w:tcW w:w="1667" w:type="pct"/>
            <w:shd w:val="clear" w:color="auto" w:fill="FFFFFF" w:themeFill="background1"/>
          </w:tcPr>
          <w:p w14:paraId="3172CD14" w14:textId="59D97975" w:rsidR="00944261" w:rsidRDefault="00944261" w:rsidP="00944261">
            <w:pPr>
              <w:pStyle w:val="Tablebullet1"/>
            </w:pPr>
            <w:r>
              <w:t xml:space="preserve">Deliver a workplace and community-wide survey to get feedback on how </w:t>
            </w:r>
            <w:r w:rsidR="00650DA6">
              <w:t>LGBTIQA+</w:t>
            </w:r>
            <w:r>
              <w:t xml:space="preserve"> inclusive the service is.</w:t>
            </w:r>
          </w:p>
          <w:p w14:paraId="204CB693" w14:textId="071567E8" w:rsidR="00944261" w:rsidRPr="00A31340" w:rsidRDefault="00944261" w:rsidP="003949F6">
            <w:pPr>
              <w:pStyle w:val="Tablebullet1"/>
            </w:pPr>
            <w:r>
              <w:t xml:space="preserve">Invite </w:t>
            </w:r>
            <w:r w:rsidR="00650DA6">
              <w:t>LGBTIQA+</w:t>
            </w:r>
            <w:r>
              <w:t xml:space="preserve"> service users to join a roundtable event, tabling any live feedback or ideas shared to improve. </w:t>
            </w:r>
          </w:p>
        </w:tc>
      </w:tr>
      <w:tr w:rsidR="00944261" w:rsidRPr="003E58B6" w14:paraId="57D378B7" w14:textId="77777777" w:rsidTr="6630AD52">
        <w:tc>
          <w:tcPr>
            <w:tcW w:w="1666" w:type="pct"/>
            <w:shd w:val="clear" w:color="auto" w:fill="FFFFFF" w:themeFill="background1"/>
          </w:tcPr>
          <w:p w14:paraId="08CF6F00" w14:textId="5B3FE00F" w:rsidR="00944261" w:rsidRPr="00944261" w:rsidRDefault="00944261" w:rsidP="009C227F">
            <w:pPr>
              <w:pStyle w:val="ListParagraph"/>
              <w:numPr>
                <w:ilvl w:val="0"/>
                <w:numId w:val="33"/>
              </w:numPr>
              <w:jc w:val="left"/>
              <w:rPr>
                <w:b/>
                <w:bCs/>
              </w:rPr>
            </w:pPr>
            <w:r w:rsidRPr="00944261">
              <w:rPr>
                <w:b/>
                <w:bCs/>
              </w:rPr>
              <w:t xml:space="preserve">The service recognises and supports local </w:t>
            </w:r>
            <w:r w:rsidR="00650DA6">
              <w:rPr>
                <w:b/>
                <w:bCs/>
              </w:rPr>
              <w:t>LGBTIQA+</w:t>
            </w:r>
            <w:r w:rsidRPr="00944261">
              <w:rPr>
                <w:b/>
                <w:bCs/>
              </w:rPr>
              <w:t xml:space="preserve"> events and commemorations </w:t>
            </w:r>
          </w:p>
        </w:tc>
        <w:tc>
          <w:tcPr>
            <w:tcW w:w="1667" w:type="pct"/>
            <w:shd w:val="clear" w:color="auto" w:fill="FFFFFF" w:themeFill="background1"/>
          </w:tcPr>
          <w:p w14:paraId="18E1F7F1" w14:textId="3C8382CE" w:rsidR="00944261" w:rsidRPr="00944261" w:rsidRDefault="00944261" w:rsidP="00944261">
            <w:pPr>
              <w:pStyle w:val="Tablebullet1"/>
            </w:pPr>
            <w:r w:rsidRPr="00944261">
              <w:t xml:space="preserve">Supporting </w:t>
            </w:r>
            <w:r w:rsidR="00650DA6">
              <w:t>LGBTIQA+</w:t>
            </w:r>
            <w:r w:rsidRPr="00944261">
              <w:t xml:space="preserve"> events can be as simple as displaying flyers or sharing messages on social media.</w:t>
            </w:r>
          </w:p>
          <w:p w14:paraId="2FF1A115" w14:textId="0EBEF218" w:rsidR="00944261" w:rsidRPr="00944261" w:rsidRDefault="00944261" w:rsidP="00944261">
            <w:pPr>
              <w:pStyle w:val="Tablebullet1"/>
            </w:pPr>
            <w:r w:rsidRPr="00944261">
              <w:t xml:space="preserve">Supporting </w:t>
            </w:r>
            <w:r w:rsidR="00650DA6">
              <w:t>LGBTIQA+</w:t>
            </w:r>
            <w:r w:rsidRPr="00944261">
              <w:t xml:space="preserve"> events can raise the profile of the service and communicate to </w:t>
            </w:r>
            <w:r w:rsidR="00650DA6">
              <w:t>LGBTIQA+</w:t>
            </w:r>
            <w:r w:rsidRPr="00944261">
              <w:t xml:space="preserve"> people that the service cares about their wellbeing.</w:t>
            </w:r>
          </w:p>
        </w:tc>
        <w:tc>
          <w:tcPr>
            <w:tcW w:w="1667" w:type="pct"/>
            <w:shd w:val="clear" w:color="auto" w:fill="FFFFFF" w:themeFill="background1"/>
          </w:tcPr>
          <w:p w14:paraId="63BD75DF" w14:textId="45CA28AB" w:rsidR="00944261" w:rsidRPr="00944261" w:rsidRDefault="00944261" w:rsidP="00944261">
            <w:pPr>
              <w:pStyle w:val="Tablebullet1"/>
            </w:pPr>
            <w:r w:rsidRPr="00944261">
              <w:t xml:space="preserve">Host an IDAHOBIT event, and invite staff and the broader community to show pride and support for </w:t>
            </w:r>
            <w:r w:rsidR="00650DA6">
              <w:t>LGBTIQA+</w:t>
            </w:r>
            <w:r w:rsidRPr="00944261">
              <w:t xml:space="preserve"> communities. </w:t>
            </w:r>
          </w:p>
          <w:p w14:paraId="765FE4A5" w14:textId="69DBB7CF" w:rsidR="00944261" w:rsidRPr="00944261" w:rsidRDefault="00944261" w:rsidP="00944261">
            <w:pPr>
              <w:pStyle w:val="Tablebullet1"/>
            </w:pPr>
            <w:r w:rsidRPr="00944261">
              <w:t>Hold an educational event or workshop on bi, trans and intersex awareness days.</w:t>
            </w:r>
          </w:p>
        </w:tc>
      </w:tr>
      <w:tr w:rsidR="00944261" w:rsidRPr="003E58B6" w14:paraId="7498998B" w14:textId="77777777" w:rsidTr="6630AD52">
        <w:tc>
          <w:tcPr>
            <w:tcW w:w="1666" w:type="pct"/>
            <w:shd w:val="clear" w:color="auto" w:fill="FFFFFF" w:themeFill="background1"/>
          </w:tcPr>
          <w:p w14:paraId="0ED40C12" w14:textId="39E16222" w:rsidR="00944261" w:rsidRPr="00944261" w:rsidRDefault="00650DA6" w:rsidP="009C227F">
            <w:pPr>
              <w:pStyle w:val="ListParagraph"/>
              <w:numPr>
                <w:ilvl w:val="0"/>
                <w:numId w:val="33"/>
              </w:numPr>
              <w:jc w:val="left"/>
              <w:rPr>
                <w:b/>
                <w:bCs/>
              </w:rPr>
            </w:pPr>
            <w:r>
              <w:rPr>
                <w:b/>
                <w:bCs/>
              </w:rPr>
              <w:t>LGBTIQA+</w:t>
            </w:r>
            <w:r w:rsidR="00944261" w:rsidRPr="00944261">
              <w:rPr>
                <w:b/>
                <w:bCs/>
              </w:rPr>
              <w:t xml:space="preserve"> inclusive language and images are used in service materials and on websites.</w:t>
            </w:r>
          </w:p>
        </w:tc>
        <w:tc>
          <w:tcPr>
            <w:tcW w:w="1667" w:type="pct"/>
            <w:shd w:val="clear" w:color="auto" w:fill="FFFFFF" w:themeFill="background1"/>
          </w:tcPr>
          <w:p w14:paraId="77DFBA38" w14:textId="365315A5" w:rsidR="00944261" w:rsidRPr="00944261" w:rsidRDefault="00944261" w:rsidP="00944261">
            <w:pPr>
              <w:pStyle w:val="Tablebullet1"/>
            </w:pPr>
            <w:r w:rsidRPr="00944261">
              <w:t xml:space="preserve">Review the Victorian Government’s </w:t>
            </w:r>
            <w:r w:rsidRPr="00944261">
              <w:rPr>
                <w:b/>
                <w:bCs/>
              </w:rPr>
              <w:t>Inclusive language guide</w:t>
            </w:r>
            <w:r w:rsidRPr="00944261">
              <w:t>.</w:t>
            </w:r>
            <w:r w:rsidRPr="00944261">
              <w:rPr>
                <w:rStyle w:val="FootnoteReference"/>
              </w:rPr>
              <w:footnoteReference w:id="2"/>
            </w:r>
          </w:p>
          <w:p w14:paraId="5CF7F293" w14:textId="167E781D" w:rsidR="00944261" w:rsidRPr="00944261" w:rsidRDefault="00650DA6" w:rsidP="00944261">
            <w:pPr>
              <w:pStyle w:val="Tablebullet1"/>
            </w:pPr>
            <w:r>
              <w:t>LGBTIQA+</w:t>
            </w:r>
            <w:r w:rsidR="00944261" w:rsidRPr="00944261">
              <w:t xml:space="preserve"> service users will value the use of inclusive language and images because it allows them to feel seen, valid and represented.</w:t>
            </w:r>
          </w:p>
          <w:p w14:paraId="3F705055" w14:textId="0CD2A823" w:rsidR="00944261" w:rsidRPr="00944261" w:rsidRDefault="00944261" w:rsidP="003949F6">
            <w:pPr>
              <w:pStyle w:val="Tablebullet1"/>
            </w:pPr>
            <w:r w:rsidRPr="00944261">
              <w:t xml:space="preserve">Inclusive language and images can have a positive impact for service users and service staff who don’t feel safe disclosing their </w:t>
            </w:r>
            <w:r w:rsidR="00650DA6">
              <w:t>LGBTIQA+</w:t>
            </w:r>
            <w:r w:rsidRPr="00944261">
              <w:t xml:space="preserve"> identity. </w:t>
            </w:r>
          </w:p>
        </w:tc>
        <w:tc>
          <w:tcPr>
            <w:tcW w:w="1667" w:type="pct"/>
            <w:shd w:val="clear" w:color="auto" w:fill="FFFFFF" w:themeFill="background1"/>
          </w:tcPr>
          <w:p w14:paraId="52C6A55E" w14:textId="471B0F34" w:rsidR="00944261" w:rsidRPr="00944261" w:rsidRDefault="00944261" w:rsidP="00944261">
            <w:pPr>
              <w:pStyle w:val="Tablebullet1"/>
            </w:pPr>
            <w:r w:rsidRPr="00944261">
              <w:t>Include inclusive language and images in printed and online materials.</w:t>
            </w:r>
          </w:p>
          <w:p w14:paraId="29C2F4D8" w14:textId="08AB4A38" w:rsidR="00944261" w:rsidRPr="00944261" w:rsidRDefault="00944261" w:rsidP="00944261">
            <w:pPr>
              <w:pStyle w:val="Tablebullet1"/>
            </w:pPr>
            <w:r w:rsidRPr="00944261">
              <w:t xml:space="preserve">Using images of local </w:t>
            </w:r>
            <w:r w:rsidR="00650DA6">
              <w:t>LGBTIQA+</w:t>
            </w:r>
            <w:r w:rsidRPr="00944261">
              <w:t xml:space="preserve"> people can be a powerful way of showing </w:t>
            </w:r>
            <w:r w:rsidR="00650DA6">
              <w:t>LGBTIQA+</w:t>
            </w:r>
            <w:r w:rsidRPr="00944261">
              <w:t xml:space="preserve"> inclusion. Make sure to get their consent.</w:t>
            </w:r>
          </w:p>
          <w:p w14:paraId="3737D950" w14:textId="2E4B02D0" w:rsidR="00944261" w:rsidRPr="00944261" w:rsidRDefault="00944261" w:rsidP="00944261">
            <w:pPr>
              <w:pStyle w:val="Tablebullet1"/>
            </w:pPr>
            <w:r w:rsidRPr="00944261">
              <w:t xml:space="preserve">Consider how images and language can be inclusive of diverse </w:t>
            </w:r>
            <w:r w:rsidR="00650DA6">
              <w:t>LGBTIQA+</w:t>
            </w:r>
            <w:r w:rsidRPr="00944261">
              <w:t xml:space="preserve"> communities. For example, you could include images of queer people of colour on your website, or offer translation services for materials for people who speak another language.</w:t>
            </w:r>
          </w:p>
        </w:tc>
      </w:tr>
      <w:tr w:rsidR="00944261" w:rsidRPr="003E58B6" w14:paraId="5622702B" w14:textId="77777777" w:rsidTr="6630AD52">
        <w:tc>
          <w:tcPr>
            <w:tcW w:w="1666" w:type="pct"/>
            <w:shd w:val="clear" w:color="auto" w:fill="FFFFFF" w:themeFill="background1"/>
          </w:tcPr>
          <w:p w14:paraId="5392B91B" w14:textId="0EB7AF72" w:rsidR="00944261" w:rsidRPr="00944261" w:rsidRDefault="00944261" w:rsidP="009C227F">
            <w:pPr>
              <w:pStyle w:val="ListParagraph"/>
              <w:numPr>
                <w:ilvl w:val="0"/>
                <w:numId w:val="33"/>
              </w:numPr>
              <w:jc w:val="left"/>
              <w:rPr>
                <w:b/>
                <w:bCs/>
              </w:rPr>
            </w:pPr>
            <w:r w:rsidRPr="00944261">
              <w:rPr>
                <w:b/>
                <w:bCs/>
              </w:rPr>
              <w:t xml:space="preserve">The service has a statement of </w:t>
            </w:r>
            <w:r w:rsidR="00650DA6">
              <w:rPr>
                <w:b/>
                <w:bCs/>
              </w:rPr>
              <w:t>LGBTIQA+</w:t>
            </w:r>
            <w:r w:rsidRPr="00944261">
              <w:rPr>
                <w:b/>
                <w:bCs/>
              </w:rPr>
              <w:t xml:space="preserve"> inclusion that is publicly visible</w:t>
            </w:r>
          </w:p>
        </w:tc>
        <w:tc>
          <w:tcPr>
            <w:tcW w:w="1667" w:type="pct"/>
            <w:shd w:val="clear" w:color="auto" w:fill="FFFFFF" w:themeFill="background1"/>
          </w:tcPr>
          <w:p w14:paraId="3ED42D4E" w14:textId="1CABC509" w:rsidR="00944261" w:rsidRPr="00A31340" w:rsidRDefault="00944261" w:rsidP="00944261">
            <w:pPr>
              <w:pStyle w:val="Tablebullet1"/>
            </w:pPr>
            <w:r w:rsidRPr="00A31340">
              <w:t xml:space="preserve">Statements of commitment can communicate to </w:t>
            </w:r>
            <w:r w:rsidR="00650DA6">
              <w:t>LGBTIQA+</w:t>
            </w:r>
            <w:r w:rsidRPr="00A31340">
              <w:t xml:space="preserve"> community members </w:t>
            </w:r>
            <w:r>
              <w:t xml:space="preserve">that your service is </w:t>
            </w:r>
            <w:r w:rsidRPr="00A31340">
              <w:t xml:space="preserve">working to be </w:t>
            </w:r>
            <w:r w:rsidR="00650DA6">
              <w:t>LGBTIQA+</w:t>
            </w:r>
            <w:r w:rsidRPr="00A31340">
              <w:t xml:space="preserve"> inclusive</w:t>
            </w:r>
            <w:r>
              <w:t>.</w:t>
            </w:r>
          </w:p>
          <w:p w14:paraId="6CDAE3C6" w14:textId="56E6D131" w:rsidR="00944261" w:rsidRPr="000E594C" w:rsidRDefault="00944261" w:rsidP="00944261">
            <w:pPr>
              <w:pStyle w:val="Tablebullet1"/>
            </w:pPr>
            <w:r w:rsidRPr="00A31340">
              <w:t xml:space="preserve">Statements of commitment can educate </w:t>
            </w:r>
            <w:r>
              <w:t>other services</w:t>
            </w:r>
            <w:r w:rsidRPr="00A31340">
              <w:t xml:space="preserve"> that you do not tolerate </w:t>
            </w:r>
            <w:r w:rsidR="00E77895">
              <w:t>anti-</w:t>
            </w:r>
            <w:r w:rsidR="00650DA6">
              <w:t>LGBTIQA+</w:t>
            </w:r>
            <w:r w:rsidR="00E77895">
              <w:t xml:space="preserve"> attitudes or behaviours </w:t>
            </w:r>
            <w:r>
              <w:t>.</w:t>
            </w:r>
          </w:p>
          <w:p w14:paraId="246105FD" w14:textId="6FF42049" w:rsidR="00944261" w:rsidRPr="00C01C8C" w:rsidRDefault="00944261" w:rsidP="00944261">
            <w:pPr>
              <w:pStyle w:val="Tablebullet1"/>
            </w:pPr>
            <w:r w:rsidRPr="000E594C">
              <w:t xml:space="preserve">If your service says it is </w:t>
            </w:r>
            <w:r w:rsidR="00650DA6">
              <w:t>LGBTIQA+</w:t>
            </w:r>
            <w:r w:rsidRPr="000E594C">
              <w:t xml:space="preserve"> inclusive, this </w:t>
            </w:r>
            <w:r>
              <w:t>includes all rainbow communities.</w:t>
            </w:r>
            <w:r w:rsidRPr="000E594C">
              <w:t xml:space="preserve"> Consider</w:t>
            </w:r>
            <w:r>
              <w:t xml:space="preserve"> whether your service understands and responds to the needs of people with an intersex variation, and whether you currently offer gender-affirming care for trans and gender diverse clients.</w:t>
            </w:r>
          </w:p>
        </w:tc>
        <w:tc>
          <w:tcPr>
            <w:tcW w:w="1667" w:type="pct"/>
            <w:shd w:val="clear" w:color="auto" w:fill="FFFFFF" w:themeFill="background1"/>
          </w:tcPr>
          <w:p w14:paraId="6C6E14D7" w14:textId="0A5806F7" w:rsidR="00944261" w:rsidRPr="000E594C" w:rsidRDefault="00944261" w:rsidP="003949F6">
            <w:pPr>
              <w:pStyle w:val="Tablebullet1"/>
            </w:pPr>
            <w:r>
              <w:t>Develop a</w:t>
            </w:r>
            <w:r w:rsidRPr="00A31340">
              <w:t xml:space="preserve"> statement of commitment</w:t>
            </w:r>
            <w:r>
              <w:t xml:space="preserve"> and make sure it is</w:t>
            </w:r>
            <w:r w:rsidRPr="00A31340">
              <w:t xml:space="preserve"> publicly visible</w:t>
            </w:r>
            <w:r>
              <w:t>.</w:t>
            </w:r>
          </w:p>
        </w:tc>
      </w:tr>
      <w:tr w:rsidR="00944261" w:rsidRPr="003E58B6" w14:paraId="46F4E226" w14:textId="77777777" w:rsidTr="6630AD52">
        <w:tc>
          <w:tcPr>
            <w:tcW w:w="1666" w:type="pct"/>
            <w:shd w:val="clear" w:color="auto" w:fill="FFFFFF" w:themeFill="background1"/>
          </w:tcPr>
          <w:p w14:paraId="6E13577B" w14:textId="03878869" w:rsidR="00944261" w:rsidRPr="00944261" w:rsidRDefault="00944261" w:rsidP="009C227F">
            <w:pPr>
              <w:pStyle w:val="ListParagraph"/>
              <w:numPr>
                <w:ilvl w:val="0"/>
                <w:numId w:val="33"/>
              </w:numPr>
              <w:jc w:val="left"/>
              <w:rPr>
                <w:b/>
                <w:bCs/>
              </w:rPr>
            </w:pPr>
            <w:r w:rsidRPr="00944261">
              <w:rPr>
                <w:b/>
                <w:bCs/>
              </w:rPr>
              <w:t xml:space="preserve">The service displays messages of welcome to </w:t>
            </w:r>
            <w:r w:rsidR="00650DA6">
              <w:rPr>
                <w:b/>
                <w:bCs/>
              </w:rPr>
              <w:t>LGBTIQA+</w:t>
            </w:r>
            <w:r w:rsidRPr="00944261">
              <w:rPr>
                <w:b/>
                <w:bCs/>
              </w:rPr>
              <w:t xml:space="preserve"> service users</w:t>
            </w:r>
          </w:p>
        </w:tc>
        <w:tc>
          <w:tcPr>
            <w:tcW w:w="1667" w:type="pct"/>
            <w:shd w:val="clear" w:color="auto" w:fill="FFFFFF" w:themeFill="background1"/>
          </w:tcPr>
          <w:p w14:paraId="77100A2F" w14:textId="04D39312" w:rsidR="00944261" w:rsidRDefault="00944261" w:rsidP="00944261">
            <w:pPr>
              <w:pStyle w:val="Tablebullet1"/>
            </w:pPr>
            <w:r>
              <w:t>Rainbow, trans and bi flags, stickers and badges can provide simple ‘frontline’ welcome signals.</w:t>
            </w:r>
          </w:p>
          <w:p w14:paraId="3D63B19F" w14:textId="1CCB3253" w:rsidR="00944261" w:rsidRPr="00A31340" w:rsidRDefault="00944261" w:rsidP="00944261">
            <w:pPr>
              <w:pStyle w:val="Tablebullet1"/>
            </w:pPr>
            <w:r>
              <w:t>Symbols like these should be supported by meaningful actions and policies.</w:t>
            </w:r>
          </w:p>
        </w:tc>
        <w:tc>
          <w:tcPr>
            <w:tcW w:w="1667" w:type="pct"/>
            <w:shd w:val="clear" w:color="auto" w:fill="FFFFFF" w:themeFill="background1"/>
          </w:tcPr>
          <w:p w14:paraId="34A2070A" w14:textId="05A8E0C0" w:rsidR="00944261" w:rsidRDefault="00DE1E0F" w:rsidP="00415F99">
            <w:pPr>
              <w:pStyle w:val="Tablebullet1"/>
              <w:numPr>
                <w:ilvl w:val="0"/>
                <w:numId w:val="0"/>
              </w:numPr>
            </w:pPr>
            <w:r>
              <w:t>Share your work.</w:t>
            </w:r>
          </w:p>
        </w:tc>
      </w:tr>
      <w:tr w:rsidR="00944261" w:rsidRPr="003E58B6" w14:paraId="3EEC22AE" w14:textId="77777777" w:rsidTr="6630AD52">
        <w:tc>
          <w:tcPr>
            <w:tcW w:w="1666" w:type="pct"/>
            <w:shd w:val="clear" w:color="auto" w:fill="FFFFFF" w:themeFill="background1"/>
          </w:tcPr>
          <w:p w14:paraId="51897244" w14:textId="2E9F1FC4" w:rsidR="00944261" w:rsidRPr="00944261" w:rsidRDefault="00944261" w:rsidP="009C227F">
            <w:pPr>
              <w:pStyle w:val="ListParagraph"/>
              <w:numPr>
                <w:ilvl w:val="0"/>
                <w:numId w:val="33"/>
              </w:numPr>
              <w:jc w:val="left"/>
              <w:rPr>
                <w:b/>
                <w:bCs/>
              </w:rPr>
            </w:pPr>
            <w:r w:rsidRPr="00944261">
              <w:rPr>
                <w:b/>
                <w:bCs/>
              </w:rPr>
              <w:t xml:space="preserve">The service provides a safe and inclusive workplace for </w:t>
            </w:r>
            <w:r w:rsidR="00650DA6">
              <w:rPr>
                <w:b/>
                <w:bCs/>
              </w:rPr>
              <w:t>LGBTIQA+</w:t>
            </w:r>
            <w:r w:rsidRPr="00944261">
              <w:rPr>
                <w:b/>
                <w:bCs/>
              </w:rPr>
              <w:t xml:space="preserve"> staff and volunteers</w:t>
            </w:r>
          </w:p>
        </w:tc>
        <w:tc>
          <w:tcPr>
            <w:tcW w:w="1667" w:type="pct"/>
            <w:shd w:val="clear" w:color="auto" w:fill="FFFFFF" w:themeFill="background1"/>
          </w:tcPr>
          <w:p w14:paraId="20F183AE" w14:textId="67BCF774" w:rsidR="00944261" w:rsidRPr="00266325" w:rsidRDefault="00944261" w:rsidP="00944261">
            <w:pPr>
              <w:pStyle w:val="Tablebullet1"/>
            </w:pPr>
            <w:r w:rsidRPr="00266325">
              <w:t xml:space="preserve">Read the Victorian Government’s </w:t>
            </w:r>
            <w:r w:rsidRPr="00944261">
              <w:rPr>
                <w:b/>
                <w:bCs/>
              </w:rPr>
              <w:t>Inclusive workplaces guidelines</w:t>
            </w:r>
            <w:r>
              <w:t>.</w:t>
            </w:r>
            <w:r w:rsidRPr="00266325">
              <w:rPr>
                <w:rStyle w:val="FootnoteReference"/>
                <w:rFonts w:cstheme="minorHAnsi"/>
                <w:color w:val="000000" w:themeColor="text1"/>
                <w:sz w:val="22"/>
                <w:szCs w:val="22"/>
              </w:rPr>
              <w:footnoteReference w:id="3"/>
            </w:r>
          </w:p>
          <w:p w14:paraId="6C55700B" w14:textId="29928064" w:rsidR="00944261" w:rsidRPr="00266325" w:rsidRDefault="00944261" w:rsidP="00944261">
            <w:pPr>
              <w:pStyle w:val="Tablebullet1"/>
            </w:pPr>
            <w:r w:rsidRPr="00266325">
              <w:t xml:space="preserve">Communicate the service’s commitment to </w:t>
            </w:r>
            <w:r w:rsidR="00650DA6">
              <w:t>LGBTIQA+</w:t>
            </w:r>
            <w:r w:rsidRPr="00266325">
              <w:t xml:space="preserve"> inclusivity</w:t>
            </w:r>
            <w:r>
              <w:t>.</w:t>
            </w:r>
            <w:r w:rsidRPr="00266325">
              <w:t xml:space="preserve"> </w:t>
            </w:r>
          </w:p>
          <w:p w14:paraId="24B83AED" w14:textId="0ED83A86" w:rsidR="00944261" w:rsidRPr="00266325" w:rsidRDefault="00944261" w:rsidP="00944261">
            <w:pPr>
              <w:pStyle w:val="Tablebullet1"/>
            </w:pPr>
            <w:r w:rsidRPr="00266325">
              <w:t xml:space="preserve">Understand that microaggressions </w:t>
            </w:r>
            <w:r>
              <w:t>(</w:t>
            </w:r>
            <w:r w:rsidRPr="00266325">
              <w:t>for example, misgendering or getting a person’s name wrong</w:t>
            </w:r>
            <w:r>
              <w:t>)</w:t>
            </w:r>
            <w:r w:rsidRPr="00266325">
              <w:t xml:space="preserve"> can contribute to an unsafe workplace</w:t>
            </w:r>
            <w:r>
              <w:t>.</w:t>
            </w:r>
          </w:p>
        </w:tc>
        <w:tc>
          <w:tcPr>
            <w:tcW w:w="1667" w:type="pct"/>
            <w:shd w:val="clear" w:color="auto" w:fill="FFFFFF" w:themeFill="background1"/>
          </w:tcPr>
          <w:p w14:paraId="4AB96359" w14:textId="74543C2A" w:rsidR="00944261" w:rsidRPr="00266325" w:rsidRDefault="00944261" w:rsidP="00944261">
            <w:pPr>
              <w:pStyle w:val="Tablebullet1"/>
              <w:rPr>
                <w:iCs/>
              </w:rPr>
            </w:pPr>
            <w:r w:rsidRPr="00266325">
              <w:rPr>
                <w:iCs/>
              </w:rPr>
              <w:t>Conduct an all</w:t>
            </w:r>
            <w:r>
              <w:rPr>
                <w:iCs/>
              </w:rPr>
              <w:t>-</w:t>
            </w:r>
            <w:r w:rsidRPr="00266325">
              <w:rPr>
                <w:iCs/>
              </w:rPr>
              <w:t xml:space="preserve">staff survey to </w:t>
            </w:r>
            <w:r>
              <w:rPr>
                <w:iCs/>
              </w:rPr>
              <w:t>get</w:t>
            </w:r>
            <w:r w:rsidRPr="00266325">
              <w:rPr>
                <w:iCs/>
              </w:rPr>
              <w:t xml:space="preserve"> feedback on strategies to improve </w:t>
            </w:r>
            <w:r w:rsidR="00650DA6">
              <w:rPr>
                <w:iCs/>
              </w:rPr>
              <w:t>LGBTIQA+</w:t>
            </w:r>
            <w:r w:rsidRPr="00266325">
              <w:rPr>
                <w:iCs/>
              </w:rPr>
              <w:t xml:space="preserve"> inclusivity</w:t>
            </w:r>
            <w:r>
              <w:rPr>
                <w:iCs/>
              </w:rPr>
              <w:t>.</w:t>
            </w:r>
            <w:r w:rsidRPr="00266325">
              <w:rPr>
                <w:iCs/>
              </w:rPr>
              <w:t xml:space="preserve"> </w:t>
            </w:r>
          </w:p>
          <w:p w14:paraId="45253196" w14:textId="174D6BA7" w:rsidR="00944261" w:rsidRPr="00266325" w:rsidRDefault="00944261" w:rsidP="00944261">
            <w:pPr>
              <w:pStyle w:val="Tablebullet1"/>
            </w:pPr>
            <w:r w:rsidRPr="00266325">
              <w:t xml:space="preserve">Create and embed a policy that responds to </w:t>
            </w:r>
            <w:r w:rsidR="00E77895">
              <w:t>anti-</w:t>
            </w:r>
            <w:r w:rsidR="00650DA6">
              <w:t>LGBTIQA+</w:t>
            </w:r>
            <w:r w:rsidR="00E77895">
              <w:t xml:space="preserve"> </w:t>
            </w:r>
            <w:r w:rsidRPr="00266325">
              <w:t xml:space="preserve"> incidents and supports staff effectively</w:t>
            </w:r>
            <w:r>
              <w:t>.</w:t>
            </w:r>
          </w:p>
        </w:tc>
      </w:tr>
      <w:tr w:rsidR="00944261" w:rsidRPr="003E58B6" w14:paraId="54C09B3E" w14:textId="77777777" w:rsidTr="6630AD52">
        <w:tc>
          <w:tcPr>
            <w:tcW w:w="1666" w:type="pct"/>
            <w:shd w:val="clear" w:color="auto" w:fill="FFFFFF" w:themeFill="background1"/>
          </w:tcPr>
          <w:p w14:paraId="5A34EBA5" w14:textId="1027ABF4" w:rsidR="00944261" w:rsidRPr="00944261" w:rsidRDefault="00944261" w:rsidP="009C227F">
            <w:pPr>
              <w:pStyle w:val="ListParagraph"/>
              <w:numPr>
                <w:ilvl w:val="0"/>
                <w:numId w:val="33"/>
              </w:numPr>
              <w:jc w:val="left"/>
              <w:rPr>
                <w:b/>
                <w:bCs/>
              </w:rPr>
            </w:pPr>
            <w:r w:rsidRPr="00944261">
              <w:rPr>
                <w:b/>
                <w:bCs/>
              </w:rPr>
              <w:t xml:space="preserve">Service user assessment, processes and documentation tools are </w:t>
            </w:r>
            <w:r w:rsidR="00650DA6">
              <w:rPr>
                <w:b/>
                <w:bCs/>
              </w:rPr>
              <w:t>LGBTIQA+</w:t>
            </w:r>
            <w:r w:rsidRPr="00944261">
              <w:rPr>
                <w:b/>
                <w:bCs/>
              </w:rPr>
              <w:t xml:space="preserve"> inclusive and confidential</w:t>
            </w:r>
          </w:p>
        </w:tc>
        <w:tc>
          <w:tcPr>
            <w:tcW w:w="1667" w:type="pct"/>
            <w:shd w:val="clear" w:color="auto" w:fill="FFFFFF" w:themeFill="background1"/>
          </w:tcPr>
          <w:p w14:paraId="3B40EDE9" w14:textId="39828536" w:rsidR="00944261" w:rsidRDefault="00944261" w:rsidP="00944261">
            <w:pPr>
              <w:pStyle w:val="Tablebullet1"/>
            </w:pPr>
            <w:r>
              <w:t xml:space="preserve">Information on the sexual orientation, gender identity or intersex status of a service user should only be collected when it is deemed necessary. </w:t>
            </w:r>
          </w:p>
          <w:p w14:paraId="44F3DCBC" w14:textId="5D967CA0" w:rsidR="00944261" w:rsidRDefault="00944261" w:rsidP="00944261">
            <w:pPr>
              <w:pStyle w:val="Tablebullet1"/>
            </w:pPr>
            <w:r>
              <w:t>Where required, only gather the information directly from the service user. Let them know what you will do with this information.</w:t>
            </w:r>
          </w:p>
          <w:p w14:paraId="5A67F103" w14:textId="197894AB" w:rsidR="00944261" w:rsidRPr="00266325" w:rsidRDefault="00944261" w:rsidP="00944261">
            <w:pPr>
              <w:pStyle w:val="Tablebullet1"/>
            </w:pPr>
            <w:r>
              <w:t>Do not make assumptions about someone’s gender or sexuality.</w:t>
            </w:r>
          </w:p>
        </w:tc>
        <w:tc>
          <w:tcPr>
            <w:tcW w:w="1667" w:type="pct"/>
            <w:shd w:val="clear" w:color="auto" w:fill="FFFFFF" w:themeFill="background1"/>
          </w:tcPr>
          <w:p w14:paraId="6095DC53" w14:textId="48107D01" w:rsidR="00944261" w:rsidRDefault="00944261" w:rsidP="00944261">
            <w:pPr>
              <w:pStyle w:val="Tablebullet1"/>
            </w:pPr>
            <w:r>
              <w:t>Review assessment and intake forms to ensure these aren’t gender binaried (by only offering options for ‘man’ and ‘woman’). This doesn’t recognise trans and gender diverse people.</w:t>
            </w:r>
          </w:p>
          <w:p w14:paraId="70324CFE" w14:textId="00967941" w:rsidR="00944261" w:rsidRPr="00213E33" w:rsidRDefault="00944261" w:rsidP="00944261">
            <w:pPr>
              <w:pStyle w:val="Tablebullet1"/>
            </w:pPr>
            <w:r>
              <w:t>Read the Rainbow Tick resources, including the standard on disclosure and documentation. Consider a Rainbow Tick journey to strengthen your roadmap project.</w:t>
            </w:r>
            <w:r w:rsidRPr="00266325">
              <w:rPr>
                <w:rStyle w:val="FootnoteReference"/>
                <w:rFonts w:cstheme="minorHAnsi"/>
                <w:color w:val="000000" w:themeColor="text1"/>
                <w:sz w:val="22"/>
                <w:szCs w:val="22"/>
              </w:rPr>
              <w:footnoteReference w:id="4"/>
            </w:r>
          </w:p>
        </w:tc>
      </w:tr>
      <w:tr w:rsidR="00944261" w:rsidRPr="003E58B6" w14:paraId="14F75D42" w14:textId="77777777" w:rsidTr="6630AD52">
        <w:tc>
          <w:tcPr>
            <w:tcW w:w="1666" w:type="pct"/>
            <w:shd w:val="clear" w:color="auto" w:fill="FFFFFF" w:themeFill="background1"/>
          </w:tcPr>
          <w:p w14:paraId="1E37C7AF" w14:textId="5BA0EE7B" w:rsidR="00944261" w:rsidRPr="00944261" w:rsidRDefault="00944261" w:rsidP="009C227F">
            <w:pPr>
              <w:pStyle w:val="ListParagraph"/>
              <w:numPr>
                <w:ilvl w:val="0"/>
                <w:numId w:val="33"/>
              </w:numPr>
              <w:jc w:val="left"/>
              <w:rPr>
                <w:b/>
                <w:bCs/>
              </w:rPr>
            </w:pPr>
            <w:r w:rsidRPr="00944261">
              <w:rPr>
                <w:b/>
                <w:bCs/>
              </w:rPr>
              <w:t xml:space="preserve">Potential risks to the safety of </w:t>
            </w:r>
            <w:r w:rsidR="00650DA6">
              <w:rPr>
                <w:b/>
                <w:bCs/>
              </w:rPr>
              <w:t>LGBTIQA+</w:t>
            </w:r>
            <w:r w:rsidRPr="00944261">
              <w:rPr>
                <w:b/>
                <w:bCs/>
              </w:rPr>
              <w:t xml:space="preserve"> service users are identified and inform plans to promote </w:t>
            </w:r>
            <w:r w:rsidR="00650DA6">
              <w:rPr>
                <w:b/>
                <w:bCs/>
              </w:rPr>
              <w:t>LGBTIQA+</w:t>
            </w:r>
            <w:r w:rsidRPr="00944261">
              <w:rPr>
                <w:b/>
                <w:bCs/>
              </w:rPr>
              <w:t xml:space="preserve"> safety</w:t>
            </w:r>
          </w:p>
        </w:tc>
        <w:tc>
          <w:tcPr>
            <w:tcW w:w="1667" w:type="pct"/>
            <w:shd w:val="clear" w:color="auto" w:fill="FFFFFF" w:themeFill="background1"/>
          </w:tcPr>
          <w:p w14:paraId="5CF4453C" w14:textId="47E9C438" w:rsidR="00944261" w:rsidRDefault="00944261" w:rsidP="00944261">
            <w:pPr>
              <w:pStyle w:val="Tablebullet1"/>
            </w:pPr>
            <w:r>
              <w:t xml:space="preserve">Consult with </w:t>
            </w:r>
            <w:r w:rsidR="00650DA6">
              <w:t>LGBTIQA+</w:t>
            </w:r>
            <w:r>
              <w:t xml:space="preserve"> service users about their safety concerns.</w:t>
            </w:r>
          </w:p>
          <w:p w14:paraId="221105A3" w14:textId="5EE581C6" w:rsidR="00944261" w:rsidRPr="00A31340" w:rsidDel="005D0041" w:rsidRDefault="00944261" w:rsidP="00944261">
            <w:pPr>
              <w:pStyle w:val="Tablebullet1"/>
            </w:pPr>
            <w:r>
              <w:t xml:space="preserve">Consider any risks to </w:t>
            </w:r>
            <w:r w:rsidR="00650DA6">
              <w:t>LGBTIQA+</w:t>
            </w:r>
            <w:r>
              <w:t xml:space="preserve"> people who access services, or take part in </w:t>
            </w:r>
            <w:r w:rsidR="00650DA6">
              <w:t>LGBTIQA+</w:t>
            </w:r>
            <w:r>
              <w:t xml:space="preserve"> inclusion initiatives hosted by your service.</w:t>
            </w:r>
            <w:r w:rsidRPr="00934106">
              <w:t xml:space="preserve"> </w:t>
            </w:r>
          </w:p>
        </w:tc>
        <w:tc>
          <w:tcPr>
            <w:tcW w:w="1667" w:type="pct"/>
            <w:shd w:val="clear" w:color="auto" w:fill="FFFFFF" w:themeFill="background1"/>
          </w:tcPr>
          <w:p w14:paraId="0211F4D7" w14:textId="25B073B4" w:rsidR="00944261" w:rsidRPr="00CE7EF2" w:rsidRDefault="00944261" w:rsidP="00944261">
            <w:pPr>
              <w:pStyle w:val="Tablebullet1"/>
              <w:rPr>
                <w:b/>
                <w:bCs/>
                <w:color w:val="000000" w:themeColor="text1"/>
              </w:rPr>
            </w:pPr>
            <w:r>
              <w:t xml:space="preserve">Create a risk management plan to ensure </w:t>
            </w:r>
            <w:r w:rsidR="00650DA6">
              <w:t>LGBTIQA+</w:t>
            </w:r>
            <w:r>
              <w:t xml:space="preserve"> service users are supported and able to feel safe.</w:t>
            </w:r>
          </w:p>
          <w:p w14:paraId="05EA9F8B" w14:textId="7BE34B9E" w:rsidR="00944261" w:rsidRPr="00CE7EF2" w:rsidRDefault="00944261" w:rsidP="00944261">
            <w:pPr>
              <w:pStyle w:val="Tablebullet1"/>
              <w:rPr>
                <w:b/>
                <w:bCs/>
                <w:color w:val="000000" w:themeColor="text1"/>
              </w:rPr>
            </w:pPr>
            <w:r>
              <w:rPr>
                <w:color w:val="000000" w:themeColor="text1"/>
              </w:rPr>
              <w:t xml:space="preserve">Forge partnerships with local community groups to undertake a joint Rainbow Ready project, addressing safety concerns collaboratively. </w:t>
            </w:r>
          </w:p>
        </w:tc>
      </w:tr>
      <w:tr w:rsidR="00944261" w:rsidRPr="003E58B6" w14:paraId="2363D777" w14:textId="77777777" w:rsidTr="6630AD52">
        <w:tc>
          <w:tcPr>
            <w:tcW w:w="1666" w:type="pct"/>
            <w:shd w:val="clear" w:color="auto" w:fill="FFFFFF" w:themeFill="background1"/>
          </w:tcPr>
          <w:p w14:paraId="49AE4906" w14:textId="6D86DF58" w:rsidR="00944261" w:rsidRPr="00944261" w:rsidRDefault="00944261" w:rsidP="009C227F">
            <w:pPr>
              <w:pStyle w:val="ListParagraph"/>
              <w:numPr>
                <w:ilvl w:val="0"/>
                <w:numId w:val="33"/>
              </w:numPr>
              <w:jc w:val="left"/>
              <w:rPr>
                <w:b/>
                <w:bCs/>
              </w:rPr>
            </w:pPr>
            <w:r w:rsidRPr="00944261">
              <w:rPr>
                <w:b/>
                <w:bCs/>
              </w:rPr>
              <w:t xml:space="preserve">The service responds to </w:t>
            </w:r>
            <w:r w:rsidR="00E77895">
              <w:rPr>
                <w:b/>
                <w:bCs/>
              </w:rPr>
              <w:t>anti-</w:t>
            </w:r>
            <w:r w:rsidR="00650DA6">
              <w:rPr>
                <w:b/>
                <w:bCs/>
              </w:rPr>
              <w:t>LGBTIQA+</w:t>
            </w:r>
            <w:r w:rsidRPr="00944261">
              <w:rPr>
                <w:b/>
                <w:bCs/>
              </w:rPr>
              <w:t xml:space="preserve"> incidents by advocating for the rights of </w:t>
            </w:r>
            <w:r w:rsidR="00650DA6">
              <w:rPr>
                <w:b/>
                <w:bCs/>
              </w:rPr>
              <w:t>LGBTIQA+</w:t>
            </w:r>
            <w:r w:rsidRPr="00944261">
              <w:rPr>
                <w:b/>
                <w:bCs/>
              </w:rPr>
              <w:t xml:space="preserve"> members and taking steps to prevent future recurrence</w:t>
            </w:r>
          </w:p>
        </w:tc>
        <w:tc>
          <w:tcPr>
            <w:tcW w:w="1667" w:type="pct"/>
            <w:shd w:val="clear" w:color="auto" w:fill="FFFFFF" w:themeFill="background1"/>
          </w:tcPr>
          <w:p w14:paraId="3E34373B" w14:textId="6A3335CB" w:rsidR="00944261" w:rsidRPr="00A31340" w:rsidRDefault="00944261" w:rsidP="00944261">
            <w:pPr>
              <w:pStyle w:val="Tablebullet1"/>
              <w:rPr>
                <w:color w:val="000000" w:themeColor="text1"/>
              </w:rPr>
            </w:pPr>
            <w:r>
              <w:t xml:space="preserve">Take immediate steps to stop the incident. Offer </w:t>
            </w:r>
            <w:r w:rsidRPr="000C1AC2">
              <w:t xml:space="preserve">support to the </w:t>
            </w:r>
            <w:r w:rsidR="00650DA6">
              <w:t>LGBTIQA+</w:t>
            </w:r>
            <w:r w:rsidRPr="000C1AC2">
              <w:t xml:space="preserve"> person</w:t>
            </w:r>
            <w:r>
              <w:t>.</w:t>
            </w:r>
            <w:r w:rsidRPr="000C1AC2">
              <w:t xml:space="preserve"> </w:t>
            </w:r>
          </w:p>
          <w:p w14:paraId="7437BA48" w14:textId="57512E81" w:rsidR="00944261" w:rsidRPr="00934106" w:rsidRDefault="00944261" w:rsidP="00944261">
            <w:pPr>
              <w:pStyle w:val="Tablebullet1"/>
            </w:pPr>
            <w:r>
              <w:t>Provide f</w:t>
            </w:r>
            <w:r w:rsidRPr="000C1AC2">
              <w:t>eedback or discuss consequences</w:t>
            </w:r>
            <w:r>
              <w:t xml:space="preserve"> of actions</w:t>
            </w:r>
            <w:r w:rsidRPr="000C1AC2">
              <w:t xml:space="preserve"> with the perpetrator</w:t>
            </w:r>
            <w:r>
              <w:t>.</w:t>
            </w:r>
          </w:p>
        </w:tc>
        <w:tc>
          <w:tcPr>
            <w:tcW w:w="1667" w:type="pct"/>
            <w:shd w:val="clear" w:color="auto" w:fill="FFFFFF" w:themeFill="background1"/>
          </w:tcPr>
          <w:p w14:paraId="18F252EC" w14:textId="22497056" w:rsidR="00944261" w:rsidRPr="00C606B0" w:rsidRDefault="00944261" w:rsidP="00944261">
            <w:pPr>
              <w:pStyle w:val="Tablebullet1"/>
              <w:rPr>
                <w:b/>
                <w:bCs/>
                <w:color w:val="000000" w:themeColor="text1"/>
              </w:rPr>
            </w:pPr>
            <w:r>
              <w:t xml:space="preserve">Create a policy for responding to </w:t>
            </w:r>
            <w:r w:rsidR="00E77895">
              <w:t>anti-</w:t>
            </w:r>
            <w:r w:rsidR="00650DA6">
              <w:t>LGBTIQA+</w:t>
            </w:r>
            <w:r>
              <w:t xml:space="preserve"> events and a system for keeping a record of incidents, responses and follow-ups.</w:t>
            </w:r>
          </w:p>
        </w:tc>
      </w:tr>
    </w:tbl>
    <w:p w14:paraId="03381413" w14:textId="77777777" w:rsidR="00FE1E85" w:rsidRPr="00CC1CEA" w:rsidRDefault="00FE1E85" w:rsidP="00415F99"/>
    <w:sectPr w:rsidR="00FE1E85" w:rsidRPr="00CC1CEA" w:rsidSect="008F54D1">
      <w:headerReference w:type="even" r:id="rId19"/>
      <w:headerReference w:type="default" r:id="rId20"/>
      <w:footerReference w:type="even" r:id="rId21"/>
      <w:footerReference w:type="default" r:id="rId22"/>
      <w:pgSz w:w="11906" w:h="16838"/>
      <w:pgMar w:top="1411" w:right="1310" w:bottom="850" w:left="131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41E6" w14:textId="77777777" w:rsidR="00A9651D" w:rsidRDefault="00A9651D">
      <w:r>
        <w:separator/>
      </w:r>
    </w:p>
    <w:p w14:paraId="7444FA74" w14:textId="77777777" w:rsidR="00A9651D" w:rsidRDefault="00A9651D"/>
  </w:endnote>
  <w:endnote w:type="continuationSeparator" w:id="0">
    <w:p w14:paraId="3497E3A6" w14:textId="77777777" w:rsidR="00A9651D" w:rsidRDefault="00A9651D">
      <w:r>
        <w:continuationSeparator/>
      </w:r>
    </w:p>
    <w:p w14:paraId="42051C17" w14:textId="77777777" w:rsidR="00A9651D" w:rsidRDefault="00A9651D"/>
  </w:endnote>
  <w:endnote w:type="continuationNotice" w:id="1">
    <w:p w14:paraId="690266BB" w14:textId="77777777" w:rsidR="00A9651D" w:rsidRDefault="00A96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duster">
    <w:altName w:val="Comic Sans MS"/>
    <w:charset w:val="4D"/>
    <w:family w:val="script"/>
    <w:pitch w:val="variable"/>
    <w:sig w:usb0="80000023" w:usb1="00000000" w:usb2="00000000" w:usb3="00000000" w:csb0="00000001" w:csb1="00000000"/>
  </w:font>
  <w:font w:name="Times New Roman (Headings C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7FCE0907" w:rsidR="00EB4BC7" w:rsidRDefault="00BA2D03">
    <w:pPr>
      <w:pStyle w:val="Footer"/>
    </w:pPr>
    <w:r>
      <w:rPr>
        <w:noProof/>
      </w:rPr>
      <w:drawing>
        <wp:anchor distT="0" distB="0" distL="114300" distR="114300" simplePos="0" relativeHeight="251658246" behindDoc="1" locked="1" layoutInCell="1" allowOverlap="1" wp14:anchorId="1E3D55DE" wp14:editId="021FCF61">
          <wp:simplePos x="0" y="0"/>
          <wp:positionH relativeFrom="page">
            <wp:align>left</wp:align>
          </wp:positionH>
          <wp:positionV relativeFrom="page">
            <wp:align>bottom</wp:align>
          </wp:positionV>
          <wp:extent cx="7560000" cy="921600"/>
          <wp:effectExtent l="0" t="0" r="0" b="5715"/>
          <wp:wrapNone/>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Text Box 3"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2E877" w14:textId="77777777" w:rsidR="00A9651D" w:rsidRDefault="00A9651D" w:rsidP="00207717">
      <w:pPr>
        <w:spacing w:before="120"/>
      </w:pPr>
      <w:r>
        <w:separator/>
      </w:r>
    </w:p>
  </w:footnote>
  <w:footnote w:type="continuationSeparator" w:id="0">
    <w:p w14:paraId="2D950F82" w14:textId="77777777" w:rsidR="00A9651D" w:rsidRDefault="00A9651D">
      <w:r>
        <w:continuationSeparator/>
      </w:r>
    </w:p>
    <w:p w14:paraId="4A80B5C8" w14:textId="77777777" w:rsidR="00A9651D" w:rsidRDefault="00A9651D"/>
  </w:footnote>
  <w:footnote w:type="continuationNotice" w:id="1">
    <w:p w14:paraId="3CCC99FB" w14:textId="77777777" w:rsidR="00A9651D" w:rsidRDefault="00A9651D">
      <w:pPr>
        <w:spacing w:after="0" w:line="240" w:lineRule="auto"/>
      </w:pPr>
    </w:p>
  </w:footnote>
  <w:footnote w:id="2">
    <w:p w14:paraId="53A081F0" w14:textId="4210471D" w:rsidR="00944261" w:rsidRDefault="00944261" w:rsidP="00FE1E85">
      <w:pPr>
        <w:pStyle w:val="FootnoteText"/>
      </w:pPr>
      <w:r>
        <w:rPr>
          <w:rStyle w:val="FootnoteReference"/>
        </w:rPr>
        <w:footnoteRef/>
      </w:r>
      <w:r>
        <w:t xml:space="preserve"> Visit the </w:t>
      </w:r>
      <w:hyperlink r:id="rId1" w:history="1">
        <w:r w:rsidRPr="00C910FF">
          <w:rPr>
            <w:rStyle w:val="Hyperlink"/>
          </w:rPr>
          <w:t>Victorian Government website</w:t>
        </w:r>
      </w:hyperlink>
      <w:r>
        <w:t xml:space="preserve"> &lt;</w:t>
      </w:r>
      <w:r w:rsidRPr="00B955D0">
        <w:t>https://www.vic.gov.au/inclusive-language-guide</w:t>
      </w:r>
      <w:r>
        <w:t>&gt;.</w:t>
      </w:r>
    </w:p>
  </w:footnote>
  <w:footnote w:id="3">
    <w:p w14:paraId="4FA5C81A" w14:textId="1971E94F" w:rsidR="00944261" w:rsidRDefault="00944261" w:rsidP="00FE1E85">
      <w:pPr>
        <w:pStyle w:val="FootnoteText"/>
      </w:pPr>
      <w:r>
        <w:rPr>
          <w:rStyle w:val="FootnoteReference"/>
        </w:rPr>
        <w:footnoteRef/>
      </w:r>
      <w:r>
        <w:t xml:space="preserve"> Visit the </w:t>
      </w:r>
      <w:hyperlink r:id="rId2" w:history="1">
        <w:r w:rsidRPr="00EC2838">
          <w:rPr>
            <w:rStyle w:val="Hyperlink"/>
          </w:rPr>
          <w:t xml:space="preserve">Department of Education </w:t>
        </w:r>
        <w:r>
          <w:rPr>
            <w:rStyle w:val="Hyperlink"/>
          </w:rPr>
          <w:t xml:space="preserve">and Training’s </w:t>
        </w:r>
        <w:r w:rsidRPr="00EC2838">
          <w:rPr>
            <w:rStyle w:val="Hyperlink"/>
          </w:rPr>
          <w:t>website</w:t>
        </w:r>
      </w:hyperlink>
      <w:r>
        <w:t xml:space="preserve"> &lt;</w:t>
      </w:r>
      <w:r w:rsidRPr="0076790D">
        <w:t>https://www2.education.vic.gov.au/pal/lgbtiq-inclusive-workplaces/overview</w:t>
      </w:r>
      <w:r>
        <w:t>&gt;.</w:t>
      </w:r>
    </w:p>
  </w:footnote>
  <w:footnote w:id="4">
    <w:p w14:paraId="25FA6736" w14:textId="13E8C990" w:rsidR="00944261" w:rsidRDefault="00944261" w:rsidP="00FE1E85">
      <w:pPr>
        <w:pStyle w:val="FootnoteText"/>
      </w:pPr>
      <w:r>
        <w:rPr>
          <w:rStyle w:val="FootnoteReference"/>
        </w:rPr>
        <w:footnoteRef/>
      </w:r>
      <w:r>
        <w:t xml:space="preserve"> Visit the </w:t>
      </w:r>
      <w:hyperlink r:id="rId3" w:history="1">
        <w:r w:rsidRPr="00C47024">
          <w:rPr>
            <w:rStyle w:val="Hyperlink"/>
          </w:rPr>
          <w:t>Rainbow Health Australia website</w:t>
        </w:r>
      </w:hyperlink>
      <w:r>
        <w:t xml:space="preserve"> &lt;</w:t>
      </w:r>
      <w:r w:rsidRPr="00870EAD">
        <w:t>https://www.rainbowhealthvic.org.au/rainbow-tick</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75D8C" w14:textId="77777777" w:rsidR="00E77895" w:rsidRDefault="00E77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0833" w14:textId="77777777" w:rsidR="00E77895" w:rsidRDefault="00E77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CB3C" w14:textId="77777777" w:rsidR="00E77895" w:rsidRDefault="00E778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18FF3BC8" w:rsidR="00562811" w:rsidRPr="001C7128" w:rsidRDefault="00FE1E85" w:rsidP="001C7128">
    <w:pPr>
      <w:pStyle w:val="Header"/>
    </w:pPr>
    <w:r w:rsidRPr="00FE1E85">
      <w:t xml:space="preserve">Rainbow </w:t>
    </w:r>
    <w:r w:rsidR="008158E6">
      <w:t xml:space="preserve">Ready </w:t>
    </w:r>
    <w:r w:rsidRPr="00FE1E85">
      <w:t>roadmap</w:t>
    </w:r>
    <w:r w:rsidR="008158E6">
      <w:t xml:space="preserve"> – </w:t>
    </w:r>
    <w:r w:rsidR="008158E6" w:rsidRPr="008158E6">
      <w:t>Guide B3: Setting guide for health and community services</w:t>
    </w:r>
    <w:r w:rsidR="00366F2D">
      <w:t xml:space="preserve"> </w:t>
    </w:r>
    <w:r w:rsidR="00366F2D" w:rsidRPr="00366F2D">
      <w:t>(accessible)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173"/>
    <w:multiLevelType w:val="hybridMultilevel"/>
    <w:tmpl w:val="98C43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8D2618"/>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DC6E52"/>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472BF3"/>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CF77B5"/>
    <w:multiLevelType w:val="hybridMultilevel"/>
    <w:tmpl w:val="3AA66F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781462"/>
    <w:multiLevelType w:val="hybridMultilevel"/>
    <w:tmpl w:val="3BD250CE"/>
    <w:lvl w:ilvl="0" w:tplc="0C090001">
      <w:start w:val="1"/>
      <w:numFmt w:val="bullet"/>
      <w:lvlText w:val=""/>
      <w:lvlJc w:val="left"/>
      <w:pPr>
        <w:ind w:left="360" w:hanging="360"/>
      </w:pPr>
      <w:rPr>
        <w:rFonts w:ascii="Symbol" w:hAnsi="Symbol" w:hint="default"/>
        <w:b/>
        <w:color w:val="000000" w:themeColor="text1"/>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C965E5"/>
    <w:multiLevelType w:val="hybridMultilevel"/>
    <w:tmpl w:val="A9C6B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A95D32"/>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F7AE8"/>
    <w:multiLevelType w:val="multilevel"/>
    <w:tmpl w:val="892022CA"/>
    <w:lvl w:ilvl="0">
      <w:start w:val="1"/>
      <w:numFmt w:val="decimal"/>
      <w:lvlText w:val="%1."/>
      <w:lvlJc w:val="left"/>
      <w:pPr>
        <w:ind w:left="360" w:hanging="360"/>
      </w:pPr>
      <w:rPr>
        <w:b/>
        <w:bCs/>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A48F4"/>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AA766D"/>
    <w:multiLevelType w:val="hybridMultilevel"/>
    <w:tmpl w:val="09C4F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D428FB"/>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F367FE"/>
    <w:multiLevelType w:val="hybridMultilevel"/>
    <w:tmpl w:val="87B6C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297CEA"/>
    <w:multiLevelType w:val="hybridMultilevel"/>
    <w:tmpl w:val="C7A211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0146E"/>
    <w:multiLevelType w:val="hybridMultilevel"/>
    <w:tmpl w:val="FD183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974D3B"/>
    <w:multiLevelType w:val="hybridMultilevel"/>
    <w:tmpl w:val="060E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9B7A41"/>
    <w:multiLevelType w:val="hybridMultilevel"/>
    <w:tmpl w:val="3C32AA38"/>
    <w:lvl w:ilvl="0" w:tplc="597C5668">
      <w:start w:val="1"/>
      <w:numFmt w:val="decimal"/>
      <w:lvlText w:val="%1."/>
      <w:lvlJc w:val="left"/>
      <w:pPr>
        <w:ind w:left="360" w:hanging="360"/>
      </w:pPr>
      <w:rPr>
        <w:b/>
        <w:bCs/>
      </w:rPr>
    </w:lvl>
    <w:lvl w:ilvl="1" w:tplc="0C090001">
      <w:start w:val="1"/>
      <w:numFmt w:val="bullet"/>
      <w:lvlText w:val=""/>
      <w:lvlJc w:val="left"/>
      <w:pPr>
        <w:ind w:left="1080" w:hanging="360"/>
      </w:pPr>
      <w:rPr>
        <w:rFonts w:ascii="Symbol" w:hAnsi="Symbol" w:hint="default"/>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750B6D"/>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3932C6"/>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FC2CE2"/>
    <w:multiLevelType w:val="hybridMultilevel"/>
    <w:tmpl w:val="C8A2AA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A55105"/>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BA0D1D"/>
    <w:multiLevelType w:val="hybridMultilevel"/>
    <w:tmpl w:val="6D409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D87C17"/>
    <w:multiLevelType w:val="hybridMultilevel"/>
    <w:tmpl w:val="8C8C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090081"/>
    <w:multiLevelType w:val="hybridMultilevel"/>
    <w:tmpl w:val="0B8AF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3470BE"/>
    <w:multiLevelType w:val="hybridMultilevel"/>
    <w:tmpl w:val="D88AA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FA13CE"/>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4C50F6"/>
    <w:multiLevelType w:val="hybridMultilevel"/>
    <w:tmpl w:val="748A5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26026A"/>
    <w:multiLevelType w:val="hybridMultilevel"/>
    <w:tmpl w:val="A6A8E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70A34E5"/>
    <w:multiLevelType w:val="hybridMultilevel"/>
    <w:tmpl w:val="DCD0B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D93BE0"/>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FD4C1F"/>
    <w:multiLevelType w:val="hybridMultilevel"/>
    <w:tmpl w:val="046A9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72682C"/>
    <w:multiLevelType w:val="hybridMultilevel"/>
    <w:tmpl w:val="9EF46B2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C75712A"/>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5057713">
    <w:abstractNumId w:val="16"/>
  </w:num>
  <w:num w:numId="2" w16cid:durableId="1339772137">
    <w:abstractNumId w:val="24"/>
  </w:num>
  <w:num w:numId="3" w16cid:durableId="1296789845">
    <w:abstractNumId w:val="23"/>
  </w:num>
  <w:num w:numId="4" w16cid:durableId="809253171">
    <w:abstractNumId w:val="33"/>
  </w:num>
  <w:num w:numId="5" w16cid:durableId="876236200">
    <w:abstractNumId w:val="17"/>
  </w:num>
  <w:num w:numId="6" w16cid:durableId="1506242614">
    <w:abstractNumId w:val="2"/>
  </w:num>
  <w:num w:numId="7" w16cid:durableId="548614448">
    <w:abstractNumId w:val="25"/>
  </w:num>
  <w:num w:numId="8" w16cid:durableId="556432054">
    <w:abstractNumId w:val="19"/>
  </w:num>
  <w:num w:numId="9" w16cid:durableId="1527131058">
    <w:abstractNumId w:val="30"/>
  </w:num>
  <w:num w:numId="10" w16cid:durableId="17313942">
    <w:abstractNumId w:val="22"/>
  </w:num>
  <w:num w:numId="11" w16cid:durableId="316613412">
    <w:abstractNumId w:val="34"/>
  </w:num>
  <w:num w:numId="12" w16cid:durableId="352271503">
    <w:abstractNumId w:val="5"/>
  </w:num>
  <w:num w:numId="13" w16cid:durableId="1200511746">
    <w:abstractNumId w:val="28"/>
  </w:num>
  <w:num w:numId="14" w16cid:durableId="412169647">
    <w:abstractNumId w:val="27"/>
  </w:num>
  <w:num w:numId="15" w16cid:durableId="201292299">
    <w:abstractNumId w:val="31"/>
  </w:num>
  <w:num w:numId="16" w16cid:durableId="1406025813">
    <w:abstractNumId w:val="8"/>
  </w:num>
  <w:num w:numId="17" w16cid:durableId="352193711">
    <w:abstractNumId w:val="32"/>
  </w:num>
  <w:num w:numId="18" w16cid:durableId="1780374436">
    <w:abstractNumId w:val="14"/>
  </w:num>
  <w:num w:numId="19" w16cid:durableId="1851987711">
    <w:abstractNumId w:val="37"/>
  </w:num>
  <w:num w:numId="20" w16cid:durableId="1083836840">
    <w:abstractNumId w:val="15"/>
  </w:num>
  <w:num w:numId="21" w16cid:durableId="583681680">
    <w:abstractNumId w:val="1"/>
  </w:num>
  <w:num w:numId="22" w16cid:durableId="138697530">
    <w:abstractNumId w:val="18"/>
  </w:num>
  <w:num w:numId="23" w16cid:durableId="556555309">
    <w:abstractNumId w:val="11"/>
  </w:num>
  <w:num w:numId="24" w16cid:durableId="1182471982">
    <w:abstractNumId w:val="26"/>
  </w:num>
  <w:num w:numId="25" w16cid:durableId="1851941779">
    <w:abstractNumId w:val="0"/>
  </w:num>
  <w:num w:numId="26" w16cid:durableId="823663600">
    <w:abstractNumId w:val="6"/>
  </w:num>
  <w:num w:numId="27" w16cid:durableId="689990038">
    <w:abstractNumId w:val="7"/>
  </w:num>
  <w:num w:numId="28" w16cid:durableId="1175070659">
    <w:abstractNumId w:val="29"/>
  </w:num>
  <w:num w:numId="29" w16cid:durableId="1428885642">
    <w:abstractNumId w:val="36"/>
  </w:num>
  <w:num w:numId="30" w16cid:durableId="1535967241">
    <w:abstractNumId w:val="13"/>
  </w:num>
  <w:num w:numId="31" w16cid:durableId="692459795">
    <w:abstractNumId w:val="20"/>
  </w:num>
  <w:num w:numId="32" w16cid:durableId="480662538">
    <w:abstractNumId w:val="12"/>
  </w:num>
  <w:num w:numId="33" w16cid:durableId="693968870">
    <w:abstractNumId w:val="10"/>
  </w:num>
  <w:num w:numId="34" w16cid:durableId="687146806">
    <w:abstractNumId w:val="35"/>
  </w:num>
  <w:num w:numId="35" w16cid:durableId="967007033">
    <w:abstractNumId w:val="21"/>
  </w:num>
  <w:num w:numId="36" w16cid:durableId="147212426">
    <w:abstractNumId w:val="3"/>
  </w:num>
  <w:num w:numId="37" w16cid:durableId="1092777025">
    <w:abstractNumId w:val="4"/>
  </w:num>
  <w:num w:numId="38" w16cid:durableId="816337725">
    <w:abstractNumId w:val="38"/>
  </w:num>
  <w:num w:numId="39" w16cid:durableId="2070690858">
    <w:abstractNumId w:val="9"/>
  </w:num>
  <w:num w:numId="40" w16cid:durableId="1466969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36228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5919815">
    <w:abstractNumId w:val="16"/>
  </w:num>
  <w:num w:numId="43" w16cid:durableId="1713311477">
    <w:abstractNumId w:val="16"/>
  </w:num>
  <w:num w:numId="44" w16cid:durableId="1121529669">
    <w:abstractNumId w:val="16"/>
  </w:num>
  <w:num w:numId="45" w16cid:durableId="1509758739">
    <w:abstractNumId w:val="16"/>
  </w:num>
  <w:num w:numId="46" w16cid:durableId="294792819">
    <w:abstractNumId w:val="16"/>
  </w:num>
  <w:num w:numId="47" w16cid:durableId="586888641">
    <w:abstractNumId w:val="16"/>
  </w:num>
  <w:num w:numId="48" w16cid:durableId="43903307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26F8A"/>
    <w:rsid w:val="00032EEC"/>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1956"/>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9A2"/>
    <w:rsid w:val="000E3CC7"/>
    <w:rsid w:val="000E3D1A"/>
    <w:rsid w:val="000E6BD4"/>
    <w:rsid w:val="000E6D6D"/>
    <w:rsid w:val="000F1F1E"/>
    <w:rsid w:val="000F2259"/>
    <w:rsid w:val="000F2DDA"/>
    <w:rsid w:val="000F2EA0"/>
    <w:rsid w:val="000F5213"/>
    <w:rsid w:val="00101001"/>
    <w:rsid w:val="00103276"/>
    <w:rsid w:val="0010392D"/>
    <w:rsid w:val="0010447F"/>
    <w:rsid w:val="00104FE3"/>
    <w:rsid w:val="0010714F"/>
    <w:rsid w:val="0011179C"/>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1BE0"/>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57ED2"/>
    <w:rsid w:val="002600BD"/>
    <w:rsid w:val="002620BC"/>
    <w:rsid w:val="00262802"/>
    <w:rsid w:val="00263A90"/>
    <w:rsid w:val="0026408B"/>
    <w:rsid w:val="00267C3E"/>
    <w:rsid w:val="002709BB"/>
    <w:rsid w:val="0027131C"/>
    <w:rsid w:val="00273BAC"/>
    <w:rsid w:val="002763B3"/>
    <w:rsid w:val="002802E3"/>
    <w:rsid w:val="0028213D"/>
    <w:rsid w:val="00282A7F"/>
    <w:rsid w:val="00283770"/>
    <w:rsid w:val="00285C7B"/>
    <w:rsid w:val="002862F1"/>
    <w:rsid w:val="00291373"/>
    <w:rsid w:val="00292CC4"/>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1E32"/>
    <w:rsid w:val="00357B4E"/>
    <w:rsid w:val="00366F2D"/>
    <w:rsid w:val="003716FD"/>
    <w:rsid w:val="0037204B"/>
    <w:rsid w:val="003744CF"/>
    <w:rsid w:val="00374717"/>
    <w:rsid w:val="0037676C"/>
    <w:rsid w:val="00381043"/>
    <w:rsid w:val="003829E5"/>
    <w:rsid w:val="00386109"/>
    <w:rsid w:val="00386944"/>
    <w:rsid w:val="003949F6"/>
    <w:rsid w:val="003956CC"/>
    <w:rsid w:val="00395C9A"/>
    <w:rsid w:val="003A0853"/>
    <w:rsid w:val="003A248B"/>
    <w:rsid w:val="003A6B67"/>
    <w:rsid w:val="003B13B6"/>
    <w:rsid w:val="003B14C3"/>
    <w:rsid w:val="003B15E6"/>
    <w:rsid w:val="003B22EF"/>
    <w:rsid w:val="003B408A"/>
    <w:rsid w:val="003C08A2"/>
    <w:rsid w:val="003C2045"/>
    <w:rsid w:val="003C43A1"/>
    <w:rsid w:val="003C4FC0"/>
    <w:rsid w:val="003C55F4"/>
    <w:rsid w:val="003C5E54"/>
    <w:rsid w:val="003C7897"/>
    <w:rsid w:val="003C7A3F"/>
    <w:rsid w:val="003D2766"/>
    <w:rsid w:val="003D2A74"/>
    <w:rsid w:val="003D3D88"/>
    <w:rsid w:val="003D3E8F"/>
    <w:rsid w:val="003D6475"/>
    <w:rsid w:val="003D6EE6"/>
    <w:rsid w:val="003E1E73"/>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5F99"/>
    <w:rsid w:val="00417BF4"/>
    <w:rsid w:val="0042084E"/>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5230A"/>
    <w:rsid w:val="00454AD0"/>
    <w:rsid w:val="00454E2D"/>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23B2"/>
    <w:rsid w:val="004A3E81"/>
    <w:rsid w:val="004A4195"/>
    <w:rsid w:val="004A5C62"/>
    <w:rsid w:val="004A5CE5"/>
    <w:rsid w:val="004A707D"/>
    <w:rsid w:val="004B0974"/>
    <w:rsid w:val="004B4185"/>
    <w:rsid w:val="004B6EA0"/>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22BA"/>
    <w:rsid w:val="006041AD"/>
    <w:rsid w:val="00605908"/>
    <w:rsid w:val="00607850"/>
    <w:rsid w:val="00607EF7"/>
    <w:rsid w:val="00610D7C"/>
    <w:rsid w:val="00613414"/>
    <w:rsid w:val="00620154"/>
    <w:rsid w:val="0062229C"/>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0DA6"/>
    <w:rsid w:val="006557A7"/>
    <w:rsid w:val="00656290"/>
    <w:rsid w:val="006601C9"/>
    <w:rsid w:val="006608D8"/>
    <w:rsid w:val="006621D7"/>
    <w:rsid w:val="0066302A"/>
    <w:rsid w:val="00664710"/>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3B21"/>
    <w:rsid w:val="006B6803"/>
    <w:rsid w:val="006D0F16"/>
    <w:rsid w:val="006D2A3F"/>
    <w:rsid w:val="006D2FBC"/>
    <w:rsid w:val="006D3EF9"/>
    <w:rsid w:val="006D6E34"/>
    <w:rsid w:val="006E138B"/>
    <w:rsid w:val="006E186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790D"/>
    <w:rsid w:val="00770F37"/>
    <w:rsid w:val="007711A0"/>
    <w:rsid w:val="00772D5E"/>
    <w:rsid w:val="0077300C"/>
    <w:rsid w:val="0077463E"/>
    <w:rsid w:val="00776928"/>
    <w:rsid w:val="00776D56"/>
    <w:rsid w:val="00776E0F"/>
    <w:rsid w:val="007774B1"/>
    <w:rsid w:val="007774E6"/>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D7FBB"/>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58E6"/>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9ED"/>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48AC"/>
    <w:rsid w:val="008D60D5"/>
    <w:rsid w:val="008D6DCF"/>
    <w:rsid w:val="008E4376"/>
    <w:rsid w:val="008E7807"/>
    <w:rsid w:val="008E7A0A"/>
    <w:rsid w:val="008E7B49"/>
    <w:rsid w:val="008F54D1"/>
    <w:rsid w:val="008F59F6"/>
    <w:rsid w:val="00900719"/>
    <w:rsid w:val="009017AC"/>
    <w:rsid w:val="00902A9A"/>
    <w:rsid w:val="00904A1C"/>
    <w:rsid w:val="00905030"/>
    <w:rsid w:val="00906490"/>
    <w:rsid w:val="009111B2"/>
    <w:rsid w:val="00914BF5"/>
    <w:rsid w:val="009151F5"/>
    <w:rsid w:val="00924AE1"/>
    <w:rsid w:val="00924B57"/>
    <w:rsid w:val="009269B1"/>
    <w:rsid w:val="0092724D"/>
    <w:rsid w:val="009272B3"/>
    <w:rsid w:val="009315BE"/>
    <w:rsid w:val="009326DD"/>
    <w:rsid w:val="0093338F"/>
    <w:rsid w:val="00937BD9"/>
    <w:rsid w:val="00944261"/>
    <w:rsid w:val="00950E2C"/>
    <w:rsid w:val="00951D50"/>
    <w:rsid w:val="009525EB"/>
    <w:rsid w:val="0095470B"/>
    <w:rsid w:val="00954874"/>
    <w:rsid w:val="0095615A"/>
    <w:rsid w:val="00961400"/>
    <w:rsid w:val="00962499"/>
    <w:rsid w:val="00963646"/>
    <w:rsid w:val="0096506F"/>
    <w:rsid w:val="0096632D"/>
    <w:rsid w:val="00967124"/>
    <w:rsid w:val="0097166C"/>
    <w:rsid w:val="009718C7"/>
    <w:rsid w:val="0097559F"/>
    <w:rsid w:val="009758ED"/>
    <w:rsid w:val="009761EA"/>
    <w:rsid w:val="0097761E"/>
    <w:rsid w:val="00982454"/>
    <w:rsid w:val="00982CF0"/>
    <w:rsid w:val="009853E1"/>
    <w:rsid w:val="00986E6B"/>
    <w:rsid w:val="0098784E"/>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27F"/>
    <w:rsid w:val="009C245E"/>
    <w:rsid w:val="009C3CF1"/>
    <w:rsid w:val="009C4D4A"/>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28D0"/>
    <w:rsid w:val="00A24442"/>
    <w:rsid w:val="00A24ADA"/>
    <w:rsid w:val="00A31871"/>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51D"/>
    <w:rsid w:val="00A96E65"/>
    <w:rsid w:val="00A96ECE"/>
    <w:rsid w:val="00A97C72"/>
    <w:rsid w:val="00AA310B"/>
    <w:rsid w:val="00AA63D4"/>
    <w:rsid w:val="00AA72AA"/>
    <w:rsid w:val="00AA7765"/>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14E"/>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06A7"/>
    <w:rsid w:val="00B4198F"/>
    <w:rsid w:val="00B41F3D"/>
    <w:rsid w:val="00B431E8"/>
    <w:rsid w:val="00B45141"/>
    <w:rsid w:val="00B519CD"/>
    <w:rsid w:val="00B5273A"/>
    <w:rsid w:val="00B57329"/>
    <w:rsid w:val="00B60E61"/>
    <w:rsid w:val="00B62B50"/>
    <w:rsid w:val="00B635B7"/>
    <w:rsid w:val="00B63AE8"/>
    <w:rsid w:val="00B65950"/>
    <w:rsid w:val="00B66640"/>
    <w:rsid w:val="00B66D83"/>
    <w:rsid w:val="00B672C0"/>
    <w:rsid w:val="00B676FD"/>
    <w:rsid w:val="00B678B6"/>
    <w:rsid w:val="00B75646"/>
    <w:rsid w:val="00B7629E"/>
    <w:rsid w:val="00B90729"/>
    <w:rsid w:val="00B907DA"/>
    <w:rsid w:val="00B94C5E"/>
    <w:rsid w:val="00B950BC"/>
    <w:rsid w:val="00B9714C"/>
    <w:rsid w:val="00BA29AD"/>
    <w:rsid w:val="00BA2D03"/>
    <w:rsid w:val="00BA33CF"/>
    <w:rsid w:val="00BA3F8D"/>
    <w:rsid w:val="00BB7A10"/>
    <w:rsid w:val="00BC60BE"/>
    <w:rsid w:val="00BC6914"/>
    <w:rsid w:val="00BC7468"/>
    <w:rsid w:val="00BC7D4F"/>
    <w:rsid w:val="00BC7ED7"/>
    <w:rsid w:val="00BD283E"/>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47024"/>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22F"/>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E2CC0"/>
    <w:rsid w:val="00CF230C"/>
    <w:rsid w:val="00CF2F50"/>
    <w:rsid w:val="00CF6198"/>
    <w:rsid w:val="00D02919"/>
    <w:rsid w:val="00D04C61"/>
    <w:rsid w:val="00D05B8D"/>
    <w:rsid w:val="00D05B9B"/>
    <w:rsid w:val="00D065A2"/>
    <w:rsid w:val="00D079AA"/>
    <w:rsid w:val="00D07F00"/>
    <w:rsid w:val="00D1130F"/>
    <w:rsid w:val="00D1571F"/>
    <w:rsid w:val="00D17B72"/>
    <w:rsid w:val="00D239BB"/>
    <w:rsid w:val="00D24BDF"/>
    <w:rsid w:val="00D26334"/>
    <w:rsid w:val="00D3185C"/>
    <w:rsid w:val="00D3205F"/>
    <w:rsid w:val="00D32647"/>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A00"/>
    <w:rsid w:val="00D75EA7"/>
    <w:rsid w:val="00D77252"/>
    <w:rsid w:val="00D81ADF"/>
    <w:rsid w:val="00D81F21"/>
    <w:rsid w:val="00D83D06"/>
    <w:rsid w:val="00D8557A"/>
    <w:rsid w:val="00D864F2"/>
    <w:rsid w:val="00D91FCA"/>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3E3F"/>
    <w:rsid w:val="00DD487D"/>
    <w:rsid w:val="00DD4E83"/>
    <w:rsid w:val="00DD6628"/>
    <w:rsid w:val="00DD6945"/>
    <w:rsid w:val="00DE1E0F"/>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0C94"/>
    <w:rsid w:val="00E210B5"/>
    <w:rsid w:val="00E261B3"/>
    <w:rsid w:val="00E26818"/>
    <w:rsid w:val="00E27FFC"/>
    <w:rsid w:val="00E302A1"/>
    <w:rsid w:val="00E30B15"/>
    <w:rsid w:val="00E33237"/>
    <w:rsid w:val="00E40181"/>
    <w:rsid w:val="00E54950"/>
    <w:rsid w:val="00E55FB3"/>
    <w:rsid w:val="00E56A01"/>
    <w:rsid w:val="00E629A1"/>
    <w:rsid w:val="00E6794C"/>
    <w:rsid w:val="00E71591"/>
    <w:rsid w:val="00E71CEB"/>
    <w:rsid w:val="00E7474F"/>
    <w:rsid w:val="00E77895"/>
    <w:rsid w:val="00E80DE3"/>
    <w:rsid w:val="00E82C55"/>
    <w:rsid w:val="00E860D5"/>
    <w:rsid w:val="00E8787E"/>
    <w:rsid w:val="00E92AC3"/>
    <w:rsid w:val="00EA1226"/>
    <w:rsid w:val="00EA2F6A"/>
    <w:rsid w:val="00EA36AF"/>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B9C"/>
    <w:rsid w:val="00EE4D5D"/>
    <w:rsid w:val="00EE5131"/>
    <w:rsid w:val="00EE6648"/>
    <w:rsid w:val="00EE7878"/>
    <w:rsid w:val="00EF109B"/>
    <w:rsid w:val="00EF201C"/>
    <w:rsid w:val="00EF2C72"/>
    <w:rsid w:val="00EF36AF"/>
    <w:rsid w:val="00EF59A3"/>
    <w:rsid w:val="00EF6675"/>
    <w:rsid w:val="00F0063D"/>
    <w:rsid w:val="00F00F9C"/>
    <w:rsid w:val="00F01E5F"/>
    <w:rsid w:val="00F024F3"/>
    <w:rsid w:val="00F02ABA"/>
    <w:rsid w:val="00F0437A"/>
    <w:rsid w:val="00F0647D"/>
    <w:rsid w:val="00F101B8"/>
    <w:rsid w:val="00F11037"/>
    <w:rsid w:val="00F127F3"/>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019D"/>
    <w:rsid w:val="00F72C2C"/>
    <w:rsid w:val="00F741F2"/>
    <w:rsid w:val="00F76CAB"/>
    <w:rsid w:val="00F772C6"/>
    <w:rsid w:val="00F815B5"/>
    <w:rsid w:val="00F85195"/>
    <w:rsid w:val="00F857D4"/>
    <w:rsid w:val="00F868E3"/>
    <w:rsid w:val="00F938BA"/>
    <w:rsid w:val="00F97919"/>
    <w:rsid w:val="00FA230B"/>
    <w:rsid w:val="00FA2C46"/>
    <w:rsid w:val="00FA3525"/>
    <w:rsid w:val="00FA3FED"/>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1E85"/>
    <w:rsid w:val="00FE2DCF"/>
    <w:rsid w:val="00FE331E"/>
    <w:rsid w:val="00FE3FA7"/>
    <w:rsid w:val="00FE4081"/>
    <w:rsid w:val="00FE72CA"/>
    <w:rsid w:val="00FF046F"/>
    <w:rsid w:val="00FF2A4E"/>
    <w:rsid w:val="00FF2FCE"/>
    <w:rsid w:val="00FF4F7D"/>
    <w:rsid w:val="00FF6D9D"/>
    <w:rsid w:val="00FF7620"/>
    <w:rsid w:val="00FF7DD5"/>
    <w:rsid w:val="01B3BE39"/>
    <w:rsid w:val="6630AD5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B0609183-8DEC-426F-83CB-53BAEEBD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9"/>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unhideWhenUsed/>
    <w:qFormat/>
    <w:rsid w:val="00FE1E85"/>
    <w:pPr>
      <w:keepNext/>
      <w:keepLines/>
      <w:spacing w:before="40" w:after="0" w:line="240" w:lineRule="auto"/>
      <w:jc w:val="both"/>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94426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F15144"/>
    <w:rPr>
      <w:rFonts w:ascii="Arial" w:hAnsi="Arial"/>
      <w:b/>
      <w:color w:val="201547"/>
      <w:sz w:val="32"/>
      <w:szCs w:val="28"/>
      <w:lang w:eastAsia="en-US"/>
    </w:rPr>
  </w:style>
  <w:style w:type="character" w:customStyle="1" w:styleId="Heading3Char">
    <w:name w:val="Heading 3 Char"/>
    <w:link w:val="Heading3"/>
    <w:uiPriority w:val="9"/>
    <w:rsid w:val="00F15144"/>
    <w:rPr>
      <w:rFonts w:ascii="Arial" w:eastAsia="MS Gothic" w:hAnsi="Arial"/>
      <w:bCs/>
      <w:color w:val="201547"/>
      <w:sz w:val="28"/>
      <w:szCs w:val="26"/>
      <w:lang w:eastAsia="en-US"/>
    </w:rPr>
  </w:style>
  <w:style w:type="character" w:customStyle="1" w:styleId="Heading4Char">
    <w:name w:val="Heading 4 Char"/>
    <w:link w:val="Heading4"/>
    <w:uiPriority w:val="9"/>
    <w:rsid w:val="00F15144"/>
    <w:rPr>
      <w:rFonts w:ascii="Arial" w:eastAsia="MS Mincho" w:hAnsi="Arial"/>
      <w:b/>
      <w:bCs/>
      <w:color w:val="201547"/>
      <w:sz w:val="24"/>
      <w:szCs w:val="22"/>
      <w:lang w:eastAsia="en-US"/>
    </w:rPr>
  </w:style>
  <w:style w:type="paragraph" w:styleId="Header">
    <w:name w:val="header"/>
    <w:link w:val="HeaderChar"/>
    <w:uiPriority w:val="99"/>
    <w:rsid w:val="00944261"/>
    <w:rPr>
      <w:rFonts w:ascii="Arial" w:hAnsi="Arial" w:cs="Arial"/>
      <w:b/>
      <w:color w:val="201547"/>
      <w:sz w:val="21"/>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944261"/>
    <w:pPr>
      <w:keepNext/>
      <w:keepLines/>
      <w:tabs>
        <w:tab w:val="right" w:leader="dot" w:pos="9299"/>
      </w:tabs>
      <w:spacing w:before="160" w:after="60"/>
    </w:pPr>
    <w:rPr>
      <w:b/>
      <w:noProof/>
      <w:sz w:val="24"/>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944261"/>
    <w:pPr>
      <w:keepLines/>
      <w:tabs>
        <w:tab w:val="right" w:leader="dot" w:pos="9299"/>
      </w:tabs>
      <w:spacing w:after="60"/>
    </w:pPr>
    <w:rPr>
      <w:noProof/>
      <w:sz w:val="24"/>
    </w:rPr>
  </w:style>
  <w:style w:type="paragraph" w:styleId="TOC3">
    <w:name w:val="toc 3"/>
    <w:basedOn w:val="Normal"/>
    <w:next w:val="Normal"/>
    <w:uiPriority w:val="39"/>
    <w:rsid w:val="00944261"/>
    <w:pPr>
      <w:keepLines/>
      <w:tabs>
        <w:tab w:val="right" w:leader="dot" w:pos="9299"/>
      </w:tabs>
      <w:spacing w:after="60"/>
      <w:ind w:left="284"/>
    </w:pPr>
    <w:rPr>
      <w:rFonts w:cs="Arial"/>
      <w:sz w:val="24"/>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944261"/>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944261"/>
    <w:pPr>
      <w:spacing w:before="12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944261"/>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rsid w:val="00944261"/>
    <w:pPr>
      <w:spacing w:before="60" w:after="60" w:line="220" w:lineRule="atLeast"/>
    </w:pPr>
    <w:rPr>
      <w:rFonts w:eastAsia="MS Gothic" w:cs="Arial"/>
      <w:szCs w:val="16"/>
    </w:rPr>
  </w:style>
  <w:style w:type="character" w:customStyle="1" w:styleId="FootnoteTextChar">
    <w:name w:val="Footnote Text Char"/>
    <w:link w:val="FootnoteText"/>
    <w:uiPriority w:val="99"/>
    <w:rsid w:val="00944261"/>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944261"/>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944261"/>
    <w:pPr>
      <w:spacing w:after="60" w:line="270" w:lineRule="atLeast"/>
    </w:p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99"/>
    <w:rsid w:val="00944261"/>
    <w:rPr>
      <w:rFonts w:ascii="Arial" w:hAnsi="Arial" w:cs="Arial"/>
      <w:b/>
      <w:color w:val="201547"/>
      <w:sz w:val="21"/>
      <w:szCs w:val="18"/>
      <w:lang w:eastAsia="en-US"/>
    </w:rPr>
  </w:style>
  <w:style w:type="character" w:customStyle="1" w:styleId="Heading6Char">
    <w:name w:val="Heading 6 Char"/>
    <w:basedOn w:val="DefaultParagraphFont"/>
    <w:link w:val="Heading6"/>
    <w:uiPriority w:val="9"/>
    <w:rsid w:val="00FE1E85"/>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link w:val="ListParagraphChar"/>
    <w:uiPriority w:val="34"/>
    <w:qFormat/>
    <w:rsid w:val="00944261"/>
    <w:pPr>
      <w:spacing w:after="0" w:line="240" w:lineRule="auto"/>
      <w:ind w:left="720"/>
      <w:contextualSpacing/>
      <w:jc w:val="both"/>
    </w:pPr>
    <w:rPr>
      <w:rFonts w:eastAsiaTheme="minorHAnsi" w:cstheme="minorBidi"/>
      <w:sz w:val="24"/>
      <w:szCs w:val="24"/>
    </w:rPr>
  </w:style>
  <w:style w:type="character" w:customStyle="1" w:styleId="ListParagraphChar">
    <w:name w:val="List Paragraph Char"/>
    <w:link w:val="ListParagraph"/>
    <w:uiPriority w:val="34"/>
    <w:locked/>
    <w:rsid w:val="00944261"/>
    <w:rPr>
      <w:rFonts w:ascii="Arial" w:eastAsiaTheme="minorHAnsi" w:hAnsi="Arial" w:cstheme="minorBidi"/>
      <w:sz w:val="24"/>
      <w:szCs w:val="24"/>
      <w:lang w:eastAsia="en-US"/>
    </w:rPr>
  </w:style>
  <w:style w:type="character" w:customStyle="1" w:styleId="acopre">
    <w:name w:val="acopre"/>
    <w:basedOn w:val="DefaultParagraphFont"/>
    <w:rsid w:val="00FE1E85"/>
  </w:style>
  <w:style w:type="paragraph" w:styleId="NormalWeb">
    <w:name w:val="Normal (Web)"/>
    <w:basedOn w:val="Normal"/>
    <w:uiPriority w:val="99"/>
    <w:unhideWhenUsed/>
    <w:rsid w:val="00FE1E85"/>
    <w:pPr>
      <w:spacing w:before="100" w:beforeAutospacing="1" w:after="100" w:afterAutospacing="1" w:line="240" w:lineRule="auto"/>
      <w:jc w:val="both"/>
    </w:pPr>
    <w:rPr>
      <w:rFonts w:ascii="Times New Roman" w:hAnsi="Times New Roman"/>
      <w:sz w:val="24"/>
      <w:szCs w:val="24"/>
      <w:lang w:eastAsia="en-GB"/>
    </w:rPr>
  </w:style>
  <w:style w:type="character" w:styleId="Emphasis">
    <w:name w:val="Emphasis"/>
    <w:basedOn w:val="DefaultParagraphFont"/>
    <w:uiPriority w:val="20"/>
    <w:qFormat/>
    <w:rsid w:val="00FE1E85"/>
    <w:rPr>
      <w:i/>
      <w:iCs/>
    </w:rPr>
  </w:style>
  <w:style w:type="character" w:customStyle="1" w:styleId="name">
    <w:name w:val="name"/>
    <w:basedOn w:val="DefaultParagraphFont"/>
    <w:rsid w:val="00FE1E85"/>
  </w:style>
  <w:style w:type="character" w:customStyle="1" w:styleId="blog-button">
    <w:name w:val="blog-button"/>
    <w:basedOn w:val="DefaultParagraphFont"/>
    <w:rsid w:val="00FE1E85"/>
  </w:style>
  <w:style w:type="character" w:customStyle="1" w:styleId="FooterChar">
    <w:name w:val="Footer Char"/>
    <w:basedOn w:val="DefaultParagraphFont"/>
    <w:link w:val="Footer"/>
    <w:uiPriority w:val="99"/>
    <w:rsid w:val="00FE1E85"/>
    <w:rPr>
      <w:rFonts w:ascii="Arial" w:hAnsi="Arial" w:cs="Arial"/>
      <w:sz w:val="18"/>
      <w:szCs w:val="18"/>
      <w:lang w:eastAsia="en-US"/>
    </w:rPr>
  </w:style>
  <w:style w:type="character" w:customStyle="1" w:styleId="tribe-event-date-start">
    <w:name w:val="tribe-event-date-start"/>
    <w:basedOn w:val="DefaultParagraphFont"/>
    <w:rsid w:val="00FE1E85"/>
  </w:style>
  <w:style w:type="character" w:customStyle="1" w:styleId="tribe-event-time">
    <w:name w:val="tribe-event-time"/>
    <w:basedOn w:val="DefaultParagraphFont"/>
    <w:rsid w:val="00FE1E85"/>
  </w:style>
  <w:style w:type="character" w:customStyle="1" w:styleId="attention">
    <w:name w:val="attention"/>
    <w:basedOn w:val="DefaultParagraphFont"/>
    <w:rsid w:val="00FE1E85"/>
  </w:style>
  <w:style w:type="paragraph" w:styleId="TOCHeading">
    <w:name w:val="TOC Heading"/>
    <w:basedOn w:val="Heading1"/>
    <w:next w:val="Normal"/>
    <w:uiPriority w:val="39"/>
    <w:unhideWhenUsed/>
    <w:qFormat/>
    <w:rsid w:val="00FE1E85"/>
    <w:pPr>
      <w:spacing w:before="480" w:line="276" w:lineRule="auto"/>
      <w:outlineLvl w:val="9"/>
    </w:pPr>
    <w:rPr>
      <w:rFonts w:ascii="Chalkduster" w:eastAsiaTheme="majorEastAsia" w:hAnsi="Chalkduster" w:cs="Times New Roman (Headings CS)"/>
      <w:b/>
      <w:caps/>
      <w:color w:val="365F91" w:themeColor="accent1" w:themeShade="BF"/>
      <w:kern w:val="0"/>
      <w:sz w:val="28"/>
      <w:szCs w:val="28"/>
      <w:lang w:val="en-US"/>
    </w:rPr>
  </w:style>
  <w:style w:type="character" w:customStyle="1" w:styleId="rpl-text-label">
    <w:name w:val="rpl-text-label"/>
    <w:basedOn w:val="DefaultParagraphFont"/>
    <w:rsid w:val="00FE1E85"/>
  </w:style>
  <w:style w:type="character" w:customStyle="1" w:styleId="rpl-text-icongroup">
    <w:name w:val="rpl-text-icon__group"/>
    <w:basedOn w:val="DefaultParagraphFont"/>
    <w:rsid w:val="00FE1E85"/>
  </w:style>
  <w:style w:type="paragraph" w:customStyle="1" w:styleId="rpl-hero-bannerdescription">
    <w:name w:val="rpl-hero-banner__description"/>
    <w:basedOn w:val="Normal"/>
    <w:rsid w:val="00FE1E85"/>
    <w:pPr>
      <w:spacing w:before="100" w:beforeAutospacing="1" w:after="100" w:afterAutospacing="1" w:line="240" w:lineRule="auto"/>
    </w:pPr>
    <w:rPr>
      <w:rFonts w:ascii="Times New Roman" w:hAnsi="Times New Roman"/>
      <w:sz w:val="24"/>
      <w:szCs w:val="24"/>
      <w:lang w:eastAsia="en-GB"/>
    </w:rPr>
  </w:style>
  <w:style w:type="character" w:styleId="Mention">
    <w:name w:val="Mention"/>
    <w:basedOn w:val="DefaultParagraphFont"/>
    <w:uiPriority w:val="99"/>
    <w:unhideWhenUsed/>
    <w:rsid w:val="00FE1E85"/>
    <w:rPr>
      <w:color w:val="2B579A"/>
      <w:shd w:val="clear" w:color="auto" w:fill="E1DFDD"/>
    </w:rPr>
  </w:style>
  <w:style w:type="paragraph" w:styleId="NoSpacing">
    <w:name w:val="No Spacing"/>
    <w:uiPriority w:val="1"/>
    <w:qFormat/>
    <w:rsid w:val="00FE1E85"/>
    <w:pPr>
      <w:jc w:val="both"/>
    </w:pPr>
    <w:rPr>
      <w:rFonts w:asciiTheme="minorHAnsi" w:eastAsiaTheme="minorHAnsi" w:hAnsiTheme="minorHAnsi" w:cstheme="minorBidi"/>
      <w:sz w:val="24"/>
      <w:szCs w:val="24"/>
      <w:lang w:eastAsia="en-US"/>
    </w:rPr>
  </w:style>
  <w:style w:type="character" w:styleId="PlaceholderText">
    <w:name w:val="Placeholder Text"/>
    <w:basedOn w:val="DefaultParagraphFont"/>
    <w:uiPriority w:val="99"/>
    <w:semiHidden/>
    <w:rsid w:val="00FE1E85"/>
    <w:rPr>
      <w:color w:val="808080"/>
    </w:rPr>
  </w:style>
  <w:style w:type="character" w:customStyle="1" w:styleId="normaltextrun">
    <w:name w:val="normaltextrun"/>
    <w:basedOn w:val="DefaultParagraphFont"/>
    <w:rsid w:val="00FE1E85"/>
  </w:style>
  <w:style w:type="paragraph" w:customStyle="1" w:styleId="Sectiontitle">
    <w:name w:val="Section title"/>
    <w:basedOn w:val="Heading1"/>
    <w:uiPriority w:val="11"/>
    <w:rsid w:val="006B3B21"/>
    <w:pPr>
      <w:jc w:val="center"/>
    </w:pPr>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rainbow-ready-roadmap"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quality@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rainbowhealthvic.org.au/rainbow-tick" TargetMode="External"/><Relationship Id="rId2" Type="http://schemas.openxmlformats.org/officeDocument/2006/relationships/hyperlink" Target="https://www2.education.vic.gov.au/pal/inclusive-workplaces/policy-and-guidelines/LGBTIQ+%3e." TargetMode="External"/><Relationship Id="rId1" Type="http://schemas.openxmlformats.org/officeDocument/2006/relationships/hyperlink" Target="https://www.vic.gov.au/inclusive-languag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2ADE11A-3925-4B8A-B2DC-67197BB7F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2059</Words>
  <Characters>11742</Characters>
  <Application>Microsoft Office Word</Application>
  <DocSecurity>4</DocSecurity>
  <Lines>97</Lines>
  <Paragraphs>27</Paragraphs>
  <ScaleCrop>false</ScaleCrop>
  <Company>Victoria State Government, Department of Families, Fairness and Housing</Company>
  <LinksUpToDate>false</LinksUpToDate>
  <CharactersWithSpaces>13774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Ready roadmap: Guide B3: Setting guide for health and community services (accessible)</dc:title>
  <dc:subject>Rainbow ready roadmap</dc:subject>
  <dc:creator>Fairer Victoria</dc:creator>
  <cp:keywords/>
  <cp:revision>10</cp:revision>
  <cp:lastPrinted>2021-01-30T00:27:00Z</cp:lastPrinted>
  <dcterms:created xsi:type="dcterms:W3CDTF">2022-05-13T00:53:00Z</dcterms:created>
  <dcterms:modified xsi:type="dcterms:W3CDTF">2023-11-10T19:10:00Z</dcterms:modified>
  <cp:category>Rainbow ready roadmap, LGBTIQ+, victoria, accessible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2022-09-28T07:08:47Z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20e9b773-801b-4e7e-a332-b7597cef534d</vt:lpwstr>
  </property>
  <property fmtid="{D5CDD505-2E9C-101B-9397-08002B2CF9AE}" pid="11" name="MSIP_Label_43e64453-338c-4f93-8a4d-0039a0a41f2a_ContentBits">
    <vt:lpwstr>2</vt:lpwstr>
  </property>
  <property fmtid="{D5CDD505-2E9C-101B-9397-08002B2CF9AE}" pid="12" name="MediaServiceImageTags">
    <vt:lpwstr/>
  </property>
</Properties>
</file>