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0E63" w14:textId="77777777" w:rsidR="00351A9D" w:rsidRPr="00431F42" w:rsidRDefault="00351A9D" w:rsidP="00431F42">
      <w:pPr>
        <w:pStyle w:val="Documenttitle"/>
      </w:pPr>
      <w:r w:rsidRPr="00FE1E85">
        <w:t xml:space="preserve">Rainbow </w:t>
      </w:r>
      <w:r>
        <w:t xml:space="preserve">Ready </w:t>
      </w:r>
      <w:r w:rsidRPr="00FE1E85">
        <w:t>roadmap</w:t>
      </w:r>
    </w:p>
    <w:p w14:paraId="171F94F4" w14:textId="343829B6" w:rsidR="00351A9D" w:rsidRPr="00FE1E85" w:rsidRDefault="00351A9D" w:rsidP="00261859">
      <w:pPr>
        <w:pStyle w:val="Documentsubtitle"/>
      </w:pPr>
      <w:r w:rsidRPr="00261859">
        <w:t xml:space="preserve">Tool A: </w:t>
      </w:r>
      <w:r w:rsidR="00D22D45">
        <w:t>Measure</w:t>
      </w:r>
      <w:r w:rsidR="00D22D45" w:rsidRPr="00261859">
        <w:t xml:space="preserve">ment </w:t>
      </w:r>
      <w:r w:rsidRPr="00261859">
        <w:t>and evaluation tool</w:t>
      </w:r>
      <w:r>
        <w:t xml:space="preserve"> </w:t>
      </w:r>
      <w:r w:rsidRPr="00EC0DEE">
        <w:t>(accessible)</w:t>
      </w:r>
    </w:p>
    <w:p w14:paraId="31A215D4" w14:textId="77777777" w:rsidR="00351A9D" w:rsidRDefault="00000000" w:rsidP="00430393">
      <w:pPr>
        <w:pStyle w:val="Bannermarking"/>
      </w:pPr>
      <w:fldSimple w:instr=" FILLIN  &quot;Type the protective marking&quot; \d OFFICIAL \o  \* MERGEFORMAT ">
        <w:r w:rsidR="00351A9D">
          <w:t>OFFICIAL</w:t>
        </w:r>
      </w:fldSimple>
    </w:p>
    <w:p w14:paraId="246CA632" w14:textId="77777777" w:rsidR="00351A9D" w:rsidRDefault="00351A9D" w:rsidP="001D1992">
      <w:pPr>
        <w:pStyle w:val="Body"/>
      </w:pPr>
    </w:p>
    <w:p w14:paraId="10EB1A62" w14:textId="460979C9" w:rsidR="00FE1E85" w:rsidRPr="00BA2D3F" w:rsidRDefault="00FE1E85" w:rsidP="00351A9D">
      <w:pPr>
        <w:pStyle w:val="Heading1"/>
      </w:pPr>
      <w:bookmarkStart w:id="0" w:name="_Toc103096617"/>
      <w:r w:rsidRPr="00BA2D3F">
        <w:t xml:space="preserve">About this </w:t>
      </w:r>
      <w:r>
        <w:t>tool</w:t>
      </w:r>
      <w:bookmarkEnd w:id="0"/>
    </w:p>
    <w:p w14:paraId="265FE916" w14:textId="1A3C13E6" w:rsidR="00FE1E85" w:rsidRPr="00C6782D" w:rsidRDefault="00FE1E85" w:rsidP="00081956">
      <w:pPr>
        <w:pStyle w:val="Body"/>
      </w:pPr>
      <w:r>
        <w:t xml:space="preserve">As you undertake Rainbow Ready activities, it’s important to assess areas for improvement, evaluate progress towards achieving </w:t>
      </w:r>
      <w:r w:rsidR="00C91590">
        <w:t>LGBTIQA+</w:t>
      </w:r>
      <w:r>
        <w:t xml:space="preserve"> inclusion and celebrate project achievements. </w:t>
      </w:r>
      <w:r w:rsidR="007A7A0C">
        <w:t xml:space="preserve">Completing this </w:t>
      </w:r>
      <w:r>
        <w:t xml:space="preserve">tool is also a key step </w:t>
      </w:r>
      <w:r w:rsidR="008328D3">
        <w:t>to tracking your progress along the way as you work towards being</w:t>
      </w:r>
      <w:r>
        <w:t xml:space="preserve"> Rainbow Ready</w:t>
      </w:r>
      <w:r w:rsidR="000E1932">
        <w:t>.</w:t>
      </w:r>
    </w:p>
    <w:p w14:paraId="18BF0E63" w14:textId="77777777" w:rsidR="00FE1E85" w:rsidRPr="00221BE0" w:rsidRDefault="00FE1E85" w:rsidP="00221BE0">
      <w:pPr>
        <w:pStyle w:val="Heading2"/>
      </w:pPr>
      <w:bookmarkStart w:id="1" w:name="_Toc103096618"/>
      <w:r w:rsidRPr="00221BE0">
        <w:t>When to use this tool</w:t>
      </w:r>
      <w:bookmarkEnd w:id="1"/>
    </w:p>
    <w:p w14:paraId="7497AB20" w14:textId="560F6422" w:rsidR="00FE1E85" w:rsidRPr="00C6782D" w:rsidRDefault="00FE1E85" w:rsidP="00081956">
      <w:pPr>
        <w:pStyle w:val="Body"/>
      </w:pPr>
      <w:r w:rsidRPr="00C6782D">
        <w:t xml:space="preserve">This tool should first be used as part of </w:t>
      </w:r>
      <w:r w:rsidRPr="00C6782D">
        <w:rPr>
          <w:b/>
          <w:bCs/>
        </w:rPr>
        <w:t>Phase 2: Assess</w:t>
      </w:r>
      <w:r w:rsidRPr="00C6782D">
        <w:t xml:space="preserve"> to understand your setting’s current state of </w:t>
      </w:r>
      <w:r w:rsidR="00C91590">
        <w:t>LGBTIQA+</w:t>
      </w:r>
      <w:r w:rsidRPr="00C6782D">
        <w:t xml:space="preserve"> inclusion</w:t>
      </w:r>
      <w:r w:rsidR="007A7A0C">
        <w:t>. It will help you</w:t>
      </w:r>
      <w:r w:rsidRPr="00C6782D">
        <w:t xml:space="preserve"> identify key areas for improvement and potential projects. </w:t>
      </w:r>
    </w:p>
    <w:p w14:paraId="2ECEB0B1" w14:textId="286B3513" w:rsidR="00FE1E85" w:rsidRPr="00C6782D" w:rsidRDefault="008328D3" w:rsidP="00081956">
      <w:pPr>
        <w:pStyle w:val="Body"/>
      </w:pPr>
      <w:r>
        <w:t>Either during your work, or a</w:t>
      </w:r>
      <w:r w:rsidR="007A7A0C">
        <w:t xml:space="preserve">fter </w:t>
      </w:r>
      <w:r w:rsidR="00FE1E85" w:rsidRPr="00C6782D">
        <w:t>completi</w:t>
      </w:r>
      <w:r w:rsidR="007A7A0C">
        <w:t xml:space="preserve">ng </w:t>
      </w:r>
      <w:r w:rsidR="00FE1E85" w:rsidRPr="00C6782D">
        <w:t xml:space="preserve">a Rainbow Ready project or activity, this tool should be revisited and </w:t>
      </w:r>
      <w:r w:rsidR="00157426">
        <w:t xml:space="preserve">used </w:t>
      </w:r>
      <w:r w:rsidR="00FE1E85" w:rsidRPr="00C6782D">
        <w:t>again</w:t>
      </w:r>
      <w:r w:rsidR="007A7A0C">
        <w:t>.</w:t>
      </w:r>
      <w:r w:rsidR="00FE1E85" w:rsidRPr="00C6782D">
        <w:t xml:space="preserve"> </w:t>
      </w:r>
      <w:r w:rsidR="007A7A0C">
        <w:t>U</w:t>
      </w:r>
      <w:r w:rsidR="00FE1E85" w:rsidRPr="00C6782D">
        <w:t>se</w:t>
      </w:r>
      <w:r w:rsidR="007A7A0C">
        <w:t xml:space="preserve"> it</w:t>
      </w:r>
      <w:r w:rsidR="00FE1E85" w:rsidRPr="00C6782D">
        <w:t xml:space="preserve"> as part of </w:t>
      </w:r>
      <w:r w:rsidR="00FE1E85" w:rsidRPr="00C6782D">
        <w:rPr>
          <w:b/>
          <w:bCs/>
        </w:rPr>
        <w:t>Phase 5: Evaluate</w:t>
      </w:r>
      <w:r w:rsidR="00FE1E85" w:rsidRPr="00C6782D">
        <w:t xml:space="preserve"> to measure progress against the indicators for </w:t>
      </w:r>
      <w:r w:rsidR="00C91590">
        <w:t>LGBTIQA+</w:t>
      </w:r>
      <w:r w:rsidR="00FE1E85" w:rsidRPr="00C6782D">
        <w:t xml:space="preserve"> inclusion. Evaluations should be repeated regularly to monitor continuous progress.</w:t>
      </w:r>
    </w:p>
    <w:p w14:paraId="7676E22A" w14:textId="77777777" w:rsidR="00FE1E85" w:rsidRPr="00221BE0" w:rsidRDefault="00FE1E85" w:rsidP="00221BE0">
      <w:pPr>
        <w:pStyle w:val="Heading2"/>
      </w:pPr>
      <w:bookmarkStart w:id="2" w:name="_Toc103096619"/>
      <w:r w:rsidRPr="00221BE0">
        <w:t>How to use this tool</w:t>
      </w:r>
      <w:bookmarkEnd w:id="2"/>
    </w:p>
    <w:p w14:paraId="49CF5C52" w14:textId="77777777" w:rsidR="00FE1E85" w:rsidRPr="00351A9D" w:rsidRDefault="00FE1E85" w:rsidP="00351A9D">
      <w:pPr>
        <w:pStyle w:val="Numberdigit"/>
        <w:rPr>
          <w:b/>
          <w:bCs/>
        </w:rPr>
      </w:pPr>
      <w:r w:rsidRPr="00351A9D">
        <w:rPr>
          <w:b/>
          <w:bCs/>
        </w:rPr>
        <w:t>Plan your assessment or evaluation</w:t>
      </w:r>
    </w:p>
    <w:p w14:paraId="33158165" w14:textId="5BBFCCE0" w:rsidR="00FE1E85" w:rsidRPr="00C6782D" w:rsidRDefault="00B42A4F" w:rsidP="00EE7878">
      <w:pPr>
        <w:pStyle w:val="Bullet1"/>
      </w:pPr>
      <w:r>
        <w:t>Assemble</w:t>
      </w:r>
      <w:r w:rsidRPr="00C6782D">
        <w:t xml:space="preserve"> </w:t>
      </w:r>
      <w:r w:rsidR="00FE1E85" w:rsidRPr="00C6782D">
        <w:t>an evaluation team that can help gather and compile your evidence</w:t>
      </w:r>
      <w:r>
        <w:t xml:space="preserve"> and</w:t>
      </w:r>
      <w:r w:rsidR="00FE1E85" w:rsidRPr="00C6782D">
        <w:t xml:space="preserve"> provide different perspectives, including those independent of the core project team.</w:t>
      </w:r>
    </w:p>
    <w:p w14:paraId="5B11BDBB" w14:textId="33DFDD44" w:rsidR="00FE1E85" w:rsidRPr="00C6782D" w:rsidRDefault="00FE1E85" w:rsidP="00EE7878">
      <w:pPr>
        <w:pStyle w:val="Bullet1"/>
      </w:pPr>
      <w:r w:rsidRPr="00C6782D">
        <w:t xml:space="preserve">Consider engaging with a range of staff, including </w:t>
      </w:r>
      <w:r w:rsidR="00C91590">
        <w:t>LGBTIQA+</w:t>
      </w:r>
      <w:r w:rsidRPr="00C6782D">
        <w:t xml:space="preserve"> employees.</w:t>
      </w:r>
    </w:p>
    <w:p w14:paraId="52A8980F" w14:textId="2E38387F" w:rsidR="00FE1E85" w:rsidRPr="00C6782D" w:rsidRDefault="00FE1E85" w:rsidP="00EE7878">
      <w:pPr>
        <w:pStyle w:val="Bullet1"/>
        <w:rPr>
          <w:rFonts w:cstheme="minorHAnsi"/>
        </w:rPr>
      </w:pPr>
      <w:r w:rsidRPr="00C6782D">
        <w:rPr>
          <w:rFonts w:cstheme="minorHAnsi"/>
        </w:rPr>
        <w:t xml:space="preserve">Consider engaging </w:t>
      </w:r>
      <w:r w:rsidR="00C91590">
        <w:rPr>
          <w:rFonts w:cstheme="minorHAnsi"/>
        </w:rPr>
        <w:t>LGBTIQA+</w:t>
      </w:r>
      <w:r w:rsidRPr="00C6782D">
        <w:rPr>
          <w:rFonts w:cstheme="minorHAnsi"/>
        </w:rPr>
        <w:t xml:space="preserve"> service users and community members.</w:t>
      </w:r>
    </w:p>
    <w:p w14:paraId="72F88007" w14:textId="77777777" w:rsidR="00FE1E85" w:rsidRPr="00351A9D" w:rsidRDefault="00FE1E85" w:rsidP="00720B56">
      <w:pPr>
        <w:pStyle w:val="Numberdigit"/>
        <w:spacing w:before="120"/>
        <w:ind w:left="403" w:hanging="403"/>
        <w:rPr>
          <w:b/>
          <w:bCs/>
        </w:rPr>
      </w:pPr>
      <w:r w:rsidRPr="00351A9D">
        <w:rPr>
          <w:b/>
          <w:bCs/>
        </w:rPr>
        <w:t>Discuss and agree your approach</w:t>
      </w:r>
    </w:p>
    <w:p w14:paraId="425480D5" w14:textId="77777777" w:rsidR="00FE1E85" w:rsidRPr="00C6782D" w:rsidRDefault="00FE1E85" w:rsidP="00EE7878">
      <w:pPr>
        <w:pStyle w:val="Bullet1"/>
        <w:rPr>
          <w:b/>
          <w:bCs/>
        </w:rPr>
      </w:pPr>
      <w:r w:rsidRPr="00C6782D">
        <w:t xml:space="preserve">What is the purpose of the evaluation? </w:t>
      </w:r>
    </w:p>
    <w:p w14:paraId="3EDF419F" w14:textId="3AE0E2C9" w:rsidR="00FE1E85" w:rsidRPr="00C6782D" w:rsidRDefault="00FE1E85" w:rsidP="00EE7878">
      <w:pPr>
        <w:pStyle w:val="Bullet1"/>
        <w:rPr>
          <w:b/>
          <w:bCs/>
        </w:rPr>
      </w:pPr>
      <w:r w:rsidRPr="00C6782D">
        <w:t>Will action</w:t>
      </w:r>
      <w:r w:rsidR="00B42A4F">
        <w:t xml:space="preserve"> </w:t>
      </w:r>
      <w:r w:rsidRPr="00C6782D">
        <w:t xml:space="preserve">be taken to address </w:t>
      </w:r>
      <w:r w:rsidR="00B42A4F" w:rsidRPr="00C6782D">
        <w:t xml:space="preserve">identified </w:t>
      </w:r>
      <w:r w:rsidRPr="00C6782D">
        <w:t>gaps?</w:t>
      </w:r>
    </w:p>
    <w:p w14:paraId="15E54D3A" w14:textId="77777777" w:rsidR="00FE1E85" w:rsidRPr="00C6782D" w:rsidRDefault="00FE1E85" w:rsidP="00EE7878">
      <w:pPr>
        <w:pStyle w:val="Bullet1"/>
        <w:rPr>
          <w:b/>
          <w:bCs/>
        </w:rPr>
      </w:pPr>
      <w:r w:rsidRPr="00C6782D">
        <w:t xml:space="preserve">Who will the evaluation results be communicated with? </w:t>
      </w:r>
    </w:p>
    <w:p w14:paraId="0D764BF7" w14:textId="77777777" w:rsidR="00FE1E85" w:rsidRPr="00351A9D" w:rsidRDefault="00FE1E85" w:rsidP="00720B56">
      <w:pPr>
        <w:pStyle w:val="Numberdigit"/>
        <w:spacing w:before="120"/>
        <w:ind w:left="403" w:hanging="403"/>
        <w:rPr>
          <w:b/>
          <w:bCs/>
        </w:rPr>
      </w:pPr>
      <w:r w:rsidRPr="00351A9D">
        <w:rPr>
          <w:b/>
          <w:bCs/>
        </w:rPr>
        <w:t xml:space="preserve">Undertake your assessment or evaluation </w:t>
      </w:r>
    </w:p>
    <w:p w14:paraId="0E4CF7B5" w14:textId="606902D2" w:rsidR="00FE1E85" w:rsidRPr="00C6782D" w:rsidRDefault="00FE1E85" w:rsidP="00EE7878">
      <w:pPr>
        <w:pStyle w:val="Bullet1"/>
      </w:pPr>
      <w:r w:rsidRPr="00C6782D">
        <w:t xml:space="preserve">Enter the indicators from your relevant settings guide </w:t>
      </w:r>
      <w:r w:rsidR="00B42A4F">
        <w:t>in</w:t>
      </w:r>
      <w:r w:rsidRPr="00C6782D">
        <w:t>to the table below, adding rows for additional indicators as required.</w:t>
      </w:r>
    </w:p>
    <w:p w14:paraId="39C79E57" w14:textId="379E2F45" w:rsidR="00FE1E85" w:rsidRPr="00C6782D" w:rsidRDefault="00FE1E85" w:rsidP="00EE7878">
      <w:pPr>
        <w:pStyle w:val="Bullet1"/>
      </w:pPr>
      <w:r w:rsidRPr="00C6782D">
        <w:t>Select a rating of ‘Not met’, ‘Partially met’ or ‘Met’</w:t>
      </w:r>
      <w:r w:rsidR="00B42A4F" w:rsidRPr="00B42A4F">
        <w:t xml:space="preserve"> </w:t>
      </w:r>
      <w:r w:rsidR="00B42A4F" w:rsidRPr="00C6782D">
        <w:t>from the drop</w:t>
      </w:r>
      <w:r w:rsidR="00B42A4F">
        <w:t>-</w:t>
      </w:r>
      <w:r w:rsidR="00B42A4F" w:rsidRPr="00C6782D">
        <w:t>down</w:t>
      </w:r>
      <w:r w:rsidRPr="00C6782D">
        <w:t>.</w:t>
      </w:r>
    </w:p>
    <w:p w14:paraId="3A12434D" w14:textId="77777777" w:rsidR="00FE1E85" w:rsidRPr="00C6782D" w:rsidRDefault="00FE1E85" w:rsidP="00EE7878">
      <w:pPr>
        <w:pStyle w:val="Bullet1"/>
      </w:pPr>
      <w:r w:rsidRPr="00C6782D">
        <w:t>Against the indicators, detail achievements and areas for improvement.</w:t>
      </w:r>
    </w:p>
    <w:p w14:paraId="69ACB6B0" w14:textId="3DDC1BDB" w:rsidR="00FE1E85" w:rsidRPr="00C6782D" w:rsidRDefault="008328D3" w:rsidP="00EE7878">
      <w:pPr>
        <w:pStyle w:val="Bullet1"/>
      </w:pPr>
      <w:r>
        <w:t>Have</w:t>
      </w:r>
      <w:r w:rsidRPr="00C6782D">
        <w:t xml:space="preserve"> </w:t>
      </w:r>
      <w:r w:rsidR="00B42A4F">
        <w:t>enough</w:t>
      </w:r>
      <w:r w:rsidR="00B42A4F" w:rsidRPr="00C6782D">
        <w:t xml:space="preserve"> </w:t>
      </w:r>
      <w:r w:rsidR="00FE1E85" w:rsidRPr="00C6782D">
        <w:t xml:space="preserve">evidence to demonstrate indicators marked as ‘Met’. </w:t>
      </w:r>
    </w:p>
    <w:p w14:paraId="21E97659" w14:textId="687F6E81" w:rsidR="00FE1E85" w:rsidRPr="00C6782D" w:rsidRDefault="00FE1E85" w:rsidP="00EE7878">
      <w:pPr>
        <w:pStyle w:val="Bullet1"/>
      </w:pPr>
      <w:r w:rsidRPr="00C6782D">
        <w:lastRenderedPageBreak/>
        <w:t xml:space="preserve">Supporting evidence could include project deliverables, community and stakeholder surveys, images, </w:t>
      </w:r>
      <w:proofErr w:type="gramStart"/>
      <w:r w:rsidRPr="00C6782D">
        <w:t>videos</w:t>
      </w:r>
      <w:proofErr w:type="gramEnd"/>
      <w:r w:rsidR="00B42A4F">
        <w:t xml:space="preserve"> and</w:t>
      </w:r>
      <w:r w:rsidRPr="00C6782D">
        <w:t xml:space="preserve"> feedback from participants.</w:t>
      </w:r>
    </w:p>
    <w:p w14:paraId="146E0A34" w14:textId="7BBF2F57" w:rsidR="00FE1E85" w:rsidRPr="00C6782D" w:rsidRDefault="00FE1E85" w:rsidP="00EE7878">
      <w:pPr>
        <w:pStyle w:val="Bullet1"/>
      </w:pPr>
      <w:r w:rsidRPr="00C6782D">
        <w:t xml:space="preserve">There may be instances where </w:t>
      </w:r>
      <w:r w:rsidR="00B42A4F">
        <w:t>genuine</w:t>
      </w:r>
      <w:r w:rsidR="00B42A4F" w:rsidRPr="00C6782D">
        <w:t xml:space="preserve"> </w:t>
      </w:r>
      <w:r w:rsidRPr="00C6782D">
        <w:t>constraints will not allow you to meet an indicator for the foreseeable future. For these indicators, mark them as ‘Unable to be met’. In the ‘evidence’ section, state why it will not be possible for your team to meet this indicator.</w:t>
      </w:r>
    </w:p>
    <w:p w14:paraId="5C8A2682" w14:textId="0E2DE8E1" w:rsidR="00FE1E85" w:rsidRPr="00C6782D" w:rsidRDefault="00FE1E85" w:rsidP="00EE7878">
      <w:pPr>
        <w:pStyle w:val="Bullet1"/>
      </w:pPr>
      <w:r w:rsidRPr="00C6782D">
        <w:t xml:space="preserve">Note: </w:t>
      </w:r>
      <w:r w:rsidR="008328D3">
        <w:t>These instances will still be useful as stories and case studies for others doing</w:t>
      </w:r>
      <w:r w:rsidRPr="00C6782D">
        <w:t xml:space="preserve"> Rainbow Ready </w:t>
      </w:r>
      <w:r w:rsidR="008328D3">
        <w:t xml:space="preserve">work. There are always lessons to be learned for yourselves and others when </w:t>
      </w:r>
      <w:r w:rsidRPr="00C6782D">
        <w:t>indicators are deemed ‘Unable to be met’</w:t>
      </w:r>
      <w:r w:rsidR="00B42A4F">
        <w:t>.</w:t>
      </w:r>
      <w:r w:rsidR="008328D3">
        <w:t xml:space="preserve"> Usually it’s when circumstances change drastically, or something turns out to be beyond your control.</w:t>
      </w:r>
    </w:p>
    <w:p w14:paraId="46DD47B6" w14:textId="77777777" w:rsidR="00FE1E85" w:rsidRPr="00351A9D" w:rsidRDefault="00FE1E85" w:rsidP="00720B56">
      <w:pPr>
        <w:pStyle w:val="Numberdigit"/>
        <w:spacing w:before="120"/>
        <w:ind w:left="403" w:hanging="403"/>
        <w:rPr>
          <w:b/>
          <w:bCs/>
        </w:rPr>
      </w:pPr>
      <w:r w:rsidRPr="00351A9D">
        <w:rPr>
          <w:b/>
          <w:bCs/>
        </w:rPr>
        <w:t>Address your findings</w:t>
      </w:r>
    </w:p>
    <w:p w14:paraId="3214FE10" w14:textId="124BC739" w:rsidR="00FE1E85" w:rsidRPr="00C6782D" w:rsidRDefault="00FE1E85" w:rsidP="00EE7878">
      <w:pPr>
        <w:pStyle w:val="Bullet1"/>
      </w:pPr>
      <w:r w:rsidRPr="00C6782D">
        <w:rPr>
          <w:color w:val="000000" w:themeColor="text1"/>
        </w:rPr>
        <w:t xml:space="preserve">Discuss </w:t>
      </w:r>
      <w:r w:rsidRPr="00C6782D">
        <w:t xml:space="preserve">the findings and the current state of your group, </w:t>
      </w:r>
      <w:proofErr w:type="gramStart"/>
      <w:r w:rsidRPr="00C6782D">
        <w:t>organisation</w:t>
      </w:r>
      <w:proofErr w:type="gramEnd"/>
      <w:r w:rsidRPr="00C6782D">
        <w:t xml:space="preserve"> or service with the project team, </w:t>
      </w:r>
      <w:r w:rsidR="00C91590">
        <w:t>LGBTIQA+</w:t>
      </w:r>
      <w:r w:rsidRPr="00C6782D">
        <w:t xml:space="preserve"> people in your community and key stakeholders.</w:t>
      </w:r>
    </w:p>
    <w:p w14:paraId="6A6389B2" w14:textId="0CE007EC" w:rsidR="00FE1E85" w:rsidRPr="00C6782D" w:rsidRDefault="00FE1E85" w:rsidP="00EE7878">
      <w:pPr>
        <w:pStyle w:val="Bullet1"/>
      </w:pPr>
      <w:r w:rsidRPr="00C6782D">
        <w:rPr>
          <w:color w:val="000000" w:themeColor="text1"/>
        </w:rPr>
        <w:t xml:space="preserve">Brainstorm activities and actions you could implement to ensure indicators marked </w:t>
      </w:r>
      <w:r w:rsidR="002F15DE">
        <w:rPr>
          <w:color w:val="000000" w:themeColor="text1"/>
        </w:rPr>
        <w:t>‘P</w:t>
      </w:r>
      <w:r w:rsidRPr="00C6782D">
        <w:rPr>
          <w:color w:val="000000" w:themeColor="text1"/>
        </w:rPr>
        <w:t>artially met</w:t>
      </w:r>
      <w:r w:rsidR="002F15DE">
        <w:rPr>
          <w:color w:val="000000" w:themeColor="text1"/>
        </w:rPr>
        <w:t>’</w:t>
      </w:r>
      <w:r w:rsidRPr="00C6782D">
        <w:rPr>
          <w:color w:val="000000" w:themeColor="text1"/>
        </w:rPr>
        <w:t xml:space="preserve"> or </w:t>
      </w:r>
      <w:r w:rsidR="002F15DE">
        <w:rPr>
          <w:color w:val="000000" w:themeColor="text1"/>
        </w:rPr>
        <w:t>‘M</w:t>
      </w:r>
      <w:r w:rsidRPr="00C6782D">
        <w:rPr>
          <w:color w:val="000000" w:themeColor="text1"/>
        </w:rPr>
        <w:t>et</w:t>
      </w:r>
      <w:r w:rsidR="002F15DE">
        <w:rPr>
          <w:color w:val="000000" w:themeColor="text1"/>
        </w:rPr>
        <w:t>’</w:t>
      </w:r>
      <w:r w:rsidRPr="00C6782D">
        <w:rPr>
          <w:color w:val="000000" w:themeColor="text1"/>
        </w:rPr>
        <w:t xml:space="preserve"> are addressed, or to gather evidence to substantiate the rating provided.</w:t>
      </w:r>
    </w:p>
    <w:p w14:paraId="07A6625C" w14:textId="65347E10" w:rsidR="00FE1E85" w:rsidRPr="00C6782D" w:rsidRDefault="00FE1E85" w:rsidP="00EE7878">
      <w:pPr>
        <w:pStyle w:val="Bullet1"/>
      </w:pPr>
      <w:r w:rsidRPr="00C6782D">
        <w:t xml:space="preserve">Consider sharing lessons learnt and challenges with others undertaking </w:t>
      </w:r>
      <w:r w:rsidR="00C91590">
        <w:t>LGBTIQA+</w:t>
      </w:r>
      <w:r w:rsidRPr="00C6782D">
        <w:t xml:space="preserve"> inclusion projects</w:t>
      </w:r>
      <w:r w:rsidR="00445E0B">
        <w:t>.</w:t>
      </w:r>
      <w:r w:rsidRPr="00C6782D">
        <w:t xml:space="preserve"> </w:t>
      </w:r>
      <w:r w:rsidR="00445E0B">
        <w:t>T</w:t>
      </w:r>
      <w:r w:rsidRPr="00C6782D">
        <w:t>his may help them in their work too.</w:t>
      </w:r>
    </w:p>
    <w:p w14:paraId="59473ACF" w14:textId="77777777" w:rsidR="00FE1E85" w:rsidRPr="00351A9D" w:rsidRDefault="00FE1E85" w:rsidP="00720B56">
      <w:pPr>
        <w:pStyle w:val="Numberdigit"/>
        <w:spacing w:before="120"/>
        <w:ind w:left="403" w:hanging="403"/>
        <w:rPr>
          <w:b/>
          <w:bCs/>
        </w:rPr>
      </w:pPr>
      <w:r w:rsidRPr="00351A9D">
        <w:rPr>
          <w:b/>
          <w:bCs/>
        </w:rPr>
        <w:t xml:space="preserve">Repeat the evaluation </w:t>
      </w:r>
    </w:p>
    <w:p w14:paraId="1CA80AF7" w14:textId="77F4BE37" w:rsidR="00FE1E85" w:rsidRPr="00C6782D" w:rsidRDefault="00FE1E85" w:rsidP="00EE7878">
      <w:pPr>
        <w:pStyle w:val="Bullet1"/>
      </w:pPr>
      <w:r w:rsidRPr="00C6782D">
        <w:t xml:space="preserve">Use the </w:t>
      </w:r>
      <w:r w:rsidR="0066667C">
        <w:t>e</w:t>
      </w:r>
      <w:r w:rsidRPr="00C6782D">
        <w:t xml:space="preserve">valuation </w:t>
      </w:r>
      <w:r w:rsidR="0066667C">
        <w:t>t</w:t>
      </w:r>
      <w:r w:rsidRPr="00C6782D">
        <w:t>ool regularly to check progress</w:t>
      </w:r>
      <w:r w:rsidR="0066667C">
        <w:t>.</w:t>
      </w:r>
      <w:r w:rsidRPr="00C6782D">
        <w:t xml:space="preserve"> </w:t>
      </w:r>
      <w:r w:rsidR="0066667C">
        <w:t>C</w:t>
      </w:r>
      <w:r w:rsidRPr="00C6782D">
        <w:t>ontinue repeating the process until all indicators are met.</w:t>
      </w:r>
    </w:p>
    <w:p w14:paraId="66464DE5" w14:textId="03322B89" w:rsidR="00FE1E85" w:rsidRPr="009822AB" w:rsidRDefault="00FE1E85" w:rsidP="00664710">
      <w:pPr>
        <w:pStyle w:val="Heading1"/>
      </w:pPr>
      <w:bookmarkStart w:id="3" w:name="_Toc103096620"/>
      <w:r w:rsidRPr="009822AB">
        <w:t xml:space="preserve">Next </w:t>
      </w:r>
      <w:r w:rsidR="00CE2CC0">
        <w:t>s</w:t>
      </w:r>
      <w:r w:rsidRPr="009822AB">
        <w:t>teps</w:t>
      </w:r>
      <w:bookmarkEnd w:id="3"/>
      <w:r w:rsidRPr="009822AB">
        <w:t xml:space="preserve"> </w:t>
      </w:r>
    </w:p>
    <w:p w14:paraId="245731A3" w14:textId="100544A6" w:rsidR="00FE1E85" w:rsidRDefault="00FE1E85" w:rsidP="00EE7878">
      <w:pPr>
        <w:pStyle w:val="Body"/>
        <w:rPr>
          <w:b/>
          <w:bCs/>
        </w:rPr>
      </w:pPr>
      <w:r w:rsidRPr="00C6782D">
        <w:rPr>
          <w:b/>
          <w:bCs/>
        </w:rPr>
        <w:t xml:space="preserve">Phase 3: Action </w:t>
      </w:r>
      <w:r w:rsidR="0066667C">
        <w:rPr>
          <w:b/>
          <w:bCs/>
        </w:rPr>
        <w:t>p</w:t>
      </w:r>
      <w:r w:rsidRPr="00C6782D">
        <w:rPr>
          <w:b/>
          <w:bCs/>
        </w:rPr>
        <w:t xml:space="preserve">lan – </w:t>
      </w:r>
      <w:r w:rsidRPr="00C6782D">
        <w:t xml:space="preserve">Once you have assessed progress against the indicators for </w:t>
      </w:r>
      <w:r w:rsidR="00C91590">
        <w:t>LGBTIQA+</w:t>
      </w:r>
      <w:r w:rsidRPr="00C6782D">
        <w:t xml:space="preserve"> inclusion, plan activities to address </w:t>
      </w:r>
      <w:r w:rsidRPr="00EE7878">
        <w:t>areas</w:t>
      </w:r>
      <w:r w:rsidRPr="00C6782D">
        <w:t xml:space="preserve"> for improvement or sustainability. Revisit the evaluation tool </w:t>
      </w:r>
      <w:r w:rsidR="0066667C">
        <w:t xml:space="preserve">after </w:t>
      </w:r>
      <w:r w:rsidRPr="00C6782D">
        <w:t>completi</w:t>
      </w:r>
      <w:r w:rsidR="0066667C">
        <w:t>ng</w:t>
      </w:r>
      <w:r w:rsidRPr="00C6782D">
        <w:t xml:space="preserve"> activities. When all applicable indicators </w:t>
      </w:r>
      <w:r w:rsidRPr="00283519">
        <w:t>that can be met</w:t>
      </w:r>
      <w:r>
        <w:t xml:space="preserve"> </w:t>
      </w:r>
      <w:r w:rsidRPr="00C6782D">
        <w:t xml:space="preserve">are met, consider completing the Rainbow Ready </w:t>
      </w:r>
      <w:r w:rsidR="0066667C">
        <w:t>s</w:t>
      </w:r>
      <w:r w:rsidRPr="00C6782D">
        <w:t xml:space="preserve">tatus </w:t>
      </w:r>
      <w:r w:rsidR="0066667C">
        <w:t>c</w:t>
      </w:r>
      <w:r w:rsidRPr="00C6782D">
        <w:t xml:space="preserve">hecklist under </w:t>
      </w:r>
      <w:r w:rsidRPr="00C6782D">
        <w:rPr>
          <w:b/>
          <w:bCs/>
        </w:rPr>
        <w:t xml:space="preserve">Phase 6: </w:t>
      </w:r>
      <w:r w:rsidR="008328D3">
        <w:rPr>
          <w:b/>
          <w:bCs/>
        </w:rPr>
        <w:t>Checklist</w:t>
      </w:r>
      <w:r w:rsidRPr="00E143BC">
        <w:t>.</w:t>
      </w:r>
      <w:r w:rsidRPr="00C6782D">
        <w:rPr>
          <w:b/>
          <w:bCs/>
        </w:rPr>
        <w:t xml:space="preserve"> </w:t>
      </w:r>
    </w:p>
    <w:p w14:paraId="7F8FCF19" w14:textId="77777777" w:rsidR="008A1D58" w:rsidRDefault="008A1D58">
      <w:pPr>
        <w:spacing w:after="0" w:line="240" w:lineRule="auto"/>
        <w:rPr>
          <w:rFonts w:eastAsia="MS Gothic" w:cs="Arial"/>
          <w:bCs/>
          <w:color w:val="201547"/>
          <w:kern w:val="32"/>
          <w:sz w:val="44"/>
          <w:szCs w:val="44"/>
        </w:rPr>
      </w:pPr>
      <w:bookmarkStart w:id="4" w:name="_Toc103096621"/>
      <w:r>
        <w:br w:type="page"/>
      </w:r>
    </w:p>
    <w:p w14:paraId="23111368" w14:textId="636D9F94" w:rsidR="00FE1E85" w:rsidRPr="00C6782D" w:rsidRDefault="00FE1E85" w:rsidP="00664710">
      <w:pPr>
        <w:pStyle w:val="Heading1"/>
      </w:pPr>
      <w:r w:rsidRPr="00C6782D">
        <w:t xml:space="preserve">Rainbow Ready </w:t>
      </w:r>
      <w:r w:rsidR="00CE2CC0">
        <w:t>r</w:t>
      </w:r>
      <w:r w:rsidRPr="00C6782D">
        <w:t xml:space="preserve">oadmap – </w:t>
      </w:r>
      <w:r w:rsidR="00CE2CC0">
        <w:t>e</w:t>
      </w:r>
      <w:r w:rsidRPr="00C6782D">
        <w:t>valuation</w:t>
      </w:r>
      <w:bookmarkEnd w:id="4"/>
    </w:p>
    <w:p w14:paraId="57A272C0" w14:textId="4D40C90B" w:rsidR="008A1D58" w:rsidRDefault="000435B7" w:rsidP="000435B7">
      <w:pPr>
        <w:pStyle w:val="Body"/>
      </w:pPr>
      <w:r>
        <w:t>Provide your responses in the right-hand column.</w:t>
      </w:r>
    </w:p>
    <w:tbl>
      <w:tblPr>
        <w:tblStyle w:val="TableGrid"/>
        <w:tblW w:w="5000" w:type="pct"/>
        <w:tblLook w:val="0680" w:firstRow="0" w:lastRow="0" w:firstColumn="1" w:lastColumn="0" w:noHBand="1" w:noVBand="1"/>
      </w:tblPr>
      <w:tblGrid>
        <w:gridCol w:w="3377"/>
        <w:gridCol w:w="6817"/>
      </w:tblGrid>
      <w:tr w:rsidR="008A1D58" w14:paraId="31806DB3" w14:textId="77777777" w:rsidTr="005104AA">
        <w:tc>
          <w:tcPr>
            <w:tcW w:w="3055" w:type="dxa"/>
          </w:tcPr>
          <w:p w14:paraId="0E1906AC" w14:textId="643DB766" w:rsidR="008A1D58" w:rsidRDefault="008A1D58" w:rsidP="005104AA">
            <w:pPr>
              <w:pStyle w:val="Tablecolhead"/>
            </w:pPr>
            <w:r>
              <w:t>Name of organisation/group/service:</w:t>
            </w:r>
          </w:p>
        </w:tc>
        <w:tc>
          <w:tcPr>
            <w:tcW w:w="7139" w:type="dxa"/>
            <w:shd w:val="clear" w:color="auto" w:fill="F2F2F2" w:themeFill="background1" w:themeFillShade="F2"/>
          </w:tcPr>
          <w:p w14:paraId="71219C91" w14:textId="77777777" w:rsidR="008A1D58" w:rsidRDefault="008A1D58" w:rsidP="005104AA">
            <w:pPr>
              <w:pStyle w:val="Tabletext"/>
            </w:pPr>
          </w:p>
        </w:tc>
      </w:tr>
      <w:tr w:rsidR="008A1D58" w14:paraId="7E2F5C39" w14:textId="77777777" w:rsidTr="005104AA">
        <w:tc>
          <w:tcPr>
            <w:tcW w:w="3055" w:type="dxa"/>
          </w:tcPr>
          <w:p w14:paraId="26FD2BCB" w14:textId="7EFD264E" w:rsidR="008A1D58" w:rsidRDefault="008A1D58" w:rsidP="005104AA">
            <w:pPr>
              <w:pStyle w:val="Tablecolhead"/>
            </w:pPr>
            <w:r>
              <w:t>Date</w:t>
            </w:r>
            <w:r w:rsidR="000435B7">
              <w:t>:</w:t>
            </w:r>
          </w:p>
        </w:tc>
        <w:tc>
          <w:tcPr>
            <w:tcW w:w="7139" w:type="dxa"/>
            <w:shd w:val="clear" w:color="auto" w:fill="F2F2F2" w:themeFill="background1" w:themeFillShade="F2"/>
          </w:tcPr>
          <w:p w14:paraId="5985D453" w14:textId="77777777" w:rsidR="008A1D58" w:rsidRDefault="008A1D58" w:rsidP="005104AA">
            <w:pPr>
              <w:pStyle w:val="Tabletext"/>
            </w:pPr>
          </w:p>
        </w:tc>
      </w:tr>
      <w:tr w:rsidR="008A1D58" w14:paraId="6505B829" w14:textId="77777777" w:rsidTr="005104AA">
        <w:tc>
          <w:tcPr>
            <w:tcW w:w="3055" w:type="dxa"/>
          </w:tcPr>
          <w:p w14:paraId="79F2025F" w14:textId="551EDAFC" w:rsidR="008A1D58" w:rsidRDefault="000435B7" w:rsidP="005104AA">
            <w:pPr>
              <w:pStyle w:val="Tablecolhead"/>
            </w:pPr>
            <w:r w:rsidRPr="007A7A0C">
              <w:rPr>
                <w:rStyle w:val="BodyChar"/>
                <w:rFonts w:cs="Arial"/>
                <w:szCs w:val="21"/>
              </w:rPr>
              <w:t>Evaluator names</w:t>
            </w:r>
            <w:r>
              <w:rPr>
                <w:rStyle w:val="BodyChar"/>
                <w:rFonts w:cs="Arial"/>
                <w:szCs w:val="21"/>
              </w:rPr>
              <w:t>:</w:t>
            </w:r>
          </w:p>
        </w:tc>
        <w:tc>
          <w:tcPr>
            <w:tcW w:w="7139" w:type="dxa"/>
            <w:shd w:val="clear" w:color="auto" w:fill="F2F2F2" w:themeFill="background1" w:themeFillShade="F2"/>
          </w:tcPr>
          <w:p w14:paraId="5451E687" w14:textId="77777777" w:rsidR="008A1D58" w:rsidRDefault="008A1D58" w:rsidP="005104AA">
            <w:pPr>
              <w:pStyle w:val="Tabletext"/>
            </w:pPr>
          </w:p>
        </w:tc>
      </w:tr>
      <w:tr w:rsidR="008A1D58" w14:paraId="3778F39A" w14:textId="77777777" w:rsidTr="005104AA">
        <w:tc>
          <w:tcPr>
            <w:tcW w:w="3055" w:type="dxa"/>
          </w:tcPr>
          <w:p w14:paraId="2776E50C" w14:textId="79A5689D" w:rsidR="008A1D58" w:rsidRDefault="000435B7" w:rsidP="005104AA">
            <w:pPr>
              <w:pStyle w:val="Tablecolhead"/>
            </w:pPr>
            <w:r w:rsidRPr="00E42119">
              <w:t xml:space="preserve">Purpose of this </w:t>
            </w:r>
            <w:r>
              <w:t>evaluation:</w:t>
            </w:r>
          </w:p>
        </w:tc>
        <w:tc>
          <w:tcPr>
            <w:tcW w:w="7139" w:type="dxa"/>
            <w:shd w:val="clear" w:color="auto" w:fill="F2F2F2" w:themeFill="background1" w:themeFillShade="F2"/>
          </w:tcPr>
          <w:p w14:paraId="173DC345" w14:textId="77777777" w:rsidR="008A1D58" w:rsidRDefault="008A1D58" w:rsidP="005104AA">
            <w:pPr>
              <w:pStyle w:val="Tabletext"/>
            </w:pPr>
          </w:p>
        </w:tc>
      </w:tr>
      <w:tr w:rsidR="008A1D58" w14:paraId="6026BC2E" w14:textId="77777777" w:rsidTr="005104AA">
        <w:tc>
          <w:tcPr>
            <w:tcW w:w="3055" w:type="dxa"/>
          </w:tcPr>
          <w:p w14:paraId="36262400" w14:textId="0F1271D4" w:rsidR="008A1D58" w:rsidRDefault="000435B7" w:rsidP="005104AA">
            <w:pPr>
              <w:pStyle w:val="Tablecolhead"/>
            </w:pPr>
            <w:r w:rsidRPr="00E42119">
              <w:t xml:space="preserve">Communication plan to share </w:t>
            </w:r>
            <w:r>
              <w:t>evaluation</w:t>
            </w:r>
            <w:r w:rsidRPr="00E42119">
              <w:t xml:space="preserve"> results</w:t>
            </w:r>
            <w:r>
              <w:t>:</w:t>
            </w:r>
          </w:p>
        </w:tc>
        <w:tc>
          <w:tcPr>
            <w:tcW w:w="7139" w:type="dxa"/>
            <w:shd w:val="clear" w:color="auto" w:fill="F2F2F2" w:themeFill="background1" w:themeFillShade="F2"/>
          </w:tcPr>
          <w:p w14:paraId="703FF1A8" w14:textId="77777777" w:rsidR="008A1D58" w:rsidRDefault="008A1D58" w:rsidP="005104AA">
            <w:pPr>
              <w:pStyle w:val="Tabletext"/>
            </w:pPr>
          </w:p>
        </w:tc>
      </w:tr>
    </w:tbl>
    <w:p w14:paraId="61008CFD" w14:textId="27F3C81B" w:rsidR="008A1D58" w:rsidRDefault="008A1D58" w:rsidP="008A1D58">
      <w:pPr>
        <w:pStyle w:val="Heading2"/>
      </w:pPr>
      <w:r>
        <w:t>Indicator ratings and areas for improvement</w:t>
      </w:r>
    </w:p>
    <w:p w14:paraId="0DC1087F" w14:textId="0D5BF0C4" w:rsidR="008A1D58" w:rsidRDefault="008A1D58" w:rsidP="00081956">
      <w:pPr>
        <w:pStyle w:val="Body"/>
      </w:pPr>
      <w:r>
        <w:t>Provide your responses in the right-hand column of each table below.</w:t>
      </w:r>
    </w:p>
    <w:p w14:paraId="717E059E" w14:textId="4F5BBF27" w:rsidR="002E7611" w:rsidRDefault="007A3B5E" w:rsidP="00081956">
      <w:pPr>
        <w:pStyle w:val="Body"/>
      </w:pPr>
      <w:r>
        <w:t>For each indicator, type either ‘Not met’, ‘Partly met’, ‘Met’ or ‘Unable to meet’ in the ‘Rating’ field based on the following descriptions:</w:t>
      </w:r>
    </w:p>
    <w:p w14:paraId="187645E0" w14:textId="496D8236" w:rsidR="007A3B5E" w:rsidRDefault="007A3B5E" w:rsidP="007A3B5E">
      <w:pPr>
        <w:pStyle w:val="Bullet1"/>
      </w:pPr>
      <w:r>
        <w:t>Not met – further actions and steps are required to address this indicator</w:t>
      </w:r>
      <w:r w:rsidR="000435B7">
        <w:t>.</w:t>
      </w:r>
      <w:r>
        <w:t xml:space="preserve"> </w:t>
      </w:r>
    </w:p>
    <w:p w14:paraId="0C635627" w14:textId="50F2697E" w:rsidR="007A3B5E" w:rsidRDefault="007A3B5E" w:rsidP="007A3B5E">
      <w:pPr>
        <w:pStyle w:val="Bullet1"/>
      </w:pPr>
      <w:r>
        <w:t>Partly met – there has been some progress towards meeting this indicator, but there are identifiable areas for improvement</w:t>
      </w:r>
      <w:r w:rsidR="000435B7">
        <w:t>.</w:t>
      </w:r>
    </w:p>
    <w:p w14:paraId="59ECDD59" w14:textId="0ACA9BBE" w:rsidR="007A3B5E" w:rsidRDefault="007A3B5E" w:rsidP="007A3B5E">
      <w:pPr>
        <w:pStyle w:val="Bullet1"/>
      </w:pPr>
      <w:r>
        <w:t>Met – sufficient evidence demonstrates that this indicator has been achieved</w:t>
      </w:r>
      <w:r w:rsidR="000435B7">
        <w:t>.</w:t>
      </w:r>
    </w:p>
    <w:p w14:paraId="0DD5A768" w14:textId="6EF48E99" w:rsidR="007A3B5E" w:rsidRDefault="007A3B5E" w:rsidP="007A3B5E">
      <w:pPr>
        <w:pStyle w:val="Bullet1"/>
      </w:pPr>
      <w:r>
        <w:t>Unable to be met – for reasons provided in the 'evidence' section, this indicator cannot be met.</w:t>
      </w:r>
    </w:p>
    <w:p w14:paraId="38128466" w14:textId="6B7951D4" w:rsidR="002E7611" w:rsidRDefault="002E7611" w:rsidP="008A1D58">
      <w:pPr>
        <w:pStyle w:val="Heading3"/>
      </w:pPr>
      <w:r>
        <w:t>Indicator 1</w:t>
      </w:r>
    </w:p>
    <w:tbl>
      <w:tblPr>
        <w:tblStyle w:val="TableGrid"/>
        <w:tblW w:w="5000" w:type="pct"/>
        <w:tblLook w:val="0680" w:firstRow="0" w:lastRow="0" w:firstColumn="1" w:lastColumn="0" w:noHBand="1" w:noVBand="1"/>
      </w:tblPr>
      <w:tblGrid>
        <w:gridCol w:w="3055"/>
        <w:gridCol w:w="7139"/>
      </w:tblGrid>
      <w:tr w:rsidR="007A3B5E" w14:paraId="7005D8C1" w14:textId="77777777" w:rsidTr="008A1D58">
        <w:tc>
          <w:tcPr>
            <w:tcW w:w="3055" w:type="dxa"/>
          </w:tcPr>
          <w:p w14:paraId="736DFF85" w14:textId="51179410" w:rsidR="007A3B5E" w:rsidRDefault="007A3B5E" w:rsidP="007A3B5E">
            <w:pPr>
              <w:pStyle w:val="Tablecolhead"/>
            </w:pPr>
            <w:r w:rsidRPr="00E42119">
              <w:t>Indicator</w:t>
            </w:r>
          </w:p>
        </w:tc>
        <w:tc>
          <w:tcPr>
            <w:tcW w:w="7139" w:type="dxa"/>
            <w:shd w:val="clear" w:color="auto" w:fill="F2F2F2" w:themeFill="background1" w:themeFillShade="F2"/>
          </w:tcPr>
          <w:p w14:paraId="5DF08AB3" w14:textId="77777777" w:rsidR="007A3B5E" w:rsidRDefault="007A3B5E" w:rsidP="007A3B5E">
            <w:pPr>
              <w:pStyle w:val="Tabletext"/>
            </w:pPr>
          </w:p>
        </w:tc>
      </w:tr>
      <w:tr w:rsidR="007A3B5E" w14:paraId="2C40D072" w14:textId="77777777" w:rsidTr="008A1D58">
        <w:tc>
          <w:tcPr>
            <w:tcW w:w="3055" w:type="dxa"/>
          </w:tcPr>
          <w:p w14:paraId="2B595B40" w14:textId="14118B9E" w:rsidR="007A3B5E" w:rsidRDefault="007A3B5E" w:rsidP="007A3B5E">
            <w:pPr>
              <w:pStyle w:val="Tablecolhead"/>
            </w:pPr>
            <w:r w:rsidRPr="752E1A5E">
              <w:t>Rating</w:t>
            </w:r>
          </w:p>
        </w:tc>
        <w:tc>
          <w:tcPr>
            <w:tcW w:w="7139" w:type="dxa"/>
            <w:shd w:val="clear" w:color="auto" w:fill="F2F2F2" w:themeFill="background1" w:themeFillShade="F2"/>
          </w:tcPr>
          <w:p w14:paraId="1E0E78E6" w14:textId="77777777" w:rsidR="007A3B5E" w:rsidRDefault="007A3B5E" w:rsidP="007A3B5E">
            <w:pPr>
              <w:pStyle w:val="Tabletext"/>
            </w:pPr>
          </w:p>
        </w:tc>
      </w:tr>
      <w:tr w:rsidR="007A3B5E" w14:paraId="39C35F0D" w14:textId="77777777" w:rsidTr="008A1D58">
        <w:tc>
          <w:tcPr>
            <w:tcW w:w="3055" w:type="dxa"/>
          </w:tcPr>
          <w:p w14:paraId="4D89646E" w14:textId="46FD4972" w:rsidR="007A3B5E" w:rsidRDefault="007A3B5E" w:rsidP="007A3B5E">
            <w:pPr>
              <w:pStyle w:val="Tablecolhead"/>
            </w:pPr>
            <w:r>
              <w:t>Achievements</w:t>
            </w:r>
          </w:p>
        </w:tc>
        <w:tc>
          <w:tcPr>
            <w:tcW w:w="7139" w:type="dxa"/>
            <w:shd w:val="clear" w:color="auto" w:fill="F2F2F2" w:themeFill="background1" w:themeFillShade="F2"/>
          </w:tcPr>
          <w:p w14:paraId="2ADEA096" w14:textId="77777777" w:rsidR="007A3B5E" w:rsidRDefault="007A3B5E" w:rsidP="007A3B5E">
            <w:pPr>
              <w:pStyle w:val="Tabletext"/>
            </w:pPr>
          </w:p>
        </w:tc>
      </w:tr>
      <w:tr w:rsidR="007A3B5E" w14:paraId="5F46EFAC" w14:textId="77777777" w:rsidTr="008A1D58">
        <w:tc>
          <w:tcPr>
            <w:tcW w:w="3055" w:type="dxa"/>
          </w:tcPr>
          <w:p w14:paraId="17225748" w14:textId="16C3AB39" w:rsidR="007A3B5E" w:rsidRDefault="007A3B5E" w:rsidP="007A3B5E">
            <w:pPr>
              <w:pStyle w:val="Tablecolhead"/>
            </w:pPr>
            <w:r>
              <w:t>Areas for improvement</w:t>
            </w:r>
          </w:p>
        </w:tc>
        <w:tc>
          <w:tcPr>
            <w:tcW w:w="7139" w:type="dxa"/>
            <w:shd w:val="clear" w:color="auto" w:fill="F2F2F2" w:themeFill="background1" w:themeFillShade="F2"/>
          </w:tcPr>
          <w:p w14:paraId="1B7B2BAB" w14:textId="77777777" w:rsidR="007A3B5E" w:rsidRDefault="007A3B5E" w:rsidP="007A3B5E">
            <w:pPr>
              <w:pStyle w:val="Tabletext"/>
            </w:pPr>
          </w:p>
        </w:tc>
      </w:tr>
      <w:tr w:rsidR="007A3B5E" w14:paraId="3F9248AE" w14:textId="77777777" w:rsidTr="008A1D58">
        <w:tc>
          <w:tcPr>
            <w:tcW w:w="3055" w:type="dxa"/>
          </w:tcPr>
          <w:p w14:paraId="3F658E4C" w14:textId="20B8369F" w:rsidR="007A3B5E" w:rsidRDefault="007A3B5E" w:rsidP="007A3B5E">
            <w:pPr>
              <w:pStyle w:val="Tablecolhead"/>
            </w:pPr>
            <w:r>
              <w:t>Supporting evidence</w:t>
            </w:r>
          </w:p>
        </w:tc>
        <w:tc>
          <w:tcPr>
            <w:tcW w:w="7139" w:type="dxa"/>
            <w:shd w:val="clear" w:color="auto" w:fill="F2F2F2" w:themeFill="background1" w:themeFillShade="F2"/>
          </w:tcPr>
          <w:p w14:paraId="3610DA45" w14:textId="77777777" w:rsidR="007A3B5E" w:rsidRDefault="007A3B5E" w:rsidP="007A3B5E">
            <w:pPr>
              <w:pStyle w:val="Tabletext"/>
            </w:pPr>
          </w:p>
        </w:tc>
      </w:tr>
    </w:tbl>
    <w:p w14:paraId="5181FC50" w14:textId="779DF1BA" w:rsidR="008A1D58" w:rsidRDefault="008A1D58" w:rsidP="008A1D58">
      <w:pPr>
        <w:pStyle w:val="Heading3"/>
      </w:pPr>
      <w:r>
        <w:t>Indicator 2</w:t>
      </w:r>
    </w:p>
    <w:tbl>
      <w:tblPr>
        <w:tblStyle w:val="TableGrid"/>
        <w:tblW w:w="5000" w:type="pct"/>
        <w:tblLook w:val="0680" w:firstRow="0" w:lastRow="0" w:firstColumn="1" w:lastColumn="0" w:noHBand="1" w:noVBand="1"/>
      </w:tblPr>
      <w:tblGrid>
        <w:gridCol w:w="3055"/>
        <w:gridCol w:w="7139"/>
      </w:tblGrid>
      <w:tr w:rsidR="008A1D58" w14:paraId="2A94888C" w14:textId="77777777" w:rsidTr="008A1D58">
        <w:tc>
          <w:tcPr>
            <w:tcW w:w="3055" w:type="dxa"/>
          </w:tcPr>
          <w:p w14:paraId="02B96621" w14:textId="77777777" w:rsidR="008A1D58" w:rsidRDefault="008A1D58" w:rsidP="005104AA">
            <w:pPr>
              <w:pStyle w:val="Tablecolhead"/>
            </w:pPr>
            <w:r w:rsidRPr="00E42119">
              <w:t>Indicator</w:t>
            </w:r>
          </w:p>
        </w:tc>
        <w:tc>
          <w:tcPr>
            <w:tcW w:w="7139" w:type="dxa"/>
            <w:shd w:val="clear" w:color="auto" w:fill="F2F2F2" w:themeFill="background1" w:themeFillShade="F2"/>
          </w:tcPr>
          <w:p w14:paraId="1D8FA408" w14:textId="77777777" w:rsidR="008A1D58" w:rsidRDefault="008A1D58" w:rsidP="005104AA">
            <w:pPr>
              <w:pStyle w:val="Tabletext"/>
            </w:pPr>
          </w:p>
        </w:tc>
      </w:tr>
      <w:tr w:rsidR="008A1D58" w14:paraId="4F3E6245" w14:textId="77777777" w:rsidTr="008A1D58">
        <w:tc>
          <w:tcPr>
            <w:tcW w:w="3055" w:type="dxa"/>
          </w:tcPr>
          <w:p w14:paraId="1F4731D6" w14:textId="77777777" w:rsidR="008A1D58" w:rsidRDefault="008A1D58" w:rsidP="005104AA">
            <w:pPr>
              <w:pStyle w:val="Tablecolhead"/>
            </w:pPr>
            <w:r w:rsidRPr="752E1A5E">
              <w:t>Rating</w:t>
            </w:r>
          </w:p>
        </w:tc>
        <w:tc>
          <w:tcPr>
            <w:tcW w:w="7139" w:type="dxa"/>
            <w:shd w:val="clear" w:color="auto" w:fill="F2F2F2" w:themeFill="background1" w:themeFillShade="F2"/>
          </w:tcPr>
          <w:p w14:paraId="094FA375" w14:textId="77777777" w:rsidR="008A1D58" w:rsidRDefault="008A1D58" w:rsidP="005104AA">
            <w:pPr>
              <w:pStyle w:val="Tabletext"/>
            </w:pPr>
          </w:p>
        </w:tc>
      </w:tr>
      <w:tr w:rsidR="008A1D58" w14:paraId="55A0B549" w14:textId="77777777" w:rsidTr="008A1D58">
        <w:tc>
          <w:tcPr>
            <w:tcW w:w="3055" w:type="dxa"/>
          </w:tcPr>
          <w:p w14:paraId="274CD5B2" w14:textId="77777777" w:rsidR="008A1D58" w:rsidRDefault="008A1D58" w:rsidP="005104AA">
            <w:pPr>
              <w:pStyle w:val="Tablecolhead"/>
            </w:pPr>
            <w:r>
              <w:t>Achievements</w:t>
            </w:r>
          </w:p>
        </w:tc>
        <w:tc>
          <w:tcPr>
            <w:tcW w:w="7139" w:type="dxa"/>
            <w:shd w:val="clear" w:color="auto" w:fill="F2F2F2" w:themeFill="background1" w:themeFillShade="F2"/>
          </w:tcPr>
          <w:p w14:paraId="49AEE554" w14:textId="77777777" w:rsidR="008A1D58" w:rsidRDefault="008A1D58" w:rsidP="005104AA">
            <w:pPr>
              <w:pStyle w:val="Tabletext"/>
            </w:pPr>
          </w:p>
        </w:tc>
      </w:tr>
      <w:tr w:rsidR="008A1D58" w14:paraId="2FABD051" w14:textId="77777777" w:rsidTr="008A1D58">
        <w:tc>
          <w:tcPr>
            <w:tcW w:w="3055" w:type="dxa"/>
          </w:tcPr>
          <w:p w14:paraId="11578F55" w14:textId="77777777" w:rsidR="008A1D58" w:rsidRDefault="008A1D58" w:rsidP="005104AA">
            <w:pPr>
              <w:pStyle w:val="Tablecolhead"/>
            </w:pPr>
            <w:r>
              <w:t>Areas for improvement</w:t>
            </w:r>
          </w:p>
        </w:tc>
        <w:tc>
          <w:tcPr>
            <w:tcW w:w="7139" w:type="dxa"/>
            <w:shd w:val="clear" w:color="auto" w:fill="F2F2F2" w:themeFill="background1" w:themeFillShade="F2"/>
          </w:tcPr>
          <w:p w14:paraId="6722733D" w14:textId="77777777" w:rsidR="008A1D58" w:rsidRDefault="008A1D58" w:rsidP="005104AA">
            <w:pPr>
              <w:pStyle w:val="Tabletext"/>
            </w:pPr>
          </w:p>
        </w:tc>
      </w:tr>
      <w:tr w:rsidR="008A1D58" w14:paraId="47736338" w14:textId="77777777" w:rsidTr="008A1D58">
        <w:tc>
          <w:tcPr>
            <w:tcW w:w="3055" w:type="dxa"/>
          </w:tcPr>
          <w:p w14:paraId="6D636F24" w14:textId="77777777" w:rsidR="008A1D58" w:rsidRDefault="008A1D58" w:rsidP="005104AA">
            <w:pPr>
              <w:pStyle w:val="Tablecolhead"/>
            </w:pPr>
            <w:r>
              <w:t>Supporting evidence</w:t>
            </w:r>
          </w:p>
        </w:tc>
        <w:tc>
          <w:tcPr>
            <w:tcW w:w="7139" w:type="dxa"/>
            <w:shd w:val="clear" w:color="auto" w:fill="F2F2F2" w:themeFill="background1" w:themeFillShade="F2"/>
          </w:tcPr>
          <w:p w14:paraId="1AABAF5E" w14:textId="77777777" w:rsidR="008A1D58" w:rsidRDefault="008A1D58" w:rsidP="005104AA">
            <w:pPr>
              <w:pStyle w:val="Tabletext"/>
            </w:pPr>
          </w:p>
        </w:tc>
      </w:tr>
    </w:tbl>
    <w:p w14:paraId="3E5ECCE1" w14:textId="5EE47B7C" w:rsidR="008A1D58" w:rsidRDefault="008A1D58" w:rsidP="008A1D58">
      <w:pPr>
        <w:pStyle w:val="Heading3"/>
      </w:pPr>
      <w:r>
        <w:t>Indicator 3</w:t>
      </w:r>
    </w:p>
    <w:tbl>
      <w:tblPr>
        <w:tblStyle w:val="TableGrid"/>
        <w:tblW w:w="5000" w:type="pct"/>
        <w:tblLook w:val="0680" w:firstRow="0" w:lastRow="0" w:firstColumn="1" w:lastColumn="0" w:noHBand="1" w:noVBand="1"/>
      </w:tblPr>
      <w:tblGrid>
        <w:gridCol w:w="3055"/>
        <w:gridCol w:w="7139"/>
      </w:tblGrid>
      <w:tr w:rsidR="008A1D58" w14:paraId="331534E6" w14:textId="77777777" w:rsidTr="008A1D58">
        <w:tc>
          <w:tcPr>
            <w:tcW w:w="3055" w:type="dxa"/>
          </w:tcPr>
          <w:p w14:paraId="55E69C91" w14:textId="77777777" w:rsidR="008A1D58" w:rsidRDefault="008A1D58" w:rsidP="005104AA">
            <w:pPr>
              <w:pStyle w:val="Tablecolhead"/>
            </w:pPr>
            <w:r w:rsidRPr="00E42119">
              <w:t>Indicator</w:t>
            </w:r>
          </w:p>
        </w:tc>
        <w:tc>
          <w:tcPr>
            <w:tcW w:w="7139" w:type="dxa"/>
            <w:shd w:val="clear" w:color="auto" w:fill="F2F2F2" w:themeFill="background1" w:themeFillShade="F2"/>
          </w:tcPr>
          <w:p w14:paraId="0B1155CC" w14:textId="77777777" w:rsidR="008A1D58" w:rsidRDefault="008A1D58" w:rsidP="005104AA">
            <w:pPr>
              <w:pStyle w:val="Tabletext"/>
            </w:pPr>
          </w:p>
        </w:tc>
      </w:tr>
      <w:tr w:rsidR="008A1D58" w14:paraId="274E0343" w14:textId="77777777" w:rsidTr="008A1D58">
        <w:tc>
          <w:tcPr>
            <w:tcW w:w="3055" w:type="dxa"/>
          </w:tcPr>
          <w:p w14:paraId="4F9B2176" w14:textId="77777777" w:rsidR="008A1D58" w:rsidRDefault="008A1D58" w:rsidP="005104AA">
            <w:pPr>
              <w:pStyle w:val="Tablecolhead"/>
            </w:pPr>
            <w:r w:rsidRPr="752E1A5E">
              <w:t>Rating</w:t>
            </w:r>
          </w:p>
        </w:tc>
        <w:tc>
          <w:tcPr>
            <w:tcW w:w="7139" w:type="dxa"/>
            <w:shd w:val="clear" w:color="auto" w:fill="F2F2F2" w:themeFill="background1" w:themeFillShade="F2"/>
          </w:tcPr>
          <w:p w14:paraId="0D5F97C4" w14:textId="77777777" w:rsidR="008A1D58" w:rsidRDefault="008A1D58" w:rsidP="005104AA">
            <w:pPr>
              <w:pStyle w:val="Tabletext"/>
            </w:pPr>
          </w:p>
        </w:tc>
      </w:tr>
      <w:tr w:rsidR="008A1D58" w14:paraId="40A70A78" w14:textId="77777777" w:rsidTr="008A1D58">
        <w:tc>
          <w:tcPr>
            <w:tcW w:w="3055" w:type="dxa"/>
          </w:tcPr>
          <w:p w14:paraId="76DFD8A2" w14:textId="77777777" w:rsidR="008A1D58" w:rsidRDefault="008A1D58" w:rsidP="005104AA">
            <w:pPr>
              <w:pStyle w:val="Tablecolhead"/>
            </w:pPr>
            <w:r>
              <w:t>Achievements</w:t>
            </w:r>
          </w:p>
        </w:tc>
        <w:tc>
          <w:tcPr>
            <w:tcW w:w="7139" w:type="dxa"/>
            <w:shd w:val="clear" w:color="auto" w:fill="F2F2F2" w:themeFill="background1" w:themeFillShade="F2"/>
          </w:tcPr>
          <w:p w14:paraId="0486C102" w14:textId="77777777" w:rsidR="008A1D58" w:rsidRDefault="008A1D58" w:rsidP="005104AA">
            <w:pPr>
              <w:pStyle w:val="Tabletext"/>
            </w:pPr>
          </w:p>
        </w:tc>
      </w:tr>
      <w:tr w:rsidR="008A1D58" w14:paraId="71971AEC" w14:textId="77777777" w:rsidTr="008A1D58">
        <w:tc>
          <w:tcPr>
            <w:tcW w:w="3055" w:type="dxa"/>
          </w:tcPr>
          <w:p w14:paraId="634985E4" w14:textId="77777777" w:rsidR="008A1D58" w:rsidRDefault="008A1D58" w:rsidP="005104AA">
            <w:pPr>
              <w:pStyle w:val="Tablecolhead"/>
            </w:pPr>
            <w:r>
              <w:t>Areas for improvement</w:t>
            </w:r>
          </w:p>
        </w:tc>
        <w:tc>
          <w:tcPr>
            <w:tcW w:w="7139" w:type="dxa"/>
            <w:shd w:val="clear" w:color="auto" w:fill="F2F2F2" w:themeFill="background1" w:themeFillShade="F2"/>
          </w:tcPr>
          <w:p w14:paraId="16A2760A" w14:textId="77777777" w:rsidR="008A1D58" w:rsidRDefault="008A1D58" w:rsidP="005104AA">
            <w:pPr>
              <w:pStyle w:val="Tabletext"/>
            </w:pPr>
          </w:p>
        </w:tc>
      </w:tr>
      <w:tr w:rsidR="008A1D58" w14:paraId="2DA25B95" w14:textId="77777777" w:rsidTr="008A1D58">
        <w:tc>
          <w:tcPr>
            <w:tcW w:w="3055" w:type="dxa"/>
          </w:tcPr>
          <w:p w14:paraId="4CF0BFE7" w14:textId="77777777" w:rsidR="008A1D58" w:rsidRDefault="008A1D58" w:rsidP="005104AA">
            <w:pPr>
              <w:pStyle w:val="Tablecolhead"/>
            </w:pPr>
            <w:r>
              <w:t>Supporting evidence</w:t>
            </w:r>
          </w:p>
        </w:tc>
        <w:tc>
          <w:tcPr>
            <w:tcW w:w="7139" w:type="dxa"/>
            <w:shd w:val="clear" w:color="auto" w:fill="F2F2F2" w:themeFill="background1" w:themeFillShade="F2"/>
          </w:tcPr>
          <w:p w14:paraId="4AFED79C" w14:textId="77777777" w:rsidR="008A1D58" w:rsidRDefault="008A1D58" w:rsidP="005104AA">
            <w:pPr>
              <w:pStyle w:val="Tabletext"/>
            </w:pPr>
          </w:p>
        </w:tc>
      </w:tr>
    </w:tbl>
    <w:p w14:paraId="436FE8E0" w14:textId="19011DFC" w:rsidR="008A1D58" w:rsidRDefault="008A1D58" w:rsidP="008A1D58">
      <w:pPr>
        <w:pStyle w:val="Heading3"/>
      </w:pPr>
      <w:r>
        <w:t>Indicator 4</w:t>
      </w:r>
    </w:p>
    <w:tbl>
      <w:tblPr>
        <w:tblStyle w:val="TableGrid"/>
        <w:tblW w:w="5000" w:type="pct"/>
        <w:tblLook w:val="0680" w:firstRow="0" w:lastRow="0" w:firstColumn="1" w:lastColumn="0" w:noHBand="1" w:noVBand="1"/>
      </w:tblPr>
      <w:tblGrid>
        <w:gridCol w:w="3055"/>
        <w:gridCol w:w="7139"/>
      </w:tblGrid>
      <w:tr w:rsidR="008A1D58" w14:paraId="1DD67EB5" w14:textId="77777777" w:rsidTr="008A1D58">
        <w:tc>
          <w:tcPr>
            <w:tcW w:w="3055" w:type="dxa"/>
          </w:tcPr>
          <w:p w14:paraId="37459F95" w14:textId="77777777" w:rsidR="008A1D58" w:rsidRDefault="008A1D58" w:rsidP="005104AA">
            <w:pPr>
              <w:pStyle w:val="Tablecolhead"/>
            </w:pPr>
            <w:r w:rsidRPr="00E42119">
              <w:t>Indicator</w:t>
            </w:r>
          </w:p>
        </w:tc>
        <w:tc>
          <w:tcPr>
            <w:tcW w:w="7139" w:type="dxa"/>
            <w:shd w:val="clear" w:color="auto" w:fill="F2F2F2" w:themeFill="background1" w:themeFillShade="F2"/>
          </w:tcPr>
          <w:p w14:paraId="0507F88A" w14:textId="77777777" w:rsidR="008A1D58" w:rsidRDefault="008A1D58" w:rsidP="005104AA">
            <w:pPr>
              <w:pStyle w:val="Tabletext"/>
            </w:pPr>
          </w:p>
        </w:tc>
      </w:tr>
      <w:tr w:rsidR="008A1D58" w14:paraId="6638C96F" w14:textId="77777777" w:rsidTr="008A1D58">
        <w:tc>
          <w:tcPr>
            <w:tcW w:w="3055" w:type="dxa"/>
          </w:tcPr>
          <w:p w14:paraId="48C79E8D" w14:textId="77777777" w:rsidR="008A1D58" w:rsidRDefault="008A1D58" w:rsidP="005104AA">
            <w:pPr>
              <w:pStyle w:val="Tablecolhead"/>
            </w:pPr>
            <w:r w:rsidRPr="752E1A5E">
              <w:t>Rating</w:t>
            </w:r>
          </w:p>
        </w:tc>
        <w:tc>
          <w:tcPr>
            <w:tcW w:w="7139" w:type="dxa"/>
            <w:shd w:val="clear" w:color="auto" w:fill="F2F2F2" w:themeFill="background1" w:themeFillShade="F2"/>
          </w:tcPr>
          <w:p w14:paraId="2D1A54ED" w14:textId="77777777" w:rsidR="008A1D58" w:rsidRDefault="008A1D58" w:rsidP="005104AA">
            <w:pPr>
              <w:pStyle w:val="Tabletext"/>
            </w:pPr>
          </w:p>
        </w:tc>
      </w:tr>
      <w:tr w:rsidR="008A1D58" w14:paraId="0822B2FD" w14:textId="77777777" w:rsidTr="008A1D58">
        <w:tc>
          <w:tcPr>
            <w:tcW w:w="3055" w:type="dxa"/>
          </w:tcPr>
          <w:p w14:paraId="2B949027" w14:textId="77777777" w:rsidR="008A1D58" w:rsidRDefault="008A1D58" w:rsidP="005104AA">
            <w:pPr>
              <w:pStyle w:val="Tablecolhead"/>
            </w:pPr>
            <w:r>
              <w:t>Achievements</w:t>
            </w:r>
          </w:p>
        </w:tc>
        <w:tc>
          <w:tcPr>
            <w:tcW w:w="7139" w:type="dxa"/>
            <w:shd w:val="clear" w:color="auto" w:fill="F2F2F2" w:themeFill="background1" w:themeFillShade="F2"/>
          </w:tcPr>
          <w:p w14:paraId="7D6AE010" w14:textId="77777777" w:rsidR="008A1D58" w:rsidRDefault="008A1D58" w:rsidP="005104AA">
            <w:pPr>
              <w:pStyle w:val="Tabletext"/>
            </w:pPr>
          </w:p>
        </w:tc>
      </w:tr>
      <w:tr w:rsidR="008A1D58" w14:paraId="37691011" w14:textId="77777777" w:rsidTr="008A1D58">
        <w:tc>
          <w:tcPr>
            <w:tcW w:w="3055" w:type="dxa"/>
          </w:tcPr>
          <w:p w14:paraId="36393A0D" w14:textId="77777777" w:rsidR="008A1D58" w:rsidRDefault="008A1D58" w:rsidP="005104AA">
            <w:pPr>
              <w:pStyle w:val="Tablecolhead"/>
            </w:pPr>
            <w:r>
              <w:t>Areas for improvement</w:t>
            </w:r>
          </w:p>
        </w:tc>
        <w:tc>
          <w:tcPr>
            <w:tcW w:w="7139" w:type="dxa"/>
            <w:shd w:val="clear" w:color="auto" w:fill="F2F2F2" w:themeFill="background1" w:themeFillShade="F2"/>
          </w:tcPr>
          <w:p w14:paraId="4C74C9A8" w14:textId="77777777" w:rsidR="008A1D58" w:rsidRDefault="008A1D58" w:rsidP="005104AA">
            <w:pPr>
              <w:pStyle w:val="Tabletext"/>
            </w:pPr>
          </w:p>
        </w:tc>
      </w:tr>
      <w:tr w:rsidR="008A1D58" w14:paraId="71FF3A4F" w14:textId="77777777" w:rsidTr="008A1D58">
        <w:tc>
          <w:tcPr>
            <w:tcW w:w="3055" w:type="dxa"/>
          </w:tcPr>
          <w:p w14:paraId="549A3471" w14:textId="77777777" w:rsidR="008A1D58" w:rsidRDefault="008A1D58" w:rsidP="005104AA">
            <w:pPr>
              <w:pStyle w:val="Tablecolhead"/>
            </w:pPr>
            <w:r>
              <w:t>Supporting evidence</w:t>
            </w:r>
          </w:p>
        </w:tc>
        <w:tc>
          <w:tcPr>
            <w:tcW w:w="7139" w:type="dxa"/>
            <w:shd w:val="clear" w:color="auto" w:fill="F2F2F2" w:themeFill="background1" w:themeFillShade="F2"/>
          </w:tcPr>
          <w:p w14:paraId="3ADAABD7" w14:textId="77777777" w:rsidR="008A1D58" w:rsidRDefault="008A1D58" w:rsidP="005104AA">
            <w:pPr>
              <w:pStyle w:val="Tabletext"/>
            </w:pPr>
          </w:p>
        </w:tc>
      </w:tr>
    </w:tbl>
    <w:p w14:paraId="5544594A" w14:textId="15778843" w:rsidR="008A1D58" w:rsidRDefault="008A1D58" w:rsidP="008A1D58">
      <w:pPr>
        <w:pStyle w:val="Heading3"/>
      </w:pPr>
      <w:r>
        <w:t>Indicator 5</w:t>
      </w:r>
    </w:p>
    <w:tbl>
      <w:tblPr>
        <w:tblStyle w:val="TableGrid"/>
        <w:tblW w:w="5000" w:type="pct"/>
        <w:tblLook w:val="0680" w:firstRow="0" w:lastRow="0" w:firstColumn="1" w:lastColumn="0" w:noHBand="1" w:noVBand="1"/>
      </w:tblPr>
      <w:tblGrid>
        <w:gridCol w:w="3055"/>
        <w:gridCol w:w="7139"/>
      </w:tblGrid>
      <w:tr w:rsidR="008A1D58" w14:paraId="6244F88D" w14:textId="77777777" w:rsidTr="008A1D58">
        <w:tc>
          <w:tcPr>
            <w:tcW w:w="3055" w:type="dxa"/>
          </w:tcPr>
          <w:p w14:paraId="3A22498B" w14:textId="77777777" w:rsidR="008A1D58" w:rsidRDefault="008A1D58" w:rsidP="005104AA">
            <w:pPr>
              <w:pStyle w:val="Tablecolhead"/>
            </w:pPr>
            <w:r w:rsidRPr="00E42119">
              <w:t>Indicator</w:t>
            </w:r>
          </w:p>
        </w:tc>
        <w:tc>
          <w:tcPr>
            <w:tcW w:w="7139" w:type="dxa"/>
            <w:shd w:val="clear" w:color="auto" w:fill="F2F2F2" w:themeFill="background1" w:themeFillShade="F2"/>
          </w:tcPr>
          <w:p w14:paraId="506C3548" w14:textId="77777777" w:rsidR="008A1D58" w:rsidRDefault="008A1D58" w:rsidP="005104AA">
            <w:pPr>
              <w:pStyle w:val="Tabletext"/>
            </w:pPr>
          </w:p>
        </w:tc>
      </w:tr>
      <w:tr w:rsidR="008A1D58" w14:paraId="2367B181" w14:textId="77777777" w:rsidTr="008A1D58">
        <w:tc>
          <w:tcPr>
            <w:tcW w:w="3055" w:type="dxa"/>
          </w:tcPr>
          <w:p w14:paraId="0B001A8F" w14:textId="77777777" w:rsidR="008A1D58" w:rsidRDefault="008A1D58" w:rsidP="005104AA">
            <w:pPr>
              <w:pStyle w:val="Tablecolhead"/>
            </w:pPr>
            <w:r w:rsidRPr="752E1A5E">
              <w:t>Rating</w:t>
            </w:r>
          </w:p>
        </w:tc>
        <w:tc>
          <w:tcPr>
            <w:tcW w:w="7139" w:type="dxa"/>
            <w:shd w:val="clear" w:color="auto" w:fill="F2F2F2" w:themeFill="background1" w:themeFillShade="F2"/>
          </w:tcPr>
          <w:p w14:paraId="1E07918E" w14:textId="77777777" w:rsidR="008A1D58" w:rsidRDefault="008A1D58" w:rsidP="005104AA">
            <w:pPr>
              <w:pStyle w:val="Tabletext"/>
            </w:pPr>
          </w:p>
        </w:tc>
      </w:tr>
      <w:tr w:rsidR="008A1D58" w14:paraId="673F7D76" w14:textId="77777777" w:rsidTr="008A1D58">
        <w:tc>
          <w:tcPr>
            <w:tcW w:w="3055" w:type="dxa"/>
          </w:tcPr>
          <w:p w14:paraId="5C116F30" w14:textId="77777777" w:rsidR="008A1D58" w:rsidRDefault="008A1D58" w:rsidP="005104AA">
            <w:pPr>
              <w:pStyle w:val="Tablecolhead"/>
            </w:pPr>
            <w:r>
              <w:t>Achievements</w:t>
            </w:r>
          </w:p>
        </w:tc>
        <w:tc>
          <w:tcPr>
            <w:tcW w:w="7139" w:type="dxa"/>
            <w:shd w:val="clear" w:color="auto" w:fill="F2F2F2" w:themeFill="background1" w:themeFillShade="F2"/>
          </w:tcPr>
          <w:p w14:paraId="23E36FA9" w14:textId="77777777" w:rsidR="008A1D58" w:rsidRDefault="008A1D58" w:rsidP="005104AA">
            <w:pPr>
              <w:pStyle w:val="Tabletext"/>
            </w:pPr>
          </w:p>
        </w:tc>
      </w:tr>
      <w:tr w:rsidR="008A1D58" w14:paraId="7E060544" w14:textId="77777777" w:rsidTr="008A1D58">
        <w:tc>
          <w:tcPr>
            <w:tcW w:w="3055" w:type="dxa"/>
          </w:tcPr>
          <w:p w14:paraId="09BCF442" w14:textId="77777777" w:rsidR="008A1D58" w:rsidRDefault="008A1D58" w:rsidP="005104AA">
            <w:pPr>
              <w:pStyle w:val="Tablecolhead"/>
            </w:pPr>
            <w:r>
              <w:t>Areas for improvement</w:t>
            </w:r>
          </w:p>
        </w:tc>
        <w:tc>
          <w:tcPr>
            <w:tcW w:w="7139" w:type="dxa"/>
            <w:shd w:val="clear" w:color="auto" w:fill="F2F2F2" w:themeFill="background1" w:themeFillShade="F2"/>
          </w:tcPr>
          <w:p w14:paraId="30F33A08" w14:textId="77777777" w:rsidR="008A1D58" w:rsidRDefault="008A1D58" w:rsidP="005104AA">
            <w:pPr>
              <w:pStyle w:val="Tabletext"/>
            </w:pPr>
          </w:p>
        </w:tc>
      </w:tr>
      <w:tr w:rsidR="008A1D58" w14:paraId="7E694821" w14:textId="77777777" w:rsidTr="008A1D58">
        <w:tc>
          <w:tcPr>
            <w:tcW w:w="3055" w:type="dxa"/>
          </w:tcPr>
          <w:p w14:paraId="48050307" w14:textId="77777777" w:rsidR="008A1D58" w:rsidRDefault="008A1D58" w:rsidP="005104AA">
            <w:pPr>
              <w:pStyle w:val="Tablecolhead"/>
            </w:pPr>
            <w:r>
              <w:t>Supporting evidence</w:t>
            </w:r>
          </w:p>
        </w:tc>
        <w:tc>
          <w:tcPr>
            <w:tcW w:w="7139" w:type="dxa"/>
            <w:shd w:val="clear" w:color="auto" w:fill="F2F2F2" w:themeFill="background1" w:themeFillShade="F2"/>
          </w:tcPr>
          <w:p w14:paraId="0352112B" w14:textId="77777777" w:rsidR="008A1D58" w:rsidRDefault="008A1D58" w:rsidP="005104AA">
            <w:pPr>
              <w:pStyle w:val="Tabletext"/>
            </w:pPr>
          </w:p>
        </w:tc>
      </w:tr>
    </w:tbl>
    <w:p w14:paraId="4B348B0C" w14:textId="675F3655" w:rsidR="008A1D58" w:rsidRDefault="008A1D58" w:rsidP="008A1D58">
      <w:pPr>
        <w:pStyle w:val="Heading3"/>
      </w:pPr>
      <w:r>
        <w:t>Indicator 6</w:t>
      </w:r>
    </w:p>
    <w:tbl>
      <w:tblPr>
        <w:tblStyle w:val="TableGrid"/>
        <w:tblW w:w="5000" w:type="pct"/>
        <w:tblLook w:val="0680" w:firstRow="0" w:lastRow="0" w:firstColumn="1" w:lastColumn="0" w:noHBand="1" w:noVBand="1"/>
      </w:tblPr>
      <w:tblGrid>
        <w:gridCol w:w="3055"/>
        <w:gridCol w:w="7139"/>
      </w:tblGrid>
      <w:tr w:rsidR="008A1D58" w14:paraId="3A88BDD8" w14:textId="77777777" w:rsidTr="008A1D58">
        <w:tc>
          <w:tcPr>
            <w:tcW w:w="3055" w:type="dxa"/>
          </w:tcPr>
          <w:p w14:paraId="39C72B6B" w14:textId="77777777" w:rsidR="008A1D58" w:rsidRDefault="008A1D58" w:rsidP="005104AA">
            <w:pPr>
              <w:pStyle w:val="Tablecolhead"/>
            </w:pPr>
            <w:r w:rsidRPr="00E42119">
              <w:t>Indicator</w:t>
            </w:r>
          </w:p>
        </w:tc>
        <w:tc>
          <w:tcPr>
            <w:tcW w:w="7139" w:type="dxa"/>
            <w:shd w:val="clear" w:color="auto" w:fill="F2F2F2" w:themeFill="background1" w:themeFillShade="F2"/>
          </w:tcPr>
          <w:p w14:paraId="28D97C78" w14:textId="77777777" w:rsidR="008A1D58" w:rsidRDefault="008A1D58" w:rsidP="005104AA">
            <w:pPr>
              <w:pStyle w:val="Tabletext"/>
            </w:pPr>
          </w:p>
        </w:tc>
      </w:tr>
      <w:tr w:rsidR="008A1D58" w14:paraId="4EDC8A74" w14:textId="77777777" w:rsidTr="008A1D58">
        <w:tc>
          <w:tcPr>
            <w:tcW w:w="3055" w:type="dxa"/>
          </w:tcPr>
          <w:p w14:paraId="2AE7CE6D" w14:textId="77777777" w:rsidR="008A1D58" w:rsidRDefault="008A1D58" w:rsidP="005104AA">
            <w:pPr>
              <w:pStyle w:val="Tablecolhead"/>
            </w:pPr>
            <w:r w:rsidRPr="752E1A5E">
              <w:t>Rating</w:t>
            </w:r>
          </w:p>
        </w:tc>
        <w:tc>
          <w:tcPr>
            <w:tcW w:w="7139" w:type="dxa"/>
            <w:shd w:val="clear" w:color="auto" w:fill="F2F2F2" w:themeFill="background1" w:themeFillShade="F2"/>
          </w:tcPr>
          <w:p w14:paraId="19E705F7" w14:textId="77777777" w:rsidR="008A1D58" w:rsidRDefault="008A1D58" w:rsidP="005104AA">
            <w:pPr>
              <w:pStyle w:val="Tabletext"/>
            </w:pPr>
          </w:p>
        </w:tc>
      </w:tr>
      <w:tr w:rsidR="008A1D58" w14:paraId="4D85B2CB" w14:textId="77777777" w:rsidTr="008A1D58">
        <w:tc>
          <w:tcPr>
            <w:tcW w:w="3055" w:type="dxa"/>
          </w:tcPr>
          <w:p w14:paraId="7DB8670B" w14:textId="77777777" w:rsidR="008A1D58" w:rsidRDefault="008A1D58" w:rsidP="005104AA">
            <w:pPr>
              <w:pStyle w:val="Tablecolhead"/>
            </w:pPr>
            <w:r>
              <w:t>Achievements</w:t>
            </w:r>
          </w:p>
        </w:tc>
        <w:tc>
          <w:tcPr>
            <w:tcW w:w="7139" w:type="dxa"/>
            <w:shd w:val="clear" w:color="auto" w:fill="F2F2F2" w:themeFill="background1" w:themeFillShade="F2"/>
          </w:tcPr>
          <w:p w14:paraId="26560835" w14:textId="77777777" w:rsidR="008A1D58" w:rsidRDefault="008A1D58" w:rsidP="005104AA">
            <w:pPr>
              <w:pStyle w:val="Tabletext"/>
            </w:pPr>
          </w:p>
        </w:tc>
      </w:tr>
      <w:tr w:rsidR="008A1D58" w14:paraId="7D4B3A41" w14:textId="77777777" w:rsidTr="008A1D58">
        <w:tc>
          <w:tcPr>
            <w:tcW w:w="3055" w:type="dxa"/>
          </w:tcPr>
          <w:p w14:paraId="1D28F1E9" w14:textId="77777777" w:rsidR="008A1D58" w:rsidRDefault="008A1D58" w:rsidP="005104AA">
            <w:pPr>
              <w:pStyle w:val="Tablecolhead"/>
            </w:pPr>
            <w:r>
              <w:t>Areas for improvement</w:t>
            </w:r>
          </w:p>
        </w:tc>
        <w:tc>
          <w:tcPr>
            <w:tcW w:w="7139" w:type="dxa"/>
            <w:shd w:val="clear" w:color="auto" w:fill="F2F2F2" w:themeFill="background1" w:themeFillShade="F2"/>
          </w:tcPr>
          <w:p w14:paraId="46D53B28" w14:textId="77777777" w:rsidR="008A1D58" w:rsidRDefault="008A1D58" w:rsidP="005104AA">
            <w:pPr>
              <w:pStyle w:val="Tabletext"/>
            </w:pPr>
          </w:p>
        </w:tc>
      </w:tr>
      <w:tr w:rsidR="008A1D58" w14:paraId="1E8CE4D8" w14:textId="77777777" w:rsidTr="008A1D58">
        <w:tc>
          <w:tcPr>
            <w:tcW w:w="3055" w:type="dxa"/>
          </w:tcPr>
          <w:p w14:paraId="4A06CFD1" w14:textId="77777777" w:rsidR="008A1D58" w:rsidRDefault="008A1D58" w:rsidP="005104AA">
            <w:pPr>
              <w:pStyle w:val="Tablecolhead"/>
            </w:pPr>
            <w:r>
              <w:t>Supporting evidence</w:t>
            </w:r>
          </w:p>
        </w:tc>
        <w:tc>
          <w:tcPr>
            <w:tcW w:w="7139" w:type="dxa"/>
            <w:shd w:val="clear" w:color="auto" w:fill="F2F2F2" w:themeFill="background1" w:themeFillShade="F2"/>
          </w:tcPr>
          <w:p w14:paraId="025F56AD" w14:textId="77777777" w:rsidR="008A1D58" w:rsidRDefault="008A1D58" w:rsidP="005104AA">
            <w:pPr>
              <w:pStyle w:val="Tabletext"/>
            </w:pPr>
          </w:p>
        </w:tc>
      </w:tr>
    </w:tbl>
    <w:p w14:paraId="4B6D7688" w14:textId="033C9022" w:rsidR="008A1D58" w:rsidRDefault="008A1D58" w:rsidP="008A1D58">
      <w:pPr>
        <w:pStyle w:val="Heading3"/>
      </w:pPr>
      <w:r>
        <w:t>Indicator 7</w:t>
      </w:r>
    </w:p>
    <w:tbl>
      <w:tblPr>
        <w:tblStyle w:val="TableGrid"/>
        <w:tblW w:w="5000" w:type="pct"/>
        <w:tblLook w:val="0680" w:firstRow="0" w:lastRow="0" w:firstColumn="1" w:lastColumn="0" w:noHBand="1" w:noVBand="1"/>
      </w:tblPr>
      <w:tblGrid>
        <w:gridCol w:w="3055"/>
        <w:gridCol w:w="7139"/>
      </w:tblGrid>
      <w:tr w:rsidR="008A1D58" w14:paraId="57B9A6F4" w14:textId="77777777" w:rsidTr="008A1D58">
        <w:tc>
          <w:tcPr>
            <w:tcW w:w="3055" w:type="dxa"/>
          </w:tcPr>
          <w:p w14:paraId="41692529" w14:textId="77777777" w:rsidR="008A1D58" w:rsidRDefault="008A1D58" w:rsidP="005104AA">
            <w:pPr>
              <w:pStyle w:val="Tablecolhead"/>
            </w:pPr>
            <w:r w:rsidRPr="00E42119">
              <w:t>Indicator</w:t>
            </w:r>
          </w:p>
        </w:tc>
        <w:tc>
          <w:tcPr>
            <w:tcW w:w="7139" w:type="dxa"/>
            <w:shd w:val="clear" w:color="auto" w:fill="F2F2F2" w:themeFill="background1" w:themeFillShade="F2"/>
          </w:tcPr>
          <w:p w14:paraId="79C362FE" w14:textId="77777777" w:rsidR="008A1D58" w:rsidRDefault="008A1D58" w:rsidP="005104AA">
            <w:pPr>
              <w:pStyle w:val="Tabletext"/>
            </w:pPr>
          </w:p>
        </w:tc>
      </w:tr>
      <w:tr w:rsidR="008A1D58" w14:paraId="39882674" w14:textId="77777777" w:rsidTr="008A1D58">
        <w:tc>
          <w:tcPr>
            <w:tcW w:w="3055" w:type="dxa"/>
          </w:tcPr>
          <w:p w14:paraId="0846C213" w14:textId="77777777" w:rsidR="008A1D58" w:rsidRDefault="008A1D58" w:rsidP="005104AA">
            <w:pPr>
              <w:pStyle w:val="Tablecolhead"/>
            </w:pPr>
            <w:r w:rsidRPr="752E1A5E">
              <w:t>Rating</w:t>
            </w:r>
          </w:p>
        </w:tc>
        <w:tc>
          <w:tcPr>
            <w:tcW w:w="7139" w:type="dxa"/>
            <w:shd w:val="clear" w:color="auto" w:fill="F2F2F2" w:themeFill="background1" w:themeFillShade="F2"/>
          </w:tcPr>
          <w:p w14:paraId="1D9007CE" w14:textId="77777777" w:rsidR="008A1D58" w:rsidRDefault="008A1D58" w:rsidP="005104AA">
            <w:pPr>
              <w:pStyle w:val="Tabletext"/>
            </w:pPr>
          </w:p>
        </w:tc>
      </w:tr>
      <w:tr w:rsidR="008A1D58" w14:paraId="480A86E6" w14:textId="77777777" w:rsidTr="008A1D58">
        <w:tc>
          <w:tcPr>
            <w:tcW w:w="3055" w:type="dxa"/>
          </w:tcPr>
          <w:p w14:paraId="373807F5" w14:textId="77777777" w:rsidR="008A1D58" w:rsidRDefault="008A1D58" w:rsidP="005104AA">
            <w:pPr>
              <w:pStyle w:val="Tablecolhead"/>
            </w:pPr>
            <w:r>
              <w:t>Achievements</w:t>
            </w:r>
          </w:p>
        </w:tc>
        <w:tc>
          <w:tcPr>
            <w:tcW w:w="7139" w:type="dxa"/>
            <w:shd w:val="clear" w:color="auto" w:fill="F2F2F2" w:themeFill="background1" w:themeFillShade="F2"/>
          </w:tcPr>
          <w:p w14:paraId="7B961758" w14:textId="77777777" w:rsidR="008A1D58" w:rsidRDefault="008A1D58" w:rsidP="005104AA">
            <w:pPr>
              <w:pStyle w:val="Tabletext"/>
            </w:pPr>
          </w:p>
        </w:tc>
      </w:tr>
      <w:tr w:rsidR="008A1D58" w14:paraId="60EF4BAE" w14:textId="77777777" w:rsidTr="008A1D58">
        <w:tc>
          <w:tcPr>
            <w:tcW w:w="3055" w:type="dxa"/>
          </w:tcPr>
          <w:p w14:paraId="56E6102D" w14:textId="77777777" w:rsidR="008A1D58" w:rsidRDefault="008A1D58" w:rsidP="005104AA">
            <w:pPr>
              <w:pStyle w:val="Tablecolhead"/>
            </w:pPr>
            <w:r>
              <w:t>Areas for improvement</w:t>
            </w:r>
          </w:p>
        </w:tc>
        <w:tc>
          <w:tcPr>
            <w:tcW w:w="7139" w:type="dxa"/>
            <w:shd w:val="clear" w:color="auto" w:fill="F2F2F2" w:themeFill="background1" w:themeFillShade="F2"/>
          </w:tcPr>
          <w:p w14:paraId="53077A65" w14:textId="77777777" w:rsidR="008A1D58" w:rsidRDefault="008A1D58" w:rsidP="005104AA">
            <w:pPr>
              <w:pStyle w:val="Tabletext"/>
            </w:pPr>
          </w:p>
        </w:tc>
      </w:tr>
      <w:tr w:rsidR="008A1D58" w14:paraId="4CF81C8D" w14:textId="77777777" w:rsidTr="008A1D58">
        <w:tc>
          <w:tcPr>
            <w:tcW w:w="3055" w:type="dxa"/>
          </w:tcPr>
          <w:p w14:paraId="57374DFE" w14:textId="77777777" w:rsidR="008A1D58" w:rsidRDefault="008A1D58" w:rsidP="005104AA">
            <w:pPr>
              <w:pStyle w:val="Tablecolhead"/>
            </w:pPr>
            <w:r>
              <w:t>Supporting evidence</w:t>
            </w:r>
          </w:p>
        </w:tc>
        <w:tc>
          <w:tcPr>
            <w:tcW w:w="7139" w:type="dxa"/>
            <w:shd w:val="clear" w:color="auto" w:fill="F2F2F2" w:themeFill="background1" w:themeFillShade="F2"/>
          </w:tcPr>
          <w:p w14:paraId="7FB7E5CE" w14:textId="77777777" w:rsidR="008A1D58" w:rsidRDefault="008A1D58" w:rsidP="005104AA">
            <w:pPr>
              <w:pStyle w:val="Tabletext"/>
            </w:pPr>
          </w:p>
        </w:tc>
      </w:tr>
    </w:tbl>
    <w:p w14:paraId="01DB5A36" w14:textId="46829B9A" w:rsidR="008A1D58" w:rsidRDefault="008A1D58" w:rsidP="008A1D58">
      <w:pPr>
        <w:pStyle w:val="Heading3"/>
      </w:pPr>
      <w:r>
        <w:t>Indicator 8</w:t>
      </w:r>
    </w:p>
    <w:tbl>
      <w:tblPr>
        <w:tblStyle w:val="TableGrid"/>
        <w:tblW w:w="5000" w:type="pct"/>
        <w:tblLook w:val="0680" w:firstRow="0" w:lastRow="0" w:firstColumn="1" w:lastColumn="0" w:noHBand="1" w:noVBand="1"/>
      </w:tblPr>
      <w:tblGrid>
        <w:gridCol w:w="3055"/>
        <w:gridCol w:w="7139"/>
      </w:tblGrid>
      <w:tr w:rsidR="008A1D58" w14:paraId="038D9162" w14:textId="77777777" w:rsidTr="008A1D58">
        <w:tc>
          <w:tcPr>
            <w:tcW w:w="3055" w:type="dxa"/>
          </w:tcPr>
          <w:p w14:paraId="57208170" w14:textId="77777777" w:rsidR="008A1D58" w:rsidRDefault="008A1D58" w:rsidP="005104AA">
            <w:pPr>
              <w:pStyle w:val="Tablecolhead"/>
            </w:pPr>
            <w:r w:rsidRPr="00E42119">
              <w:t>Indicator</w:t>
            </w:r>
          </w:p>
        </w:tc>
        <w:tc>
          <w:tcPr>
            <w:tcW w:w="7139" w:type="dxa"/>
            <w:shd w:val="clear" w:color="auto" w:fill="F2F2F2" w:themeFill="background1" w:themeFillShade="F2"/>
          </w:tcPr>
          <w:p w14:paraId="15128BE5" w14:textId="77777777" w:rsidR="008A1D58" w:rsidRDefault="008A1D58" w:rsidP="005104AA">
            <w:pPr>
              <w:pStyle w:val="Tabletext"/>
            </w:pPr>
          </w:p>
        </w:tc>
      </w:tr>
      <w:tr w:rsidR="008A1D58" w14:paraId="5C4CBB0B" w14:textId="77777777" w:rsidTr="008A1D58">
        <w:tc>
          <w:tcPr>
            <w:tcW w:w="3055" w:type="dxa"/>
          </w:tcPr>
          <w:p w14:paraId="690F1120" w14:textId="77777777" w:rsidR="008A1D58" w:rsidRDefault="008A1D58" w:rsidP="005104AA">
            <w:pPr>
              <w:pStyle w:val="Tablecolhead"/>
            </w:pPr>
            <w:r w:rsidRPr="752E1A5E">
              <w:t>Rating</w:t>
            </w:r>
          </w:p>
        </w:tc>
        <w:tc>
          <w:tcPr>
            <w:tcW w:w="7139" w:type="dxa"/>
            <w:shd w:val="clear" w:color="auto" w:fill="F2F2F2" w:themeFill="background1" w:themeFillShade="F2"/>
          </w:tcPr>
          <w:p w14:paraId="0210DF22" w14:textId="77777777" w:rsidR="008A1D58" w:rsidRDefault="008A1D58" w:rsidP="005104AA">
            <w:pPr>
              <w:pStyle w:val="Tabletext"/>
            </w:pPr>
          </w:p>
        </w:tc>
      </w:tr>
      <w:tr w:rsidR="008A1D58" w14:paraId="2ABEA882" w14:textId="77777777" w:rsidTr="008A1D58">
        <w:tc>
          <w:tcPr>
            <w:tcW w:w="3055" w:type="dxa"/>
          </w:tcPr>
          <w:p w14:paraId="06B08ED6" w14:textId="77777777" w:rsidR="008A1D58" w:rsidRDefault="008A1D58" w:rsidP="005104AA">
            <w:pPr>
              <w:pStyle w:val="Tablecolhead"/>
            </w:pPr>
            <w:r>
              <w:t>Achievements</w:t>
            </w:r>
          </w:p>
        </w:tc>
        <w:tc>
          <w:tcPr>
            <w:tcW w:w="7139" w:type="dxa"/>
            <w:shd w:val="clear" w:color="auto" w:fill="F2F2F2" w:themeFill="background1" w:themeFillShade="F2"/>
          </w:tcPr>
          <w:p w14:paraId="3E645932" w14:textId="77777777" w:rsidR="008A1D58" w:rsidRDefault="008A1D58" w:rsidP="005104AA">
            <w:pPr>
              <w:pStyle w:val="Tabletext"/>
            </w:pPr>
          </w:p>
        </w:tc>
      </w:tr>
      <w:tr w:rsidR="008A1D58" w14:paraId="00FF9888" w14:textId="77777777" w:rsidTr="008A1D58">
        <w:tc>
          <w:tcPr>
            <w:tcW w:w="3055" w:type="dxa"/>
          </w:tcPr>
          <w:p w14:paraId="6F5358CB" w14:textId="77777777" w:rsidR="008A1D58" w:rsidRDefault="008A1D58" w:rsidP="005104AA">
            <w:pPr>
              <w:pStyle w:val="Tablecolhead"/>
            </w:pPr>
            <w:r>
              <w:t>Areas for improvement</w:t>
            </w:r>
          </w:p>
        </w:tc>
        <w:tc>
          <w:tcPr>
            <w:tcW w:w="7139" w:type="dxa"/>
            <w:shd w:val="clear" w:color="auto" w:fill="F2F2F2" w:themeFill="background1" w:themeFillShade="F2"/>
          </w:tcPr>
          <w:p w14:paraId="6B824E38" w14:textId="77777777" w:rsidR="008A1D58" w:rsidRDefault="008A1D58" w:rsidP="005104AA">
            <w:pPr>
              <w:pStyle w:val="Tabletext"/>
            </w:pPr>
          </w:p>
        </w:tc>
      </w:tr>
      <w:tr w:rsidR="008A1D58" w14:paraId="0B3D79A3" w14:textId="77777777" w:rsidTr="008A1D58">
        <w:tc>
          <w:tcPr>
            <w:tcW w:w="3055" w:type="dxa"/>
          </w:tcPr>
          <w:p w14:paraId="688B5951" w14:textId="77777777" w:rsidR="008A1D58" w:rsidRDefault="008A1D58" w:rsidP="005104AA">
            <w:pPr>
              <w:pStyle w:val="Tablecolhead"/>
            </w:pPr>
            <w:r>
              <w:t>Supporting evidence</w:t>
            </w:r>
          </w:p>
        </w:tc>
        <w:tc>
          <w:tcPr>
            <w:tcW w:w="7139" w:type="dxa"/>
            <w:shd w:val="clear" w:color="auto" w:fill="F2F2F2" w:themeFill="background1" w:themeFillShade="F2"/>
          </w:tcPr>
          <w:p w14:paraId="44EE764E" w14:textId="77777777" w:rsidR="008A1D58" w:rsidRDefault="008A1D58" w:rsidP="005104AA">
            <w:pPr>
              <w:pStyle w:val="Tabletext"/>
            </w:pPr>
          </w:p>
        </w:tc>
      </w:tr>
    </w:tbl>
    <w:p w14:paraId="72C9CA91" w14:textId="77777777" w:rsidR="00FE1E85" w:rsidRPr="00E42119" w:rsidRDefault="00FE1E85" w:rsidP="00081956">
      <w:pPr>
        <w:pStyle w:val="Body"/>
      </w:pPr>
    </w:p>
    <w:tbl>
      <w:tblPr>
        <w:tblStyle w:val="TableGrid"/>
        <w:tblW w:w="10165" w:type="dxa"/>
        <w:tblLook w:val="0620" w:firstRow="1" w:lastRow="0" w:firstColumn="0" w:lastColumn="0" w:noHBand="1" w:noVBand="1"/>
      </w:tblPr>
      <w:tblGrid>
        <w:gridCol w:w="10165"/>
      </w:tblGrid>
      <w:tr w:rsidR="00FE1E85" w:rsidRPr="00E42119" w14:paraId="3DA7A870" w14:textId="77777777" w:rsidTr="008A1D58">
        <w:tc>
          <w:tcPr>
            <w:tcW w:w="10165" w:type="dxa"/>
          </w:tcPr>
          <w:p w14:paraId="6F2D7328" w14:textId="61CE3062" w:rsidR="00FE1E85" w:rsidRPr="007A7A0C" w:rsidRDefault="00FE1E85" w:rsidP="00720B56">
            <w:pPr>
              <w:pStyle w:val="Tabletext"/>
              <w:rPr>
                <w:rFonts w:cstheme="minorHAnsi"/>
              </w:rPr>
            </w:pPr>
            <w:r>
              <w:rPr>
                <w:rFonts w:cstheme="minorHAnsi"/>
              </w:rPr>
              <w:t>Other comments</w:t>
            </w:r>
            <w:r w:rsidRPr="00E42119">
              <w:rPr>
                <w:rFonts w:cstheme="minorHAnsi"/>
              </w:rPr>
              <w:t>:</w:t>
            </w:r>
          </w:p>
        </w:tc>
      </w:tr>
      <w:tr w:rsidR="007A3B5E" w:rsidRPr="00E42119" w14:paraId="1C5FA00E" w14:textId="77777777" w:rsidTr="008A1D58">
        <w:tc>
          <w:tcPr>
            <w:tcW w:w="10165" w:type="dxa"/>
            <w:shd w:val="clear" w:color="auto" w:fill="F2F2F2" w:themeFill="background1" w:themeFillShade="F2"/>
          </w:tcPr>
          <w:p w14:paraId="271CF13E" w14:textId="77777777" w:rsidR="007A3B5E" w:rsidRDefault="007A3B5E" w:rsidP="00720B56">
            <w:pPr>
              <w:pStyle w:val="Tabletext"/>
              <w:rPr>
                <w:rFonts w:cstheme="minorHAnsi"/>
              </w:rPr>
            </w:pPr>
          </w:p>
        </w:tc>
      </w:tr>
    </w:tbl>
    <w:p w14:paraId="03381413" w14:textId="4D19AE07" w:rsidR="00FE1E85" w:rsidRDefault="00FE1E85" w:rsidP="00B845B1">
      <w:pPr>
        <w:pStyle w:val="Body"/>
      </w:pPr>
      <w:bookmarkStart w:id="5" w:name="_Hlk103091069"/>
    </w:p>
    <w:tbl>
      <w:tblPr>
        <w:tblStyle w:val="TableGrid"/>
        <w:tblW w:w="0" w:type="auto"/>
        <w:tblLook w:val="0620" w:firstRow="1" w:lastRow="0" w:firstColumn="0" w:lastColumn="0" w:noHBand="1" w:noVBand="1"/>
      </w:tblPr>
      <w:tblGrid>
        <w:gridCol w:w="10165"/>
      </w:tblGrid>
      <w:tr w:rsidR="0049102E" w14:paraId="1CBF5C0C" w14:textId="77777777" w:rsidTr="00B8141D">
        <w:tc>
          <w:tcPr>
            <w:tcW w:w="10165" w:type="dxa"/>
          </w:tcPr>
          <w:p w14:paraId="743AF725" w14:textId="77777777" w:rsidR="0049102E" w:rsidRPr="0055119B" w:rsidRDefault="0049102E" w:rsidP="0049102E">
            <w:pPr>
              <w:pStyle w:val="Accessibilitypara"/>
            </w:pPr>
            <w:r w:rsidRPr="0055119B">
              <w:t>To receive this document in another format</w:t>
            </w:r>
            <w:r>
              <w:t>,</w:t>
            </w:r>
            <w:r w:rsidRPr="0055119B">
              <w:t xml:space="preserve"> </w:t>
            </w:r>
            <w:hyperlink r:id="rId11" w:history="1">
              <w:r>
                <w:rPr>
                  <w:rStyle w:val="Hyperlink"/>
                  <w:b/>
                  <w:bCs/>
                </w:rPr>
                <w:t>email the Equality Unit</w:t>
              </w:r>
            </w:hyperlink>
            <w:r w:rsidRPr="009B3D5C">
              <w:rPr>
                <w:b/>
                <w:bCs/>
              </w:rPr>
              <w:t xml:space="preserve"> </w:t>
            </w:r>
            <w:r w:rsidRPr="009B3D5C">
              <w:t>&lt;equality@dffh.vic.gov.au&gt;.</w:t>
            </w:r>
            <w:r w:rsidRPr="0055119B">
              <w:rPr>
                <w:color w:val="004C97"/>
              </w:rPr>
              <w:t xml:space="preserve"> </w:t>
            </w:r>
          </w:p>
          <w:p w14:paraId="15284EE4" w14:textId="77777777" w:rsidR="0049102E" w:rsidRPr="0055119B" w:rsidRDefault="0049102E" w:rsidP="0049102E">
            <w:pPr>
              <w:pStyle w:val="Imprint"/>
              <w:spacing w:after="120"/>
            </w:pPr>
            <w:r w:rsidRPr="0055119B">
              <w:t>Authorised and published by the Victorian Government, 1 Treasury Place, Melbourne.</w:t>
            </w:r>
          </w:p>
          <w:p w14:paraId="46672B76" w14:textId="77777777" w:rsidR="0049102E" w:rsidRPr="009B3D5C" w:rsidRDefault="0049102E" w:rsidP="0049102E">
            <w:pPr>
              <w:pStyle w:val="Imprint"/>
              <w:spacing w:after="120"/>
            </w:pPr>
            <w:r w:rsidRPr="0055119B">
              <w:t xml:space="preserve">© State of Victoria, Australia, Department </w:t>
            </w:r>
            <w:r w:rsidRPr="001B058F">
              <w:t xml:space="preserve">of </w:t>
            </w:r>
            <w:r>
              <w:t>Families, Fairness and Housin</w:t>
            </w:r>
            <w:r w:rsidRPr="009B3D5C">
              <w:t>g, May 2022.</w:t>
            </w:r>
          </w:p>
          <w:p w14:paraId="3C8A327B" w14:textId="63C41DBD" w:rsidR="0049102E" w:rsidRDefault="0049102E" w:rsidP="0049102E">
            <w:pPr>
              <w:pStyle w:val="Imprint"/>
              <w:spacing w:after="120"/>
            </w:pPr>
            <w:r w:rsidRPr="0055119B">
              <w:t xml:space="preserve">Available at </w:t>
            </w:r>
            <w:hyperlink r:id="rId12" w:history="1">
              <w:r w:rsidRPr="009B3D5C">
                <w:rPr>
                  <w:rStyle w:val="Hyperlink"/>
                </w:rPr>
                <w:t>Rainbow Ready ro</w:t>
              </w:r>
              <w:r w:rsidRPr="009B3D5C">
                <w:rPr>
                  <w:rStyle w:val="Hyperlink"/>
                  <w:rFonts w:cs="Arial"/>
                </w:rPr>
                <w:t>admap</w:t>
              </w:r>
            </w:hyperlink>
            <w:r w:rsidRPr="00695B02">
              <w:rPr>
                <w:rFonts w:cs="Arial"/>
              </w:rPr>
              <w:t xml:space="preserve"> &lt;</w:t>
            </w:r>
            <w:r w:rsidRPr="009B3D5C">
              <w:rPr>
                <w:rStyle w:val="normaltextrun"/>
                <w:rFonts w:cs="Arial"/>
                <w:color w:val="000000"/>
                <w:bdr w:val="none" w:sz="0" w:space="0" w:color="auto" w:frame="1"/>
              </w:rPr>
              <w:t>https://www.vic.gov.au/rainbow-ready-roadmap&gt;.</w:t>
            </w:r>
            <w:r w:rsidRPr="00E33237">
              <w:rPr>
                <w:color w:val="004C97"/>
              </w:rPr>
              <w:t xml:space="preserve"> </w:t>
            </w:r>
          </w:p>
        </w:tc>
      </w:tr>
      <w:bookmarkEnd w:id="5"/>
    </w:tbl>
    <w:p w14:paraId="6D361855" w14:textId="77777777" w:rsidR="0049102E" w:rsidRPr="00CC1CEA" w:rsidRDefault="0049102E" w:rsidP="00B845B1">
      <w:pPr>
        <w:pStyle w:val="Body"/>
      </w:pPr>
    </w:p>
    <w:sectPr w:rsidR="0049102E" w:rsidRPr="00CC1CEA" w:rsidSect="008A1D58">
      <w:headerReference w:type="even" r:id="rId13"/>
      <w:headerReference w:type="default" r:id="rId14"/>
      <w:footerReference w:type="even" r:id="rId15"/>
      <w:footerReference w:type="default" r:id="rId16"/>
      <w:footerReference w:type="first" r:id="rId17"/>
      <w:pgSz w:w="11906" w:h="16838"/>
      <w:pgMar w:top="1350" w:right="851" w:bottom="851" w:left="85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84A9" w14:textId="77777777" w:rsidR="004439D8" w:rsidRDefault="004439D8">
      <w:r>
        <w:separator/>
      </w:r>
    </w:p>
    <w:p w14:paraId="7A2542B9" w14:textId="77777777" w:rsidR="004439D8" w:rsidRDefault="004439D8"/>
  </w:endnote>
  <w:endnote w:type="continuationSeparator" w:id="0">
    <w:p w14:paraId="2B4195ED" w14:textId="77777777" w:rsidR="004439D8" w:rsidRDefault="004439D8">
      <w:r>
        <w:continuationSeparator/>
      </w:r>
    </w:p>
    <w:p w14:paraId="0E218011" w14:textId="77777777" w:rsidR="004439D8" w:rsidRDefault="0044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duster">
    <w:charset w:val="4D"/>
    <w:family w:val="script"/>
    <w:pitch w:val="variable"/>
    <w:sig w:usb0="80000023" w:usb1="00000000" w:usb2="00000000" w:usb3="00000000" w:csb0="00000001" w:csb1="00000000"/>
  </w:font>
  <w:font w:name="Times New Roman (Headings C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42A0A748" w:rsidR="00431A70" w:rsidRDefault="00FB0125" w:rsidP="00DC00C1">
    <w:pPr>
      <w:pStyle w:val="Footer"/>
      <w:tabs>
        <w:tab w:val="left" w:pos="3667"/>
      </w:tabs>
    </w:pPr>
    <w:r>
      <w:rPr>
        <w:noProof/>
      </w:rPr>
      <mc:AlternateContent>
        <mc:Choice Requires="wps">
          <w:drawing>
            <wp:anchor distT="0" distB="0" distL="114300" distR="114300" simplePos="0" relativeHeight="251704832" behindDoc="0" locked="0" layoutInCell="0" allowOverlap="1" wp14:anchorId="283E59DD" wp14:editId="4BD8FF8E">
              <wp:simplePos x="0" y="0"/>
              <wp:positionH relativeFrom="page">
                <wp:posOffset>0</wp:posOffset>
              </wp:positionH>
              <wp:positionV relativeFrom="page">
                <wp:posOffset>10189210</wp:posOffset>
              </wp:positionV>
              <wp:extent cx="7560310" cy="311785"/>
              <wp:effectExtent l="0" t="0" r="0" b="12065"/>
              <wp:wrapNone/>
              <wp:docPr id="1" name="MSIPCM3d824f20b34ccb032b2ad92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26C22" w14:textId="7DCA8229" w:rsidR="00FB0125" w:rsidRPr="00FB0125" w:rsidRDefault="00FB0125" w:rsidP="00FB0125">
                          <w:pPr>
                            <w:spacing w:after="0"/>
                            <w:jc w:val="center"/>
                            <w:rPr>
                              <w:rFonts w:ascii="Arial Black" w:hAnsi="Arial Black"/>
                              <w:color w:val="000000"/>
                              <w:sz w:val="20"/>
                            </w:rPr>
                          </w:pPr>
                          <w:r w:rsidRPr="00FB01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3E59DD" id="_x0000_t202" coordsize="21600,21600" o:spt="202" path="m,l,21600r21600,l21600,xe">
              <v:stroke joinstyle="miter"/>
              <v:path gradientshapeok="t" o:connecttype="rect"/>
            </v:shapetype>
            <v:shape id="MSIPCM3d824f20b34ccb032b2ad92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7048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B826C22" w14:textId="7DCA8229" w:rsidR="00FB0125" w:rsidRPr="00FB0125" w:rsidRDefault="00FB0125" w:rsidP="00FB0125">
                    <w:pPr>
                      <w:spacing w:after="0"/>
                      <w:jc w:val="center"/>
                      <w:rPr>
                        <w:rFonts w:ascii="Arial Black" w:hAnsi="Arial Black"/>
                        <w:color w:val="000000"/>
                        <w:sz w:val="20"/>
                      </w:rPr>
                    </w:pPr>
                    <w:r w:rsidRPr="00FB0125">
                      <w:rPr>
                        <w:rFonts w:ascii="Arial Black" w:hAnsi="Arial Black"/>
                        <w:color w:val="000000"/>
                        <w:sz w:val="20"/>
                      </w:rPr>
                      <w:t>OFFICIAL</w:t>
                    </w:r>
                  </w:p>
                </w:txbxContent>
              </v:textbox>
              <w10:wrap anchorx="page" anchory="page"/>
            </v:shape>
          </w:pict>
        </mc:Fallback>
      </mc:AlternateContent>
    </w:r>
    <w:r w:rsidR="00E143BC">
      <w:rPr>
        <w:noProof/>
      </w:rPr>
      <mc:AlternateContent>
        <mc:Choice Requires="wps">
          <w:drawing>
            <wp:anchor distT="0" distB="0" distL="114300" distR="114300" simplePos="0" relativeHeight="251703808" behindDoc="0" locked="0" layoutInCell="0" allowOverlap="1" wp14:anchorId="4DD1AD10" wp14:editId="3E032365">
              <wp:simplePos x="0" y="0"/>
              <wp:positionH relativeFrom="page">
                <wp:align>center</wp:align>
              </wp:positionH>
              <wp:positionV relativeFrom="page">
                <wp:align>bottom</wp:align>
              </wp:positionV>
              <wp:extent cx="7772400" cy="502285"/>
              <wp:effectExtent l="0" t="0" r="0" b="12065"/>
              <wp:wrapNone/>
              <wp:docPr id="9" name="MSIPCM856948aa89a472fe8ad4df2b"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2F2DB" w14:textId="5DEA8BCB" w:rsidR="00E143BC" w:rsidRPr="00E143BC" w:rsidRDefault="00E143BC" w:rsidP="00E143BC">
                          <w:pPr>
                            <w:spacing w:after="0"/>
                            <w:jc w:val="center"/>
                            <w:rPr>
                              <w:rFonts w:ascii="Arial Black" w:hAnsi="Arial Black"/>
                              <w:color w:val="000000"/>
                              <w:sz w:val="20"/>
                            </w:rPr>
                          </w:pPr>
                          <w:r w:rsidRPr="00E143B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DD1AD10" id="MSIPCM856948aa89a472fe8ad4df2b" o:spid="_x0000_s1028" type="#_x0000_t202" alt="{&quot;HashCode&quot;:904758361,&quot;Height&quot;:9999999.0,&quot;Width&quot;:9999999.0,&quot;Placement&quot;:&quot;Footer&quot;,&quot;Index&quot;:&quot;Primary&quot;,&quot;Section&quot;:3,&quot;Top&quot;:0.0,&quot;Left&quot;:0.0}" style="position:absolute;margin-left:0;margin-top:0;width:612pt;height:39.55pt;z-index:2517038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2EF2F2DB" w14:textId="5DEA8BCB" w:rsidR="00E143BC" w:rsidRPr="00E143BC" w:rsidRDefault="00E143BC" w:rsidP="00E143BC">
                    <w:pPr>
                      <w:spacing w:after="0"/>
                      <w:jc w:val="center"/>
                      <w:rPr>
                        <w:rFonts w:ascii="Arial Black" w:hAnsi="Arial Black"/>
                        <w:color w:val="000000"/>
                        <w:sz w:val="20"/>
                      </w:rPr>
                    </w:pPr>
                    <w:r w:rsidRPr="00E143B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CDA" w14:textId="1AE05427" w:rsidR="00FB0125" w:rsidRDefault="00EC7F5B">
    <w:pPr>
      <w:pStyle w:val="Footer"/>
    </w:pPr>
    <w:r>
      <w:rPr>
        <w:noProof/>
      </w:rPr>
      <w:drawing>
        <wp:anchor distT="0" distB="0" distL="114300" distR="114300" simplePos="0" relativeHeight="251707904" behindDoc="1" locked="1" layoutInCell="1" allowOverlap="1" wp14:anchorId="2B092BAB" wp14:editId="055CC852">
          <wp:simplePos x="0" y="0"/>
          <wp:positionH relativeFrom="page">
            <wp:align>left</wp:align>
          </wp:positionH>
          <wp:positionV relativeFrom="page">
            <wp:align>bottom</wp:align>
          </wp:positionV>
          <wp:extent cx="7560000" cy="921600"/>
          <wp:effectExtent l="0" t="0" r="0" b="5715"/>
          <wp:wrapNone/>
          <wp:docPr id="3" name="Picture 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125">
      <w:rPr>
        <w:noProof/>
      </w:rPr>
      <mc:AlternateContent>
        <mc:Choice Requires="wps">
          <w:drawing>
            <wp:anchor distT="0" distB="0" distL="114300" distR="114300" simplePos="0" relativeHeight="251705856" behindDoc="0" locked="0" layoutInCell="0" allowOverlap="1" wp14:anchorId="53FDAF25" wp14:editId="3619EE19">
              <wp:simplePos x="0" y="0"/>
              <wp:positionH relativeFrom="page">
                <wp:posOffset>0</wp:posOffset>
              </wp:positionH>
              <wp:positionV relativeFrom="page">
                <wp:posOffset>10189210</wp:posOffset>
              </wp:positionV>
              <wp:extent cx="7560310" cy="311785"/>
              <wp:effectExtent l="0" t="0" r="0" b="12065"/>
              <wp:wrapNone/>
              <wp:docPr id="2" name="MSIPCMc21d4445818f2385ce0f1c3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3B6CE" w14:textId="7FCAD6BE" w:rsidR="00FB0125" w:rsidRPr="00FB0125" w:rsidRDefault="00FB0125" w:rsidP="00FB0125">
                          <w:pPr>
                            <w:spacing w:after="0"/>
                            <w:jc w:val="center"/>
                            <w:rPr>
                              <w:rFonts w:ascii="Arial Black" w:hAnsi="Arial Black"/>
                              <w:color w:val="000000"/>
                              <w:sz w:val="20"/>
                            </w:rPr>
                          </w:pPr>
                          <w:r w:rsidRPr="00FB01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FDAF25" id="_x0000_t202" coordsize="21600,21600" o:spt="202" path="m,l,21600r21600,l21600,xe">
              <v:stroke joinstyle="miter"/>
              <v:path gradientshapeok="t" o:connecttype="rect"/>
            </v:shapetype>
            <v:shape id="MSIPCMc21d4445818f2385ce0f1c3c"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7058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253B6CE" w14:textId="7FCAD6BE" w:rsidR="00FB0125" w:rsidRPr="00FB0125" w:rsidRDefault="00FB0125" w:rsidP="00FB0125">
                    <w:pPr>
                      <w:spacing w:after="0"/>
                      <w:jc w:val="center"/>
                      <w:rPr>
                        <w:rFonts w:ascii="Arial Black" w:hAnsi="Arial Black"/>
                        <w:color w:val="000000"/>
                        <w:sz w:val="20"/>
                      </w:rPr>
                    </w:pPr>
                    <w:r w:rsidRPr="00FB012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1C66" w14:textId="77777777" w:rsidR="004439D8" w:rsidRDefault="004439D8" w:rsidP="00207717">
      <w:pPr>
        <w:spacing w:before="120"/>
      </w:pPr>
      <w:r>
        <w:separator/>
      </w:r>
    </w:p>
  </w:footnote>
  <w:footnote w:type="continuationSeparator" w:id="0">
    <w:p w14:paraId="5D228E97" w14:textId="77777777" w:rsidR="004439D8" w:rsidRDefault="004439D8">
      <w:r>
        <w:continuationSeparator/>
      </w:r>
    </w:p>
    <w:p w14:paraId="11C5120C" w14:textId="77777777" w:rsidR="004439D8" w:rsidRDefault="00443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50F08C99" w:rsidR="00562811" w:rsidRPr="001C7128" w:rsidRDefault="00FE1E85" w:rsidP="001C7128">
    <w:pPr>
      <w:pStyle w:val="Header"/>
    </w:pPr>
    <w:r w:rsidRPr="00FE1E85">
      <w:t xml:space="preserve">Rainbow </w:t>
    </w:r>
    <w:r w:rsidR="000B381C">
      <w:t xml:space="preserve">Ready </w:t>
    </w:r>
    <w:r w:rsidRPr="00FE1E85">
      <w:t>roadmap</w:t>
    </w:r>
    <w:r w:rsidR="000B381C">
      <w:t xml:space="preserve"> – </w:t>
    </w:r>
    <w:r w:rsidR="000B381C" w:rsidRPr="00261859">
      <w:t>Tool A: Assessment and evaluation tool</w:t>
    </w:r>
    <w:r w:rsidR="000B381C">
      <w:t xml:space="preserve"> </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73"/>
    <w:multiLevelType w:val="hybridMultilevel"/>
    <w:tmpl w:val="98C43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D2618"/>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DC6E52"/>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472BF3"/>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F77B5"/>
    <w:multiLevelType w:val="hybridMultilevel"/>
    <w:tmpl w:val="3AA66F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781462"/>
    <w:multiLevelType w:val="hybridMultilevel"/>
    <w:tmpl w:val="3BD250CE"/>
    <w:lvl w:ilvl="0" w:tplc="0C090001">
      <w:start w:val="1"/>
      <w:numFmt w:val="bullet"/>
      <w:lvlText w:val=""/>
      <w:lvlJc w:val="left"/>
      <w:pPr>
        <w:ind w:left="360" w:hanging="360"/>
      </w:pPr>
      <w:rPr>
        <w:rFonts w:ascii="Symbol" w:hAnsi="Symbol" w:hint="default"/>
        <w:b/>
        <w:color w:val="000000" w:themeColor="text1"/>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C965E5"/>
    <w:multiLevelType w:val="hybridMultilevel"/>
    <w:tmpl w:val="A9C6B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A95D32"/>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F7AE8"/>
    <w:multiLevelType w:val="multilevel"/>
    <w:tmpl w:val="892022CA"/>
    <w:lvl w:ilvl="0">
      <w:start w:val="1"/>
      <w:numFmt w:val="decimal"/>
      <w:lvlText w:val="%1."/>
      <w:lvlJc w:val="left"/>
      <w:pPr>
        <w:ind w:left="360" w:hanging="360"/>
      </w:pPr>
      <w:rPr>
        <w:b/>
        <w:bCs/>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A48F4"/>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AA766D"/>
    <w:multiLevelType w:val="hybridMultilevel"/>
    <w:tmpl w:val="09C4F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D428FB"/>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F367FE"/>
    <w:multiLevelType w:val="hybridMultilevel"/>
    <w:tmpl w:val="87B6C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297CEA"/>
    <w:multiLevelType w:val="hybridMultilevel"/>
    <w:tmpl w:val="C7A211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0146E"/>
    <w:multiLevelType w:val="hybridMultilevel"/>
    <w:tmpl w:val="FD183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974D3B"/>
    <w:multiLevelType w:val="hybridMultilevel"/>
    <w:tmpl w:val="060E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9B7A41"/>
    <w:multiLevelType w:val="hybridMultilevel"/>
    <w:tmpl w:val="3C32AA38"/>
    <w:lvl w:ilvl="0" w:tplc="597C5668">
      <w:start w:val="1"/>
      <w:numFmt w:val="decimal"/>
      <w:lvlText w:val="%1."/>
      <w:lvlJc w:val="left"/>
      <w:pPr>
        <w:ind w:left="360" w:hanging="360"/>
      </w:pPr>
      <w:rPr>
        <w:b/>
        <w:bCs/>
      </w:rPr>
    </w:lvl>
    <w:lvl w:ilvl="1" w:tplc="0C090001">
      <w:start w:val="1"/>
      <w:numFmt w:val="bullet"/>
      <w:lvlText w:val=""/>
      <w:lvlJc w:val="left"/>
      <w:pPr>
        <w:ind w:left="1080" w:hanging="360"/>
      </w:pPr>
      <w:rPr>
        <w:rFonts w:ascii="Symbol" w:hAnsi="Symbol" w:hint="default"/>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750B6D"/>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3932C6"/>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FC2CE2"/>
    <w:multiLevelType w:val="hybridMultilevel"/>
    <w:tmpl w:val="C8A2AA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A55105"/>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BA0D1D"/>
    <w:multiLevelType w:val="hybridMultilevel"/>
    <w:tmpl w:val="6D409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D87C17"/>
    <w:multiLevelType w:val="hybridMultilevel"/>
    <w:tmpl w:val="8C8C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090081"/>
    <w:multiLevelType w:val="hybridMultilevel"/>
    <w:tmpl w:val="0B8AF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3470BE"/>
    <w:multiLevelType w:val="hybridMultilevel"/>
    <w:tmpl w:val="D88A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FA13CE"/>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4C50F6"/>
    <w:multiLevelType w:val="hybridMultilevel"/>
    <w:tmpl w:val="748A5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26026A"/>
    <w:multiLevelType w:val="hybridMultilevel"/>
    <w:tmpl w:val="A6A8E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70A34E5"/>
    <w:multiLevelType w:val="hybridMultilevel"/>
    <w:tmpl w:val="DCD0B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D93BE0"/>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D4C1F"/>
    <w:multiLevelType w:val="hybridMultilevel"/>
    <w:tmpl w:val="046A9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72682C"/>
    <w:multiLevelType w:val="hybridMultilevel"/>
    <w:tmpl w:val="9EF46B2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C75712A"/>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89638753">
    <w:abstractNumId w:val="16"/>
  </w:num>
  <w:num w:numId="2" w16cid:durableId="1646396076">
    <w:abstractNumId w:val="24"/>
  </w:num>
  <w:num w:numId="3" w16cid:durableId="377781283">
    <w:abstractNumId w:val="23"/>
  </w:num>
  <w:num w:numId="4" w16cid:durableId="1882088998">
    <w:abstractNumId w:val="33"/>
  </w:num>
  <w:num w:numId="5" w16cid:durableId="2019843136">
    <w:abstractNumId w:val="17"/>
  </w:num>
  <w:num w:numId="6" w16cid:durableId="1091193802">
    <w:abstractNumId w:val="2"/>
  </w:num>
  <w:num w:numId="7" w16cid:durableId="593438950">
    <w:abstractNumId w:val="25"/>
  </w:num>
  <w:num w:numId="8" w16cid:durableId="1828940926">
    <w:abstractNumId w:val="19"/>
  </w:num>
  <w:num w:numId="9" w16cid:durableId="294718208">
    <w:abstractNumId w:val="30"/>
  </w:num>
  <w:num w:numId="10" w16cid:durableId="1326586552">
    <w:abstractNumId w:val="22"/>
  </w:num>
  <w:num w:numId="11" w16cid:durableId="328950595">
    <w:abstractNumId w:val="34"/>
  </w:num>
  <w:num w:numId="12" w16cid:durableId="1370455070">
    <w:abstractNumId w:val="5"/>
  </w:num>
  <w:num w:numId="13" w16cid:durableId="558905387">
    <w:abstractNumId w:val="28"/>
  </w:num>
  <w:num w:numId="14" w16cid:durableId="1028065392">
    <w:abstractNumId w:val="27"/>
  </w:num>
  <w:num w:numId="15" w16cid:durableId="1312758229">
    <w:abstractNumId w:val="31"/>
  </w:num>
  <w:num w:numId="16" w16cid:durableId="1151747965">
    <w:abstractNumId w:val="8"/>
  </w:num>
  <w:num w:numId="17" w16cid:durableId="1724672333">
    <w:abstractNumId w:val="32"/>
  </w:num>
  <w:num w:numId="18" w16cid:durableId="197743149">
    <w:abstractNumId w:val="14"/>
  </w:num>
  <w:num w:numId="19" w16cid:durableId="1410230395">
    <w:abstractNumId w:val="37"/>
  </w:num>
  <w:num w:numId="20" w16cid:durableId="1749957533">
    <w:abstractNumId w:val="15"/>
  </w:num>
  <w:num w:numId="21" w16cid:durableId="1221554693">
    <w:abstractNumId w:val="1"/>
  </w:num>
  <w:num w:numId="22" w16cid:durableId="713313002">
    <w:abstractNumId w:val="18"/>
  </w:num>
  <w:num w:numId="23" w16cid:durableId="2049836956">
    <w:abstractNumId w:val="11"/>
  </w:num>
  <w:num w:numId="24" w16cid:durableId="998583263">
    <w:abstractNumId w:val="26"/>
  </w:num>
  <w:num w:numId="25" w16cid:durableId="2037806490">
    <w:abstractNumId w:val="0"/>
  </w:num>
  <w:num w:numId="26" w16cid:durableId="1556771585">
    <w:abstractNumId w:val="6"/>
  </w:num>
  <w:num w:numId="27" w16cid:durableId="289551932">
    <w:abstractNumId w:val="7"/>
  </w:num>
  <w:num w:numId="28" w16cid:durableId="1464537156">
    <w:abstractNumId w:val="29"/>
  </w:num>
  <w:num w:numId="29" w16cid:durableId="899747898">
    <w:abstractNumId w:val="36"/>
  </w:num>
  <w:num w:numId="30" w16cid:durableId="831717525">
    <w:abstractNumId w:val="13"/>
  </w:num>
  <w:num w:numId="31" w16cid:durableId="2029334473">
    <w:abstractNumId w:val="20"/>
  </w:num>
  <w:num w:numId="32" w16cid:durableId="954360804">
    <w:abstractNumId w:val="12"/>
  </w:num>
  <w:num w:numId="33" w16cid:durableId="1455947791">
    <w:abstractNumId w:val="10"/>
  </w:num>
  <w:num w:numId="34" w16cid:durableId="1736584754">
    <w:abstractNumId w:val="35"/>
  </w:num>
  <w:num w:numId="35" w16cid:durableId="30158899">
    <w:abstractNumId w:val="21"/>
  </w:num>
  <w:num w:numId="36" w16cid:durableId="995259778">
    <w:abstractNumId w:val="3"/>
  </w:num>
  <w:num w:numId="37" w16cid:durableId="1719402998">
    <w:abstractNumId w:val="4"/>
  </w:num>
  <w:num w:numId="38" w16cid:durableId="1086533029">
    <w:abstractNumId w:val="38"/>
  </w:num>
  <w:num w:numId="39" w16cid:durableId="1906329353">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4A3"/>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26F8A"/>
    <w:rsid w:val="00033D81"/>
    <w:rsid w:val="00033DC9"/>
    <w:rsid w:val="00037366"/>
    <w:rsid w:val="00041BF0"/>
    <w:rsid w:val="00042C8A"/>
    <w:rsid w:val="000435B7"/>
    <w:rsid w:val="0004536B"/>
    <w:rsid w:val="00046B68"/>
    <w:rsid w:val="000527DD"/>
    <w:rsid w:val="00056EC4"/>
    <w:rsid w:val="000578B2"/>
    <w:rsid w:val="00060959"/>
    <w:rsid w:val="00060C8F"/>
    <w:rsid w:val="0006298A"/>
    <w:rsid w:val="000663CD"/>
    <w:rsid w:val="000733FE"/>
    <w:rsid w:val="00074219"/>
    <w:rsid w:val="00074ED5"/>
    <w:rsid w:val="0008039A"/>
    <w:rsid w:val="0008170F"/>
    <w:rsid w:val="00081956"/>
    <w:rsid w:val="0008204A"/>
    <w:rsid w:val="0008508E"/>
    <w:rsid w:val="00087951"/>
    <w:rsid w:val="0009113B"/>
    <w:rsid w:val="00093402"/>
    <w:rsid w:val="000939ED"/>
    <w:rsid w:val="00094DA3"/>
    <w:rsid w:val="00096CD1"/>
    <w:rsid w:val="000A012C"/>
    <w:rsid w:val="000A0EB9"/>
    <w:rsid w:val="000A186C"/>
    <w:rsid w:val="000A1EA4"/>
    <w:rsid w:val="000A2476"/>
    <w:rsid w:val="000A2F3B"/>
    <w:rsid w:val="000A641A"/>
    <w:rsid w:val="000B381C"/>
    <w:rsid w:val="000B3EDB"/>
    <w:rsid w:val="000B543D"/>
    <w:rsid w:val="000B55F9"/>
    <w:rsid w:val="000B5BF7"/>
    <w:rsid w:val="000B6BC8"/>
    <w:rsid w:val="000C0303"/>
    <w:rsid w:val="000C42EA"/>
    <w:rsid w:val="000C4546"/>
    <w:rsid w:val="000D02EC"/>
    <w:rsid w:val="000D1242"/>
    <w:rsid w:val="000D2ABA"/>
    <w:rsid w:val="000E0970"/>
    <w:rsid w:val="000E1932"/>
    <w:rsid w:val="000E39A2"/>
    <w:rsid w:val="000E3CC7"/>
    <w:rsid w:val="000E6BD4"/>
    <w:rsid w:val="000E6D6D"/>
    <w:rsid w:val="000F1F1E"/>
    <w:rsid w:val="000F2259"/>
    <w:rsid w:val="000F2DDA"/>
    <w:rsid w:val="000F2EA0"/>
    <w:rsid w:val="000F5213"/>
    <w:rsid w:val="00101001"/>
    <w:rsid w:val="00103276"/>
    <w:rsid w:val="0010392D"/>
    <w:rsid w:val="0010447F"/>
    <w:rsid w:val="00104FE3"/>
    <w:rsid w:val="00106C82"/>
    <w:rsid w:val="0010714F"/>
    <w:rsid w:val="001120C5"/>
    <w:rsid w:val="00120BD3"/>
    <w:rsid w:val="00122FEA"/>
    <w:rsid w:val="001232BD"/>
    <w:rsid w:val="00124ED5"/>
    <w:rsid w:val="001276FA"/>
    <w:rsid w:val="001447B3"/>
    <w:rsid w:val="00145352"/>
    <w:rsid w:val="00152073"/>
    <w:rsid w:val="00152329"/>
    <w:rsid w:val="00156598"/>
    <w:rsid w:val="00157426"/>
    <w:rsid w:val="00161939"/>
    <w:rsid w:val="00161AA0"/>
    <w:rsid w:val="00161D2E"/>
    <w:rsid w:val="00161F3E"/>
    <w:rsid w:val="00162093"/>
    <w:rsid w:val="00162CA9"/>
    <w:rsid w:val="001638BE"/>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1992"/>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1BE0"/>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1859"/>
    <w:rsid w:val="002620BC"/>
    <w:rsid w:val="00262802"/>
    <w:rsid w:val="00263A90"/>
    <w:rsid w:val="0026408B"/>
    <w:rsid w:val="00267C3E"/>
    <w:rsid w:val="002709BB"/>
    <w:rsid w:val="0027131C"/>
    <w:rsid w:val="00273BAC"/>
    <w:rsid w:val="002763B3"/>
    <w:rsid w:val="002802E3"/>
    <w:rsid w:val="0028213D"/>
    <w:rsid w:val="00282A7F"/>
    <w:rsid w:val="00285C7B"/>
    <w:rsid w:val="002862F1"/>
    <w:rsid w:val="00291373"/>
    <w:rsid w:val="00292CC4"/>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611"/>
    <w:rsid w:val="002E7C36"/>
    <w:rsid w:val="002F15DE"/>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A9D"/>
    <w:rsid w:val="00351B36"/>
    <w:rsid w:val="00357B4E"/>
    <w:rsid w:val="00364062"/>
    <w:rsid w:val="003678F0"/>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031C"/>
    <w:rsid w:val="00442C6C"/>
    <w:rsid w:val="004439D8"/>
    <w:rsid w:val="00443CBE"/>
    <w:rsid w:val="00443E8A"/>
    <w:rsid w:val="004441BC"/>
    <w:rsid w:val="00445E0B"/>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02E"/>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710"/>
    <w:rsid w:val="0066667C"/>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3B21"/>
    <w:rsid w:val="006B6803"/>
    <w:rsid w:val="006D0EB2"/>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0B56"/>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4E6"/>
    <w:rsid w:val="00777BE1"/>
    <w:rsid w:val="00782222"/>
    <w:rsid w:val="007833D8"/>
    <w:rsid w:val="00785677"/>
    <w:rsid w:val="00786F16"/>
    <w:rsid w:val="00791BD7"/>
    <w:rsid w:val="007933F7"/>
    <w:rsid w:val="00796E20"/>
    <w:rsid w:val="00797C32"/>
    <w:rsid w:val="007A11E8"/>
    <w:rsid w:val="007A3B5E"/>
    <w:rsid w:val="007A7A0C"/>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4A"/>
    <w:rsid w:val="007D2FB6"/>
    <w:rsid w:val="007D49EB"/>
    <w:rsid w:val="007D4BA1"/>
    <w:rsid w:val="007D5E1C"/>
    <w:rsid w:val="007D7FBB"/>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28D3"/>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1D58"/>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48AC"/>
    <w:rsid w:val="008D60D5"/>
    <w:rsid w:val="008D6DCF"/>
    <w:rsid w:val="008E4376"/>
    <w:rsid w:val="008E7807"/>
    <w:rsid w:val="008E7A0A"/>
    <w:rsid w:val="008E7B49"/>
    <w:rsid w:val="008F59F6"/>
    <w:rsid w:val="00900719"/>
    <w:rsid w:val="009017AC"/>
    <w:rsid w:val="00902A9A"/>
    <w:rsid w:val="00904A1C"/>
    <w:rsid w:val="00905030"/>
    <w:rsid w:val="00906490"/>
    <w:rsid w:val="009111B2"/>
    <w:rsid w:val="00914BC5"/>
    <w:rsid w:val="009151F5"/>
    <w:rsid w:val="00924AE1"/>
    <w:rsid w:val="00924B57"/>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70106"/>
    <w:rsid w:val="0097166C"/>
    <w:rsid w:val="009718C7"/>
    <w:rsid w:val="0097559F"/>
    <w:rsid w:val="009758ED"/>
    <w:rsid w:val="009761EA"/>
    <w:rsid w:val="0097761E"/>
    <w:rsid w:val="00982454"/>
    <w:rsid w:val="00982CF0"/>
    <w:rsid w:val="009853E1"/>
    <w:rsid w:val="00986E6B"/>
    <w:rsid w:val="0098784E"/>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1ACD"/>
    <w:rsid w:val="009C227F"/>
    <w:rsid w:val="009C245E"/>
    <w:rsid w:val="009C3CF1"/>
    <w:rsid w:val="009C4D4A"/>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07"/>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104E"/>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4F"/>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141D"/>
    <w:rsid w:val="00B845B1"/>
    <w:rsid w:val="00B90729"/>
    <w:rsid w:val="00B907DA"/>
    <w:rsid w:val="00B94C5E"/>
    <w:rsid w:val="00B950BC"/>
    <w:rsid w:val="00B9714C"/>
    <w:rsid w:val="00BA29AD"/>
    <w:rsid w:val="00BA33CF"/>
    <w:rsid w:val="00BA3F8D"/>
    <w:rsid w:val="00BB7A10"/>
    <w:rsid w:val="00BC60BE"/>
    <w:rsid w:val="00BC6914"/>
    <w:rsid w:val="00BC7468"/>
    <w:rsid w:val="00BC7D4F"/>
    <w:rsid w:val="00BC7ED7"/>
    <w:rsid w:val="00BD283E"/>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4AE9"/>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32BC"/>
    <w:rsid w:val="00C863C4"/>
    <w:rsid w:val="00C90DAB"/>
    <w:rsid w:val="00C91590"/>
    <w:rsid w:val="00C920EA"/>
    <w:rsid w:val="00C9322F"/>
    <w:rsid w:val="00C93C3E"/>
    <w:rsid w:val="00CA12E3"/>
    <w:rsid w:val="00CA1476"/>
    <w:rsid w:val="00CA6611"/>
    <w:rsid w:val="00CA6AE6"/>
    <w:rsid w:val="00CA782F"/>
    <w:rsid w:val="00CB187B"/>
    <w:rsid w:val="00CB2835"/>
    <w:rsid w:val="00CB3285"/>
    <w:rsid w:val="00CB4500"/>
    <w:rsid w:val="00CB5EA8"/>
    <w:rsid w:val="00CB7335"/>
    <w:rsid w:val="00CC0C72"/>
    <w:rsid w:val="00CC2BFD"/>
    <w:rsid w:val="00CC3BFC"/>
    <w:rsid w:val="00CC6F40"/>
    <w:rsid w:val="00CD3476"/>
    <w:rsid w:val="00CD64DF"/>
    <w:rsid w:val="00CD768F"/>
    <w:rsid w:val="00CE225F"/>
    <w:rsid w:val="00CE2CC0"/>
    <w:rsid w:val="00CF230C"/>
    <w:rsid w:val="00CF2F50"/>
    <w:rsid w:val="00CF6198"/>
    <w:rsid w:val="00D02919"/>
    <w:rsid w:val="00D04C61"/>
    <w:rsid w:val="00D05B8D"/>
    <w:rsid w:val="00D05B9B"/>
    <w:rsid w:val="00D065A2"/>
    <w:rsid w:val="00D079AA"/>
    <w:rsid w:val="00D07F00"/>
    <w:rsid w:val="00D1130F"/>
    <w:rsid w:val="00D1571F"/>
    <w:rsid w:val="00D17B72"/>
    <w:rsid w:val="00D22D45"/>
    <w:rsid w:val="00D24BDF"/>
    <w:rsid w:val="00D3185C"/>
    <w:rsid w:val="00D3205F"/>
    <w:rsid w:val="00D32647"/>
    <w:rsid w:val="00D3318E"/>
    <w:rsid w:val="00D33E72"/>
    <w:rsid w:val="00D35BD6"/>
    <w:rsid w:val="00D361B5"/>
    <w:rsid w:val="00D411A2"/>
    <w:rsid w:val="00D4606D"/>
    <w:rsid w:val="00D50B9C"/>
    <w:rsid w:val="00D513AF"/>
    <w:rsid w:val="00D52D73"/>
    <w:rsid w:val="00D52E58"/>
    <w:rsid w:val="00D56B20"/>
    <w:rsid w:val="00D578B3"/>
    <w:rsid w:val="00D608F8"/>
    <w:rsid w:val="00D618F4"/>
    <w:rsid w:val="00D63636"/>
    <w:rsid w:val="00D640AD"/>
    <w:rsid w:val="00D714CC"/>
    <w:rsid w:val="00D75EA7"/>
    <w:rsid w:val="00D77252"/>
    <w:rsid w:val="00D81ADF"/>
    <w:rsid w:val="00D81F21"/>
    <w:rsid w:val="00D83D06"/>
    <w:rsid w:val="00D864F2"/>
    <w:rsid w:val="00D91FCA"/>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3E3F"/>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43BC"/>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26"/>
    <w:rsid w:val="00EA2F6A"/>
    <w:rsid w:val="00EA36AF"/>
    <w:rsid w:val="00EB00E0"/>
    <w:rsid w:val="00EB05D5"/>
    <w:rsid w:val="00EB4BC7"/>
    <w:rsid w:val="00EC059F"/>
    <w:rsid w:val="00EC0DEE"/>
    <w:rsid w:val="00EC1F24"/>
    <w:rsid w:val="00EC22F6"/>
    <w:rsid w:val="00EC3DB9"/>
    <w:rsid w:val="00EC7F5B"/>
    <w:rsid w:val="00ED5B9B"/>
    <w:rsid w:val="00ED6BAD"/>
    <w:rsid w:val="00ED7447"/>
    <w:rsid w:val="00ED7762"/>
    <w:rsid w:val="00EE00D6"/>
    <w:rsid w:val="00EE11E7"/>
    <w:rsid w:val="00EE1488"/>
    <w:rsid w:val="00EE29AD"/>
    <w:rsid w:val="00EE3E24"/>
    <w:rsid w:val="00EE4D5D"/>
    <w:rsid w:val="00EE5131"/>
    <w:rsid w:val="00EE7878"/>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875AF"/>
    <w:rsid w:val="00F938BA"/>
    <w:rsid w:val="00F97919"/>
    <w:rsid w:val="00FA230B"/>
    <w:rsid w:val="00FA2C46"/>
    <w:rsid w:val="00FA3525"/>
    <w:rsid w:val="00FA5A53"/>
    <w:rsid w:val="00FB0125"/>
    <w:rsid w:val="00FB1F6E"/>
    <w:rsid w:val="00FB4769"/>
    <w:rsid w:val="00FB4CDA"/>
    <w:rsid w:val="00FB6481"/>
    <w:rsid w:val="00FB6D36"/>
    <w:rsid w:val="00FC0965"/>
    <w:rsid w:val="00FC0F81"/>
    <w:rsid w:val="00FC1936"/>
    <w:rsid w:val="00FC252F"/>
    <w:rsid w:val="00FC395C"/>
    <w:rsid w:val="00FC5E8E"/>
    <w:rsid w:val="00FD3766"/>
    <w:rsid w:val="00FD3D05"/>
    <w:rsid w:val="00FD47C4"/>
    <w:rsid w:val="00FE1E85"/>
    <w:rsid w:val="00FE2DCF"/>
    <w:rsid w:val="00FE331E"/>
    <w:rsid w:val="00FE3FA7"/>
    <w:rsid w:val="00FE4081"/>
    <w:rsid w:val="00FE72CA"/>
    <w:rsid w:val="00FF2A4E"/>
    <w:rsid w:val="00FF2FCE"/>
    <w:rsid w:val="00FF4F7D"/>
    <w:rsid w:val="00FF6D9D"/>
    <w:rsid w:val="00FF7620"/>
    <w:rsid w:val="00FF7DD5"/>
    <w:rsid w:val="153933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unhideWhenUsed/>
    <w:qFormat/>
    <w:rsid w:val="00FE1E85"/>
    <w:pPr>
      <w:keepNext/>
      <w:keepLines/>
      <w:spacing w:before="40" w:after="0" w:line="240" w:lineRule="auto"/>
      <w:jc w:val="both"/>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51A9D"/>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F15144"/>
    <w:rPr>
      <w:rFonts w:ascii="Arial" w:hAnsi="Arial"/>
      <w:b/>
      <w:color w:val="201547"/>
      <w:sz w:val="32"/>
      <w:szCs w:val="28"/>
      <w:lang w:eastAsia="en-US"/>
    </w:rPr>
  </w:style>
  <w:style w:type="character" w:customStyle="1" w:styleId="Heading3Char">
    <w:name w:val="Heading 3 Char"/>
    <w:link w:val="Heading3"/>
    <w:uiPriority w:val="9"/>
    <w:rsid w:val="00F15144"/>
    <w:rPr>
      <w:rFonts w:ascii="Arial" w:eastAsia="MS Gothic" w:hAnsi="Arial"/>
      <w:bCs/>
      <w:color w:val="201547"/>
      <w:sz w:val="28"/>
      <w:szCs w:val="26"/>
      <w:lang w:eastAsia="en-US"/>
    </w:rPr>
  </w:style>
  <w:style w:type="character" w:customStyle="1" w:styleId="Heading4Char">
    <w:name w:val="Heading 4 Char"/>
    <w:link w:val="Heading4"/>
    <w:uiPriority w:val="9"/>
    <w:rsid w:val="00F15144"/>
    <w:rPr>
      <w:rFonts w:ascii="Arial" w:eastAsia="MS Mincho" w:hAnsi="Arial"/>
      <w:b/>
      <w:bCs/>
      <w:color w:val="201547"/>
      <w:sz w:val="24"/>
      <w:szCs w:val="22"/>
      <w:lang w:eastAsia="en-US"/>
    </w:rPr>
  </w:style>
  <w:style w:type="paragraph" w:styleId="Header">
    <w:name w:val="header"/>
    <w:link w:val="HeaderChar"/>
    <w:uiPriority w:val="99"/>
    <w:rsid w:val="00351A9D"/>
    <w:rPr>
      <w:rFonts w:ascii="Arial" w:hAnsi="Arial" w:cs="Arial"/>
      <w:b/>
      <w:color w:val="201547"/>
      <w:sz w:val="21"/>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351A9D"/>
    <w:pPr>
      <w:keepNext/>
      <w:keepLines/>
      <w:tabs>
        <w:tab w:val="right" w:leader="dot" w:pos="9299"/>
      </w:tabs>
      <w:spacing w:before="160" w:after="60"/>
    </w:pPr>
    <w:rPr>
      <w:b/>
      <w:noProof/>
      <w:sz w:val="24"/>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351A9D"/>
    <w:pPr>
      <w:pageBreakBefore/>
      <w:spacing w:before="0"/>
      <w:outlineLvl w:val="9"/>
    </w:pPr>
    <w:rPr>
      <w:sz w:val="32"/>
    </w:rPr>
  </w:style>
  <w:style w:type="character" w:customStyle="1" w:styleId="TOCheadingreportChar">
    <w:name w:val="TOC heading report Char"/>
    <w:link w:val="TOCheadingreport"/>
    <w:uiPriority w:val="4"/>
    <w:rsid w:val="00351A9D"/>
    <w:rPr>
      <w:rFonts w:ascii="Arial" w:eastAsia="MS Gothic" w:hAnsi="Arial" w:cs="Arial"/>
      <w:bCs/>
      <w:color w:val="201547"/>
      <w:kern w:val="32"/>
      <w:sz w:val="32"/>
      <w:szCs w:val="44"/>
      <w:lang w:eastAsia="en-US"/>
    </w:rPr>
  </w:style>
  <w:style w:type="paragraph" w:styleId="TOC2">
    <w:name w:val="toc 2"/>
    <w:basedOn w:val="Normal"/>
    <w:next w:val="Normal"/>
    <w:uiPriority w:val="39"/>
    <w:rsid w:val="00351A9D"/>
    <w:pPr>
      <w:keepLines/>
      <w:tabs>
        <w:tab w:val="right" w:leader="dot" w:pos="9299"/>
      </w:tabs>
      <w:spacing w:after="60"/>
    </w:pPr>
    <w:rPr>
      <w:noProof/>
      <w:sz w:val="24"/>
    </w:rPr>
  </w:style>
  <w:style w:type="paragraph" w:styleId="TOC3">
    <w:name w:val="toc 3"/>
    <w:basedOn w:val="Normal"/>
    <w:next w:val="Normal"/>
    <w:uiPriority w:val="39"/>
    <w:rsid w:val="00351A9D"/>
    <w:pPr>
      <w:keepLines/>
      <w:tabs>
        <w:tab w:val="right" w:leader="dot" w:pos="9299"/>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720B56"/>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49102E"/>
    <w:pPr>
      <w:spacing w:before="12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351A9D"/>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51A9D"/>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9102E"/>
    <w:pPr>
      <w:spacing w:after="60" w:line="27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99"/>
    <w:rsid w:val="00351A9D"/>
    <w:rPr>
      <w:rFonts w:ascii="Arial" w:hAnsi="Arial" w:cs="Arial"/>
      <w:b/>
      <w:color w:val="201547"/>
      <w:sz w:val="21"/>
      <w:szCs w:val="18"/>
      <w:lang w:eastAsia="en-US"/>
    </w:rPr>
  </w:style>
  <w:style w:type="character" w:customStyle="1" w:styleId="Heading6Char">
    <w:name w:val="Heading 6 Char"/>
    <w:basedOn w:val="DefaultParagraphFont"/>
    <w:link w:val="Heading6"/>
    <w:uiPriority w:val="9"/>
    <w:rsid w:val="00FE1E85"/>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link w:val="ListParagraphChar"/>
    <w:uiPriority w:val="34"/>
    <w:qFormat/>
    <w:rsid w:val="00EE7878"/>
    <w:pPr>
      <w:spacing w:after="0" w:line="240" w:lineRule="auto"/>
      <w:ind w:left="720"/>
      <w:contextualSpacing/>
      <w:jc w:val="both"/>
    </w:pPr>
    <w:rPr>
      <w:rFonts w:eastAsiaTheme="minorHAnsi" w:cstheme="minorBidi"/>
      <w:szCs w:val="24"/>
    </w:rPr>
  </w:style>
  <w:style w:type="character" w:customStyle="1" w:styleId="ListParagraphChar">
    <w:name w:val="List Paragraph Char"/>
    <w:link w:val="ListParagraph"/>
    <w:uiPriority w:val="34"/>
    <w:locked/>
    <w:rsid w:val="00EE7878"/>
    <w:rPr>
      <w:rFonts w:ascii="Arial" w:eastAsiaTheme="minorHAnsi" w:hAnsi="Arial" w:cstheme="minorBidi"/>
      <w:sz w:val="21"/>
      <w:szCs w:val="24"/>
      <w:lang w:eastAsia="en-US"/>
    </w:rPr>
  </w:style>
  <w:style w:type="character" w:customStyle="1" w:styleId="acopre">
    <w:name w:val="acopre"/>
    <w:basedOn w:val="DefaultParagraphFont"/>
    <w:rsid w:val="00FE1E85"/>
  </w:style>
  <w:style w:type="paragraph" w:styleId="NormalWeb">
    <w:name w:val="Normal (Web)"/>
    <w:basedOn w:val="Normal"/>
    <w:uiPriority w:val="99"/>
    <w:unhideWhenUsed/>
    <w:rsid w:val="00FE1E85"/>
    <w:pPr>
      <w:spacing w:before="100" w:beforeAutospacing="1" w:after="100" w:afterAutospacing="1" w:line="240" w:lineRule="auto"/>
      <w:jc w:val="both"/>
    </w:pPr>
    <w:rPr>
      <w:rFonts w:ascii="Times New Roman" w:hAnsi="Times New Roman"/>
      <w:sz w:val="24"/>
      <w:szCs w:val="24"/>
      <w:lang w:eastAsia="en-GB"/>
    </w:rPr>
  </w:style>
  <w:style w:type="character" w:styleId="Emphasis">
    <w:name w:val="Emphasis"/>
    <w:basedOn w:val="DefaultParagraphFont"/>
    <w:uiPriority w:val="20"/>
    <w:qFormat/>
    <w:rsid w:val="00FE1E85"/>
    <w:rPr>
      <w:i/>
      <w:iCs/>
    </w:rPr>
  </w:style>
  <w:style w:type="character" w:customStyle="1" w:styleId="name">
    <w:name w:val="name"/>
    <w:basedOn w:val="DefaultParagraphFont"/>
    <w:rsid w:val="00FE1E85"/>
  </w:style>
  <w:style w:type="character" w:customStyle="1" w:styleId="blog-button">
    <w:name w:val="blog-button"/>
    <w:basedOn w:val="DefaultParagraphFont"/>
    <w:rsid w:val="00FE1E85"/>
  </w:style>
  <w:style w:type="character" w:customStyle="1" w:styleId="FooterChar">
    <w:name w:val="Footer Char"/>
    <w:basedOn w:val="DefaultParagraphFont"/>
    <w:link w:val="Footer"/>
    <w:uiPriority w:val="99"/>
    <w:rsid w:val="00FE1E85"/>
    <w:rPr>
      <w:rFonts w:ascii="Arial" w:hAnsi="Arial" w:cs="Arial"/>
      <w:sz w:val="18"/>
      <w:szCs w:val="18"/>
      <w:lang w:eastAsia="en-US"/>
    </w:rPr>
  </w:style>
  <w:style w:type="character" w:customStyle="1" w:styleId="tribe-event-date-start">
    <w:name w:val="tribe-event-date-start"/>
    <w:basedOn w:val="DefaultParagraphFont"/>
    <w:rsid w:val="00FE1E85"/>
  </w:style>
  <w:style w:type="character" w:customStyle="1" w:styleId="tribe-event-time">
    <w:name w:val="tribe-event-time"/>
    <w:basedOn w:val="DefaultParagraphFont"/>
    <w:rsid w:val="00FE1E85"/>
  </w:style>
  <w:style w:type="character" w:customStyle="1" w:styleId="attention">
    <w:name w:val="attention"/>
    <w:basedOn w:val="DefaultParagraphFont"/>
    <w:rsid w:val="00FE1E85"/>
  </w:style>
  <w:style w:type="paragraph" w:styleId="TOCHeading">
    <w:name w:val="TOC Heading"/>
    <w:basedOn w:val="Heading1"/>
    <w:next w:val="Normal"/>
    <w:uiPriority w:val="39"/>
    <w:unhideWhenUsed/>
    <w:qFormat/>
    <w:rsid w:val="00FE1E85"/>
    <w:pPr>
      <w:spacing w:before="480" w:line="276" w:lineRule="auto"/>
      <w:outlineLvl w:val="9"/>
    </w:pPr>
    <w:rPr>
      <w:rFonts w:ascii="Chalkduster" w:eastAsiaTheme="majorEastAsia" w:hAnsi="Chalkduster" w:cs="Times New Roman (Headings CS)"/>
      <w:b/>
      <w:caps/>
      <w:color w:val="365F91" w:themeColor="accent1" w:themeShade="BF"/>
      <w:kern w:val="0"/>
      <w:sz w:val="28"/>
      <w:szCs w:val="28"/>
      <w:lang w:val="en-US"/>
    </w:rPr>
  </w:style>
  <w:style w:type="character" w:customStyle="1" w:styleId="rpl-text-label">
    <w:name w:val="rpl-text-label"/>
    <w:basedOn w:val="DefaultParagraphFont"/>
    <w:rsid w:val="00FE1E85"/>
  </w:style>
  <w:style w:type="character" w:customStyle="1" w:styleId="rpl-text-icongroup">
    <w:name w:val="rpl-text-icon__group"/>
    <w:basedOn w:val="DefaultParagraphFont"/>
    <w:rsid w:val="00FE1E85"/>
  </w:style>
  <w:style w:type="paragraph" w:customStyle="1" w:styleId="rpl-hero-bannerdescription">
    <w:name w:val="rpl-hero-banner__description"/>
    <w:basedOn w:val="Normal"/>
    <w:rsid w:val="00FE1E85"/>
    <w:pPr>
      <w:spacing w:before="100" w:beforeAutospacing="1" w:after="100" w:afterAutospacing="1" w:line="240" w:lineRule="auto"/>
    </w:pPr>
    <w:rPr>
      <w:rFonts w:ascii="Times New Roman" w:hAnsi="Times New Roman"/>
      <w:sz w:val="24"/>
      <w:szCs w:val="24"/>
      <w:lang w:eastAsia="en-GB"/>
    </w:rPr>
  </w:style>
  <w:style w:type="character" w:styleId="Mention">
    <w:name w:val="Mention"/>
    <w:basedOn w:val="DefaultParagraphFont"/>
    <w:uiPriority w:val="99"/>
    <w:unhideWhenUsed/>
    <w:rsid w:val="00FE1E85"/>
    <w:rPr>
      <w:color w:val="2B579A"/>
      <w:shd w:val="clear" w:color="auto" w:fill="E1DFDD"/>
    </w:rPr>
  </w:style>
  <w:style w:type="paragraph" w:styleId="NoSpacing">
    <w:name w:val="No Spacing"/>
    <w:uiPriority w:val="1"/>
    <w:qFormat/>
    <w:rsid w:val="00FE1E85"/>
    <w:pPr>
      <w:jc w:val="both"/>
    </w:pPr>
    <w:rPr>
      <w:rFonts w:asciiTheme="minorHAnsi" w:eastAsiaTheme="minorHAnsi" w:hAnsiTheme="minorHAnsi" w:cstheme="minorBidi"/>
      <w:sz w:val="24"/>
      <w:szCs w:val="24"/>
      <w:lang w:eastAsia="en-US"/>
    </w:rPr>
  </w:style>
  <w:style w:type="character" w:styleId="PlaceholderText">
    <w:name w:val="Placeholder Text"/>
    <w:basedOn w:val="DefaultParagraphFont"/>
    <w:uiPriority w:val="99"/>
    <w:semiHidden/>
    <w:rsid w:val="00FE1E85"/>
    <w:rPr>
      <w:color w:val="808080"/>
    </w:rPr>
  </w:style>
  <w:style w:type="character" w:customStyle="1" w:styleId="normaltextrun">
    <w:name w:val="normaltextrun"/>
    <w:basedOn w:val="DefaultParagraphFont"/>
    <w:rsid w:val="00FE1E85"/>
  </w:style>
  <w:style w:type="paragraph" w:customStyle="1" w:styleId="Sectiontitle">
    <w:name w:val="Section title"/>
    <w:basedOn w:val="Heading1"/>
    <w:uiPriority w:val="11"/>
    <w:rsid w:val="006B3B21"/>
    <w:pPr>
      <w:jc w:val="center"/>
    </w:pPr>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rainbow-ready-roadma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y@dffh.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SharedWithUsers xmlns="51ef5222-d273-4e86-adbf-8aa3d9e99a84">
      <UserInfo>
        <DisplayName>Kristy Yeats (DFFH)</DisplayName>
        <AccountId>7352</AccountId>
        <AccountType/>
      </UserInfo>
      <UserInfo>
        <DisplayName>Michael West (DFFH)</DisplayName>
        <AccountId>5050</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A778832A-25AC-4227-8664-440C74E06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 ds:uri="51ef5222-d273-4e86-adbf-8aa3d9e99a8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859</Words>
  <Characters>4902</Characters>
  <Application>Microsoft Office Word</Application>
  <DocSecurity>0</DocSecurity>
  <Lines>40</Lines>
  <Paragraphs>11</Paragraphs>
  <ScaleCrop>false</ScaleCrop>
  <Company>Victoria State Government, Department of Families, Fairness and Housing</Company>
  <LinksUpToDate>false</LinksUpToDate>
  <CharactersWithSpaces>5750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Ready roadmap: Tool A: Assessment and evaluation tool (accessible)</dc:title>
  <dc:subject>Rainbow ready roadmap</dc:subject>
  <dc:creator>Fairer Victoria</dc:creator>
  <cp:revision>7</cp:revision>
  <cp:lastPrinted>2021-01-29T05:27:00Z</cp:lastPrinted>
  <dcterms:created xsi:type="dcterms:W3CDTF">2022-09-28T06:19:00Z</dcterms:created>
  <dcterms:modified xsi:type="dcterms:W3CDTF">2023-10-19T00:42:00Z</dcterms:modified>
  <cp:category>Rainbow ready roadmap, LGBTIQ+, victoria, accessible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2022-09-28T08:26:20Z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e1ebd6a7-f01f-4b7c-8486-6d5be1b1252d</vt:lpwstr>
  </property>
  <property fmtid="{D5CDD505-2E9C-101B-9397-08002B2CF9AE}" pid="11" name="MSIP_Label_43e64453-338c-4f93-8a4d-0039a0a41f2a_ContentBits">
    <vt:lpwstr>2</vt:lpwstr>
  </property>
  <property fmtid="{D5CDD505-2E9C-101B-9397-08002B2CF9AE}" pid="12" name="MediaServiceImageTags">
    <vt:lpwstr/>
  </property>
</Properties>
</file>