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FC9C9" w14:textId="77777777" w:rsidR="003029B8" w:rsidRDefault="003029B8" w:rsidP="005A4534">
      <w:pPr>
        <w:spacing w:after="720"/>
      </w:pPr>
      <w:r w:rsidRPr="00661F70">
        <w:rPr>
          <w:noProof/>
        </w:rPr>
        <w:drawing>
          <wp:inline distT="0" distB="0" distL="0" distR="0" wp14:anchorId="0719C865" wp14:editId="4D4C8FCA">
            <wp:extent cx="2110305" cy="790113"/>
            <wp:effectExtent l="0" t="0" r="0" b="0"/>
            <wp:docPr id="562667241" name="Picture 1" descr="Victoria State Government&#10;Department of Jobs, Skills, Industry and Reg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667241" name="Picture 1" descr="Victoria State Government&#10;Department of Jobs, Skills, Industry and Regions"/>
                    <pic:cNvPicPr/>
                  </pic:nvPicPr>
                  <pic:blipFill>
                    <a:blip r:embed="rId10"/>
                    <a:stretch>
                      <a:fillRect/>
                    </a:stretch>
                  </pic:blipFill>
                  <pic:spPr>
                    <a:xfrm>
                      <a:off x="0" y="0"/>
                      <a:ext cx="2133451" cy="798779"/>
                    </a:xfrm>
                    <a:prstGeom prst="rect">
                      <a:avLst/>
                    </a:prstGeom>
                  </pic:spPr>
                </pic:pic>
              </a:graphicData>
            </a:graphic>
          </wp:inline>
        </w:drawing>
      </w:r>
    </w:p>
    <w:p w14:paraId="6442C5EA" w14:textId="77777777" w:rsidR="00D377F9" w:rsidRDefault="00D377F9" w:rsidP="00D377F9">
      <w:pPr>
        <w:pStyle w:val="TOCHeading"/>
      </w:pPr>
      <w:r>
        <w:t>Contents</w:t>
      </w:r>
    </w:p>
    <w:p w14:paraId="1CC1D9C7" w14:textId="494CCBC6" w:rsidR="009B623F" w:rsidRDefault="00D377F9">
      <w:pPr>
        <w:pStyle w:val="TOC1"/>
        <w:tabs>
          <w:tab w:val="right" w:leader="dot" w:pos="9628"/>
        </w:tabs>
        <w:rPr>
          <w:rFonts w:asciiTheme="minorHAnsi" w:eastAsiaTheme="minorEastAsia" w:hAnsiTheme="minorHAnsi" w:cstheme="minorBidi"/>
          <w:b w:val="0"/>
          <w:noProof/>
          <w:sz w:val="22"/>
          <w:szCs w:val="22"/>
          <w:lang w:eastAsia="en-AU"/>
        </w:rPr>
      </w:pPr>
      <w:r>
        <w:rPr>
          <w:rFonts w:cs="Calibri (Body)"/>
          <w:bCs/>
          <w:noProof/>
        </w:rPr>
        <w:fldChar w:fldCharType="begin"/>
      </w:r>
      <w:r>
        <w:instrText xml:space="preserve"> TOC \o "1-1" \h \z \t "Heading 2,2" </w:instrText>
      </w:r>
      <w:r>
        <w:rPr>
          <w:rFonts w:cs="Calibri (Body)"/>
          <w:bCs/>
          <w:noProof/>
        </w:rPr>
        <w:fldChar w:fldCharType="separate"/>
      </w:r>
      <w:hyperlink w:anchor="_Toc149931596" w:history="1">
        <w:r w:rsidR="009B623F" w:rsidRPr="00680CF5">
          <w:rPr>
            <w:rStyle w:val="Hyperlink"/>
            <w:noProof/>
          </w:rPr>
          <w:t>Victorian Training Market Report: Half Year 2017</w:t>
        </w:r>
        <w:r w:rsidR="009B623F">
          <w:rPr>
            <w:noProof/>
            <w:webHidden/>
          </w:rPr>
          <w:tab/>
        </w:r>
        <w:r w:rsidR="009B623F">
          <w:rPr>
            <w:noProof/>
            <w:webHidden/>
          </w:rPr>
          <w:fldChar w:fldCharType="begin"/>
        </w:r>
        <w:r w:rsidR="009B623F">
          <w:rPr>
            <w:noProof/>
            <w:webHidden/>
          </w:rPr>
          <w:instrText xml:space="preserve"> PAGEREF _Toc149931596 \h </w:instrText>
        </w:r>
        <w:r w:rsidR="009B623F">
          <w:rPr>
            <w:noProof/>
            <w:webHidden/>
          </w:rPr>
        </w:r>
        <w:r w:rsidR="009B623F">
          <w:rPr>
            <w:noProof/>
            <w:webHidden/>
          </w:rPr>
          <w:fldChar w:fldCharType="separate"/>
        </w:r>
        <w:r w:rsidR="009B623F">
          <w:rPr>
            <w:noProof/>
            <w:webHidden/>
          </w:rPr>
          <w:t>2</w:t>
        </w:r>
        <w:r w:rsidR="009B623F">
          <w:rPr>
            <w:noProof/>
            <w:webHidden/>
          </w:rPr>
          <w:fldChar w:fldCharType="end"/>
        </w:r>
      </w:hyperlink>
    </w:p>
    <w:p w14:paraId="53CC5992" w14:textId="6BE0EF38" w:rsidR="009B623F" w:rsidRDefault="00A202FB">
      <w:pPr>
        <w:pStyle w:val="TOC2"/>
        <w:tabs>
          <w:tab w:val="right" w:leader="dot" w:pos="9628"/>
        </w:tabs>
        <w:rPr>
          <w:rFonts w:asciiTheme="minorHAnsi" w:eastAsiaTheme="minorEastAsia" w:hAnsiTheme="minorHAnsi" w:cstheme="minorBidi"/>
          <w:noProof/>
          <w:sz w:val="22"/>
          <w:lang w:eastAsia="en-AU"/>
        </w:rPr>
      </w:pPr>
      <w:hyperlink w:anchor="_Toc149931597" w:history="1">
        <w:r w:rsidR="009B623F" w:rsidRPr="00680CF5">
          <w:rPr>
            <w:rStyle w:val="Hyperlink"/>
            <w:noProof/>
          </w:rPr>
          <w:t>Overview</w:t>
        </w:r>
        <w:r w:rsidR="009B623F">
          <w:rPr>
            <w:noProof/>
            <w:webHidden/>
          </w:rPr>
          <w:tab/>
        </w:r>
        <w:r w:rsidR="009B623F">
          <w:rPr>
            <w:noProof/>
            <w:webHidden/>
          </w:rPr>
          <w:fldChar w:fldCharType="begin"/>
        </w:r>
        <w:r w:rsidR="009B623F">
          <w:rPr>
            <w:noProof/>
            <w:webHidden/>
          </w:rPr>
          <w:instrText xml:space="preserve"> PAGEREF _Toc149931597 \h </w:instrText>
        </w:r>
        <w:r w:rsidR="009B623F">
          <w:rPr>
            <w:noProof/>
            <w:webHidden/>
          </w:rPr>
        </w:r>
        <w:r w:rsidR="009B623F">
          <w:rPr>
            <w:noProof/>
            <w:webHidden/>
          </w:rPr>
          <w:fldChar w:fldCharType="separate"/>
        </w:r>
        <w:r w:rsidR="009B623F">
          <w:rPr>
            <w:noProof/>
            <w:webHidden/>
          </w:rPr>
          <w:t>2</w:t>
        </w:r>
        <w:r w:rsidR="009B623F">
          <w:rPr>
            <w:noProof/>
            <w:webHidden/>
          </w:rPr>
          <w:fldChar w:fldCharType="end"/>
        </w:r>
      </w:hyperlink>
    </w:p>
    <w:p w14:paraId="61950B4E" w14:textId="2842ED7E" w:rsidR="009B623F" w:rsidRDefault="00A202FB">
      <w:pPr>
        <w:pStyle w:val="TOC2"/>
        <w:tabs>
          <w:tab w:val="right" w:leader="dot" w:pos="9628"/>
        </w:tabs>
        <w:rPr>
          <w:rFonts w:asciiTheme="minorHAnsi" w:eastAsiaTheme="minorEastAsia" w:hAnsiTheme="minorHAnsi" w:cstheme="minorBidi"/>
          <w:noProof/>
          <w:sz w:val="22"/>
          <w:lang w:eastAsia="en-AU"/>
        </w:rPr>
      </w:pPr>
      <w:hyperlink w:anchor="_Toc149931598" w:history="1">
        <w:r w:rsidR="009B623F" w:rsidRPr="00680CF5">
          <w:rPr>
            <w:rStyle w:val="Hyperlink"/>
            <w:noProof/>
          </w:rPr>
          <w:t>Government-funded VET in Victoria</w:t>
        </w:r>
        <w:r w:rsidR="009B623F">
          <w:rPr>
            <w:noProof/>
            <w:webHidden/>
          </w:rPr>
          <w:tab/>
        </w:r>
        <w:r w:rsidR="009B623F">
          <w:rPr>
            <w:noProof/>
            <w:webHidden/>
          </w:rPr>
          <w:fldChar w:fldCharType="begin"/>
        </w:r>
        <w:r w:rsidR="009B623F">
          <w:rPr>
            <w:noProof/>
            <w:webHidden/>
          </w:rPr>
          <w:instrText xml:space="preserve"> PAGEREF _Toc149931598 \h </w:instrText>
        </w:r>
        <w:r w:rsidR="009B623F">
          <w:rPr>
            <w:noProof/>
            <w:webHidden/>
          </w:rPr>
        </w:r>
        <w:r w:rsidR="009B623F">
          <w:rPr>
            <w:noProof/>
            <w:webHidden/>
          </w:rPr>
          <w:fldChar w:fldCharType="separate"/>
        </w:r>
        <w:r w:rsidR="009B623F">
          <w:rPr>
            <w:noProof/>
            <w:webHidden/>
          </w:rPr>
          <w:t>4</w:t>
        </w:r>
        <w:r w:rsidR="009B623F">
          <w:rPr>
            <w:noProof/>
            <w:webHidden/>
          </w:rPr>
          <w:fldChar w:fldCharType="end"/>
        </w:r>
      </w:hyperlink>
    </w:p>
    <w:p w14:paraId="2DDFA44D" w14:textId="11589A8C" w:rsidR="009B623F" w:rsidRDefault="00A202FB">
      <w:pPr>
        <w:pStyle w:val="TOC2"/>
        <w:tabs>
          <w:tab w:val="right" w:leader="dot" w:pos="9628"/>
        </w:tabs>
        <w:rPr>
          <w:rFonts w:asciiTheme="minorHAnsi" w:eastAsiaTheme="minorEastAsia" w:hAnsiTheme="minorHAnsi" w:cstheme="minorBidi"/>
          <w:noProof/>
          <w:sz w:val="22"/>
          <w:lang w:eastAsia="en-AU"/>
        </w:rPr>
      </w:pPr>
      <w:hyperlink w:anchor="_Toc149931599" w:history="1">
        <w:r w:rsidR="009B623F" w:rsidRPr="00680CF5">
          <w:rPr>
            <w:rStyle w:val="Hyperlink"/>
            <w:noProof/>
          </w:rPr>
          <w:t>Key cohorts</w:t>
        </w:r>
        <w:r w:rsidR="009B623F">
          <w:rPr>
            <w:noProof/>
            <w:webHidden/>
          </w:rPr>
          <w:tab/>
        </w:r>
        <w:r w:rsidR="009B623F">
          <w:rPr>
            <w:noProof/>
            <w:webHidden/>
          </w:rPr>
          <w:fldChar w:fldCharType="begin"/>
        </w:r>
        <w:r w:rsidR="009B623F">
          <w:rPr>
            <w:noProof/>
            <w:webHidden/>
          </w:rPr>
          <w:instrText xml:space="preserve"> PAGEREF _Toc149931599 \h </w:instrText>
        </w:r>
        <w:r w:rsidR="009B623F">
          <w:rPr>
            <w:noProof/>
            <w:webHidden/>
          </w:rPr>
        </w:r>
        <w:r w:rsidR="009B623F">
          <w:rPr>
            <w:noProof/>
            <w:webHidden/>
          </w:rPr>
          <w:fldChar w:fldCharType="separate"/>
        </w:r>
        <w:r w:rsidR="009B623F">
          <w:rPr>
            <w:noProof/>
            <w:webHidden/>
          </w:rPr>
          <w:t>6</w:t>
        </w:r>
        <w:r w:rsidR="009B623F">
          <w:rPr>
            <w:noProof/>
            <w:webHidden/>
          </w:rPr>
          <w:fldChar w:fldCharType="end"/>
        </w:r>
      </w:hyperlink>
    </w:p>
    <w:p w14:paraId="77AEE633" w14:textId="16F5E796" w:rsidR="009B623F" w:rsidRDefault="00A202FB">
      <w:pPr>
        <w:pStyle w:val="TOC2"/>
        <w:tabs>
          <w:tab w:val="right" w:leader="dot" w:pos="9628"/>
        </w:tabs>
        <w:rPr>
          <w:rFonts w:asciiTheme="minorHAnsi" w:eastAsiaTheme="minorEastAsia" w:hAnsiTheme="minorHAnsi" w:cstheme="minorBidi"/>
          <w:noProof/>
          <w:sz w:val="22"/>
          <w:lang w:eastAsia="en-AU"/>
        </w:rPr>
      </w:pPr>
      <w:hyperlink w:anchor="_Toc149931600" w:history="1">
        <w:r w:rsidR="009B623F" w:rsidRPr="00680CF5">
          <w:rPr>
            <w:rStyle w:val="Hyperlink"/>
            <w:noProof/>
          </w:rPr>
          <w:t>Sources of data</w:t>
        </w:r>
        <w:r w:rsidR="009B623F">
          <w:rPr>
            <w:noProof/>
            <w:webHidden/>
          </w:rPr>
          <w:tab/>
        </w:r>
        <w:r w:rsidR="009B623F">
          <w:rPr>
            <w:noProof/>
            <w:webHidden/>
          </w:rPr>
          <w:fldChar w:fldCharType="begin"/>
        </w:r>
        <w:r w:rsidR="009B623F">
          <w:rPr>
            <w:noProof/>
            <w:webHidden/>
          </w:rPr>
          <w:instrText xml:space="preserve"> PAGEREF _Toc149931600 \h </w:instrText>
        </w:r>
        <w:r w:rsidR="009B623F">
          <w:rPr>
            <w:noProof/>
            <w:webHidden/>
          </w:rPr>
        </w:r>
        <w:r w:rsidR="009B623F">
          <w:rPr>
            <w:noProof/>
            <w:webHidden/>
          </w:rPr>
          <w:fldChar w:fldCharType="separate"/>
        </w:r>
        <w:r w:rsidR="009B623F">
          <w:rPr>
            <w:noProof/>
            <w:webHidden/>
          </w:rPr>
          <w:t>7</w:t>
        </w:r>
        <w:r w:rsidR="009B623F">
          <w:rPr>
            <w:noProof/>
            <w:webHidden/>
          </w:rPr>
          <w:fldChar w:fldCharType="end"/>
        </w:r>
      </w:hyperlink>
    </w:p>
    <w:p w14:paraId="0BC236A1" w14:textId="63FE18FE" w:rsidR="009B623F" w:rsidRDefault="00A202FB">
      <w:pPr>
        <w:pStyle w:val="TOC2"/>
        <w:tabs>
          <w:tab w:val="right" w:leader="dot" w:pos="9628"/>
        </w:tabs>
        <w:rPr>
          <w:rFonts w:asciiTheme="minorHAnsi" w:eastAsiaTheme="minorEastAsia" w:hAnsiTheme="minorHAnsi" w:cstheme="minorBidi"/>
          <w:noProof/>
          <w:sz w:val="22"/>
          <w:lang w:eastAsia="en-AU"/>
        </w:rPr>
      </w:pPr>
      <w:hyperlink w:anchor="_Toc149931601" w:history="1">
        <w:r w:rsidR="009B623F" w:rsidRPr="00680CF5">
          <w:rPr>
            <w:rStyle w:val="Hyperlink"/>
            <w:noProof/>
          </w:rPr>
          <w:t>Definition of government-funded</w:t>
        </w:r>
        <w:r w:rsidR="009B623F">
          <w:rPr>
            <w:noProof/>
            <w:webHidden/>
          </w:rPr>
          <w:tab/>
        </w:r>
        <w:r w:rsidR="009B623F">
          <w:rPr>
            <w:noProof/>
            <w:webHidden/>
          </w:rPr>
          <w:fldChar w:fldCharType="begin"/>
        </w:r>
        <w:r w:rsidR="009B623F">
          <w:rPr>
            <w:noProof/>
            <w:webHidden/>
          </w:rPr>
          <w:instrText xml:space="preserve"> PAGEREF _Toc149931601 \h </w:instrText>
        </w:r>
        <w:r w:rsidR="009B623F">
          <w:rPr>
            <w:noProof/>
            <w:webHidden/>
          </w:rPr>
        </w:r>
        <w:r w:rsidR="009B623F">
          <w:rPr>
            <w:noProof/>
            <w:webHidden/>
          </w:rPr>
          <w:fldChar w:fldCharType="separate"/>
        </w:r>
        <w:r w:rsidR="009B623F">
          <w:rPr>
            <w:noProof/>
            <w:webHidden/>
          </w:rPr>
          <w:t>7</w:t>
        </w:r>
        <w:r w:rsidR="009B623F">
          <w:rPr>
            <w:noProof/>
            <w:webHidden/>
          </w:rPr>
          <w:fldChar w:fldCharType="end"/>
        </w:r>
      </w:hyperlink>
    </w:p>
    <w:p w14:paraId="34B67AF5" w14:textId="67469CE7" w:rsidR="009B623F" w:rsidRDefault="00A202FB">
      <w:pPr>
        <w:pStyle w:val="TOC2"/>
        <w:tabs>
          <w:tab w:val="right" w:leader="dot" w:pos="9628"/>
        </w:tabs>
        <w:rPr>
          <w:rFonts w:asciiTheme="minorHAnsi" w:eastAsiaTheme="minorEastAsia" w:hAnsiTheme="minorHAnsi" w:cstheme="minorBidi"/>
          <w:noProof/>
          <w:sz w:val="22"/>
          <w:lang w:eastAsia="en-AU"/>
        </w:rPr>
      </w:pPr>
      <w:hyperlink w:anchor="_Toc149931602" w:history="1">
        <w:r w:rsidR="009B623F" w:rsidRPr="00680CF5">
          <w:rPr>
            <w:rStyle w:val="Hyperlink"/>
            <w:noProof/>
          </w:rPr>
          <w:t>Other notes about the data</w:t>
        </w:r>
        <w:r w:rsidR="009B623F">
          <w:rPr>
            <w:noProof/>
            <w:webHidden/>
          </w:rPr>
          <w:tab/>
        </w:r>
        <w:r w:rsidR="009B623F">
          <w:rPr>
            <w:noProof/>
            <w:webHidden/>
          </w:rPr>
          <w:fldChar w:fldCharType="begin"/>
        </w:r>
        <w:r w:rsidR="009B623F">
          <w:rPr>
            <w:noProof/>
            <w:webHidden/>
          </w:rPr>
          <w:instrText xml:space="preserve"> PAGEREF _Toc149931602 \h </w:instrText>
        </w:r>
        <w:r w:rsidR="009B623F">
          <w:rPr>
            <w:noProof/>
            <w:webHidden/>
          </w:rPr>
        </w:r>
        <w:r w:rsidR="009B623F">
          <w:rPr>
            <w:noProof/>
            <w:webHidden/>
          </w:rPr>
          <w:fldChar w:fldCharType="separate"/>
        </w:r>
        <w:r w:rsidR="009B623F">
          <w:rPr>
            <w:noProof/>
            <w:webHidden/>
          </w:rPr>
          <w:t>8</w:t>
        </w:r>
        <w:r w:rsidR="009B623F">
          <w:rPr>
            <w:noProof/>
            <w:webHidden/>
          </w:rPr>
          <w:fldChar w:fldCharType="end"/>
        </w:r>
      </w:hyperlink>
    </w:p>
    <w:p w14:paraId="037C40F5" w14:textId="5797D2E2" w:rsidR="00D377F9" w:rsidRPr="00CB0B7F" w:rsidRDefault="00D377F9" w:rsidP="00D377F9">
      <w:pPr>
        <w:spacing w:after="480"/>
      </w:pPr>
      <w:r>
        <w:fldChar w:fldCharType="end"/>
      </w:r>
    </w:p>
    <w:p w14:paraId="37F88431" w14:textId="1A4BDFF7" w:rsidR="0043001E" w:rsidRPr="00661F70" w:rsidRDefault="0043001E" w:rsidP="005A4534">
      <w:pPr>
        <w:pStyle w:val="Heading1"/>
        <w:rPr>
          <w:caps/>
        </w:rPr>
      </w:pPr>
      <w:bookmarkStart w:id="0" w:name="_Toc149931596"/>
      <w:r w:rsidRPr="00661F70">
        <w:lastRenderedPageBreak/>
        <w:t>Victorian Training Market Report: Half Year 2017</w:t>
      </w:r>
      <w:bookmarkEnd w:id="0"/>
    </w:p>
    <w:p w14:paraId="7D0FAB88" w14:textId="1A4243EE" w:rsidR="0043001E" w:rsidRPr="00661F70" w:rsidRDefault="0043001E" w:rsidP="00D377F9">
      <w:r w:rsidRPr="00661F70">
        <w:t xml:space="preserve">The Victorian Government’s Skills First reforms of the TAFE and training sector were implemented from 1 January this year. The reforms are based on a commitment to provide high quality training leading to real jobs, and a number of improvements have been introduced to ensure the training system better meets the needs of industry and individuals. </w:t>
      </w:r>
    </w:p>
    <w:p w14:paraId="5D34773E" w14:textId="77777777" w:rsidR="0043001E" w:rsidRPr="00661F70" w:rsidRDefault="0043001E" w:rsidP="000357C2">
      <w:r w:rsidRPr="00661F70">
        <w:t xml:space="preserve">While the benefits of the overhaul of the TAFE and training sector will take time to be fully realised, this half year report covering January to June 2017 shows that the new training market settings are having a positive impact for key industries and key student cohorts, particularly through the TAFE network. </w:t>
      </w:r>
    </w:p>
    <w:p w14:paraId="40CF62A9" w14:textId="77777777" w:rsidR="0043001E" w:rsidRPr="00661F70" w:rsidRDefault="0043001E" w:rsidP="0043001E">
      <w:pPr>
        <w:pStyle w:val="Heading2"/>
        <w:spacing w:after="160"/>
        <w:jc w:val="both"/>
      </w:pPr>
      <w:bookmarkStart w:id="1" w:name="_Toc149931597"/>
      <w:r w:rsidRPr="00661F70">
        <w:t>Overview</w:t>
      </w:r>
      <w:bookmarkEnd w:id="1"/>
    </w:p>
    <w:p w14:paraId="6F08BEC4" w14:textId="77777777" w:rsidR="0043001E" w:rsidRPr="00661F70" w:rsidRDefault="0043001E" w:rsidP="000357C2">
      <w:r w:rsidRPr="00661F70">
        <w:t xml:space="preserve">Between January and June 2017, 230,500 students were enrolled in government-funded Vocational Education and Training (VET) in Victoria. </w:t>
      </w:r>
    </w:p>
    <w:p w14:paraId="3D8B4915" w14:textId="2D33C904" w:rsidR="0043001E" w:rsidRPr="00661F70" w:rsidRDefault="0043001E" w:rsidP="000357C2">
      <w:r w:rsidRPr="00661F70">
        <w:t xml:space="preserve">When focusing on students undertaking training which leads to a qualification under the Australian Qualifications Framework (AQF), </w:t>
      </w:r>
      <w:r w:rsidR="004E1EBF" w:rsidRPr="00661F70">
        <w:t>i.e.,</w:t>
      </w:r>
      <w:r w:rsidRPr="00661F70">
        <w:t xml:space="preserve"> those courses most likely to lead to improved job outcomes; Victoria reported the largest number of students across all jurisdictions, with 209,600 enrolled in AQF qualifications (90.9 per cent of all students, compared to the overall Australian average of 88.2 per cent).</w:t>
      </w:r>
    </w:p>
    <w:p w14:paraId="237F896A" w14:textId="77777777" w:rsidR="0043001E" w:rsidRPr="00661F70" w:rsidRDefault="0043001E" w:rsidP="000357C2">
      <w:r w:rsidRPr="00661F70">
        <w:t>Victoria also reported the second largest number of students in government-funded VET of any state.</w:t>
      </w:r>
    </w:p>
    <w:p w14:paraId="6EC778BA" w14:textId="77777777" w:rsidR="0043001E" w:rsidRPr="00D377F9" w:rsidRDefault="0043001E" w:rsidP="00D377F9">
      <w:pPr>
        <w:pStyle w:val="Normalbeforebullets"/>
        <w:rPr>
          <w:b/>
          <w:bCs/>
        </w:rPr>
      </w:pPr>
      <w:r w:rsidRPr="00D377F9">
        <w:rPr>
          <w:b/>
          <w:bCs/>
        </w:rPr>
        <w:t>Chart 1: Government-funded students undertaking an accredited qualification (AQF), January – June 2017</w:t>
      </w:r>
    </w:p>
    <w:p w14:paraId="756F73E0" w14:textId="77777777" w:rsidR="0043001E" w:rsidRPr="00661F70" w:rsidRDefault="0043001E" w:rsidP="00D377F9">
      <w:pPr>
        <w:pStyle w:val="Normalbeforebullets"/>
      </w:pPr>
      <w:r w:rsidRPr="00661F70">
        <w:t>Total students</w:t>
      </w:r>
    </w:p>
    <w:p w14:paraId="4FBD3F67" w14:textId="77777777" w:rsidR="0043001E" w:rsidRPr="00661F70" w:rsidRDefault="0043001E" w:rsidP="00D377F9">
      <w:pPr>
        <w:pStyle w:val="Bullet"/>
      </w:pPr>
      <w:r w:rsidRPr="00661F70">
        <w:t>New South Wales: 205,400</w:t>
      </w:r>
    </w:p>
    <w:p w14:paraId="2A3622F8" w14:textId="77777777" w:rsidR="0043001E" w:rsidRPr="00661F70" w:rsidRDefault="0043001E" w:rsidP="00D377F9">
      <w:pPr>
        <w:pStyle w:val="Bullet"/>
      </w:pPr>
      <w:r w:rsidRPr="00661F70">
        <w:t>Victoria: 209,600</w:t>
      </w:r>
    </w:p>
    <w:p w14:paraId="79E841AE" w14:textId="77777777" w:rsidR="0043001E" w:rsidRPr="00661F70" w:rsidRDefault="0043001E" w:rsidP="00D377F9">
      <w:pPr>
        <w:pStyle w:val="Bullet"/>
      </w:pPr>
      <w:r w:rsidRPr="00661F70">
        <w:t>Queensland: 143,800</w:t>
      </w:r>
    </w:p>
    <w:p w14:paraId="5E2CBC40" w14:textId="77777777" w:rsidR="0043001E" w:rsidRPr="00661F70" w:rsidRDefault="0043001E" w:rsidP="00D377F9">
      <w:pPr>
        <w:pStyle w:val="Bullet"/>
      </w:pPr>
      <w:r w:rsidRPr="00661F70">
        <w:t>South Australia: 36,600</w:t>
      </w:r>
    </w:p>
    <w:p w14:paraId="753ECFD1" w14:textId="77777777" w:rsidR="0043001E" w:rsidRPr="00661F70" w:rsidRDefault="0043001E" w:rsidP="00D377F9">
      <w:pPr>
        <w:pStyle w:val="Bullet"/>
      </w:pPr>
      <w:r w:rsidRPr="00661F70">
        <w:t>Western Australia: 73,700</w:t>
      </w:r>
    </w:p>
    <w:p w14:paraId="05B78CB3" w14:textId="77777777" w:rsidR="0043001E" w:rsidRPr="00661F70" w:rsidRDefault="0043001E" w:rsidP="00D377F9">
      <w:pPr>
        <w:pStyle w:val="Bullet"/>
      </w:pPr>
      <w:r w:rsidRPr="00661F70">
        <w:t>Tasmania: 16,200</w:t>
      </w:r>
    </w:p>
    <w:p w14:paraId="6D9D6799" w14:textId="77777777" w:rsidR="0043001E" w:rsidRPr="00661F70" w:rsidRDefault="0043001E" w:rsidP="00D377F9">
      <w:pPr>
        <w:pStyle w:val="Bullet"/>
      </w:pPr>
      <w:r w:rsidRPr="00661F70">
        <w:t>Northern Territory: 12,800</w:t>
      </w:r>
    </w:p>
    <w:p w14:paraId="4A9C37BE" w14:textId="77777777" w:rsidR="0043001E" w:rsidRPr="00661F70" w:rsidRDefault="0043001E" w:rsidP="00D377F9">
      <w:pPr>
        <w:pStyle w:val="Bulletlast"/>
      </w:pPr>
      <w:r w:rsidRPr="00661F70">
        <w:t>Australian Capital Territory: 11,900</w:t>
      </w:r>
    </w:p>
    <w:p w14:paraId="661341DF" w14:textId="77777777" w:rsidR="0043001E" w:rsidRPr="00661F70" w:rsidRDefault="0043001E" w:rsidP="00D377F9">
      <w:pPr>
        <w:pStyle w:val="Normalbeforebullets"/>
      </w:pPr>
      <w:r w:rsidRPr="00661F70">
        <w:lastRenderedPageBreak/>
        <w:t>Percentage enrolled in AQF (as a percentage of all students)</w:t>
      </w:r>
    </w:p>
    <w:p w14:paraId="0BD2FDA7" w14:textId="77777777" w:rsidR="0043001E" w:rsidRPr="00661F70" w:rsidRDefault="0043001E" w:rsidP="00D377F9">
      <w:pPr>
        <w:pStyle w:val="Bullet"/>
        <w:keepNext/>
      </w:pPr>
      <w:r w:rsidRPr="00661F70">
        <w:t>New South Wales: 77.7%</w:t>
      </w:r>
    </w:p>
    <w:p w14:paraId="3859A9E3" w14:textId="77777777" w:rsidR="0043001E" w:rsidRPr="00661F70" w:rsidRDefault="0043001E" w:rsidP="00D377F9">
      <w:pPr>
        <w:pStyle w:val="Bullet"/>
      </w:pPr>
      <w:r w:rsidRPr="00661F70">
        <w:t>Victoria: 90.9%</w:t>
      </w:r>
    </w:p>
    <w:p w14:paraId="62D74879" w14:textId="77777777" w:rsidR="0043001E" w:rsidRPr="00661F70" w:rsidRDefault="0043001E" w:rsidP="00D377F9">
      <w:pPr>
        <w:pStyle w:val="Bullet"/>
      </w:pPr>
      <w:r w:rsidRPr="00661F70">
        <w:t>Queensland: 99.2%</w:t>
      </w:r>
    </w:p>
    <w:p w14:paraId="78043015" w14:textId="77777777" w:rsidR="0043001E" w:rsidRPr="00661F70" w:rsidRDefault="0043001E" w:rsidP="00D377F9">
      <w:pPr>
        <w:pStyle w:val="Bullet"/>
      </w:pPr>
      <w:r w:rsidRPr="00661F70">
        <w:t>South Australia: 85.5%</w:t>
      </w:r>
    </w:p>
    <w:p w14:paraId="53B58592" w14:textId="77777777" w:rsidR="0043001E" w:rsidRPr="00661F70" w:rsidRDefault="0043001E" w:rsidP="00D377F9">
      <w:pPr>
        <w:pStyle w:val="Bullet"/>
      </w:pPr>
      <w:r w:rsidRPr="00661F70">
        <w:t>Western Australia: 98.3%</w:t>
      </w:r>
    </w:p>
    <w:p w14:paraId="75D21A43" w14:textId="77777777" w:rsidR="0043001E" w:rsidRPr="00661F70" w:rsidRDefault="0043001E" w:rsidP="00D377F9">
      <w:pPr>
        <w:pStyle w:val="Bullet"/>
      </w:pPr>
      <w:r w:rsidRPr="00661F70">
        <w:t>Tasmania: 84.4%</w:t>
      </w:r>
    </w:p>
    <w:p w14:paraId="18466F95" w14:textId="77777777" w:rsidR="0043001E" w:rsidRPr="00661F70" w:rsidRDefault="0043001E" w:rsidP="00D377F9">
      <w:pPr>
        <w:pStyle w:val="Bullet"/>
      </w:pPr>
      <w:r w:rsidRPr="00661F70">
        <w:t>Northern Territory: 81%</w:t>
      </w:r>
    </w:p>
    <w:p w14:paraId="613368B1" w14:textId="77777777" w:rsidR="0043001E" w:rsidRPr="00661F70" w:rsidRDefault="0043001E" w:rsidP="00D377F9">
      <w:pPr>
        <w:pStyle w:val="Bulletlast"/>
      </w:pPr>
      <w:r w:rsidRPr="00661F70">
        <w:t>Australian Capital Territory: 96.7%</w:t>
      </w:r>
    </w:p>
    <w:p w14:paraId="2D65E305" w14:textId="77777777" w:rsidR="0043001E" w:rsidRPr="00661F70" w:rsidRDefault="0043001E" w:rsidP="000357C2">
      <w:r w:rsidRPr="00661F70">
        <w:t>Overall, student numbers in Victoria declined by 5.2 per cent in the first half of 2017 when compared with the same period in 2016. This decline was in line with national trends, with student numbers across Australia reducing by 5.3 per cent over the same period</w:t>
      </w:r>
      <w:r w:rsidRPr="00D377F9">
        <w:rPr>
          <w:vertAlign w:val="superscript"/>
        </w:rPr>
        <w:footnoteReference w:id="1"/>
      </w:r>
      <w:r w:rsidRPr="00661F70">
        <w:t>.</w:t>
      </w:r>
    </w:p>
    <w:p w14:paraId="38C2FEC0" w14:textId="2F694B27" w:rsidR="0043001E" w:rsidRPr="00661F70" w:rsidRDefault="0043001E" w:rsidP="000357C2">
      <w:r w:rsidRPr="00661F70">
        <w:t xml:space="preserve">Victoria has made a significant commitment to supporting the TAFE system as part of the Skills First reforms. This commitment is now showing positive returns as Victoria is the only state to show an increase in the number of government-funded TAFE and Dual Sector University students between January </w:t>
      </w:r>
      <w:r w:rsidR="00D377F9">
        <w:t>–</w:t>
      </w:r>
      <w:r w:rsidRPr="00661F70">
        <w:t xml:space="preserve"> June 2016 to January </w:t>
      </w:r>
      <w:r w:rsidR="00D377F9">
        <w:t>–</w:t>
      </w:r>
      <w:r w:rsidRPr="00661F70">
        <w:t xml:space="preserve"> June 2017.</w:t>
      </w:r>
    </w:p>
    <w:p w14:paraId="2BB3CD9D" w14:textId="75DB18A8" w:rsidR="0043001E" w:rsidRPr="00D377F9" w:rsidRDefault="0043001E" w:rsidP="00D377F9">
      <w:pPr>
        <w:pStyle w:val="Normalbeforebullets"/>
        <w:rPr>
          <w:b/>
          <w:bCs/>
        </w:rPr>
      </w:pPr>
      <w:r w:rsidRPr="00D377F9">
        <w:rPr>
          <w:b/>
          <w:bCs/>
        </w:rPr>
        <w:t xml:space="preserve">Chart 2: Change in government-funded students by TAFE institutes, Dual </w:t>
      </w:r>
      <w:r w:rsidR="00081F1B" w:rsidRPr="00D377F9">
        <w:rPr>
          <w:b/>
          <w:bCs/>
        </w:rPr>
        <w:t>Sector,</w:t>
      </w:r>
      <w:r w:rsidRPr="00D377F9">
        <w:rPr>
          <w:b/>
          <w:bCs/>
        </w:rPr>
        <w:t xml:space="preserve"> and other government providers (January – June 2016 to January – June 2017)</w:t>
      </w:r>
    </w:p>
    <w:p w14:paraId="2BE3CCEA" w14:textId="77777777" w:rsidR="0043001E" w:rsidRPr="00661F70" w:rsidRDefault="0043001E" w:rsidP="00D377F9">
      <w:pPr>
        <w:pStyle w:val="Normalbeforebullets"/>
      </w:pPr>
      <w:r w:rsidRPr="00661F70">
        <w:t>Percentage change</w:t>
      </w:r>
    </w:p>
    <w:p w14:paraId="5D38EE6B" w14:textId="77777777" w:rsidR="0043001E" w:rsidRPr="00661F70" w:rsidRDefault="0043001E" w:rsidP="00D377F9">
      <w:pPr>
        <w:pStyle w:val="Bullet"/>
      </w:pPr>
      <w:r w:rsidRPr="00661F70">
        <w:t>New South Wales: -10.1%</w:t>
      </w:r>
    </w:p>
    <w:p w14:paraId="6C1F6EA9" w14:textId="77777777" w:rsidR="0043001E" w:rsidRPr="00661F70" w:rsidRDefault="0043001E" w:rsidP="00D377F9">
      <w:pPr>
        <w:pStyle w:val="Bullet"/>
      </w:pPr>
      <w:r w:rsidRPr="00661F70">
        <w:t>Victoria: +10.4%</w:t>
      </w:r>
    </w:p>
    <w:p w14:paraId="0CE549E6" w14:textId="77777777" w:rsidR="0043001E" w:rsidRPr="00661F70" w:rsidRDefault="0043001E" w:rsidP="00D377F9">
      <w:pPr>
        <w:pStyle w:val="Bullet"/>
      </w:pPr>
      <w:r w:rsidRPr="00661F70">
        <w:t>Queensland: -10.6%</w:t>
      </w:r>
    </w:p>
    <w:p w14:paraId="5350C3D0" w14:textId="77777777" w:rsidR="0043001E" w:rsidRPr="00661F70" w:rsidRDefault="0043001E" w:rsidP="00D377F9">
      <w:pPr>
        <w:pStyle w:val="Bullet"/>
      </w:pPr>
      <w:r w:rsidRPr="00661F70">
        <w:t>South Australia: -15.5%</w:t>
      </w:r>
    </w:p>
    <w:p w14:paraId="5C74D26F" w14:textId="77777777" w:rsidR="0043001E" w:rsidRPr="00661F70" w:rsidRDefault="0043001E" w:rsidP="00D377F9">
      <w:pPr>
        <w:pStyle w:val="Bullet"/>
      </w:pPr>
      <w:r w:rsidRPr="00661F70">
        <w:t>Western Australia: -9.7%</w:t>
      </w:r>
    </w:p>
    <w:p w14:paraId="08B9DE4B" w14:textId="77777777" w:rsidR="0043001E" w:rsidRPr="00661F70" w:rsidRDefault="0043001E" w:rsidP="00D377F9">
      <w:pPr>
        <w:pStyle w:val="Bullet"/>
      </w:pPr>
      <w:r w:rsidRPr="00661F70">
        <w:t>Tasmania: -10.4%</w:t>
      </w:r>
    </w:p>
    <w:p w14:paraId="5D91A149" w14:textId="77777777" w:rsidR="0043001E" w:rsidRPr="00661F70" w:rsidRDefault="0043001E" w:rsidP="00D377F9">
      <w:pPr>
        <w:pStyle w:val="Bullet"/>
      </w:pPr>
      <w:r w:rsidRPr="00661F70">
        <w:t>Northern Territory: -4%</w:t>
      </w:r>
    </w:p>
    <w:p w14:paraId="36E556A5" w14:textId="77777777" w:rsidR="0043001E" w:rsidRPr="00661F70" w:rsidRDefault="0043001E" w:rsidP="00D377F9">
      <w:pPr>
        <w:pStyle w:val="Bullet"/>
      </w:pPr>
      <w:r w:rsidRPr="00661F70">
        <w:t>Australian Capital Territory: -1.2%</w:t>
      </w:r>
    </w:p>
    <w:p w14:paraId="1739CBB7" w14:textId="77777777" w:rsidR="0043001E" w:rsidRPr="00661F70" w:rsidRDefault="0043001E" w:rsidP="00D377F9">
      <w:pPr>
        <w:pStyle w:val="Bulletlast"/>
      </w:pPr>
      <w:r w:rsidRPr="00661F70">
        <w:t>Australia: -6.1%</w:t>
      </w:r>
    </w:p>
    <w:p w14:paraId="1F48E1CE" w14:textId="63D8FFBD" w:rsidR="0043001E" w:rsidRPr="00661F70" w:rsidRDefault="0043001E" w:rsidP="000357C2">
      <w:r w:rsidRPr="00661F70">
        <w:lastRenderedPageBreak/>
        <w:t xml:space="preserve">The rest of this report presents data submitted to the Department of Education and Training by contracted training </w:t>
      </w:r>
      <w:r w:rsidR="00081F1B" w:rsidRPr="00661F70">
        <w:t>providers and</w:t>
      </w:r>
      <w:r w:rsidRPr="00661F70">
        <w:t xml:space="preserve"> presents a summary of training activity in the first half of 2017, compared to the same period in 2016, to highlight changes over time.</w:t>
      </w:r>
    </w:p>
    <w:p w14:paraId="4A0B69C3" w14:textId="77777777" w:rsidR="0043001E" w:rsidRPr="00661F70" w:rsidRDefault="0043001E" w:rsidP="0043001E">
      <w:pPr>
        <w:pStyle w:val="Heading2"/>
        <w:spacing w:after="160"/>
      </w:pPr>
      <w:bookmarkStart w:id="2" w:name="_Toc149931598"/>
      <w:r w:rsidRPr="00661F70">
        <w:t>Government-funded VET in Victoria</w:t>
      </w:r>
      <w:bookmarkEnd w:id="2"/>
    </w:p>
    <w:p w14:paraId="32E53415" w14:textId="4C274A18" w:rsidR="0043001E" w:rsidRPr="00661F70" w:rsidRDefault="0043001E" w:rsidP="000357C2">
      <w:r w:rsidRPr="00661F70">
        <w:t>Between 1 January and 30 June 2017, there were 118,349 new course enrolments (commencements) in government-funded VET across Victoria and 122,313 continuing enrolments (</w:t>
      </w:r>
      <w:r w:rsidR="00081F1B" w:rsidRPr="00661F70">
        <w:t>i.e.,</w:t>
      </w:r>
      <w:r w:rsidRPr="00661F70">
        <w:t xml:space="preserve"> students continuing their course from previous years). Of these, TAFE/Dual Sector Universities accounted for 47.3% of commencements (56,018); 40.9 per cent of continuing enrolments and 44 per cent of total enrolments in the period January – June 2017.</w:t>
      </w:r>
    </w:p>
    <w:p w14:paraId="1E0BE618" w14:textId="77777777" w:rsidR="0043001E" w:rsidRPr="00D377F9" w:rsidRDefault="0043001E" w:rsidP="00D377F9">
      <w:pPr>
        <w:pStyle w:val="Normalbeforebullets"/>
        <w:rPr>
          <w:b/>
          <w:bCs/>
        </w:rPr>
      </w:pPr>
      <w:r w:rsidRPr="00D377F9">
        <w:rPr>
          <w:b/>
          <w:bCs/>
        </w:rPr>
        <w:t>Table 1: Government-funded VET delivery</w:t>
      </w:r>
    </w:p>
    <w:tbl>
      <w:tblPr>
        <w:tblStyle w:val="TableGrid"/>
        <w:tblW w:w="9776" w:type="dxa"/>
        <w:tblCellMar>
          <w:top w:w="57" w:type="dxa"/>
          <w:left w:w="57" w:type="dxa"/>
          <w:bottom w:w="57" w:type="dxa"/>
          <w:right w:w="57" w:type="dxa"/>
        </w:tblCellMar>
        <w:tblLook w:val="04A0" w:firstRow="1" w:lastRow="0" w:firstColumn="1" w:lastColumn="0" w:noHBand="0" w:noVBand="1"/>
      </w:tblPr>
      <w:tblGrid>
        <w:gridCol w:w="4106"/>
        <w:gridCol w:w="1842"/>
        <w:gridCol w:w="2127"/>
        <w:gridCol w:w="1701"/>
      </w:tblGrid>
      <w:tr w:rsidR="0043001E" w:rsidRPr="00661F70" w14:paraId="62F4D0D2" w14:textId="77777777" w:rsidTr="00621A52">
        <w:trPr>
          <w:cantSplit/>
        </w:trPr>
        <w:tc>
          <w:tcPr>
            <w:tcW w:w="4106" w:type="dxa"/>
          </w:tcPr>
          <w:p w14:paraId="4986DFBD" w14:textId="77777777" w:rsidR="0043001E" w:rsidRPr="00661F70" w:rsidRDefault="0043001E" w:rsidP="00D377F9">
            <w:pPr>
              <w:pStyle w:val="TableColumnHeading"/>
            </w:pPr>
            <w:bookmarkStart w:id="3" w:name="ColumnTitles"/>
            <w:bookmarkEnd w:id="3"/>
          </w:p>
        </w:tc>
        <w:tc>
          <w:tcPr>
            <w:tcW w:w="1842" w:type="dxa"/>
          </w:tcPr>
          <w:p w14:paraId="56423844" w14:textId="77777777" w:rsidR="0043001E" w:rsidRPr="00661F70" w:rsidRDefault="0043001E" w:rsidP="00D377F9">
            <w:pPr>
              <w:pStyle w:val="TableColumnHeading"/>
              <w:jc w:val="right"/>
            </w:pPr>
            <w:r w:rsidRPr="00661F70">
              <w:t>Jan – Jun 2016</w:t>
            </w:r>
          </w:p>
        </w:tc>
        <w:tc>
          <w:tcPr>
            <w:tcW w:w="2127" w:type="dxa"/>
          </w:tcPr>
          <w:p w14:paraId="4575640A" w14:textId="77777777" w:rsidR="0043001E" w:rsidRPr="00661F70" w:rsidRDefault="0043001E" w:rsidP="00D377F9">
            <w:pPr>
              <w:pStyle w:val="TableColumnHeading"/>
              <w:jc w:val="right"/>
            </w:pPr>
            <w:r w:rsidRPr="00661F70">
              <w:t>Jan – Jun 2017</w:t>
            </w:r>
          </w:p>
        </w:tc>
        <w:tc>
          <w:tcPr>
            <w:tcW w:w="1701" w:type="dxa"/>
          </w:tcPr>
          <w:p w14:paraId="438BBD95" w14:textId="77777777" w:rsidR="0043001E" w:rsidRPr="00661F70" w:rsidRDefault="0043001E" w:rsidP="00D377F9">
            <w:pPr>
              <w:pStyle w:val="TableColumnHeading"/>
              <w:jc w:val="right"/>
            </w:pPr>
            <w:r w:rsidRPr="00661F70">
              <w:t>Percentage change</w:t>
            </w:r>
          </w:p>
        </w:tc>
      </w:tr>
      <w:tr w:rsidR="0043001E" w:rsidRPr="00661F70" w14:paraId="2BB3AA46" w14:textId="77777777" w:rsidTr="00621A52">
        <w:trPr>
          <w:cantSplit/>
        </w:trPr>
        <w:tc>
          <w:tcPr>
            <w:tcW w:w="4106" w:type="dxa"/>
          </w:tcPr>
          <w:p w14:paraId="64FC045E" w14:textId="77777777" w:rsidR="0043001E" w:rsidRPr="00661F70" w:rsidRDefault="0043001E" w:rsidP="00D377F9">
            <w:pPr>
              <w:pStyle w:val="TableCopy"/>
            </w:pPr>
            <w:r w:rsidRPr="00661F70">
              <w:t>New enrolments (commencements)</w:t>
            </w:r>
          </w:p>
        </w:tc>
        <w:tc>
          <w:tcPr>
            <w:tcW w:w="1842" w:type="dxa"/>
          </w:tcPr>
          <w:p w14:paraId="3340828F" w14:textId="12073F49" w:rsidR="0043001E" w:rsidRPr="00661F70" w:rsidRDefault="0043001E" w:rsidP="00D377F9">
            <w:pPr>
              <w:pStyle w:val="TableCopy"/>
              <w:jc w:val="right"/>
            </w:pPr>
            <w:r w:rsidRPr="00661F70">
              <w:t>131,966</w:t>
            </w:r>
          </w:p>
        </w:tc>
        <w:tc>
          <w:tcPr>
            <w:tcW w:w="2127" w:type="dxa"/>
          </w:tcPr>
          <w:p w14:paraId="4CDD7DD1" w14:textId="75B06782" w:rsidR="0043001E" w:rsidRPr="00661F70" w:rsidRDefault="0043001E" w:rsidP="00D377F9">
            <w:pPr>
              <w:pStyle w:val="TableCopy"/>
              <w:jc w:val="right"/>
            </w:pPr>
            <w:r w:rsidRPr="00661F70">
              <w:t>118,349</w:t>
            </w:r>
          </w:p>
        </w:tc>
        <w:tc>
          <w:tcPr>
            <w:tcW w:w="1701" w:type="dxa"/>
          </w:tcPr>
          <w:p w14:paraId="68309AE8" w14:textId="0B7FCAA2" w:rsidR="0043001E" w:rsidRPr="00661F70" w:rsidRDefault="0043001E" w:rsidP="00D377F9">
            <w:pPr>
              <w:pStyle w:val="TableCopy"/>
              <w:jc w:val="right"/>
            </w:pPr>
            <w:r w:rsidRPr="00661F70">
              <w:t>-10.3</w:t>
            </w:r>
          </w:p>
        </w:tc>
      </w:tr>
      <w:tr w:rsidR="0043001E" w:rsidRPr="00661F70" w14:paraId="37EA5C0D" w14:textId="77777777" w:rsidTr="00621A52">
        <w:trPr>
          <w:cantSplit/>
        </w:trPr>
        <w:tc>
          <w:tcPr>
            <w:tcW w:w="4106" w:type="dxa"/>
          </w:tcPr>
          <w:p w14:paraId="2697F9CD" w14:textId="77777777" w:rsidR="0043001E" w:rsidRPr="00661F70" w:rsidRDefault="0043001E" w:rsidP="00D377F9">
            <w:pPr>
              <w:pStyle w:val="TableCopy"/>
            </w:pPr>
            <w:r w:rsidRPr="00661F70">
              <w:t>TAFE/Dual Sector delivery</w:t>
            </w:r>
          </w:p>
        </w:tc>
        <w:tc>
          <w:tcPr>
            <w:tcW w:w="1842" w:type="dxa"/>
          </w:tcPr>
          <w:p w14:paraId="2F56F40E" w14:textId="51BCB8DD" w:rsidR="0043001E" w:rsidRPr="00661F70" w:rsidRDefault="0043001E" w:rsidP="00D377F9">
            <w:pPr>
              <w:pStyle w:val="TableCopy"/>
              <w:jc w:val="right"/>
            </w:pPr>
            <w:r w:rsidRPr="00661F70">
              <w:t>53,298</w:t>
            </w:r>
            <w:r w:rsidR="008B0697">
              <w:t xml:space="preserve"> </w:t>
            </w:r>
            <w:r w:rsidRPr="00661F70">
              <w:t>(40.4%)</w:t>
            </w:r>
          </w:p>
        </w:tc>
        <w:tc>
          <w:tcPr>
            <w:tcW w:w="2127" w:type="dxa"/>
          </w:tcPr>
          <w:p w14:paraId="35DD9AF9" w14:textId="43ECBC95" w:rsidR="0043001E" w:rsidRPr="00661F70" w:rsidRDefault="0043001E" w:rsidP="00D377F9">
            <w:pPr>
              <w:pStyle w:val="TableCopy"/>
              <w:jc w:val="right"/>
            </w:pPr>
            <w:r w:rsidRPr="00661F70">
              <w:t>56,018</w:t>
            </w:r>
            <w:r w:rsidR="008B0697">
              <w:t xml:space="preserve"> </w:t>
            </w:r>
            <w:r w:rsidRPr="00661F70">
              <w:t>(47.3%)</w:t>
            </w:r>
          </w:p>
        </w:tc>
        <w:tc>
          <w:tcPr>
            <w:tcW w:w="1701" w:type="dxa"/>
          </w:tcPr>
          <w:p w14:paraId="118F0CCA" w14:textId="77777777" w:rsidR="0043001E" w:rsidRPr="00661F70" w:rsidRDefault="0043001E" w:rsidP="00D377F9">
            <w:pPr>
              <w:pStyle w:val="TableCopy"/>
              <w:jc w:val="right"/>
            </w:pPr>
            <w:r w:rsidRPr="00661F70">
              <w:t>+5.1%</w:t>
            </w:r>
          </w:p>
        </w:tc>
      </w:tr>
      <w:tr w:rsidR="0043001E" w:rsidRPr="00661F70" w14:paraId="677F2BC5" w14:textId="77777777" w:rsidTr="00621A52">
        <w:trPr>
          <w:cantSplit/>
        </w:trPr>
        <w:tc>
          <w:tcPr>
            <w:tcW w:w="4106" w:type="dxa"/>
          </w:tcPr>
          <w:p w14:paraId="34DA412E" w14:textId="77777777" w:rsidR="0043001E" w:rsidRPr="00661F70" w:rsidRDefault="0043001E" w:rsidP="00D377F9">
            <w:pPr>
              <w:pStyle w:val="TableCopy"/>
            </w:pPr>
            <w:r w:rsidRPr="00661F70">
              <w:t>Continuing enrolments</w:t>
            </w:r>
          </w:p>
        </w:tc>
        <w:tc>
          <w:tcPr>
            <w:tcW w:w="1842" w:type="dxa"/>
          </w:tcPr>
          <w:p w14:paraId="34034F1D" w14:textId="48C47086" w:rsidR="0043001E" w:rsidRPr="00661F70" w:rsidRDefault="0043001E" w:rsidP="00D377F9">
            <w:pPr>
              <w:pStyle w:val="TableCopy"/>
              <w:jc w:val="right"/>
            </w:pPr>
            <w:r w:rsidRPr="00661F70">
              <w:t>133,058</w:t>
            </w:r>
          </w:p>
        </w:tc>
        <w:tc>
          <w:tcPr>
            <w:tcW w:w="2127" w:type="dxa"/>
          </w:tcPr>
          <w:p w14:paraId="7DFED75C" w14:textId="331D929B" w:rsidR="0043001E" w:rsidRPr="00661F70" w:rsidRDefault="0043001E" w:rsidP="00D377F9">
            <w:pPr>
              <w:pStyle w:val="TableCopy"/>
              <w:jc w:val="right"/>
            </w:pPr>
            <w:r w:rsidRPr="00661F70">
              <w:t>122,313</w:t>
            </w:r>
          </w:p>
        </w:tc>
        <w:tc>
          <w:tcPr>
            <w:tcW w:w="1701" w:type="dxa"/>
          </w:tcPr>
          <w:p w14:paraId="3498DDBB" w14:textId="108E1A8E" w:rsidR="0043001E" w:rsidRPr="00661F70" w:rsidRDefault="0043001E" w:rsidP="00D377F9">
            <w:pPr>
              <w:pStyle w:val="TableCopy"/>
              <w:jc w:val="right"/>
            </w:pPr>
            <w:r w:rsidRPr="00661F70">
              <w:t>-8.1</w:t>
            </w:r>
          </w:p>
        </w:tc>
      </w:tr>
      <w:tr w:rsidR="0043001E" w:rsidRPr="00661F70" w14:paraId="5C949091" w14:textId="77777777" w:rsidTr="00621A52">
        <w:trPr>
          <w:cantSplit/>
        </w:trPr>
        <w:tc>
          <w:tcPr>
            <w:tcW w:w="4106" w:type="dxa"/>
          </w:tcPr>
          <w:p w14:paraId="14BF006E" w14:textId="77777777" w:rsidR="0043001E" w:rsidRPr="00661F70" w:rsidRDefault="0043001E" w:rsidP="00D377F9">
            <w:pPr>
              <w:pStyle w:val="TableCopy"/>
            </w:pPr>
            <w:r w:rsidRPr="00661F70">
              <w:t>TAFE/Dual Sector delivery</w:t>
            </w:r>
          </w:p>
        </w:tc>
        <w:tc>
          <w:tcPr>
            <w:tcW w:w="1842" w:type="dxa"/>
          </w:tcPr>
          <w:p w14:paraId="7E8049F5" w14:textId="500CE76D" w:rsidR="0043001E" w:rsidRPr="00661F70" w:rsidRDefault="0043001E" w:rsidP="00D377F9">
            <w:pPr>
              <w:pStyle w:val="TableCopy"/>
              <w:jc w:val="right"/>
            </w:pPr>
            <w:r w:rsidRPr="00661F70">
              <w:t>44,418</w:t>
            </w:r>
            <w:r w:rsidR="008B0697">
              <w:t xml:space="preserve"> </w:t>
            </w:r>
            <w:r w:rsidRPr="00661F70">
              <w:t>(33.4%)</w:t>
            </w:r>
          </w:p>
        </w:tc>
        <w:tc>
          <w:tcPr>
            <w:tcW w:w="2127" w:type="dxa"/>
          </w:tcPr>
          <w:p w14:paraId="1AA23F95" w14:textId="751BBB48" w:rsidR="0043001E" w:rsidRPr="00661F70" w:rsidRDefault="0043001E" w:rsidP="00D377F9">
            <w:pPr>
              <w:pStyle w:val="TableCopy"/>
              <w:jc w:val="right"/>
            </w:pPr>
            <w:r w:rsidRPr="00661F70">
              <w:t>49,972</w:t>
            </w:r>
            <w:r w:rsidR="008B0697">
              <w:t xml:space="preserve"> </w:t>
            </w:r>
            <w:r w:rsidRPr="00661F70">
              <w:t>(40.9%)</w:t>
            </w:r>
          </w:p>
        </w:tc>
        <w:tc>
          <w:tcPr>
            <w:tcW w:w="1701" w:type="dxa"/>
          </w:tcPr>
          <w:p w14:paraId="5D6DE91B" w14:textId="77777777" w:rsidR="0043001E" w:rsidRPr="00661F70" w:rsidRDefault="0043001E" w:rsidP="00D377F9">
            <w:pPr>
              <w:pStyle w:val="TableCopy"/>
              <w:jc w:val="right"/>
            </w:pPr>
            <w:r w:rsidRPr="00661F70">
              <w:t>+12.5%</w:t>
            </w:r>
          </w:p>
        </w:tc>
      </w:tr>
      <w:tr w:rsidR="0043001E" w:rsidRPr="00661F70" w14:paraId="6314DE4B" w14:textId="77777777" w:rsidTr="00621A52">
        <w:trPr>
          <w:cantSplit/>
        </w:trPr>
        <w:tc>
          <w:tcPr>
            <w:tcW w:w="4106" w:type="dxa"/>
          </w:tcPr>
          <w:p w14:paraId="4A7AE9C2" w14:textId="77777777" w:rsidR="0043001E" w:rsidRPr="00661F70" w:rsidRDefault="0043001E" w:rsidP="00D377F9">
            <w:pPr>
              <w:pStyle w:val="TableCopy"/>
            </w:pPr>
            <w:r w:rsidRPr="00661F70">
              <w:t>Total enrolments</w:t>
            </w:r>
          </w:p>
        </w:tc>
        <w:tc>
          <w:tcPr>
            <w:tcW w:w="1842" w:type="dxa"/>
          </w:tcPr>
          <w:p w14:paraId="6866A492" w14:textId="7C13D402" w:rsidR="0043001E" w:rsidRPr="00661F70" w:rsidRDefault="0043001E" w:rsidP="00D377F9">
            <w:pPr>
              <w:pStyle w:val="TableCopy"/>
              <w:jc w:val="right"/>
            </w:pPr>
            <w:r w:rsidRPr="00661F70">
              <w:t>265,024</w:t>
            </w:r>
          </w:p>
        </w:tc>
        <w:tc>
          <w:tcPr>
            <w:tcW w:w="2127" w:type="dxa"/>
          </w:tcPr>
          <w:p w14:paraId="44C460DC" w14:textId="200CD2B2" w:rsidR="0043001E" w:rsidRPr="00661F70" w:rsidRDefault="0043001E" w:rsidP="00D377F9">
            <w:pPr>
              <w:pStyle w:val="TableCopy"/>
              <w:jc w:val="right"/>
            </w:pPr>
            <w:r w:rsidRPr="00661F70">
              <w:t>240,662</w:t>
            </w:r>
          </w:p>
        </w:tc>
        <w:tc>
          <w:tcPr>
            <w:tcW w:w="1701" w:type="dxa"/>
          </w:tcPr>
          <w:p w14:paraId="3CC4C05F" w14:textId="26FBB3F5" w:rsidR="0043001E" w:rsidRPr="00661F70" w:rsidRDefault="0043001E" w:rsidP="00D377F9">
            <w:pPr>
              <w:pStyle w:val="TableCopy"/>
              <w:jc w:val="right"/>
            </w:pPr>
            <w:r w:rsidRPr="00661F70">
              <w:t>-9.2</w:t>
            </w:r>
          </w:p>
        </w:tc>
      </w:tr>
      <w:tr w:rsidR="0043001E" w:rsidRPr="00661F70" w14:paraId="6A943268" w14:textId="77777777" w:rsidTr="00621A52">
        <w:trPr>
          <w:cantSplit/>
        </w:trPr>
        <w:tc>
          <w:tcPr>
            <w:tcW w:w="4106" w:type="dxa"/>
          </w:tcPr>
          <w:p w14:paraId="32A0BEA9" w14:textId="77777777" w:rsidR="0043001E" w:rsidRPr="00661F70" w:rsidRDefault="0043001E" w:rsidP="00D377F9">
            <w:pPr>
              <w:pStyle w:val="TableCopy"/>
            </w:pPr>
            <w:r w:rsidRPr="00661F70">
              <w:t>TAFE/Dual Sector delivery</w:t>
            </w:r>
          </w:p>
        </w:tc>
        <w:tc>
          <w:tcPr>
            <w:tcW w:w="1842" w:type="dxa"/>
          </w:tcPr>
          <w:p w14:paraId="5BBF23F2" w14:textId="1A172514" w:rsidR="0043001E" w:rsidRPr="00661F70" w:rsidRDefault="0043001E" w:rsidP="00D377F9">
            <w:pPr>
              <w:pStyle w:val="TableCopy"/>
              <w:jc w:val="right"/>
            </w:pPr>
            <w:r w:rsidRPr="00661F70">
              <w:t>97,716</w:t>
            </w:r>
            <w:r w:rsidR="008B0697">
              <w:t xml:space="preserve"> </w:t>
            </w:r>
            <w:r w:rsidRPr="00661F70">
              <w:t>(36.9%)</w:t>
            </w:r>
          </w:p>
        </w:tc>
        <w:tc>
          <w:tcPr>
            <w:tcW w:w="2127" w:type="dxa"/>
          </w:tcPr>
          <w:p w14:paraId="4ED2F0DA" w14:textId="04F63A00" w:rsidR="0043001E" w:rsidRPr="00661F70" w:rsidRDefault="0043001E" w:rsidP="00D377F9">
            <w:pPr>
              <w:pStyle w:val="TableCopy"/>
              <w:jc w:val="right"/>
            </w:pPr>
            <w:r w:rsidRPr="00661F70">
              <w:t>105,990</w:t>
            </w:r>
            <w:r w:rsidR="008B0697">
              <w:t xml:space="preserve"> </w:t>
            </w:r>
            <w:r w:rsidRPr="00661F70">
              <w:t>(44.0%)</w:t>
            </w:r>
          </w:p>
        </w:tc>
        <w:tc>
          <w:tcPr>
            <w:tcW w:w="1701" w:type="dxa"/>
          </w:tcPr>
          <w:p w14:paraId="0D6EB14B" w14:textId="77777777" w:rsidR="0043001E" w:rsidRPr="00661F70" w:rsidRDefault="0043001E" w:rsidP="00D377F9">
            <w:pPr>
              <w:pStyle w:val="TableCopy"/>
              <w:jc w:val="right"/>
            </w:pPr>
            <w:r w:rsidRPr="00661F70">
              <w:t>+8.5%</w:t>
            </w:r>
          </w:p>
        </w:tc>
      </w:tr>
    </w:tbl>
    <w:p w14:paraId="144922A4" w14:textId="77777777" w:rsidR="0043001E" w:rsidRPr="00661F70" w:rsidRDefault="0043001E" w:rsidP="00D377F9">
      <w:pPr>
        <w:pStyle w:val="FootnoteText"/>
        <w:spacing w:before="120" w:after="280"/>
      </w:pPr>
      <w:r w:rsidRPr="00661F70">
        <w:rPr>
          <w:b/>
        </w:rPr>
        <w:t>Note:</w:t>
      </w:r>
      <w:r w:rsidRPr="00661F70">
        <w:t xml:space="preserve"> proportion of delivery by TAFE/Dual Sector Universities shown in brackets.</w:t>
      </w:r>
    </w:p>
    <w:p w14:paraId="54C2A998" w14:textId="77777777" w:rsidR="0043001E" w:rsidRPr="00661F70" w:rsidRDefault="0043001E" w:rsidP="000357C2">
      <w:r w:rsidRPr="00661F70">
        <w:t>Overall, new enrolments (commencements) represent 49.2 per cent of training activity funded in the first half of 2017, similar to the same period in 2016, while continuing enrolments represent just over half of all total government-funded VET delivery.</w:t>
      </w:r>
    </w:p>
    <w:p w14:paraId="4AF11904" w14:textId="77777777" w:rsidR="0043001E" w:rsidRPr="00661F70" w:rsidRDefault="0043001E" w:rsidP="0043001E">
      <w:pPr>
        <w:pStyle w:val="Heading3"/>
      </w:pPr>
      <w:r w:rsidRPr="00661F70">
        <w:t>Training activity by provider type</w:t>
      </w:r>
    </w:p>
    <w:p w14:paraId="1E597E67" w14:textId="77777777" w:rsidR="0043001E" w:rsidRPr="00661F70" w:rsidRDefault="0043001E" w:rsidP="000357C2">
      <w:r w:rsidRPr="00661F70">
        <w:t>TAFEs and Dual Sector Universities accounted for 44 per cent of the market share of total enrolments in the six months to the end of June 2017, compared to 37 per cent for the same period in 2016. Adult and Community Education (ACE) providers have also seen an increase in their overall market share, while private providers have seen a decline.</w:t>
      </w:r>
    </w:p>
    <w:p w14:paraId="6A5307FD" w14:textId="77777777" w:rsidR="0043001E" w:rsidRPr="00D377F9" w:rsidRDefault="0043001E" w:rsidP="00D377F9">
      <w:pPr>
        <w:pStyle w:val="Normalbeforebullets"/>
        <w:rPr>
          <w:b/>
          <w:bCs/>
        </w:rPr>
      </w:pPr>
      <w:r w:rsidRPr="00D377F9">
        <w:rPr>
          <w:b/>
          <w:bCs/>
        </w:rPr>
        <w:lastRenderedPageBreak/>
        <w:t>Chart 3: Market share of total enrolments by provider type</w:t>
      </w:r>
    </w:p>
    <w:p w14:paraId="0E665532" w14:textId="77777777" w:rsidR="0043001E" w:rsidRPr="00661F70" w:rsidRDefault="0043001E" w:rsidP="00D377F9">
      <w:pPr>
        <w:pStyle w:val="Normalbeforebullets"/>
      </w:pPr>
      <w:r w:rsidRPr="00661F70">
        <w:t>January – June 2016</w:t>
      </w:r>
    </w:p>
    <w:p w14:paraId="06DF224E" w14:textId="77777777" w:rsidR="0043001E" w:rsidRPr="00661F70" w:rsidRDefault="0043001E" w:rsidP="00D377F9">
      <w:pPr>
        <w:pStyle w:val="Bullet"/>
        <w:keepNext/>
      </w:pPr>
      <w:r w:rsidRPr="00661F70">
        <w:t>TAFE: 28%</w:t>
      </w:r>
    </w:p>
    <w:p w14:paraId="3933B439" w14:textId="77777777" w:rsidR="0043001E" w:rsidRPr="00661F70" w:rsidRDefault="0043001E" w:rsidP="00D377F9">
      <w:pPr>
        <w:pStyle w:val="Bullet"/>
      </w:pPr>
      <w:r w:rsidRPr="00661F70">
        <w:t>Dual Sector: 9%</w:t>
      </w:r>
    </w:p>
    <w:p w14:paraId="0F95B6CB" w14:textId="77777777" w:rsidR="0043001E" w:rsidRPr="00661F70" w:rsidRDefault="0043001E" w:rsidP="00D377F9">
      <w:pPr>
        <w:pStyle w:val="Bullet"/>
      </w:pPr>
      <w:r w:rsidRPr="00661F70">
        <w:t>Private providers: 51%</w:t>
      </w:r>
    </w:p>
    <w:p w14:paraId="7D92332E" w14:textId="77777777" w:rsidR="0043001E" w:rsidRPr="00661F70" w:rsidRDefault="0043001E" w:rsidP="00D377F9">
      <w:pPr>
        <w:pStyle w:val="Bulletlast"/>
      </w:pPr>
      <w:r w:rsidRPr="00661F70">
        <w:t>ACE: 13%</w:t>
      </w:r>
    </w:p>
    <w:p w14:paraId="6CC256B5" w14:textId="77777777" w:rsidR="0043001E" w:rsidRPr="00661F70" w:rsidRDefault="0043001E" w:rsidP="00D377F9">
      <w:pPr>
        <w:pStyle w:val="Normalbeforebullets"/>
      </w:pPr>
      <w:r w:rsidRPr="00661F70">
        <w:t>January – June 2017</w:t>
      </w:r>
    </w:p>
    <w:p w14:paraId="76854647" w14:textId="77777777" w:rsidR="0043001E" w:rsidRPr="00661F70" w:rsidRDefault="0043001E" w:rsidP="00D377F9">
      <w:pPr>
        <w:pStyle w:val="Bullet"/>
      </w:pPr>
      <w:r w:rsidRPr="00661F70">
        <w:t>TAFE: 33%</w:t>
      </w:r>
    </w:p>
    <w:p w14:paraId="71E5FA9D" w14:textId="77777777" w:rsidR="0043001E" w:rsidRPr="00661F70" w:rsidRDefault="0043001E" w:rsidP="00D377F9">
      <w:pPr>
        <w:pStyle w:val="Bullet"/>
      </w:pPr>
      <w:r w:rsidRPr="00661F70">
        <w:t>Dual Sector: 11%</w:t>
      </w:r>
    </w:p>
    <w:p w14:paraId="1ECC5DBC" w14:textId="77777777" w:rsidR="0043001E" w:rsidRPr="00661F70" w:rsidRDefault="0043001E" w:rsidP="00D377F9">
      <w:pPr>
        <w:pStyle w:val="Bullet"/>
      </w:pPr>
      <w:r w:rsidRPr="00661F70">
        <w:t>Private providers: 41%</w:t>
      </w:r>
    </w:p>
    <w:p w14:paraId="2134C326" w14:textId="77777777" w:rsidR="0043001E" w:rsidRPr="00661F70" w:rsidRDefault="0043001E" w:rsidP="00D377F9">
      <w:pPr>
        <w:pStyle w:val="Bulletlast"/>
      </w:pPr>
      <w:r w:rsidRPr="00661F70">
        <w:t>ACE: 15%</w:t>
      </w:r>
    </w:p>
    <w:p w14:paraId="002F5815" w14:textId="77777777" w:rsidR="0043001E" w:rsidRPr="00661F70" w:rsidRDefault="0043001E" w:rsidP="0043001E">
      <w:pPr>
        <w:pStyle w:val="Heading3"/>
      </w:pPr>
      <w:r w:rsidRPr="00661F70">
        <w:t>Training for real jobs</w:t>
      </w:r>
    </w:p>
    <w:p w14:paraId="3352D7D9" w14:textId="50E9FF57" w:rsidR="0043001E" w:rsidRPr="00661F70" w:rsidRDefault="0043001E" w:rsidP="000357C2">
      <w:r w:rsidRPr="00661F70">
        <w:t>Skills First prioritises funding to courses that align with industry needs and workforce demands, have strong job outcomes, and are linked to government priorities that are of greatest value to the Victorian economy. These include Apprenticeships, Infrastructure and Rail, and courses supportive of National Disability Insurance Scheme (NDIS) and Family Violence related occupations.</w:t>
      </w:r>
    </w:p>
    <w:p w14:paraId="0C2F7ED9" w14:textId="77777777" w:rsidR="0043001E" w:rsidRPr="00D377F9" w:rsidRDefault="0043001E" w:rsidP="00D377F9">
      <w:pPr>
        <w:pStyle w:val="Normalbeforebullets"/>
        <w:rPr>
          <w:b/>
          <w:bCs/>
        </w:rPr>
      </w:pPr>
      <w:r w:rsidRPr="00D377F9">
        <w:rPr>
          <w:b/>
          <w:bCs/>
        </w:rPr>
        <w:t>Table 2: Government-funded commencements in government priority areas</w:t>
      </w:r>
    </w:p>
    <w:tbl>
      <w:tblPr>
        <w:tblStyle w:val="TableGrid"/>
        <w:tblW w:w="9776" w:type="dxa"/>
        <w:tblCellMar>
          <w:top w:w="57" w:type="dxa"/>
          <w:left w:w="57" w:type="dxa"/>
          <w:bottom w:w="57" w:type="dxa"/>
          <w:right w:w="57" w:type="dxa"/>
        </w:tblCellMar>
        <w:tblLook w:val="04A0" w:firstRow="1" w:lastRow="0" w:firstColumn="1" w:lastColumn="0" w:noHBand="0" w:noVBand="1"/>
      </w:tblPr>
      <w:tblGrid>
        <w:gridCol w:w="3256"/>
        <w:gridCol w:w="2115"/>
        <w:gridCol w:w="2240"/>
        <w:gridCol w:w="2165"/>
      </w:tblGrid>
      <w:tr w:rsidR="00D377F9" w:rsidRPr="00D377F9" w14:paraId="2948F447" w14:textId="77777777" w:rsidTr="00D377F9">
        <w:trPr>
          <w:cantSplit/>
        </w:trPr>
        <w:tc>
          <w:tcPr>
            <w:tcW w:w="3256" w:type="dxa"/>
            <w:hideMark/>
          </w:tcPr>
          <w:p w14:paraId="2EF7A2BD" w14:textId="77777777" w:rsidR="00D377F9" w:rsidRPr="00D377F9" w:rsidRDefault="00D377F9" w:rsidP="00D377F9">
            <w:pPr>
              <w:pStyle w:val="TableColumnHeading"/>
              <w:rPr>
                <w:sz w:val="22"/>
                <w:szCs w:val="32"/>
              </w:rPr>
            </w:pPr>
            <w:bookmarkStart w:id="4" w:name="ColumnTitles_2"/>
            <w:bookmarkEnd w:id="4"/>
          </w:p>
        </w:tc>
        <w:tc>
          <w:tcPr>
            <w:tcW w:w="2115" w:type="dxa"/>
            <w:hideMark/>
          </w:tcPr>
          <w:p w14:paraId="24270AE2" w14:textId="78DD024F" w:rsidR="00D377F9" w:rsidRPr="00D377F9" w:rsidRDefault="00D377F9" w:rsidP="00D377F9">
            <w:pPr>
              <w:pStyle w:val="TableColumnHeading"/>
              <w:jc w:val="right"/>
              <w:rPr>
                <w:sz w:val="22"/>
                <w:szCs w:val="32"/>
              </w:rPr>
            </w:pPr>
            <w:r w:rsidRPr="00D377F9">
              <w:rPr>
                <w:sz w:val="22"/>
                <w:szCs w:val="32"/>
              </w:rPr>
              <w:t>All provider types Jan – Jun 2017 Commencements</w:t>
            </w:r>
          </w:p>
        </w:tc>
        <w:tc>
          <w:tcPr>
            <w:tcW w:w="2240" w:type="dxa"/>
            <w:hideMark/>
          </w:tcPr>
          <w:p w14:paraId="08D953A6" w14:textId="6DC5B46B" w:rsidR="00D377F9" w:rsidRPr="00D377F9" w:rsidRDefault="00D377F9" w:rsidP="00D377F9">
            <w:pPr>
              <w:pStyle w:val="TableColumnHeading"/>
              <w:jc w:val="right"/>
              <w:rPr>
                <w:sz w:val="22"/>
                <w:szCs w:val="32"/>
              </w:rPr>
            </w:pPr>
            <w:r w:rsidRPr="00D377F9">
              <w:rPr>
                <w:sz w:val="22"/>
                <w:szCs w:val="32"/>
              </w:rPr>
              <w:t>All provider types Jan – Jun 2017 Proportion of all commencements</w:t>
            </w:r>
          </w:p>
        </w:tc>
        <w:tc>
          <w:tcPr>
            <w:tcW w:w="2165" w:type="dxa"/>
            <w:hideMark/>
          </w:tcPr>
          <w:p w14:paraId="60975947" w14:textId="1EA49B89" w:rsidR="00D377F9" w:rsidRPr="00D377F9" w:rsidRDefault="00D377F9" w:rsidP="00D377F9">
            <w:pPr>
              <w:pStyle w:val="TableColumnHeading"/>
              <w:jc w:val="right"/>
              <w:rPr>
                <w:sz w:val="22"/>
                <w:szCs w:val="32"/>
              </w:rPr>
            </w:pPr>
            <w:r w:rsidRPr="00D377F9">
              <w:rPr>
                <w:sz w:val="22"/>
                <w:szCs w:val="32"/>
              </w:rPr>
              <w:t>TAFE/Dual Sector only % increase: Jan-Jun 2016 to Jan-Jun 2017</w:t>
            </w:r>
          </w:p>
        </w:tc>
      </w:tr>
      <w:tr w:rsidR="0043001E" w:rsidRPr="00D377F9" w14:paraId="347A19C1" w14:textId="77777777" w:rsidTr="00D377F9">
        <w:trPr>
          <w:cantSplit/>
        </w:trPr>
        <w:tc>
          <w:tcPr>
            <w:tcW w:w="3256" w:type="dxa"/>
            <w:hideMark/>
          </w:tcPr>
          <w:p w14:paraId="6ED00874" w14:textId="77777777" w:rsidR="0043001E" w:rsidRPr="00D377F9" w:rsidRDefault="0043001E" w:rsidP="00D377F9">
            <w:pPr>
              <w:pStyle w:val="TableCopy"/>
              <w:rPr>
                <w:b/>
                <w:bCs/>
              </w:rPr>
            </w:pPr>
            <w:r w:rsidRPr="00D377F9">
              <w:rPr>
                <w:b/>
                <w:bCs/>
              </w:rPr>
              <w:t>Apprenticeships</w:t>
            </w:r>
          </w:p>
        </w:tc>
        <w:tc>
          <w:tcPr>
            <w:tcW w:w="2115" w:type="dxa"/>
            <w:hideMark/>
          </w:tcPr>
          <w:p w14:paraId="3DE140FA" w14:textId="77777777" w:rsidR="0043001E" w:rsidRPr="00D377F9" w:rsidRDefault="0043001E" w:rsidP="00D377F9">
            <w:pPr>
              <w:pStyle w:val="TableCopy"/>
              <w:jc w:val="right"/>
              <w:rPr>
                <w:b/>
                <w:bCs/>
              </w:rPr>
            </w:pPr>
            <w:r w:rsidRPr="00D377F9">
              <w:rPr>
                <w:b/>
                <w:bCs/>
              </w:rPr>
              <w:t>8,708</w:t>
            </w:r>
          </w:p>
        </w:tc>
        <w:tc>
          <w:tcPr>
            <w:tcW w:w="2240" w:type="dxa"/>
            <w:hideMark/>
          </w:tcPr>
          <w:p w14:paraId="058693F6" w14:textId="77777777" w:rsidR="0043001E" w:rsidRPr="00D377F9" w:rsidRDefault="0043001E" w:rsidP="00D377F9">
            <w:pPr>
              <w:pStyle w:val="TableCopy"/>
              <w:jc w:val="right"/>
              <w:rPr>
                <w:b/>
                <w:bCs/>
              </w:rPr>
            </w:pPr>
            <w:r w:rsidRPr="00D377F9">
              <w:rPr>
                <w:b/>
                <w:bCs/>
              </w:rPr>
              <w:t>7.4%</w:t>
            </w:r>
          </w:p>
        </w:tc>
        <w:tc>
          <w:tcPr>
            <w:tcW w:w="2165" w:type="dxa"/>
            <w:hideMark/>
          </w:tcPr>
          <w:p w14:paraId="16E6EF61" w14:textId="77777777" w:rsidR="0043001E" w:rsidRPr="00D377F9" w:rsidRDefault="0043001E" w:rsidP="00D377F9">
            <w:pPr>
              <w:pStyle w:val="TableCopy"/>
              <w:jc w:val="right"/>
              <w:rPr>
                <w:b/>
                <w:bCs/>
              </w:rPr>
            </w:pPr>
            <w:r w:rsidRPr="00D377F9">
              <w:rPr>
                <w:b/>
                <w:bCs/>
              </w:rPr>
              <w:t>8.2%</w:t>
            </w:r>
          </w:p>
        </w:tc>
      </w:tr>
      <w:tr w:rsidR="0043001E" w:rsidRPr="00D377F9" w14:paraId="20CFEAF6" w14:textId="77777777" w:rsidTr="00D377F9">
        <w:trPr>
          <w:cantSplit/>
        </w:trPr>
        <w:tc>
          <w:tcPr>
            <w:tcW w:w="3256" w:type="dxa"/>
            <w:hideMark/>
          </w:tcPr>
          <w:p w14:paraId="4B3ADFD3" w14:textId="77777777" w:rsidR="0043001E" w:rsidRPr="00D377F9" w:rsidRDefault="0043001E" w:rsidP="00D377F9">
            <w:pPr>
              <w:pStyle w:val="TableCopy"/>
              <w:rPr>
                <w:b/>
                <w:bCs/>
              </w:rPr>
            </w:pPr>
            <w:r w:rsidRPr="00D377F9">
              <w:rPr>
                <w:b/>
                <w:bCs/>
              </w:rPr>
              <w:t>Family Violence and NDIS*</w:t>
            </w:r>
          </w:p>
        </w:tc>
        <w:tc>
          <w:tcPr>
            <w:tcW w:w="2115" w:type="dxa"/>
            <w:hideMark/>
          </w:tcPr>
          <w:p w14:paraId="2CA96BE8" w14:textId="77777777" w:rsidR="0043001E" w:rsidRPr="00D377F9" w:rsidRDefault="0043001E" w:rsidP="00D377F9">
            <w:pPr>
              <w:pStyle w:val="TableCopy"/>
              <w:jc w:val="right"/>
              <w:rPr>
                <w:b/>
                <w:bCs/>
              </w:rPr>
            </w:pPr>
            <w:r w:rsidRPr="00D377F9">
              <w:rPr>
                <w:b/>
                <w:bCs/>
              </w:rPr>
              <w:t>21,600</w:t>
            </w:r>
          </w:p>
        </w:tc>
        <w:tc>
          <w:tcPr>
            <w:tcW w:w="2240" w:type="dxa"/>
            <w:hideMark/>
          </w:tcPr>
          <w:p w14:paraId="7A9D7D58" w14:textId="77777777" w:rsidR="0043001E" w:rsidRPr="00D377F9" w:rsidRDefault="0043001E" w:rsidP="00D377F9">
            <w:pPr>
              <w:pStyle w:val="TableCopy"/>
              <w:jc w:val="right"/>
              <w:rPr>
                <w:b/>
                <w:bCs/>
              </w:rPr>
            </w:pPr>
            <w:r w:rsidRPr="00D377F9">
              <w:rPr>
                <w:b/>
                <w:bCs/>
              </w:rPr>
              <w:t>18.3%</w:t>
            </w:r>
          </w:p>
        </w:tc>
        <w:tc>
          <w:tcPr>
            <w:tcW w:w="2165" w:type="dxa"/>
            <w:hideMark/>
          </w:tcPr>
          <w:p w14:paraId="06DE7F8D" w14:textId="77777777" w:rsidR="0043001E" w:rsidRPr="00D377F9" w:rsidRDefault="0043001E" w:rsidP="00D377F9">
            <w:pPr>
              <w:pStyle w:val="TableCopy"/>
              <w:jc w:val="right"/>
              <w:rPr>
                <w:b/>
                <w:bCs/>
              </w:rPr>
            </w:pPr>
            <w:r w:rsidRPr="00D377F9">
              <w:rPr>
                <w:b/>
                <w:bCs/>
              </w:rPr>
              <w:t>9.0%</w:t>
            </w:r>
          </w:p>
        </w:tc>
      </w:tr>
      <w:tr w:rsidR="0043001E" w:rsidRPr="00661F70" w14:paraId="328D4BA0" w14:textId="77777777" w:rsidTr="00D377F9">
        <w:trPr>
          <w:cantSplit/>
        </w:trPr>
        <w:tc>
          <w:tcPr>
            <w:tcW w:w="3256" w:type="dxa"/>
            <w:hideMark/>
          </w:tcPr>
          <w:p w14:paraId="6375B5AF" w14:textId="77777777" w:rsidR="0043001E" w:rsidRPr="00661F70" w:rsidRDefault="0043001E" w:rsidP="00D377F9">
            <w:pPr>
              <w:pStyle w:val="TableCopy"/>
            </w:pPr>
            <w:r w:rsidRPr="00661F70">
              <w:t>Family Violence</w:t>
            </w:r>
          </w:p>
        </w:tc>
        <w:tc>
          <w:tcPr>
            <w:tcW w:w="2115" w:type="dxa"/>
            <w:hideMark/>
          </w:tcPr>
          <w:p w14:paraId="35C7DE01" w14:textId="77777777" w:rsidR="0043001E" w:rsidRPr="00661F70" w:rsidRDefault="0043001E" w:rsidP="00D377F9">
            <w:pPr>
              <w:pStyle w:val="TableCopy"/>
              <w:jc w:val="right"/>
            </w:pPr>
            <w:r w:rsidRPr="00661F70">
              <w:t>21,458</w:t>
            </w:r>
          </w:p>
        </w:tc>
        <w:tc>
          <w:tcPr>
            <w:tcW w:w="2240" w:type="dxa"/>
            <w:hideMark/>
          </w:tcPr>
          <w:p w14:paraId="4F9CA7A0" w14:textId="77777777" w:rsidR="0043001E" w:rsidRPr="00661F70" w:rsidRDefault="0043001E" w:rsidP="00D377F9">
            <w:pPr>
              <w:pStyle w:val="TableCopy"/>
              <w:jc w:val="right"/>
            </w:pPr>
            <w:r w:rsidRPr="00661F70">
              <w:t>18.1%</w:t>
            </w:r>
          </w:p>
        </w:tc>
        <w:tc>
          <w:tcPr>
            <w:tcW w:w="2165" w:type="dxa"/>
            <w:hideMark/>
          </w:tcPr>
          <w:p w14:paraId="47D7881B" w14:textId="77777777" w:rsidR="0043001E" w:rsidRPr="00661F70" w:rsidRDefault="0043001E" w:rsidP="00D377F9">
            <w:pPr>
              <w:pStyle w:val="TableCopy"/>
              <w:jc w:val="right"/>
            </w:pPr>
            <w:r w:rsidRPr="00661F70">
              <w:t>9.0%</w:t>
            </w:r>
          </w:p>
        </w:tc>
      </w:tr>
      <w:tr w:rsidR="0043001E" w:rsidRPr="00661F70" w14:paraId="15CA84FF" w14:textId="77777777" w:rsidTr="00D377F9">
        <w:trPr>
          <w:cantSplit/>
        </w:trPr>
        <w:tc>
          <w:tcPr>
            <w:tcW w:w="3256" w:type="dxa"/>
            <w:hideMark/>
          </w:tcPr>
          <w:p w14:paraId="719B0E77" w14:textId="77777777" w:rsidR="0043001E" w:rsidRPr="00661F70" w:rsidRDefault="0043001E" w:rsidP="00D377F9">
            <w:pPr>
              <w:pStyle w:val="TableCopy"/>
            </w:pPr>
            <w:r w:rsidRPr="00661F70">
              <w:t>NDIS</w:t>
            </w:r>
          </w:p>
        </w:tc>
        <w:tc>
          <w:tcPr>
            <w:tcW w:w="2115" w:type="dxa"/>
            <w:hideMark/>
          </w:tcPr>
          <w:p w14:paraId="6486E729" w14:textId="77777777" w:rsidR="0043001E" w:rsidRPr="00661F70" w:rsidRDefault="0043001E" w:rsidP="00D377F9">
            <w:pPr>
              <w:pStyle w:val="TableCopy"/>
              <w:jc w:val="right"/>
            </w:pPr>
            <w:r w:rsidRPr="00661F70">
              <w:t>10,423</w:t>
            </w:r>
          </w:p>
        </w:tc>
        <w:tc>
          <w:tcPr>
            <w:tcW w:w="2240" w:type="dxa"/>
            <w:hideMark/>
          </w:tcPr>
          <w:p w14:paraId="265EFA85" w14:textId="77777777" w:rsidR="0043001E" w:rsidRPr="00661F70" w:rsidRDefault="0043001E" w:rsidP="00D377F9">
            <w:pPr>
              <w:pStyle w:val="TableCopy"/>
              <w:jc w:val="right"/>
            </w:pPr>
            <w:r w:rsidRPr="00661F70">
              <w:t>8.8%</w:t>
            </w:r>
          </w:p>
        </w:tc>
        <w:tc>
          <w:tcPr>
            <w:tcW w:w="2165" w:type="dxa"/>
            <w:hideMark/>
          </w:tcPr>
          <w:p w14:paraId="24BD8600" w14:textId="77777777" w:rsidR="0043001E" w:rsidRPr="00661F70" w:rsidRDefault="0043001E" w:rsidP="00D377F9">
            <w:pPr>
              <w:pStyle w:val="TableCopy"/>
              <w:jc w:val="right"/>
            </w:pPr>
            <w:r w:rsidRPr="00661F70">
              <w:t>11.3%</w:t>
            </w:r>
          </w:p>
        </w:tc>
      </w:tr>
      <w:tr w:rsidR="0043001E" w:rsidRPr="00D377F9" w14:paraId="7191AC9A" w14:textId="77777777" w:rsidTr="00D377F9">
        <w:trPr>
          <w:cantSplit/>
        </w:trPr>
        <w:tc>
          <w:tcPr>
            <w:tcW w:w="3256" w:type="dxa"/>
            <w:hideMark/>
          </w:tcPr>
          <w:p w14:paraId="155CD9B2" w14:textId="77777777" w:rsidR="0043001E" w:rsidRPr="00D377F9" w:rsidRDefault="0043001E" w:rsidP="00D377F9">
            <w:pPr>
              <w:pStyle w:val="TableCopy"/>
              <w:rPr>
                <w:b/>
                <w:bCs/>
              </w:rPr>
            </w:pPr>
            <w:r w:rsidRPr="00D377F9">
              <w:rPr>
                <w:b/>
                <w:bCs/>
              </w:rPr>
              <w:t>Infrastructure and Rail*</w:t>
            </w:r>
          </w:p>
        </w:tc>
        <w:tc>
          <w:tcPr>
            <w:tcW w:w="2115" w:type="dxa"/>
            <w:hideMark/>
          </w:tcPr>
          <w:p w14:paraId="261837D7" w14:textId="77777777" w:rsidR="0043001E" w:rsidRPr="00D377F9" w:rsidRDefault="0043001E" w:rsidP="00D377F9">
            <w:pPr>
              <w:pStyle w:val="TableCopy"/>
              <w:jc w:val="right"/>
              <w:rPr>
                <w:b/>
                <w:bCs/>
              </w:rPr>
            </w:pPr>
            <w:r w:rsidRPr="00D377F9">
              <w:rPr>
                <w:b/>
                <w:bCs/>
              </w:rPr>
              <w:t>6,208</w:t>
            </w:r>
          </w:p>
        </w:tc>
        <w:tc>
          <w:tcPr>
            <w:tcW w:w="2240" w:type="dxa"/>
            <w:hideMark/>
          </w:tcPr>
          <w:p w14:paraId="0A22F319" w14:textId="77777777" w:rsidR="0043001E" w:rsidRPr="00D377F9" w:rsidRDefault="0043001E" w:rsidP="00D377F9">
            <w:pPr>
              <w:pStyle w:val="TableCopy"/>
              <w:jc w:val="right"/>
              <w:rPr>
                <w:b/>
                <w:bCs/>
              </w:rPr>
            </w:pPr>
            <w:r w:rsidRPr="00D377F9">
              <w:rPr>
                <w:b/>
                <w:bCs/>
              </w:rPr>
              <w:t>5.2%</w:t>
            </w:r>
          </w:p>
        </w:tc>
        <w:tc>
          <w:tcPr>
            <w:tcW w:w="2165" w:type="dxa"/>
            <w:hideMark/>
          </w:tcPr>
          <w:p w14:paraId="79D4BE33" w14:textId="77777777" w:rsidR="0043001E" w:rsidRPr="00D377F9" w:rsidRDefault="0043001E" w:rsidP="00D377F9">
            <w:pPr>
              <w:pStyle w:val="TableCopy"/>
              <w:jc w:val="right"/>
              <w:rPr>
                <w:b/>
                <w:bCs/>
              </w:rPr>
            </w:pPr>
            <w:r w:rsidRPr="00D377F9">
              <w:rPr>
                <w:b/>
                <w:bCs/>
              </w:rPr>
              <w:t>3.5%</w:t>
            </w:r>
          </w:p>
        </w:tc>
      </w:tr>
      <w:tr w:rsidR="0043001E" w:rsidRPr="00661F70" w14:paraId="04419AE2" w14:textId="77777777" w:rsidTr="00D377F9">
        <w:trPr>
          <w:cantSplit/>
        </w:trPr>
        <w:tc>
          <w:tcPr>
            <w:tcW w:w="3256" w:type="dxa"/>
            <w:hideMark/>
          </w:tcPr>
          <w:p w14:paraId="7C97765E" w14:textId="77777777" w:rsidR="0043001E" w:rsidRPr="00661F70" w:rsidRDefault="0043001E" w:rsidP="00D377F9">
            <w:pPr>
              <w:pStyle w:val="TableCopy"/>
            </w:pPr>
            <w:r w:rsidRPr="00661F70">
              <w:t>Infrastructure</w:t>
            </w:r>
          </w:p>
        </w:tc>
        <w:tc>
          <w:tcPr>
            <w:tcW w:w="2115" w:type="dxa"/>
            <w:hideMark/>
          </w:tcPr>
          <w:p w14:paraId="59A5000A" w14:textId="77777777" w:rsidR="0043001E" w:rsidRPr="00661F70" w:rsidRDefault="0043001E" w:rsidP="00D377F9">
            <w:pPr>
              <w:pStyle w:val="TableCopy"/>
              <w:jc w:val="right"/>
            </w:pPr>
            <w:r w:rsidRPr="00661F70">
              <w:t>6,208</w:t>
            </w:r>
          </w:p>
        </w:tc>
        <w:tc>
          <w:tcPr>
            <w:tcW w:w="2240" w:type="dxa"/>
            <w:hideMark/>
          </w:tcPr>
          <w:p w14:paraId="29FF5E45" w14:textId="77777777" w:rsidR="0043001E" w:rsidRPr="00661F70" w:rsidRDefault="0043001E" w:rsidP="00D377F9">
            <w:pPr>
              <w:pStyle w:val="TableCopy"/>
              <w:jc w:val="right"/>
            </w:pPr>
            <w:r w:rsidRPr="00661F70">
              <w:t>5.2%</w:t>
            </w:r>
          </w:p>
        </w:tc>
        <w:tc>
          <w:tcPr>
            <w:tcW w:w="2165" w:type="dxa"/>
            <w:hideMark/>
          </w:tcPr>
          <w:p w14:paraId="44D0405A" w14:textId="77777777" w:rsidR="0043001E" w:rsidRPr="00661F70" w:rsidRDefault="0043001E" w:rsidP="00D377F9">
            <w:pPr>
              <w:pStyle w:val="TableCopy"/>
              <w:jc w:val="right"/>
            </w:pPr>
            <w:r w:rsidRPr="00661F70">
              <w:t>3.5%</w:t>
            </w:r>
          </w:p>
        </w:tc>
      </w:tr>
      <w:tr w:rsidR="0043001E" w:rsidRPr="00661F70" w14:paraId="79EA1668" w14:textId="77777777" w:rsidTr="00D377F9">
        <w:trPr>
          <w:cantSplit/>
        </w:trPr>
        <w:tc>
          <w:tcPr>
            <w:tcW w:w="3256" w:type="dxa"/>
            <w:hideMark/>
          </w:tcPr>
          <w:p w14:paraId="63DF8FF0" w14:textId="77777777" w:rsidR="0043001E" w:rsidRPr="00661F70" w:rsidRDefault="0043001E" w:rsidP="00D377F9">
            <w:pPr>
              <w:pStyle w:val="TableCopy"/>
            </w:pPr>
            <w:r w:rsidRPr="00661F70">
              <w:t>Rail</w:t>
            </w:r>
          </w:p>
        </w:tc>
        <w:tc>
          <w:tcPr>
            <w:tcW w:w="2115" w:type="dxa"/>
            <w:hideMark/>
          </w:tcPr>
          <w:p w14:paraId="12A1E11A" w14:textId="77777777" w:rsidR="0043001E" w:rsidRPr="00661F70" w:rsidRDefault="0043001E" w:rsidP="00D377F9">
            <w:pPr>
              <w:pStyle w:val="TableCopy"/>
              <w:jc w:val="right"/>
            </w:pPr>
            <w:r w:rsidRPr="00661F70">
              <w:t>5,217</w:t>
            </w:r>
          </w:p>
        </w:tc>
        <w:tc>
          <w:tcPr>
            <w:tcW w:w="2240" w:type="dxa"/>
            <w:hideMark/>
          </w:tcPr>
          <w:p w14:paraId="67456009" w14:textId="77777777" w:rsidR="0043001E" w:rsidRPr="00661F70" w:rsidRDefault="0043001E" w:rsidP="00D377F9">
            <w:pPr>
              <w:pStyle w:val="TableCopy"/>
              <w:jc w:val="right"/>
            </w:pPr>
            <w:r w:rsidRPr="00661F70">
              <w:t>4.4%</w:t>
            </w:r>
          </w:p>
        </w:tc>
        <w:tc>
          <w:tcPr>
            <w:tcW w:w="2165" w:type="dxa"/>
            <w:hideMark/>
          </w:tcPr>
          <w:p w14:paraId="6B821EF2" w14:textId="77777777" w:rsidR="0043001E" w:rsidRPr="00661F70" w:rsidRDefault="0043001E" w:rsidP="00D377F9">
            <w:pPr>
              <w:pStyle w:val="TableCopy"/>
              <w:jc w:val="right"/>
            </w:pPr>
            <w:r w:rsidRPr="00661F70">
              <w:t>3.7%</w:t>
            </w:r>
          </w:p>
        </w:tc>
      </w:tr>
    </w:tbl>
    <w:p w14:paraId="246A9496" w14:textId="77777777" w:rsidR="0043001E" w:rsidRPr="00661F70" w:rsidRDefault="0043001E" w:rsidP="00D377F9">
      <w:pPr>
        <w:pStyle w:val="FootnoteText"/>
        <w:spacing w:before="120" w:after="280"/>
      </w:pPr>
      <w:r w:rsidRPr="00661F70">
        <w:rPr>
          <w:b/>
        </w:rPr>
        <w:t>Notes</w:t>
      </w:r>
      <w:r w:rsidRPr="00661F70">
        <w:t xml:space="preserve">: *Almost all courses that support the NDIS related workforce also support the Family Violence workforce, and all courses that support Infrastructure related occupations also support Rail. </w:t>
      </w:r>
    </w:p>
    <w:p w14:paraId="27D2FB43" w14:textId="77777777" w:rsidR="0043001E" w:rsidRPr="00661F70" w:rsidRDefault="0043001E" w:rsidP="000357C2">
      <w:r w:rsidRPr="00661F70">
        <w:lastRenderedPageBreak/>
        <w:t>Apprenticeships that support Family Violence/NDIS and Infrastructure/Rail have been excluded from the FV/NDIS and Infrastructure/Rail figures to avoid double counting.</w:t>
      </w:r>
    </w:p>
    <w:p w14:paraId="63FDF8BA" w14:textId="72F4062F" w:rsidR="0043001E" w:rsidRPr="00661F70" w:rsidRDefault="0043001E" w:rsidP="000357C2">
      <w:r w:rsidRPr="00661F70">
        <w:t xml:space="preserve">Delivery by TAFEs and Dual Sector Universities in these courses increased in the first half of 2017 when compared with the same period in </w:t>
      </w:r>
      <w:r w:rsidR="0096431C" w:rsidRPr="00661F70">
        <w:t>2016 and</w:t>
      </w:r>
      <w:r w:rsidRPr="00661F70">
        <w:t xml:space="preserve"> accounted for 47.3 per cent of all commencements in 2017, compared to 40.4 per cent in 2016. This highlights that the TAFE network is responding positively to the government’s priority workforce areas. </w:t>
      </w:r>
    </w:p>
    <w:p w14:paraId="213BEB09" w14:textId="77777777" w:rsidR="0043001E" w:rsidRPr="00661F70" w:rsidRDefault="0043001E" w:rsidP="000357C2">
      <w:r w:rsidRPr="00661F70">
        <w:t>Table 3 summarises commencements between January and June 2017 in some of the key employing sectors of the Victorian economy, with high levels of commencements in Health Care and Social Assistance and Construction. These five industry areas represented 40 per cent of commencements in the first half of 2017, 57.2 per cent of which were delivered by TAFEs/Dual Sector Universities.</w:t>
      </w:r>
    </w:p>
    <w:p w14:paraId="12B48E97" w14:textId="77777777" w:rsidR="0043001E" w:rsidRPr="00AA7DA3" w:rsidRDefault="0043001E" w:rsidP="00AA7DA3">
      <w:pPr>
        <w:pStyle w:val="Normalbeforebullets"/>
        <w:rPr>
          <w:b/>
          <w:bCs/>
        </w:rPr>
      </w:pPr>
      <w:r w:rsidRPr="00AA7DA3">
        <w:rPr>
          <w:b/>
          <w:bCs/>
        </w:rPr>
        <w:t>Table 3: Commencements by broad industry area</w:t>
      </w:r>
    </w:p>
    <w:tbl>
      <w:tblPr>
        <w:tblStyle w:val="TableGrid"/>
        <w:tblW w:w="0" w:type="auto"/>
        <w:tblLook w:val="04A0" w:firstRow="1" w:lastRow="0" w:firstColumn="1" w:lastColumn="0" w:noHBand="0" w:noVBand="1"/>
      </w:tblPr>
      <w:tblGrid>
        <w:gridCol w:w="5524"/>
        <w:gridCol w:w="2556"/>
      </w:tblGrid>
      <w:tr w:rsidR="00E117F9" w:rsidRPr="00661F70" w14:paraId="25708000" w14:textId="77777777" w:rsidTr="00E117F9">
        <w:tc>
          <w:tcPr>
            <w:tcW w:w="5524" w:type="dxa"/>
          </w:tcPr>
          <w:p w14:paraId="2BDFE1D2" w14:textId="0139EE18" w:rsidR="00E117F9" w:rsidRPr="00661F70" w:rsidRDefault="00E117F9" w:rsidP="00E117F9">
            <w:pPr>
              <w:pStyle w:val="TableColumnHeading"/>
            </w:pPr>
            <w:bookmarkStart w:id="5" w:name="ColumnTitles_3"/>
            <w:bookmarkEnd w:id="5"/>
          </w:p>
        </w:tc>
        <w:tc>
          <w:tcPr>
            <w:tcW w:w="2556" w:type="dxa"/>
          </w:tcPr>
          <w:p w14:paraId="33CEF3EC" w14:textId="266FB515" w:rsidR="00E117F9" w:rsidRPr="00661F70" w:rsidRDefault="00E117F9" w:rsidP="00E117F9">
            <w:pPr>
              <w:pStyle w:val="TableColumnHeading"/>
              <w:jc w:val="right"/>
              <w:rPr>
                <w:lang w:val="en-AU"/>
              </w:rPr>
            </w:pPr>
            <w:r w:rsidRPr="00661F70">
              <w:rPr>
                <w:lang w:val="en-AU"/>
              </w:rPr>
              <w:t>Commencements: Jan – Jun 2017</w:t>
            </w:r>
          </w:p>
        </w:tc>
      </w:tr>
      <w:tr w:rsidR="0043001E" w:rsidRPr="005D6262" w14:paraId="6A158052" w14:textId="77777777" w:rsidTr="00E117F9">
        <w:tc>
          <w:tcPr>
            <w:tcW w:w="5524" w:type="dxa"/>
          </w:tcPr>
          <w:p w14:paraId="67EB3C9D" w14:textId="77777777" w:rsidR="0043001E" w:rsidRPr="005D6262" w:rsidRDefault="0043001E" w:rsidP="005D6262">
            <w:pPr>
              <w:pStyle w:val="TableCopy"/>
            </w:pPr>
            <w:r w:rsidRPr="005D6262">
              <w:t>Health Care and Social Assistance</w:t>
            </w:r>
          </w:p>
        </w:tc>
        <w:tc>
          <w:tcPr>
            <w:tcW w:w="2556" w:type="dxa"/>
          </w:tcPr>
          <w:p w14:paraId="46815137" w14:textId="77777777" w:rsidR="0043001E" w:rsidRPr="005D6262" w:rsidRDefault="0043001E" w:rsidP="00E117F9">
            <w:pPr>
              <w:pStyle w:val="TableCopy"/>
              <w:jc w:val="right"/>
            </w:pPr>
            <w:r w:rsidRPr="005D6262">
              <w:t xml:space="preserve">22,819 </w:t>
            </w:r>
          </w:p>
        </w:tc>
      </w:tr>
      <w:tr w:rsidR="0043001E" w:rsidRPr="005D6262" w14:paraId="43901789" w14:textId="77777777" w:rsidTr="00E117F9">
        <w:tc>
          <w:tcPr>
            <w:tcW w:w="5524" w:type="dxa"/>
          </w:tcPr>
          <w:p w14:paraId="55E8C5B8" w14:textId="77777777" w:rsidR="0043001E" w:rsidRPr="005D6262" w:rsidRDefault="0043001E" w:rsidP="005D6262">
            <w:pPr>
              <w:pStyle w:val="TableCopy"/>
            </w:pPr>
            <w:r w:rsidRPr="005D6262">
              <w:t>Construction</w:t>
            </w:r>
          </w:p>
        </w:tc>
        <w:tc>
          <w:tcPr>
            <w:tcW w:w="2556" w:type="dxa"/>
          </w:tcPr>
          <w:p w14:paraId="5DF60E51" w14:textId="77777777" w:rsidR="0043001E" w:rsidRPr="005D6262" w:rsidRDefault="0043001E" w:rsidP="00E117F9">
            <w:pPr>
              <w:pStyle w:val="TableCopy"/>
              <w:jc w:val="right"/>
            </w:pPr>
            <w:r w:rsidRPr="005D6262">
              <w:t xml:space="preserve">15,597 </w:t>
            </w:r>
          </w:p>
        </w:tc>
      </w:tr>
      <w:tr w:rsidR="0043001E" w:rsidRPr="005D6262" w14:paraId="0414977D" w14:textId="77777777" w:rsidTr="00E117F9">
        <w:tc>
          <w:tcPr>
            <w:tcW w:w="5524" w:type="dxa"/>
          </w:tcPr>
          <w:p w14:paraId="09E3C202" w14:textId="77777777" w:rsidR="0043001E" w:rsidRPr="005D6262" w:rsidRDefault="0043001E" w:rsidP="005D6262">
            <w:pPr>
              <w:pStyle w:val="TableCopy"/>
            </w:pPr>
            <w:r w:rsidRPr="005D6262">
              <w:t>Professional, Scientific and Technical Services</w:t>
            </w:r>
          </w:p>
        </w:tc>
        <w:tc>
          <w:tcPr>
            <w:tcW w:w="2556" w:type="dxa"/>
          </w:tcPr>
          <w:p w14:paraId="01967509" w14:textId="7C92ACCA" w:rsidR="0043001E" w:rsidRPr="005D6262" w:rsidRDefault="0043001E" w:rsidP="00E117F9">
            <w:pPr>
              <w:pStyle w:val="TableCopy"/>
              <w:jc w:val="right"/>
            </w:pPr>
            <w:r w:rsidRPr="005D6262">
              <w:t xml:space="preserve">5,773 </w:t>
            </w:r>
          </w:p>
        </w:tc>
      </w:tr>
      <w:tr w:rsidR="0043001E" w:rsidRPr="005D6262" w14:paraId="703800D5" w14:textId="77777777" w:rsidTr="00E117F9">
        <w:tc>
          <w:tcPr>
            <w:tcW w:w="5524" w:type="dxa"/>
          </w:tcPr>
          <w:p w14:paraId="25045940" w14:textId="77777777" w:rsidR="0043001E" w:rsidRPr="005D6262" w:rsidRDefault="0043001E" w:rsidP="005D6262">
            <w:pPr>
              <w:pStyle w:val="TableCopy"/>
            </w:pPr>
            <w:r w:rsidRPr="005D6262">
              <w:t>Education and Training</w:t>
            </w:r>
          </w:p>
        </w:tc>
        <w:tc>
          <w:tcPr>
            <w:tcW w:w="2556" w:type="dxa"/>
          </w:tcPr>
          <w:p w14:paraId="32E0AC1F" w14:textId="21FBC1F6" w:rsidR="0043001E" w:rsidRPr="005D6262" w:rsidRDefault="0043001E" w:rsidP="00E117F9">
            <w:pPr>
              <w:pStyle w:val="TableCopy"/>
              <w:jc w:val="right"/>
            </w:pPr>
            <w:r w:rsidRPr="005D6262">
              <w:t xml:space="preserve">4,994 </w:t>
            </w:r>
          </w:p>
        </w:tc>
      </w:tr>
      <w:tr w:rsidR="0043001E" w:rsidRPr="005D6262" w14:paraId="2E31BA6D" w14:textId="77777777" w:rsidTr="00E117F9">
        <w:tc>
          <w:tcPr>
            <w:tcW w:w="5524" w:type="dxa"/>
          </w:tcPr>
          <w:p w14:paraId="2F84CC3A" w14:textId="77777777" w:rsidR="0043001E" w:rsidRPr="005D6262" w:rsidRDefault="0043001E" w:rsidP="005D6262">
            <w:pPr>
              <w:pStyle w:val="TableCopy"/>
            </w:pPr>
            <w:r w:rsidRPr="005D6262">
              <w:t>Manufacturing</w:t>
            </w:r>
          </w:p>
        </w:tc>
        <w:tc>
          <w:tcPr>
            <w:tcW w:w="2556" w:type="dxa"/>
          </w:tcPr>
          <w:p w14:paraId="149B8B0A" w14:textId="524CC884" w:rsidR="0043001E" w:rsidRPr="005D6262" w:rsidRDefault="0043001E" w:rsidP="00E117F9">
            <w:pPr>
              <w:pStyle w:val="TableCopy"/>
              <w:jc w:val="right"/>
            </w:pPr>
            <w:r w:rsidRPr="005D6262">
              <w:t xml:space="preserve">4,830 </w:t>
            </w:r>
          </w:p>
        </w:tc>
      </w:tr>
    </w:tbl>
    <w:p w14:paraId="0FC6682C" w14:textId="77777777" w:rsidR="0043001E" w:rsidRPr="00661F70" w:rsidRDefault="0043001E" w:rsidP="00E117F9">
      <w:pPr>
        <w:pStyle w:val="FootnoteText"/>
        <w:spacing w:before="120" w:after="280"/>
      </w:pPr>
      <w:r w:rsidRPr="000357C2">
        <w:rPr>
          <w:b/>
          <w:bCs/>
        </w:rPr>
        <w:t>Note</w:t>
      </w:r>
      <w:r w:rsidRPr="00661F70">
        <w:t>: Commencement numbers shown in Table 2 are also represented at the broad industry level in Table 3.</w:t>
      </w:r>
    </w:p>
    <w:p w14:paraId="49970B98" w14:textId="77777777" w:rsidR="0043001E" w:rsidRPr="00661F70" w:rsidRDefault="0043001E" w:rsidP="0043001E">
      <w:pPr>
        <w:pStyle w:val="Heading2"/>
        <w:spacing w:after="160"/>
        <w:rPr>
          <w:rFonts w:eastAsiaTheme="majorEastAsia"/>
          <w:color w:val="000000" w:themeColor="text1"/>
        </w:rPr>
      </w:pPr>
      <w:bookmarkStart w:id="6" w:name="_Toc149931599"/>
      <w:r w:rsidRPr="00661F70">
        <w:t>Key cohorts</w:t>
      </w:r>
      <w:bookmarkEnd w:id="6"/>
    </w:p>
    <w:p w14:paraId="42A4951E" w14:textId="77777777" w:rsidR="0043001E" w:rsidRPr="00661F70" w:rsidRDefault="0043001E" w:rsidP="000357C2">
      <w:r w:rsidRPr="00661F70">
        <w:t>One of the aims of Skills First is to ensure that the government-funded VET system in Victoria is equitable and addresses disadvantage.</w:t>
      </w:r>
    </w:p>
    <w:p w14:paraId="3EF98401" w14:textId="77777777" w:rsidR="0043001E" w:rsidRPr="00661F70" w:rsidRDefault="0043001E" w:rsidP="000357C2">
      <w:r w:rsidRPr="00661F70">
        <w:t>Alongside the Adult and Community Education sector, TAFEs and Dual Sector Universities play a critical role in achieving this aim. For example, between January and June 2017, of all 118,349 commencements (see Table 1), 38.7 per cent were by students who had no prior Certificate III (aged 20-64) and 30 per cent were by students who were unemployed.</w:t>
      </w:r>
    </w:p>
    <w:p w14:paraId="0549E79E" w14:textId="77777777" w:rsidR="0043001E" w:rsidRPr="00661F70" w:rsidRDefault="0043001E" w:rsidP="000357C2">
      <w:r w:rsidRPr="00661F70">
        <w:t>TAFEs and Dual Sector Universities have also increased their delivery across almost all key cohorts between the first half of 2016 and 2017, especially with Culturally and Linguistically Diverse (CALD) students, Indigenous students, those with no prior Certificate III and women.</w:t>
      </w:r>
    </w:p>
    <w:p w14:paraId="7F475649" w14:textId="77777777" w:rsidR="0043001E" w:rsidRPr="00E117F9" w:rsidRDefault="0043001E" w:rsidP="00E117F9">
      <w:pPr>
        <w:pStyle w:val="Normalbeforebullets"/>
        <w:rPr>
          <w:b/>
          <w:bCs/>
        </w:rPr>
      </w:pPr>
      <w:r w:rsidRPr="00E117F9">
        <w:rPr>
          <w:b/>
          <w:bCs/>
        </w:rPr>
        <w:lastRenderedPageBreak/>
        <w:t>Table 4: Total commencements in key student cohorts</w:t>
      </w:r>
    </w:p>
    <w:tbl>
      <w:tblPr>
        <w:tblStyle w:val="TableGrid"/>
        <w:tblW w:w="9706" w:type="dxa"/>
        <w:tblLayout w:type="fixed"/>
        <w:tblCellMar>
          <w:top w:w="57" w:type="dxa"/>
          <w:left w:w="57" w:type="dxa"/>
          <w:bottom w:w="57" w:type="dxa"/>
          <w:right w:w="57" w:type="dxa"/>
        </w:tblCellMar>
        <w:tblLook w:val="04A0" w:firstRow="1" w:lastRow="0" w:firstColumn="1" w:lastColumn="0" w:noHBand="0" w:noVBand="1"/>
      </w:tblPr>
      <w:tblGrid>
        <w:gridCol w:w="2830"/>
        <w:gridCol w:w="1825"/>
        <w:gridCol w:w="1777"/>
        <w:gridCol w:w="1785"/>
        <w:gridCol w:w="1489"/>
      </w:tblGrid>
      <w:tr w:rsidR="0043001E" w:rsidRPr="00E117F9" w14:paraId="6E63A4AC" w14:textId="77777777" w:rsidTr="00E117F9">
        <w:trPr>
          <w:cantSplit/>
        </w:trPr>
        <w:tc>
          <w:tcPr>
            <w:tcW w:w="2830" w:type="dxa"/>
          </w:tcPr>
          <w:p w14:paraId="416EC178" w14:textId="77777777" w:rsidR="0043001E" w:rsidRPr="00E117F9" w:rsidRDefault="0043001E" w:rsidP="00E117F9">
            <w:pPr>
              <w:pStyle w:val="TableColumnHeading"/>
              <w:rPr>
                <w:sz w:val="20"/>
                <w:szCs w:val="28"/>
              </w:rPr>
            </w:pPr>
            <w:bookmarkStart w:id="7" w:name="ColumnTitles_4"/>
            <w:bookmarkEnd w:id="7"/>
          </w:p>
        </w:tc>
        <w:tc>
          <w:tcPr>
            <w:tcW w:w="1825" w:type="dxa"/>
          </w:tcPr>
          <w:p w14:paraId="2BBD855F" w14:textId="7EF0B8AB" w:rsidR="0043001E" w:rsidRPr="00E117F9" w:rsidRDefault="00E117F9" w:rsidP="00E117F9">
            <w:pPr>
              <w:pStyle w:val="TableColumnHeading"/>
              <w:jc w:val="right"/>
              <w:rPr>
                <w:sz w:val="20"/>
                <w:szCs w:val="28"/>
              </w:rPr>
            </w:pPr>
            <w:r w:rsidRPr="00E117F9">
              <w:rPr>
                <w:sz w:val="20"/>
                <w:szCs w:val="28"/>
              </w:rPr>
              <w:t xml:space="preserve">Total commencements (all providers) </w:t>
            </w:r>
            <w:r w:rsidR="0043001E" w:rsidRPr="00E117F9">
              <w:rPr>
                <w:sz w:val="20"/>
                <w:szCs w:val="28"/>
              </w:rPr>
              <w:t>Number of commencements</w:t>
            </w:r>
            <w:r w:rsidRPr="00E117F9">
              <w:rPr>
                <w:sz w:val="20"/>
                <w:szCs w:val="28"/>
              </w:rPr>
              <w:t xml:space="preserve"> </w:t>
            </w:r>
            <w:r w:rsidR="0043001E" w:rsidRPr="00E117F9">
              <w:rPr>
                <w:sz w:val="20"/>
                <w:szCs w:val="28"/>
              </w:rPr>
              <w:t>Jan-Jun 2017</w:t>
            </w:r>
          </w:p>
        </w:tc>
        <w:tc>
          <w:tcPr>
            <w:tcW w:w="1777" w:type="dxa"/>
          </w:tcPr>
          <w:p w14:paraId="7217D435" w14:textId="40F7D69A" w:rsidR="0043001E" w:rsidRPr="00E117F9" w:rsidRDefault="00E117F9" w:rsidP="00E117F9">
            <w:pPr>
              <w:pStyle w:val="TableColumnHeading"/>
              <w:jc w:val="right"/>
              <w:rPr>
                <w:sz w:val="20"/>
                <w:szCs w:val="28"/>
              </w:rPr>
            </w:pPr>
            <w:r w:rsidRPr="00E117F9">
              <w:rPr>
                <w:sz w:val="20"/>
                <w:szCs w:val="28"/>
              </w:rPr>
              <w:t xml:space="preserve">Total commencements (all providers) </w:t>
            </w:r>
            <w:r w:rsidR="0043001E" w:rsidRPr="00E117F9">
              <w:rPr>
                <w:sz w:val="20"/>
                <w:szCs w:val="28"/>
              </w:rPr>
              <w:t>Proportion of all commencements</w:t>
            </w:r>
            <w:r w:rsidRPr="00E117F9">
              <w:rPr>
                <w:sz w:val="20"/>
                <w:szCs w:val="28"/>
              </w:rPr>
              <w:t xml:space="preserve"> </w:t>
            </w:r>
            <w:r w:rsidR="0043001E" w:rsidRPr="00E117F9">
              <w:rPr>
                <w:sz w:val="20"/>
                <w:szCs w:val="28"/>
              </w:rPr>
              <w:t>Jan-Jun 2017</w:t>
            </w:r>
          </w:p>
        </w:tc>
        <w:tc>
          <w:tcPr>
            <w:tcW w:w="1785" w:type="dxa"/>
          </w:tcPr>
          <w:p w14:paraId="64F3043F" w14:textId="76FB2F38" w:rsidR="0043001E" w:rsidRPr="00E117F9" w:rsidRDefault="00E117F9" w:rsidP="00E117F9">
            <w:pPr>
              <w:pStyle w:val="TableColumnHeading"/>
              <w:jc w:val="right"/>
              <w:rPr>
                <w:sz w:val="20"/>
                <w:szCs w:val="28"/>
              </w:rPr>
            </w:pPr>
            <w:r w:rsidRPr="00E117F9">
              <w:rPr>
                <w:sz w:val="20"/>
                <w:szCs w:val="28"/>
              </w:rPr>
              <w:t xml:space="preserve">Delivery by TAFE/Dual Sector </w:t>
            </w:r>
            <w:r w:rsidR="0043001E" w:rsidRPr="00E117F9">
              <w:rPr>
                <w:sz w:val="20"/>
                <w:szCs w:val="28"/>
              </w:rPr>
              <w:t>% of total commencements in key cohort</w:t>
            </w:r>
            <w:r w:rsidRPr="00E117F9">
              <w:rPr>
                <w:sz w:val="20"/>
                <w:szCs w:val="28"/>
              </w:rPr>
              <w:t xml:space="preserve"> </w:t>
            </w:r>
            <w:r w:rsidR="0043001E" w:rsidRPr="00E117F9">
              <w:rPr>
                <w:sz w:val="20"/>
                <w:szCs w:val="28"/>
              </w:rPr>
              <w:t>Jan-Jun 2017</w:t>
            </w:r>
          </w:p>
        </w:tc>
        <w:tc>
          <w:tcPr>
            <w:tcW w:w="1489" w:type="dxa"/>
          </w:tcPr>
          <w:p w14:paraId="59F6DC05" w14:textId="3D15227E" w:rsidR="0043001E" w:rsidRPr="00E117F9" w:rsidRDefault="00E117F9" w:rsidP="00E117F9">
            <w:pPr>
              <w:pStyle w:val="TableColumnHeading"/>
              <w:jc w:val="right"/>
              <w:rPr>
                <w:sz w:val="20"/>
                <w:szCs w:val="28"/>
              </w:rPr>
            </w:pPr>
            <w:r w:rsidRPr="00E117F9">
              <w:rPr>
                <w:sz w:val="20"/>
                <w:szCs w:val="28"/>
              </w:rPr>
              <w:t xml:space="preserve">Delivery by TAFE/Dual Sector </w:t>
            </w:r>
            <w:r w:rsidR="0043001E" w:rsidRPr="00E117F9">
              <w:rPr>
                <w:sz w:val="20"/>
                <w:szCs w:val="28"/>
              </w:rPr>
              <w:t>% increase: Jan-Jun 2016 to Jan-Jun 2017</w:t>
            </w:r>
          </w:p>
        </w:tc>
      </w:tr>
      <w:tr w:rsidR="0043001E" w:rsidRPr="00661F70" w14:paraId="2F46A5CD" w14:textId="77777777" w:rsidTr="00E117F9">
        <w:trPr>
          <w:cantSplit/>
        </w:trPr>
        <w:tc>
          <w:tcPr>
            <w:tcW w:w="2830" w:type="dxa"/>
          </w:tcPr>
          <w:p w14:paraId="7FB15A29" w14:textId="77777777" w:rsidR="0043001E" w:rsidRPr="00661F70" w:rsidRDefault="0043001E" w:rsidP="00E117F9">
            <w:pPr>
              <w:pStyle w:val="TableCopy"/>
            </w:pPr>
            <w:r w:rsidRPr="00661F70">
              <w:t>Early school leavers (aged 15-19)</w:t>
            </w:r>
          </w:p>
        </w:tc>
        <w:tc>
          <w:tcPr>
            <w:tcW w:w="1825" w:type="dxa"/>
          </w:tcPr>
          <w:p w14:paraId="51DCC484" w14:textId="77777777" w:rsidR="0043001E" w:rsidRPr="00661F70" w:rsidRDefault="0043001E" w:rsidP="00E117F9">
            <w:pPr>
              <w:pStyle w:val="TableCopy"/>
              <w:jc w:val="right"/>
            </w:pPr>
            <w:r w:rsidRPr="00661F70">
              <w:t>7,049</w:t>
            </w:r>
          </w:p>
        </w:tc>
        <w:tc>
          <w:tcPr>
            <w:tcW w:w="1777" w:type="dxa"/>
          </w:tcPr>
          <w:p w14:paraId="1D6BCBE7" w14:textId="77777777" w:rsidR="0043001E" w:rsidRPr="00661F70" w:rsidRDefault="0043001E" w:rsidP="00E117F9">
            <w:pPr>
              <w:pStyle w:val="TableCopy"/>
              <w:jc w:val="right"/>
            </w:pPr>
            <w:r w:rsidRPr="00661F70">
              <w:t>6.0%</w:t>
            </w:r>
          </w:p>
        </w:tc>
        <w:tc>
          <w:tcPr>
            <w:tcW w:w="1785" w:type="dxa"/>
          </w:tcPr>
          <w:p w14:paraId="4B7A2F7D" w14:textId="77777777" w:rsidR="0043001E" w:rsidRPr="00661F70" w:rsidRDefault="0043001E" w:rsidP="00E117F9">
            <w:pPr>
              <w:pStyle w:val="TableCopy"/>
              <w:jc w:val="right"/>
            </w:pPr>
            <w:r w:rsidRPr="00661F70">
              <w:t>76.6%</w:t>
            </w:r>
          </w:p>
        </w:tc>
        <w:tc>
          <w:tcPr>
            <w:tcW w:w="1489" w:type="dxa"/>
          </w:tcPr>
          <w:p w14:paraId="297CAEB2" w14:textId="77777777" w:rsidR="0043001E" w:rsidRPr="00661F70" w:rsidRDefault="0043001E" w:rsidP="00E117F9">
            <w:pPr>
              <w:pStyle w:val="TableCopy"/>
              <w:jc w:val="right"/>
            </w:pPr>
            <w:r w:rsidRPr="00661F70">
              <w:t>-1.5</w:t>
            </w:r>
          </w:p>
        </w:tc>
      </w:tr>
      <w:tr w:rsidR="0043001E" w:rsidRPr="00661F70" w14:paraId="5059D20B" w14:textId="77777777" w:rsidTr="00E117F9">
        <w:trPr>
          <w:cantSplit/>
        </w:trPr>
        <w:tc>
          <w:tcPr>
            <w:tcW w:w="2830" w:type="dxa"/>
          </w:tcPr>
          <w:p w14:paraId="445379B9" w14:textId="77777777" w:rsidR="0043001E" w:rsidRPr="00661F70" w:rsidRDefault="0043001E" w:rsidP="00E117F9">
            <w:pPr>
              <w:pStyle w:val="TableCopy"/>
            </w:pPr>
            <w:r w:rsidRPr="00661F70">
              <w:t>No prior Certificate III (aged 20-64)</w:t>
            </w:r>
          </w:p>
        </w:tc>
        <w:tc>
          <w:tcPr>
            <w:tcW w:w="1825" w:type="dxa"/>
          </w:tcPr>
          <w:p w14:paraId="5171764A" w14:textId="77777777" w:rsidR="0043001E" w:rsidRPr="00661F70" w:rsidRDefault="0043001E" w:rsidP="00E117F9">
            <w:pPr>
              <w:pStyle w:val="TableCopy"/>
              <w:jc w:val="right"/>
            </w:pPr>
            <w:r w:rsidRPr="00661F70">
              <w:t>45,773</w:t>
            </w:r>
          </w:p>
        </w:tc>
        <w:tc>
          <w:tcPr>
            <w:tcW w:w="1777" w:type="dxa"/>
          </w:tcPr>
          <w:p w14:paraId="08D3C4AF" w14:textId="77777777" w:rsidR="0043001E" w:rsidRPr="00661F70" w:rsidRDefault="0043001E" w:rsidP="00E117F9">
            <w:pPr>
              <w:pStyle w:val="TableCopy"/>
              <w:jc w:val="right"/>
            </w:pPr>
            <w:r w:rsidRPr="00661F70">
              <w:t>38.7%</w:t>
            </w:r>
          </w:p>
        </w:tc>
        <w:tc>
          <w:tcPr>
            <w:tcW w:w="1785" w:type="dxa"/>
          </w:tcPr>
          <w:p w14:paraId="3F2D3235" w14:textId="77777777" w:rsidR="0043001E" w:rsidRPr="00661F70" w:rsidRDefault="0043001E" w:rsidP="00E117F9">
            <w:pPr>
              <w:pStyle w:val="TableCopy"/>
              <w:jc w:val="right"/>
            </w:pPr>
            <w:r w:rsidRPr="00661F70">
              <w:t>47.7%</w:t>
            </w:r>
          </w:p>
        </w:tc>
        <w:tc>
          <w:tcPr>
            <w:tcW w:w="1489" w:type="dxa"/>
          </w:tcPr>
          <w:p w14:paraId="43EC03C7" w14:textId="77777777" w:rsidR="0043001E" w:rsidRPr="00661F70" w:rsidRDefault="0043001E" w:rsidP="00E117F9">
            <w:pPr>
              <w:pStyle w:val="TableCopy"/>
              <w:jc w:val="right"/>
            </w:pPr>
            <w:r w:rsidRPr="00661F70">
              <w:t>+7.3</w:t>
            </w:r>
          </w:p>
        </w:tc>
      </w:tr>
      <w:tr w:rsidR="0043001E" w:rsidRPr="00661F70" w14:paraId="18EE154E" w14:textId="77777777" w:rsidTr="00E117F9">
        <w:trPr>
          <w:cantSplit/>
        </w:trPr>
        <w:tc>
          <w:tcPr>
            <w:tcW w:w="2830" w:type="dxa"/>
          </w:tcPr>
          <w:p w14:paraId="20DBC74A" w14:textId="77777777" w:rsidR="0043001E" w:rsidRPr="00661F70" w:rsidRDefault="0043001E" w:rsidP="00E117F9">
            <w:pPr>
              <w:pStyle w:val="TableCopy"/>
            </w:pPr>
            <w:r w:rsidRPr="00661F70">
              <w:t>Indigenous</w:t>
            </w:r>
          </w:p>
        </w:tc>
        <w:tc>
          <w:tcPr>
            <w:tcW w:w="1825" w:type="dxa"/>
          </w:tcPr>
          <w:p w14:paraId="2A792CD0" w14:textId="77777777" w:rsidR="0043001E" w:rsidRPr="00661F70" w:rsidRDefault="0043001E" w:rsidP="00E117F9">
            <w:pPr>
              <w:pStyle w:val="TableCopy"/>
              <w:jc w:val="right"/>
            </w:pPr>
            <w:r w:rsidRPr="00661F70">
              <w:t>2,258</w:t>
            </w:r>
          </w:p>
        </w:tc>
        <w:tc>
          <w:tcPr>
            <w:tcW w:w="1777" w:type="dxa"/>
          </w:tcPr>
          <w:p w14:paraId="05B8F39E" w14:textId="77777777" w:rsidR="0043001E" w:rsidRPr="00661F70" w:rsidRDefault="0043001E" w:rsidP="00E117F9">
            <w:pPr>
              <w:pStyle w:val="TableCopy"/>
              <w:jc w:val="right"/>
            </w:pPr>
            <w:r w:rsidRPr="00661F70">
              <w:t>1.9%</w:t>
            </w:r>
          </w:p>
        </w:tc>
        <w:tc>
          <w:tcPr>
            <w:tcW w:w="1785" w:type="dxa"/>
          </w:tcPr>
          <w:p w14:paraId="2366B5E3" w14:textId="77777777" w:rsidR="0043001E" w:rsidRPr="00661F70" w:rsidRDefault="0043001E" w:rsidP="00E117F9">
            <w:pPr>
              <w:pStyle w:val="TableCopy"/>
              <w:jc w:val="right"/>
            </w:pPr>
            <w:r w:rsidRPr="00661F70">
              <w:t>45.6%</w:t>
            </w:r>
          </w:p>
        </w:tc>
        <w:tc>
          <w:tcPr>
            <w:tcW w:w="1489" w:type="dxa"/>
          </w:tcPr>
          <w:p w14:paraId="365C95DD" w14:textId="77777777" w:rsidR="0043001E" w:rsidRPr="00661F70" w:rsidRDefault="0043001E" w:rsidP="00E117F9">
            <w:pPr>
              <w:pStyle w:val="TableCopy"/>
              <w:jc w:val="right"/>
            </w:pPr>
            <w:r w:rsidRPr="00661F70">
              <w:t>+8.0</w:t>
            </w:r>
          </w:p>
        </w:tc>
      </w:tr>
      <w:tr w:rsidR="0043001E" w:rsidRPr="00661F70" w14:paraId="373242C7" w14:textId="77777777" w:rsidTr="00E117F9">
        <w:trPr>
          <w:cantSplit/>
        </w:trPr>
        <w:tc>
          <w:tcPr>
            <w:tcW w:w="2830" w:type="dxa"/>
          </w:tcPr>
          <w:p w14:paraId="00B418E6" w14:textId="77777777" w:rsidR="0043001E" w:rsidRPr="00661F70" w:rsidRDefault="0043001E" w:rsidP="00E117F9">
            <w:pPr>
              <w:pStyle w:val="TableCopy"/>
            </w:pPr>
            <w:r w:rsidRPr="00661F70">
              <w:t>People with a disability</w:t>
            </w:r>
          </w:p>
        </w:tc>
        <w:tc>
          <w:tcPr>
            <w:tcW w:w="1825" w:type="dxa"/>
          </w:tcPr>
          <w:p w14:paraId="182BCE94" w14:textId="77777777" w:rsidR="0043001E" w:rsidRPr="00661F70" w:rsidRDefault="0043001E" w:rsidP="00E117F9">
            <w:pPr>
              <w:pStyle w:val="TableCopy"/>
              <w:jc w:val="right"/>
            </w:pPr>
            <w:r w:rsidRPr="00661F70">
              <w:t>18,293</w:t>
            </w:r>
          </w:p>
        </w:tc>
        <w:tc>
          <w:tcPr>
            <w:tcW w:w="1777" w:type="dxa"/>
          </w:tcPr>
          <w:p w14:paraId="63A0BEE2" w14:textId="77777777" w:rsidR="0043001E" w:rsidRPr="00661F70" w:rsidRDefault="0043001E" w:rsidP="00E117F9">
            <w:pPr>
              <w:pStyle w:val="TableCopy"/>
              <w:jc w:val="right"/>
            </w:pPr>
            <w:r w:rsidRPr="00661F70">
              <w:t>15.5%</w:t>
            </w:r>
          </w:p>
        </w:tc>
        <w:tc>
          <w:tcPr>
            <w:tcW w:w="1785" w:type="dxa"/>
          </w:tcPr>
          <w:p w14:paraId="28C7D582" w14:textId="77777777" w:rsidR="0043001E" w:rsidRPr="00661F70" w:rsidRDefault="0043001E" w:rsidP="00E117F9">
            <w:pPr>
              <w:pStyle w:val="TableCopy"/>
              <w:jc w:val="right"/>
            </w:pPr>
            <w:r w:rsidRPr="00661F70">
              <w:t>34.4%</w:t>
            </w:r>
          </w:p>
        </w:tc>
        <w:tc>
          <w:tcPr>
            <w:tcW w:w="1489" w:type="dxa"/>
          </w:tcPr>
          <w:p w14:paraId="15569F84" w14:textId="77777777" w:rsidR="0043001E" w:rsidRPr="00661F70" w:rsidRDefault="0043001E" w:rsidP="00E117F9">
            <w:pPr>
              <w:pStyle w:val="TableCopy"/>
              <w:jc w:val="right"/>
            </w:pPr>
            <w:r w:rsidRPr="00661F70">
              <w:t>+2.4</w:t>
            </w:r>
          </w:p>
        </w:tc>
      </w:tr>
      <w:tr w:rsidR="0043001E" w:rsidRPr="00661F70" w14:paraId="38DADDBA" w14:textId="77777777" w:rsidTr="00E117F9">
        <w:trPr>
          <w:cantSplit/>
        </w:trPr>
        <w:tc>
          <w:tcPr>
            <w:tcW w:w="2830" w:type="dxa"/>
          </w:tcPr>
          <w:p w14:paraId="1E388C22" w14:textId="77777777" w:rsidR="0043001E" w:rsidRPr="00661F70" w:rsidRDefault="0043001E" w:rsidP="00E117F9">
            <w:pPr>
              <w:pStyle w:val="TableCopy"/>
            </w:pPr>
            <w:r w:rsidRPr="00661F70">
              <w:t>Women</w:t>
            </w:r>
          </w:p>
        </w:tc>
        <w:tc>
          <w:tcPr>
            <w:tcW w:w="1825" w:type="dxa"/>
          </w:tcPr>
          <w:p w14:paraId="7A64C4E5" w14:textId="77777777" w:rsidR="0043001E" w:rsidRPr="00661F70" w:rsidRDefault="0043001E" w:rsidP="00E117F9">
            <w:pPr>
              <w:pStyle w:val="TableCopy"/>
              <w:jc w:val="right"/>
            </w:pPr>
            <w:r w:rsidRPr="00661F70">
              <w:t>62,998</w:t>
            </w:r>
          </w:p>
        </w:tc>
        <w:tc>
          <w:tcPr>
            <w:tcW w:w="1777" w:type="dxa"/>
          </w:tcPr>
          <w:p w14:paraId="06E28F83" w14:textId="77777777" w:rsidR="0043001E" w:rsidRPr="00661F70" w:rsidRDefault="0043001E" w:rsidP="00E117F9">
            <w:pPr>
              <w:pStyle w:val="TableCopy"/>
              <w:jc w:val="right"/>
            </w:pPr>
            <w:r w:rsidRPr="00661F70">
              <w:t>53.2%</w:t>
            </w:r>
          </w:p>
        </w:tc>
        <w:tc>
          <w:tcPr>
            <w:tcW w:w="1785" w:type="dxa"/>
          </w:tcPr>
          <w:p w14:paraId="3CA8540E" w14:textId="77777777" w:rsidR="0043001E" w:rsidRPr="00661F70" w:rsidRDefault="0043001E" w:rsidP="00E117F9">
            <w:pPr>
              <w:pStyle w:val="TableCopy"/>
              <w:jc w:val="right"/>
            </w:pPr>
            <w:r w:rsidRPr="00661F70">
              <w:t>41.0%</w:t>
            </w:r>
          </w:p>
        </w:tc>
        <w:tc>
          <w:tcPr>
            <w:tcW w:w="1489" w:type="dxa"/>
          </w:tcPr>
          <w:p w14:paraId="20AD7128" w14:textId="77777777" w:rsidR="0043001E" w:rsidRPr="00661F70" w:rsidRDefault="0043001E" w:rsidP="00E117F9">
            <w:pPr>
              <w:pStyle w:val="TableCopy"/>
              <w:jc w:val="right"/>
            </w:pPr>
            <w:r w:rsidRPr="00661F70">
              <w:t>+6.9</w:t>
            </w:r>
          </w:p>
        </w:tc>
      </w:tr>
      <w:tr w:rsidR="0043001E" w:rsidRPr="00661F70" w14:paraId="67A70EC4" w14:textId="77777777" w:rsidTr="00E117F9">
        <w:trPr>
          <w:cantSplit/>
        </w:trPr>
        <w:tc>
          <w:tcPr>
            <w:tcW w:w="2830" w:type="dxa"/>
          </w:tcPr>
          <w:p w14:paraId="3F790C60" w14:textId="77777777" w:rsidR="0043001E" w:rsidRPr="00661F70" w:rsidRDefault="0043001E" w:rsidP="00E117F9">
            <w:pPr>
              <w:pStyle w:val="TableCopy"/>
            </w:pPr>
            <w:r w:rsidRPr="00661F70">
              <w:t>CALD</w:t>
            </w:r>
          </w:p>
        </w:tc>
        <w:tc>
          <w:tcPr>
            <w:tcW w:w="1825" w:type="dxa"/>
          </w:tcPr>
          <w:p w14:paraId="21DC969E" w14:textId="77777777" w:rsidR="0043001E" w:rsidRPr="00661F70" w:rsidRDefault="0043001E" w:rsidP="00E117F9">
            <w:pPr>
              <w:pStyle w:val="TableCopy"/>
              <w:jc w:val="right"/>
            </w:pPr>
            <w:r w:rsidRPr="00661F70">
              <w:t>40,500</w:t>
            </w:r>
          </w:p>
        </w:tc>
        <w:tc>
          <w:tcPr>
            <w:tcW w:w="1777" w:type="dxa"/>
          </w:tcPr>
          <w:p w14:paraId="268AF9C6" w14:textId="77777777" w:rsidR="0043001E" w:rsidRPr="00661F70" w:rsidRDefault="0043001E" w:rsidP="00E117F9">
            <w:pPr>
              <w:pStyle w:val="TableCopy"/>
              <w:jc w:val="right"/>
            </w:pPr>
            <w:r w:rsidRPr="00661F70">
              <w:t>34.2%</w:t>
            </w:r>
          </w:p>
        </w:tc>
        <w:tc>
          <w:tcPr>
            <w:tcW w:w="1785" w:type="dxa"/>
          </w:tcPr>
          <w:p w14:paraId="3C9CFA9F" w14:textId="77777777" w:rsidR="0043001E" w:rsidRPr="00661F70" w:rsidRDefault="0043001E" w:rsidP="00E117F9">
            <w:pPr>
              <w:pStyle w:val="TableCopy"/>
              <w:jc w:val="right"/>
            </w:pPr>
            <w:r w:rsidRPr="00661F70">
              <w:t>37.1%</w:t>
            </w:r>
          </w:p>
        </w:tc>
        <w:tc>
          <w:tcPr>
            <w:tcW w:w="1489" w:type="dxa"/>
          </w:tcPr>
          <w:p w14:paraId="6D47697F" w14:textId="77777777" w:rsidR="0043001E" w:rsidRPr="00661F70" w:rsidRDefault="0043001E" w:rsidP="00E117F9">
            <w:pPr>
              <w:pStyle w:val="TableCopy"/>
              <w:jc w:val="right"/>
            </w:pPr>
            <w:r w:rsidRPr="00661F70">
              <w:t>+14.5</w:t>
            </w:r>
          </w:p>
        </w:tc>
      </w:tr>
      <w:tr w:rsidR="0043001E" w:rsidRPr="00661F70" w14:paraId="0FCA9386" w14:textId="77777777" w:rsidTr="00E117F9">
        <w:trPr>
          <w:cantSplit/>
        </w:trPr>
        <w:tc>
          <w:tcPr>
            <w:tcW w:w="2830" w:type="dxa"/>
          </w:tcPr>
          <w:p w14:paraId="0EEE691F" w14:textId="77777777" w:rsidR="0043001E" w:rsidRPr="00661F70" w:rsidRDefault="0043001E" w:rsidP="00E117F9">
            <w:pPr>
              <w:pStyle w:val="TableCopy"/>
            </w:pPr>
            <w:r w:rsidRPr="00661F70">
              <w:t>Unemployed</w:t>
            </w:r>
          </w:p>
        </w:tc>
        <w:tc>
          <w:tcPr>
            <w:tcW w:w="1825" w:type="dxa"/>
          </w:tcPr>
          <w:p w14:paraId="6B437DA9" w14:textId="77777777" w:rsidR="0043001E" w:rsidRPr="00661F70" w:rsidRDefault="0043001E" w:rsidP="00E117F9">
            <w:pPr>
              <w:pStyle w:val="TableCopy"/>
              <w:jc w:val="right"/>
            </w:pPr>
            <w:r w:rsidRPr="00661F70">
              <w:t>35,556</w:t>
            </w:r>
          </w:p>
        </w:tc>
        <w:tc>
          <w:tcPr>
            <w:tcW w:w="1777" w:type="dxa"/>
          </w:tcPr>
          <w:p w14:paraId="1738AD77" w14:textId="77777777" w:rsidR="0043001E" w:rsidRPr="00661F70" w:rsidRDefault="0043001E" w:rsidP="00E117F9">
            <w:pPr>
              <w:pStyle w:val="TableCopy"/>
              <w:jc w:val="right"/>
            </w:pPr>
            <w:r w:rsidRPr="00661F70">
              <w:t>30.0%</w:t>
            </w:r>
          </w:p>
        </w:tc>
        <w:tc>
          <w:tcPr>
            <w:tcW w:w="1785" w:type="dxa"/>
          </w:tcPr>
          <w:p w14:paraId="74636573" w14:textId="77777777" w:rsidR="0043001E" w:rsidRPr="00661F70" w:rsidRDefault="0043001E" w:rsidP="00E117F9">
            <w:pPr>
              <w:pStyle w:val="TableCopy"/>
              <w:jc w:val="right"/>
            </w:pPr>
            <w:r w:rsidRPr="00661F70">
              <w:t>36.7%</w:t>
            </w:r>
          </w:p>
        </w:tc>
        <w:tc>
          <w:tcPr>
            <w:tcW w:w="1489" w:type="dxa"/>
          </w:tcPr>
          <w:p w14:paraId="2437E7F6" w14:textId="77777777" w:rsidR="0043001E" w:rsidRPr="00661F70" w:rsidRDefault="0043001E" w:rsidP="00E117F9">
            <w:pPr>
              <w:pStyle w:val="TableCopy"/>
              <w:jc w:val="right"/>
            </w:pPr>
            <w:r w:rsidRPr="00661F70">
              <w:t>+4.7</w:t>
            </w:r>
          </w:p>
        </w:tc>
      </w:tr>
    </w:tbl>
    <w:p w14:paraId="7650F6EA" w14:textId="77777777" w:rsidR="0043001E" w:rsidRPr="000357C2" w:rsidRDefault="0043001E" w:rsidP="00E117F9">
      <w:pPr>
        <w:pStyle w:val="FootnoteText"/>
        <w:spacing w:before="120" w:after="280"/>
      </w:pPr>
      <w:r w:rsidRPr="00661F70">
        <w:rPr>
          <w:b/>
          <w:sz w:val="22"/>
          <w:szCs w:val="22"/>
        </w:rPr>
        <w:t>Notes:</w:t>
      </w:r>
      <w:r w:rsidRPr="00661F70">
        <w:rPr>
          <w:sz w:val="22"/>
          <w:szCs w:val="22"/>
        </w:rPr>
        <w:t xml:space="preserve"> Students may be represented in more than one key cohort e.g. student may have no prior </w:t>
      </w:r>
      <w:r w:rsidRPr="000357C2">
        <w:t>Certificate III AND have a disability. CALD – Culturally and Linguistically Diverse (that is, speak a language other than English at home).</w:t>
      </w:r>
    </w:p>
    <w:p w14:paraId="1B1D66E5" w14:textId="77777777" w:rsidR="0043001E" w:rsidRPr="00661F70" w:rsidRDefault="0043001E" w:rsidP="0043001E">
      <w:pPr>
        <w:pStyle w:val="Heading2"/>
        <w:spacing w:after="160"/>
      </w:pPr>
      <w:bookmarkStart w:id="8" w:name="_Toc149931600"/>
      <w:r w:rsidRPr="00661F70">
        <w:t>Sources of data</w:t>
      </w:r>
      <w:bookmarkEnd w:id="8"/>
    </w:p>
    <w:p w14:paraId="52012AA5" w14:textId="77777777" w:rsidR="0043001E" w:rsidRPr="00661F70" w:rsidRDefault="0043001E" w:rsidP="000357C2">
      <w:r w:rsidRPr="00661F70">
        <w:t>Department of Education and Training’s training activity database, referred to as Skills Victoria Training System (SVTS) for all tables and charts with the exception of Charts 1 and 2. SVTS only includes data submitted by providers with a Victorian Government contract.</w:t>
      </w:r>
    </w:p>
    <w:p w14:paraId="11CDD269" w14:textId="77777777" w:rsidR="0043001E" w:rsidRPr="00661F70" w:rsidRDefault="0043001E" w:rsidP="000357C2">
      <w:r w:rsidRPr="00661F70">
        <w:t xml:space="preserve">Data presented in Charts 1 and 2 is sourced from </w:t>
      </w:r>
      <w:r w:rsidRPr="00661F70">
        <w:rPr>
          <w:i/>
        </w:rPr>
        <w:t>Government-funded students and courses January to June 2017</w:t>
      </w:r>
      <w:r w:rsidRPr="00661F70">
        <w:t xml:space="preserve">, and </w:t>
      </w:r>
      <w:r w:rsidRPr="00661F70">
        <w:rPr>
          <w:i/>
        </w:rPr>
        <w:t>Government-funded students and courses January to June 2016</w:t>
      </w:r>
      <w:r w:rsidRPr="00661F70">
        <w:t xml:space="preserve">, National Centre for Vocational Education Research (NCVER) and is provided to set the Victorian TAFE and training system in the national context. </w:t>
      </w:r>
    </w:p>
    <w:p w14:paraId="200DD126" w14:textId="77777777" w:rsidR="0043001E" w:rsidRPr="00661F70" w:rsidRDefault="0043001E" w:rsidP="0043001E">
      <w:pPr>
        <w:pStyle w:val="Heading2"/>
        <w:spacing w:after="160"/>
      </w:pPr>
      <w:bookmarkStart w:id="9" w:name="_Toc149931601"/>
      <w:r w:rsidRPr="00661F70">
        <w:t>Definition of government-funded</w:t>
      </w:r>
      <w:bookmarkEnd w:id="9"/>
    </w:p>
    <w:p w14:paraId="4D1D71D3" w14:textId="3AF80613" w:rsidR="0043001E" w:rsidRPr="00661F70" w:rsidRDefault="0043001E" w:rsidP="000357C2">
      <w:r w:rsidRPr="00661F70">
        <w:t xml:space="preserve">Government-funded VET training </w:t>
      </w:r>
      <w:r w:rsidRPr="00661F70">
        <w:rPr>
          <w:b/>
        </w:rPr>
        <w:t>reported by the NCVER</w:t>
      </w:r>
      <w:r w:rsidRPr="00661F70">
        <w:t xml:space="preserve"> is broadly defined as Commonwealth and state/territory government-funded training delivered by TAFE institutes and other government providers, community education and other registered providers. This also includes a small proportion of training activity in receipt of government funding from other Victorian Departments and offshore students engaged in Victorian government-funded training. NCVER’s definition of other government providers includes </w:t>
      </w:r>
      <w:r w:rsidRPr="00661F70">
        <w:lastRenderedPageBreak/>
        <w:t>government-owned and managed education facilities/organisations, other than TAFE institutes, that deliver VET (</w:t>
      </w:r>
      <w:r w:rsidR="0096431C" w:rsidRPr="00661F70">
        <w:t>e.g.,</w:t>
      </w:r>
      <w:r w:rsidRPr="00661F70">
        <w:t xml:space="preserve"> agricultural colleges and higher education institutes).</w:t>
      </w:r>
    </w:p>
    <w:p w14:paraId="7DA48F61" w14:textId="77777777" w:rsidR="0043001E" w:rsidRPr="00661F70" w:rsidRDefault="0043001E" w:rsidP="000357C2">
      <w:r w:rsidRPr="00661F70">
        <w:t xml:space="preserve">The scope of government-funded activity from the </w:t>
      </w:r>
      <w:r w:rsidRPr="00661F70">
        <w:rPr>
          <w:b/>
        </w:rPr>
        <w:t>internal Departmental data</w:t>
      </w:r>
      <w:r w:rsidRPr="00661F70">
        <w:t xml:space="preserve"> derived from the Skills Victoria Training System (SVTS) includes only activity funded by the Department of Education and Training, and reporting in Training Market Reports focuses only on onshore domestic students in Victoria.</w:t>
      </w:r>
    </w:p>
    <w:p w14:paraId="2D1D7360" w14:textId="77777777" w:rsidR="0043001E" w:rsidRPr="00661F70" w:rsidRDefault="0043001E" w:rsidP="0043001E">
      <w:pPr>
        <w:pStyle w:val="Heading2"/>
        <w:spacing w:after="160"/>
      </w:pPr>
      <w:bookmarkStart w:id="10" w:name="_Toc149931602"/>
      <w:r w:rsidRPr="00661F70">
        <w:t>Other notes about the data</w:t>
      </w:r>
      <w:bookmarkEnd w:id="10"/>
    </w:p>
    <w:p w14:paraId="5DDFFC85" w14:textId="77777777" w:rsidR="0043001E" w:rsidRPr="00661F70" w:rsidRDefault="0043001E" w:rsidP="000357C2">
      <w:r w:rsidRPr="00661F70">
        <w:t>Data is ‘as reported’ by 30 June. This data is therefore considered to be preliminary for commencements as training providers have a defined period (60 days in 2017 and 90 days in 2016) within which they can still submit commencement data for previous months.</w:t>
      </w:r>
    </w:p>
    <w:p w14:paraId="74E76191" w14:textId="4A8CBD0B" w:rsidR="0043001E" w:rsidRPr="00661F70" w:rsidRDefault="0043001E" w:rsidP="000357C2">
      <w:r w:rsidRPr="00661F70">
        <w:t xml:space="preserve">SVTS data presented in this report relates only to domestic onshore </w:t>
      </w:r>
      <w:r w:rsidR="00661F70" w:rsidRPr="00661F70">
        <w:t>students and</w:t>
      </w:r>
      <w:r w:rsidRPr="00661F70">
        <w:t xml:space="preserve"> excludes onshore international and offshore students. A domestic student is a student that resides and undertakes training in Australia.</w:t>
      </w:r>
    </w:p>
    <w:p w14:paraId="6B96DD0D" w14:textId="77777777" w:rsidR="0043001E" w:rsidRPr="00661F70" w:rsidRDefault="0043001E" w:rsidP="000357C2">
      <w:r w:rsidRPr="00661F70">
        <w:t xml:space="preserve">The data includes all accredited and pre-accredited training. Accredited training leads to vocational qualifications and credentials that are recognised across Australia. Pre-accredited training focuses on foundation and modular learning opportunities, that are often customised to meet the needs of the learner, but do not have formal assessment or a credential awarded. </w:t>
      </w:r>
    </w:p>
    <w:p w14:paraId="15AB32C9" w14:textId="77777777" w:rsidR="0043001E" w:rsidRPr="00661F70" w:rsidRDefault="0043001E" w:rsidP="000357C2">
      <w:r w:rsidRPr="00661F70">
        <w:t>The Australian Qualifications Framework (AQF) is a unified system of national qualifications in schools, VET and the higher education sector.</w:t>
      </w:r>
    </w:p>
    <w:p w14:paraId="63C8149F" w14:textId="77777777" w:rsidR="0043001E" w:rsidRPr="00661F70" w:rsidRDefault="0043001E" w:rsidP="000357C2">
      <w:r w:rsidRPr="00661F70">
        <w:t>If a student has enrolled with more than one training provider, it is possible for them to be counted more than once, so government-funded student counts may be inflated. A small number of students enrol in more than one course at a time at a training provider. Each enrolment is counted as unique, therefore the number of enrolments/commencements is always slightly larger than the total number of students.</w:t>
      </w:r>
    </w:p>
    <w:p w14:paraId="63B08CE3" w14:textId="143D294A" w:rsidR="00E56313" w:rsidRPr="00661F70" w:rsidRDefault="0043001E" w:rsidP="000357C2">
      <w:r w:rsidRPr="00661F70">
        <w:t>Training providers must have a government contract to deliver government-funded training, and they are classified into four training provider types. There are twelve TAFEs and four Dual Sector Universities across Victoria. Adult and Community Education (ACE) training providers also include Learn Locals and predominantly deliver pre-accredited training. Private training providers are commercial organisations.</w:t>
      </w:r>
    </w:p>
    <w:sectPr w:rsidR="00E56313" w:rsidRPr="00661F70" w:rsidSect="00414294">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397" w:footer="39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7BD5A" w14:textId="77777777" w:rsidR="00D37097" w:rsidRDefault="00D37097" w:rsidP="00847673">
      <w:r>
        <w:separator/>
      </w:r>
    </w:p>
    <w:p w14:paraId="1817F6B2" w14:textId="77777777" w:rsidR="00D37097" w:rsidRDefault="00D37097" w:rsidP="00847673"/>
    <w:p w14:paraId="6A5FCBB3" w14:textId="77777777" w:rsidR="00D37097" w:rsidRDefault="00D37097" w:rsidP="00847673"/>
  </w:endnote>
  <w:endnote w:type="continuationSeparator" w:id="0">
    <w:p w14:paraId="1306495A" w14:textId="77777777" w:rsidR="00D37097" w:rsidRDefault="00D37097" w:rsidP="00847673">
      <w:r>
        <w:continuationSeparator/>
      </w:r>
    </w:p>
    <w:p w14:paraId="7338C727" w14:textId="77777777" w:rsidR="00D37097" w:rsidRDefault="00D37097" w:rsidP="00847673"/>
    <w:p w14:paraId="643D0B9E" w14:textId="77777777" w:rsidR="00D37097" w:rsidRDefault="00D37097" w:rsidP="008476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Body)">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EFFA" w14:textId="3D93949B" w:rsidR="00843667" w:rsidRDefault="00843667" w:rsidP="0084767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3029B8">
      <w:rPr>
        <w:rStyle w:val="PageNumber"/>
        <w:noProof/>
      </w:rPr>
      <w:t>1</w:t>
    </w:r>
    <w:r>
      <w:rPr>
        <w:rStyle w:val="PageNumber"/>
      </w:rPr>
      <w:fldChar w:fldCharType="end"/>
    </w:r>
  </w:p>
  <w:p w14:paraId="416C2F20" w14:textId="77777777" w:rsidR="00843667" w:rsidRDefault="00843667" w:rsidP="00847673">
    <w:pPr>
      <w:rPr>
        <w:rStyle w:val="PageNumber"/>
      </w:rPr>
    </w:pPr>
  </w:p>
  <w:p w14:paraId="6E58A847" w14:textId="77777777" w:rsidR="00843667" w:rsidRDefault="00843667" w:rsidP="00847673"/>
  <w:p w14:paraId="5A3C9AD6" w14:textId="77777777" w:rsidR="00843667" w:rsidRDefault="00843667" w:rsidP="00847673"/>
  <w:p w14:paraId="620CE513" w14:textId="77777777" w:rsidR="00843667" w:rsidRDefault="00843667" w:rsidP="008476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F5F9C" w14:textId="238B1168" w:rsidR="00A202FB" w:rsidRDefault="00A202FB">
    <w:pPr>
      <w:pStyle w:val="Footer"/>
    </w:pPr>
    <w:r>
      <w:rPr>
        <w:noProof/>
      </w:rPr>
      <mc:AlternateContent>
        <mc:Choice Requires="wps">
          <w:drawing>
            <wp:anchor distT="0" distB="0" distL="114300" distR="114300" simplePos="0" relativeHeight="251659264" behindDoc="0" locked="0" layoutInCell="0" allowOverlap="1" wp14:anchorId="2927937B" wp14:editId="7DFE9BCA">
              <wp:simplePos x="0" y="0"/>
              <wp:positionH relativeFrom="page">
                <wp:posOffset>0</wp:posOffset>
              </wp:positionH>
              <wp:positionV relativeFrom="page">
                <wp:posOffset>10248900</wp:posOffset>
              </wp:positionV>
              <wp:extent cx="7560310" cy="252095"/>
              <wp:effectExtent l="0" t="0" r="0" b="14605"/>
              <wp:wrapNone/>
              <wp:docPr id="1" name="MSIPCM4b924c60bf45feeff6d8fcc7"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A2720D" w14:textId="48DE849E" w:rsidR="00A202FB" w:rsidRPr="00A202FB" w:rsidRDefault="00A202FB" w:rsidP="00A202FB">
                          <w:pPr>
                            <w:spacing w:after="0"/>
                            <w:jc w:val="center"/>
                            <w:rPr>
                              <w:color w:val="000000"/>
                            </w:rPr>
                          </w:pPr>
                          <w:r w:rsidRPr="00A202FB">
                            <w:rPr>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27937B" id="_x0000_t202" coordsize="21600,21600" o:spt="202" path="m,l,21600r21600,l21600,xe">
              <v:stroke joinstyle="miter"/>
              <v:path gradientshapeok="t" o:connecttype="rect"/>
            </v:shapetype>
            <v:shape id="MSIPCM4b924c60bf45feeff6d8fcc7" o:spid="_x0000_s1027" type="#_x0000_t202" alt="{&quot;HashCode&quot;:376260202,&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fill o:detectmouseclick="t"/>
              <v:textbox inset=",0,,0">
                <w:txbxContent>
                  <w:p w14:paraId="4CA2720D" w14:textId="48DE849E" w:rsidR="00A202FB" w:rsidRPr="00A202FB" w:rsidRDefault="00A202FB" w:rsidP="00A202FB">
                    <w:pPr>
                      <w:spacing w:after="0"/>
                      <w:jc w:val="center"/>
                      <w:rPr>
                        <w:color w:val="000000"/>
                      </w:rPr>
                    </w:pPr>
                    <w:r w:rsidRPr="00A202FB">
                      <w:rPr>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4085" w14:textId="77777777" w:rsidR="00A202FB" w:rsidRDefault="00A20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60A75" w14:textId="45AFE269" w:rsidR="00D37097" w:rsidRDefault="008F6A2B" w:rsidP="008F6A2B">
      <w:pPr>
        <w:spacing w:after="120"/>
      </w:pPr>
      <w:r>
        <w:separator/>
      </w:r>
    </w:p>
  </w:footnote>
  <w:footnote w:type="continuationSeparator" w:id="0">
    <w:p w14:paraId="3091F417" w14:textId="77777777" w:rsidR="00D37097" w:rsidRDefault="00D37097" w:rsidP="00847673">
      <w:r>
        <w:continuationSeparator/>
      </w:r>
    </w:p>
    <w:p w14:paraId="6A4DE4A7" w14:textId="77777777" w:rsidR="00D37097" w:rsidRDefault="00D37097" w:rsidP="00847673"/>
    <w:p w14:paraId="4949D3C0" w14:textId="77777777" w:rsidR="00D37097" w:rsidRDefault="00D37097" w:rsidP="00847673"/>
  </w:footnote>
  <w:footnote w:id="1">
    <w:p w14:paraId="6595C061" w14:textId="77777777" w:rsidR="0043001E" w:rsidRPr="000357C2" w:rsidRDefault="0043001E" w:rsidP="0043001E">
      <w:pPr>
        <w:pStyle w:val="FootnoteText"/>
        <w:jc w:val="both"/>
        <w:rPr>
          <w:sz w:val="18"/>
          <w:szCs w:val="18"/>
        </w:rPr>
      </w:pPr>
      <w:r w:rsidRPr="000357C2">
        <w:rPr>
          <w:rStyle w:val="FootnoteReference"/>
          <w:sz w:val="18"/>
          <w:szCs w:val="18"/>
        </w:rPr>
        <w:footnoteRef/>
      </w:r>
      <w:r w:rsidRPr="000357C2">
        <w:rPr>
          <w:sz w:val="18"/>
          <w:szCs w:val="18"/>
        </w:rPr>
        <w:t xml:space="preserve"> The figures presented in the Overview section are compiled by the National Centre for Vocational Education Research (NCVER). They differ from the Victorian data because of the application of a number of different statistical treatments to ensure consistency across jurisdictions and the inclusion of Commonwealth funded training activity.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5B24" w14:textId="77777777" w:rsidR="00A202FB" w:rsidRDefault="00A202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A6C6" w14:textId="703F3283" w:rsidR="00A202FB" w:rsidRDefault="00A202FB">
    <w:pPr>
      <w:pStyle w:val="Header"/>
    </w:pPr>
    <w:r>
      <w:rPr>
        <w:noProof/>
      </w:rPr>
      <mc:AlternateContent>
        <mc:Choice Requires="wps">
          <w:drawing>
            <wp:anchor distT="0" distB="0" distL="114300" distR="114300" simplePos="0" relativeHeight="251660288" behindDoc="0" locked="0" layoutInCell="0" allowOverlap="1" wp14:anchorId="4381AC3F" wp14:editId="50EF1209">
              <wp:simplePos x="0" y="0"/>
              <wp:positionH relativeFrom="page">
                <wp:posOffset>0</wp:posOffset>
              </wp:positionH>
              <wp:positionV relativeFrom="page">
                <wp:posOffset>190500</wp:posOffset>
              </wp:positionV>
              <wp:extent cx="7560310" cy="252095"/>
              <wp:effectExtent l="0" t="0" r="0" b="14605"/>
              <wp:wrapNone/>
              <wp:docPr id="2" name="MSIPCM0b88418786c7976844ca19c2"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E10A08" w14:textId="3E073673" w:rsidR="00A202FB" w:rsidRPr="00A202FB" w:rsidRDefault="00A202FB" w:rsidP="00A202FB">
                          <w:pPr>
                            <w:spacing w:after="0"/>
                            <w:jc w:val="center"/>
                            <w:rPr>
                              <w:color w:val="000000"/>
                            </w:rPr>
                          </w:pPr>
                          <w:r w:rsidRPr="00A202FB">
                            <w:rPr>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381AC3F" id="_x0000_t202" coordsize="21600,21600" o:spt="202" path="m,l,21600r21600,l21600,xe">
              <v:stroke joinstyle="miter"/>
              <v:path gradientshapeok="t" o:connecttype="rect"/>
            </v:shapetype>
            <v:shape id="MSIPCM0b88418786c7976844ca19c2" o:spid="_x0000_s1026" type="#_x0000_t202" alt="{&quot;HashCode&quot;:352122633,&quot;Height&quot;:841.0,&quot;Width&quot;:595.0,&quot;Placement&quot;:&quot;Header&quot;,&quot;Index&quot;:&quot;Primary&quot;,&quot;Section&quot;:1,&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fill o:detectmouseclick="t"/>
              <v:textbox inset=",0,,0">
                <w:txbxContent>
                  <w:p w14:paraId="53E10A08" w14:textId="3E073673" w:rsidR="00A202FB" w:rsidRPr="00A202FB" w:rsidRDefault="00A202FB" w:rsidP="00A202FB">
                    <w:pPr>
                      <w:spacing w:after="0"/>
                      <w:jc w:val="center"/>
                      <w:rPr>
                        <w:color w:val="000000"/>
                      </w:rPr>
                    </w:pPr>
                    <w:r w:rsidRPr="00A202FB">
                      <w:rPr>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57223" w14:textId="77777777" w:rsidR="00A202FB" w:rsidRDefault="00A20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27476"/>
    <w:multiLevelType w:val="hybridMultilevel"/>
    <w:tmpl w:val="0062FCE4"/>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6BE277B"/>
    <w:multiLevelType w:val="hybridMultilevel"/>
    <w:tmpl w:val="7D2A40B6"/>
    <w:lvl w:ilvl="0" w:tplc="D71AB76E">
      <w:start w:val="1"/>
      <w:numFmt w:val="bullet"/>
      <w:pStyle w:val="Table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C42A07"/>
    <w:multiLevelType w:val="hybridMultilevel"/>
    <w:tmpl w:val="A8C2C1A2"/>
    <w:lvl w:ilvl="0" w:tplc="5EF43A4A">
      <w:start w:val="1"/>
      <w:numFmt w:val="bullet"/>
      <w:pStyle w:val="Bullet2"/>
      <w:lvlText w:val=""/>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693896"/>
    <w:multiLevelType w:val="hybridMultilevel"/>
    <w:tmpl w:val="25487CA4"/>
    <w:lvl w:ilvl="0" w:tplc="B262E3E6">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44F2C1A"/>
    <w:multiLevelType w:val="hybridMultilevel"/>
    <w:tmpl w:val="5A4EB9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7727018"/>
    <w:multiLevelType w:val="hybridMultilevel"/>
    <w:tmpl w:val="D7B26DC8"/>
    <w:lvl w:ilvl="0" w:tplc="23607E76">
      <w:start w:val="1"/>
      <w:numFmt w:val="bullet"/>
      <w:pStyle w:val="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9A29F1"/>
    <w:multiLevelType w:val="hybridMultilevel"/>
    <w:tmpl w:val="7AEC1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200FB5"/>
    <w:multiLevelType w:val="hybridMultilevel"/>
    <w:tmpl w:val="738A05B4"/>
    <w:lvl w:ilvl="0" w:tplc="B262E3E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1546C2F"/>
    <w:multiLevelType w:val="hybridMultilevel"/>
    <w:tmpl w:val="1898F8C0"/>
    <w:lvl w:ilvl="0" w:tplc="6BA8646C">
      <w:start w:val="1"/>
      <w:numFmt w:val="decimal"/>
      <w:pStyle w:val="ListParagraph"/>
      <w:lvlText w:val="%1."/>
      <w:lvlJc w:val="left"/>
      <w:pPr>
        <w:ind w:left="369" w:hanging="369"/>
      </w:pPr>
      <w:rPr>
        <w:rFonts w:ascii="Arial" w:eastAsia="Arial" w:hAnsi="Arial" w:cs="Arial" w:hint="default"/>
        <w:color w:val="383834"/>
        <w:spacing w:val="-2"/>
        <w:w w:val="103"/>
        <w:sz w:val="20"/>
        <w:szCs w:val="20"/>
        <w:lang w:val="en-AU" w:eastAsia="en-US" w:bidi="ar-SA"/>
      </w:rPr>
    </w:lvl>
    <w:lvl w:ilvl="1" w:tplc="93AEFE8E">
      <w:numFmt w:val="bullet"/>
      <w:lvlText w:val="•"/>
      <w:lvlJc w:val="left"/>
      <w:pPr>
        <w:ind w:left="3078" w:hanging="369"/>
      </w:pPr>
      <w:rPr>
        <w:rFonts w:hint="default"/>
        <w:lang w:val="en-AU" w:eastAsia="en-US" w:bidi="ar-SA"/>
      </w:rPr>
    </w:lvl>
    <w:lvl w:ilvl="2" w:tplc="12D4977C">
      <w:numFmt w:val="bullet"/>
      <w:lvlText w:val="•"/>
      <w:lvlJc w:val="left"/>
      <w:pPr>
        <w:ind w:left="3976" w:hanging="369"/>
      </w:pPr>
      <w:rPr>
        <w:rFonts w:hint="default"/>
        <w:lang w:val="en-AU" w:eastAsia="en-US" w:bidi="ar-SA"/>
      </w:rPr>
    </w:lvl>
    <w:lvl w:ilvl="3" w:tplc="DF12600A">
      <w:numFmt w:val="bullet"/>
      <w:lvlText w:val="•"/>
      <w:lvlJc w:val="left"/>
      <w:pPr>
        <w:ind w:left="4875" w:hanging="369"/>
      </w:pPr>
      <w:rPr>
        <w:rFonts w:hint="default"/>
        <w:lang w:val="en-AU" w:eastAsia="en-US" w:bidi="ar-SA"/>
      </w:rPr>
    </w:lvl>
    <w:lvl w:ilvl="4" w:tplc="E3CA3F6E">
      <w:numFmt w:val="bullet"/>
      <w:lvlText w:val="•"/>
      <w:lvlJc w:val="left"/>
      <w:pPr>
        <w:ind w:left="5773" w:hanging="369"/>
      </w:pPr>
      <w:rPr>
        <w:rFonts w:hint="default"/>
        <w:lang w:val="en-AU" w:eastAsia="en-US" w:bidi="ar-SA"/>
      </w:rPr>
    </w:lvl>
    <w:lvl w:ilvl="5" w:tplc="CBBC68C0">
      <w:numFmt w:val="bullet"/>
      <w:lvlText w:val="•"/>
      <w:lvlJc w:val="left"/>
      <w:pPr>
        <w:ind w:left="6672" w:hanging="369"/>
      </w:pPr>
      <w:rPr>
        <w:rFonts w:hint="default"/>
        <w:lang w:val="en-AU" w:eastAsia="en-US" w:bidi="ar-SA"/>
      </w:rPr>
    </w:lvl>
    <w:lvl w:ilvl="6" w:tplc="E9A064E6">
      <w:numFmt w:val="bullet"/>
      <w:lvlText w:val="•"/>
      <w:lvlJc w:val="left"/>
      <w:pPr>
        <w:ind w:left="7570" w:hanging="369"/>
      </w:pPr>
      <w:rPr>
        <w:rFonts w:hint="default"/>
        <w:lang w:val="en-AU" w:eastAsia="en-US" w:bidi="ar-SA"/>
      </w:rPr>
    </w:lvl>
    <w:lvl w:ilvl="7" w:tplc="4A0AAF2E">
      <w:numFmt w:val="bullet"/>
      <w:lvlText w:val="•"/>
      <w:lvlJc w:val="left"/>
      <w:pPr>
        <w:ind w:left="8468" w:hanging="369"/>
      </w:pPr>
      <w:rPr>
        <w:rFonts w:hint="default"/>
        <w:lang w:val="en-AU" w:eastAsia="en-US" w:bidi="ar-SA"/>
      </w:rPr>
    </w:lvl>
    <w:lvl w:ilvl="8" w:tplc="0CD834B4">
      <w:numFmt w:val="bullet"/>
      <w:lvlText w:val="•"/>
      <w:lvlJc w:val="left"/>
      <w:pPr>
        <w:ind w:left="9367" w:hanging="369"/>
      </w:pPr>
      <w:rPr>
        <w:rFonts w:hint="default"/>
        <w:lang w:val="en-AU" w:eastAsia="en-US" w:bidi="ar-SA"/>
      </w:rPr>
    </w:lvl>
  </w:abstractNum>
  <w:num w:numId="1" w16cid:durableId="458107222">
    <w:abstractNumId w:val="1"/>
  </w:num>
  <w:num w:numId="2" w16cid:durableId="843327221">
    <w:abstractNumId w:val="6"/>
  </w:num>
  <w:num w:numId="3" w16cid:durableId="1514880518">
    <w:abstractNumId w:val="3"/>
  </w:num>
  <w:num w:numId="4" w16cid:durableId="1886679423">
    <w:abstractNumId w:val="7"/>
  </w:num>
  <w:num w:numId="5" w16cid:durableId="2000845456">
    <w:abstractNumId w:val="0"/>
  </w:num>
  <w:num w:numId="6" w16cid:durableId="680087548">
    <w:abstractNumId w:val="4"/>
  </w:num>
  <w:num w:numId="7" w16cid:durableId="685595345">
    <w:abstractNumId w:val="5"/>
  </w:num>
  <w:num w:numId="8" w16cid:durableId="1791776025">
    <w:abstractNumId w:val="2"/>
  </w:num>
  <w:num w:numId="9" w16cid:durableId="1545826562">
    <w:abstractNumId w:val="5"/>
  </w:num>
  <w:num w:numId="10" w16cid:durableId="520165754">
    <w:abstractNumId w:val="8"/>
  </w:num>
  <w:num w:numId="11" w16cid:durableId="47418498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0"/>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BDB"/>
    <w:rsid w:val="00002A39"/>
    <w:rsid w:val="000036CE"/>
    <w:rsid w:val="00013889"/>
    <w:rsid w:val="00017775"/>
    <w:rsid w:val="00030496"/>
    <w:rsid w:val="000357B3"/>
    <w:rsid w:val="000357C2"/>
    <w:rsid w:val="000419C6"/>
    <w:rsid w:val="00053101"/>
    <w:rsid w:val="000536A2"/>
    <w:rsid w:val="00081F1B"/>
    <w:rsid w:val="00087128"/>
    <w:rsid w:val="0009513B"/>
    <w:rsid w:val="00095A8B"/>
    <w:rsid w:val="000A1660"/>
    <w:rsid w:val="000B37D2"/>
    <w:rsid w:val="000B3D0A"/>
    <w:rsid w:val="000B47BF"/>
    <w:rsid w:val="000B5F85"/>
    <w:rsid w:val="000C72E5"/>
    <w:rsid w:val="00100DAC"/>
    <w:rsid w:val="00120CBC"/>
    <w:rsid w:val="001745B8"/>
    <w:rsid w:val="001748EF"/>
    <w:rsid w:val="00194343"/>
    <w:rsid w:val="001C600B"/>
    <w:rsid w:val="001D37F7"/>
    <w:rsid w:val="00203883"/>
    <w:rsid w:val="00210DDC"/>
    <w:rsid w:val="002275CB"/>
    <w:rsid w:val="00244113"/>
    <w:rsid w:val="00284955"/>
    <w:rsid w:val="00290BF9"/>
    <w:rsid w:val="00294AA3"/>
    <w:rsid w:val="002962D1"/>
    <w:rsid w:val="002A6DB1"/>
    <w:rsid w:val="002B6E14"/>
    <w:rsid w:val="002B7736"/>
    <w:rsid w:val="002B7DAA"/>
    <w:rsid w:val="002D2EC0"/>
    <w:rsid w:val="002F01A7"/>
    <w:rsid w:val="003029B8"/>
    <w:rsid w:val="003046E4"/>
    <w:rsid w:val="0031065A"/>
    <w:rsid w:val="00324BAD"/>
    <w:rsid w:val="0034186D"/>
    <w:rsid w:val="00343AFC"/>
    <w:rsid w:val="0035735A"/>
    <w:rsid w:val="00357A36"/>
    <w:rsid w:val="00362FBA"/>
    <w:rsid w:val="0037064F"/>
    <w:rsid w:val="00385B49"/>
    <w:rsid w:val="00395308"/>
    <w:rsid w:val="003A1138"/>
    <w:rsid w:val="003B2130"/>
    <w:rsid w:val="003D7499"/>
    <w:rsid w:val="003E5FEE"/>
    <w:rsid w:val="003E7F9F"/>
    <w:rsid w:val="003F4C53"/>
    <w:rsid w:val="00414294"/>
    <w:rsid w:val="00424007"/>
    <w:rsid w:val="0042767C"/>
    <w:rsid w:val="0043001E"/>
    <w:rsid w:val="00451405"/>
    <w:rsid w:val="00464890"/>
    <w:rsid w:val="00473AB1"/>
    <w:rsid w:val="004A15DF"/>
    <w:rsid w:val="004A7315"/>
    <w:rsid w:val="004D0B04"/>
    <w:rsid w:val="004D273C"/>
    <w:rsid w:val="004E1EBF"/>
    <w:rsid w:val="00506C69"/>
    <w:rsid w:val="0051277C"/>
    <w:rsid w:val="00517406"/>
    <w:rsid w:val="00523EB3"/>
    <w:rsid w:val="00561580"/>
    <w:rsid w:val="0058543D"/>
    <w:rsid w:val="005A4534"/>
    <w:rsid w:val="005D6262"/>
    <w:rsid w:val="005F0950"/>
    <w:rsid w:val="0061599A"/>
    <w:rsid w:val="00621A52"/>
    <w:rsid w:val="00633FA0"/>
    <w:rsid w:val="0063431F"/>
    <w:rsid w:val="00635700"/>
    <w:rsid w:val="0065327B"/>
    <w:rsid w:val="0066012B"/>
    <w:rsid w:val="00660A85"/>
    <w:rsid w:val="00661F70"/>
    <w:rsid w:val="00665417"/>
    <w:rsid w:val="00671B15"/>
    <w:rsid w:val="00681D94"/>
    <w:rsid w:val="00697076"/>
    <w:rsid w:val="006B34CD"/>
    <w:rsid w:val="006B61E2"/>
    <w:rsid w:val="006F595D"/>
    <w:rsid w:val="00701AC3"/>
    <w:rsid w:val="0073019A"/>
    <w:rsid w:val="007421EA"/>
    <w:rsid w:val="00763A9B"/>
    <w:rsid w:val="00783316"/>
    <w:rsid w:val="007C02A2"/>
    <w:rsid w:val="007C7A81"/>
    <w:rsid w:val="007D0491"/>
    <w:rsid w:val="007E1B64"/>
    <w:rsid w:val="007F66CB"/>
    <w:rsid w:val="00800403"/>
    <w:rsid w:val="008017B4"/>
    <w:rsid w:val="00804FD5"/>
    <w:rsid w:val="0082630D"/>
    <w:rsid w:val="00843667"/>
    <w:rsid w:val="008457D8"/>
    <w:rsid w:val="00847673"/>
    <w:rsid w:val="00870866"/>
    <w:rsid w:val="00875989"/>
    <w:rsid w:val="008B0697"/>
    <w:rsid w:val="008C7567"/>
    <w:rsid w:val="008D4664"/>
    <w:rsid w:val="008D63F5"/>
    <w:rsid w:val="008E1BD0"/>
    <w:rsid w:val="008E37CC"/>
    <w:rsid w:val="008F6A2B"/>
    <w:rsid w:val="00916CAD"/>
    <w:rsid w:val="009324DF"/>
    <w:rsid w:val="00934725"/>
    <w:rsid w:val="00947441"/>
    <w:rsid w:val="00953ED1"/>
    <w:rsid w:val="0096431C"/>
    <w:rsid w:val="009644BA"/>
    <w:rsid w:val="00983D55"/>
    <w:rsid w:val="009840A4"/>
    <w:rsid w:val="009A4B3D"/>
    <w:rsid w:val="009B221C"/>
    <w:rsid w:val="009B623F"/>
    <w:rsid w:val="009D5C0B"/>
    <w:rsid w:val="009D7457"/>
    <w:rsid w:val="009D76C8"/>
    <w:rsid w:val="009E2779"/>
    <w:rsid w:val="009F6ABD"/>
    <w:rsid w:val="00A0004C"/>
    <w:rsid w:val="00A05DF5"/>
    <w:rsid w:val="00A2008A"/>
    <w:rsid w:val="00A202FB"/>
    <w:rsid w:val="00A3754E"/>
    <w:rsid w:val="00A37580"/>
    <w:rsid w:val="00A43AEA"/>
    <w:rsid w:val="00A56D7C"/>
    <w:rsid w:val="00A822BD"/>
    <w:rsid w:val="00A84713"/>
    <w:rsid w:val="00AA7DA3"/>
    <w:rsid w:val="00AB2405"/>
    <w:rsid w:val="00AC4C53"/>
    <w:rsid w:val="00AC4E82"/>
    <w:rsid w:val="00AF2338"/>
    <w:rsid w:val="00AF334F"/>
    <w:rsid w:val="00B13EDC"/>
    <w:rsid w:val="00B20244"/>
    <w:rsid w:val="00B2145F"/>
    <w:rsid w:val="00B336E7"/>
    <w:rsid w:val="00B46E0D"/>
    <w:rsid w:val="00B65B0E"/>
    <w:rsid w:val="00B722AF"/>
    <w:rsid w:val="00B767D8"/>
    <w:rsid w:val="00BA2D59"/>
    <w:rsid w:val="00BA6C69"/>
    <w:rsid w:val="00BB20A0"/>
    <w:rsid w:val="00BB376F"/>
    <w:rsid w:val="00BB7A08"/>
    <w:rsid w:val="00BC2CFB"/>
    <w:rsid w:val="00BC7431"/>
    <w:rsid w:val="00BF2C1C"/>
    <w:rsid w:val="00BF324B"/>
    <w:rsid w:val="00C06465"/>
    <w:rsid w:val="00C1235C"/>
    <w:rsid w:val="00C14CC7"/>
    <w:rsid w:val="00C27B8C"/>
    <w:rsid w:val="00C37927"/>
    <w:rsid w:val="00C43612"/>
    <w:rsid w:val="00C50A27"/>
    <w:rsid w:val="00C56103"/>
    <w:rsid w:val="00C86C09"/>
    <w:rsid w:val="00CA7CCD"/>
    <w:rsid w:val="00CB1EF3"/>
    <w:rsid w:val="00CB6899"/>
    <w:rsid w:val="00CC13B6"/>
    <w:rsid w:val="00CC627D"/>
    <w:rsid w:val="00CE5AA8"/>
    <w:rsid w:val="00D036E4"/>
    <w:rsid w:val="00D22BD4"/>
    <w:rsid w:val="00D37097"/>
    <w:rsid w:val="00D377F9"/>
    <w:rsid w:val="00D406AA"/>
    <w:rsid w:val="00D53BB5"/>
    <w:rsid w:val="00D65BDB"/>
    <w:rsid w:val="00D81EEB"/>
    <w:rsid w:val="00D90745"/>
    <w:rsid w:val="00D93A0B"/>
    <w:rsid w:val="00D94A1A"/>
    <w:rsid w:val="00DD1882"/>
    <w:rsid w:val="00DD435A"/>
    <w:rsid w:val="00DD5E27"/>
    <w:rsid w:val="00DD77E3"/>
    <w:rsid w:val="00DE055F"/>
    <w:rsid w:val="00E117F9"/>
    <w:rsid w:val="00E47681"/>
    <w:rsid w:val="00E547D5"/>
    <w:rsid w:val="00E56313"/>
    <w:rsid w:val="00E67B6B"/>
    <w:rsid w:val="00E720F4"/>
    <w:rsid w:val="00EA23BE"/>
    <w:rsid w:val="00EA52AE"/>
    <w:rsid w:val="00EC7FF6"/>
    <w:rsid w:val="00F06168"/>
    <w:rsid w:val="00F45551"/>
    <w:rsid w:val="00F8396A"/>
    <w:rsid w:val="00F96D44"/>
    <w:rsid w:val="00FA6194"/>
    <w:rsid w:val="00FC1D6D"/>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268A21"/>
  <w15:chartTrackingRefBased/>
  <w15:docId w15:val="{76FA2716-79E7-D34E-8DA1-5E7182A5E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5A4534"/>
    <w:pPr>
      <w:suppressAutoHyphens/>
      <w:spacing w:after="280" w:line="276" w:lineRule="auto"/>
    </w:pPr>
    <w:rPr>
      <w:rFonts w:ascii="Arial" w:hAnsi="Arial" w:cs="Arial"/>
      <w:sz w:val="24"/>
      <w:szCs w:val="32"/>
      <w:lang w:eastAsia="en-US"/>
    </w:rPr>
  </w:style>
  <w:style w:type="paragraph" w:styleId="Heading1">
    <w:name w:val="heading 1"/>
    <w:basedOn w:val="Normal"/>
    <w:next w:val="Normal"/>
    <w:link w:val="Heading1Char"/>
    <w:uiPriority w:val="9"/>
    <w:qFormat/>
    <w:rsid w:val="005A4534"/>
    <w:pPr>
      <w:keepNext/>
      <w:keepLines/>
      <w:pageBreakBefore/>
      <w:spacing w:before="480"/>
      <w:outlineLvl w:val="0"/>
    </w:pPr>
    <w:rPr>
      <w:rFonts w:eastAsia="MS Gothic" w:cs="Times New Roman"/>
      <w:b/>
      <w:bCs/>
      <w:sz w:val="36"/>
    </w:rPr>
  </w:style>
  <w:style w:type="paragraph" w:styleId="Heading2">
    <w:name w:val="heading 2"/>
    <w:basedOn w:val="Normal"/>
    <w:next w:val="Normal"/>
    <w:link w:val="Heading2Char"/>
    <w:uiPriority w:val="9"/>
    <w:unhideWhenUsed/>
    <w:qFormat/>
    <w:rsid w:val="005A4534"/>
    <w:pPr>
      <w:keepNext/>
      <w:keepLines/>
      <w:spacing w:before="36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5A4534"/>
    <w:pPr>
      <w:keepNext/>
      <w:keepLines/>
      <w:spacing w:before="200"/>
      <w:outlineLvl w:val="2"/>
    </w:pPr>
    <w:rPr>
      <w:rFonts w:eastAsia="MS Gothic"/>
      <w:b/>
      <w:bCs/>
      <w:sz w:val="28"/>
    </w:rPr>
  </w:style>
  <w:style w:type="paragraph" w:styleId="Heading4">
    <w:name w:val="heading 4"/>
    <w:basedOn w:val="Normal"/>
    <w:next w:val="Normal"/>
    <w:link w:val="Heading4Char"/>
    <w:uiPriority w:val="9"/>
    <w:qFormat/>
    <w:rsid w:val="003029B8"/>
    <w:pPr>
      <w:keepNext/>
      <w:keepLines/>
      <w:spacing w:before="240" w:after="120"/>
      <w:outlineLvl w:val="3"/>
    </w:pPr>
    <w:rPr>
      <w:rFonts w:eastAsia="MS Gothic"/>
      <w:b/>
      <w:bCs/>
      <w:iCs/>
    </w:rPr>
  </w:style>
  <w:style w:type="paragraph" w:styleId="Heading5">
    <w:name w:val="heading 5"/>
    <w:basedOn w:val="Normal"/>
    <w:next w:val="Normal"/>
    <w:link w:val="Heading5Char"/>
    <w:uiPriority w:val="9"/>
    <w:qFormat/>
    <w:rsid w:val="00E56313"/>
    <w:pPr>
      <w:spacing w:before="240" w:after="60"/>
      <w:outlineLvl w:val="4"/>
    </w:pPr>
    <w:rPr>
      <w:rFonts w:cs="Times New Roman"/>
      <w:b/>
      <w:bCs/>
      <w:iCs/>
      <w:sz w:val="22"/>
      <w:szCs w:val="26"/>
    </w:rPr>
  </w:style>
  <w:style w:type="paragraph" w:styleId="Heading6">
    <w:name w:val="heading 6"/>
    <w:basedOn w:val="Normal"/>
    <w:next w:val="Normal"/>
    <w:link w:val="Heading6Char"/>
    <w:uiPriority w:val="9"/>
    <w:qFormat/>
    <w:rsid w:val="00E56313"/>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4534"/>
    <w:rPr>
      <w:rFonts w:ascii="Arial" w:eastAsia="MS Gothic" w:hAnsi="Arial"/>
      <w:b/>
      <w:bCs/>
      <w:sz w:val="36"/>
      <w:szCs w:val="32"/>
      <w:lang w:eastAsia="en-US"/>
    </w:rPr>
  </w:style>
  <w:style w:type="character" w:customStyle="1" w:styleId="Heading2Char">
    <w:name w:val="Heading 2 Char"/>
    <w:link w:val="Heading2"/>
    <w:uiPriority w:val="9"/>
    <w:rsid w:val="005A4534"/>
    <w:rPr>
      <w:rFonts w:ascii="Arial" w:eastAsia="MS Gothic" w:hAnsi="Arial"/>
      <w:b/>
      <w:bCs/>
      <w:sz w:val="32"/>
      <w:szCs w:val="26"/>
      <w:lang w:eastAsia="en-US"/>
    </w:rPr>
  </w:style>
  <w:style w:type="character" w:customStyle="1" w:styleId="Heading3Char">
    <w:name w:val="Heading 3 Char"/>
    <w:link w:val="Heading3"/>
    <w:uiPriority w:val="9"/>
    <w:rsid w:val="005A4534"/>
    <w:rPr>
      <w:rFonts w:ascii="Arial" w:eastAsia="MS Gothic" w:hAnsi="Arial" w:cs="Arial"/>
      <w:b/>
      <w:bCs/>
      <w:sz w:val="28"/>
      <w:szCs w:val="32"/>
      <w:lang w:eastAsia="en-US"/>
    </w:rPr>
  </w:style>
  <w:style w:type="character" w:customStyle="1" w:styleId="Heading4Char">
    <w:name w:val="Heading 4 Char"/>
    <w:link w:val="Heading4"/>
    <w:uiPriority w:val="9"/>
    <w:rsid w:val="003029B8"/>
    <w:rPr>
      <w:rFonts w:ascii="Arial" w:eastAsia="MS Gothic" w:hAnsi="Arial" w:cs="Arial"/>
      <w:b/>
      <w:bCs/>
      <w:iCs/>
      <w:spacing w:val="-4"/>
      <w:sz w:val="24"/>
      <w:szCs w:val="24"/>
      <w:lang w:val="en-US" w:eastAsia="en-US"/>
    </w:rPr>
  </w:style>
  <w:style w:type="character" w:customStyle="1" w:styleId="Heading5Char">
    <w:name w:val="Heading 5 Char"/>
    <w:link w:val="Heading5"/>
    <w:uiPriority w:val="9"/>
    <w:rsid w:val="00E56313"/>
    <w:rPr>
      <w:rFonts w:ascii="Arial" w:hAnsi="Arial"/>
      <w:b/>
      <w:bCs/>
      <w:iCs/>
      <w:spacing w:val="-4"/>
      <w:sz w:val="22"/>
      <w:szCs w:val="26"/>
    </w:rPr>
  </w:style>
  <w:style w:type="paragraph" w:styleId="TOCHeading">
    <w:name w:val="TOC Heading"/>
    <w:basedOn w:val="Heading1"/>
    <w:next w:val="Normal"/>
    <w:uiPriority w:val="39"/>
    <w:unhideWhenUsed/>
    <w:qFormat/>
    <w:rsid w:val="005A4534"/>
    <w:pPr>
      <w:pageBreakBefore w:val="0"/>
      <w:spacing w:line="360" w:lineRule="auto"/>
      <w:outlineLvl w:val="9"/>
    </w:pPr>
    <w:rPr>
      <w:sz w:val="32"/>
      <w:szCs w:val="28"/>
    </w:rPr>
  </w:style>
  <w:style w:type="paragraph" w:styleId="Title">
    <w:name w:val="Title"/>
    <w:basedOn w:val="Normal"/>
    <w:next w:val="Normal"/>
    <w:link w:val="TitleChar"/>
    <w:uiPriority w:val="10"/>
    <w:qFormat/>
    <w:rsid w:val="003029B8"/>
    <w:pPr>
      <w:spacing w:after="360"/>
      <w:contextualSpacing/>
    </w:pPr>
    <w:rPr>
      <w:rFonts w:eastAsia="MS Gothic"/>
      <w:b/>
      <w:spacing w:val="5"/>
      <w:kern w:val="28"/>
      <w:sz w:val="52"/>
      <w:szCs w:val="52"/>
    </w:rPr>
  </w:style>
  <w:style w:type="character" w:customStyle="1" w:styleId="TitleChar">
    <w:name w:val="Title Char"/>
    <w:link w:val="Title"/>
    <w:uiPriority w:val="10"/>
    <w:rsid w:val="003029B8"/>
    <w:rPr>
      <w:rFonts w:ascii="Arial" w:eastAsia="MS Gothic" w:hAnsi="Arial" w:cs="Arial"/>
      <w:b/>
      <w:spacing w:val="5"/>
      <w:kern w:val="28"/>
      <w:sz w:val="52"/>
      <w:szCs w:val="52"/>
      <w:lang w:val="en-US" w:eastAsia="en-US"/>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5A4534"/>
    <w:pPr>
      <w:numPr>
        <w:numId w:val="9"/>
      </w:numPr>
      <w:spacing w:after="140"/>
    </w:pPr>
  </w:style>
  <w:style w:type="table" w:styleId="TableGrid">
    <w:name w:val="Table Grid"/>
    <w:basedOn w:val="TableNormal"/>
    <w:uiPriority w:val="59"/>
    <w:rsid w:val="0084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5A4534"/>
    <w:pPr>
      <w:spacing w:after="140"/>
    </w:pPr>
  </w:style>
  <w:style w:type="paragraph" w:customStyle="1" w:styleId="TableHeading">
    <w:name w:val="Table Heading"/>
    <w:basedOn w:val="Normal"/>
    <w:qFormat/>
    <w:rsid w:val="003E5FEE"/>
    <w:rPr>
      <w:b/>
    </w:rPr>
  </w:style>
  <w:style w:type="paragraph" w:styleId="BalloonText">
    <w:name w:val="Balloon Text"/>
    <w:basedOn w:val="Normal"/>
    <w:link w:val="BalloonTextChar"/>
    <w:unhideWhenUsed/>
    <w:rsid w:val="00E47681"/>
    <w:rPr>
      <w:rFonts w:ascii="Lucida Grande" w:hAnsi="Lucida Grande" w:cs="Lucida Grande"/>
      <w:sz w:val="18"/>
      <w:szCs w:val="18"/>
    </w:rPr>
  </w:style>
  <w:style w:type="character" w:customStyle="1" w:styleId="BalloonTextChar">
    <w:name w:val="Balloon Text Char"/>
    <w:link w:val="BalloonText"/>
    <w:rsid w:val="00E47681"/>
    <w:rPr>
      <w:rFonts w:ascii="Lucida Grande" w:hAnsi="Lucida Grande" w:cs="Lucida Grande"/>
      <w:sz w:val="18"/>
      <w:szCs w:val="18"/>
      <w:lang w:val="en-US"/>
    </w:rPr>
  </w:style>
  <w:style w:type="character" w:styleId="Hyperlink">
    <w:name w:val="Hyperlink"/>
    <w:uiPriority w:val="99"/>
    <w:unhideWhenUsed/>
    <w:rsid w:val="005A4534"/>
    <w:rPr>
      <w:rFonts w:ascii="Arial" w:hAnsi="Arial"/>
      <w:color w:val="0000FF"/>
      <w:u w:val="single"/>
    </w:rPr>
  </w:style>
  <w:style w:type="paragraph" w:customStyle="1" w:styleId="GridTable31">
    <w:name w:val="Grid Table 31"/>
    <w:basedOn w:val="Heading1"/>
    <w:next w:val="Normal"/>
    <w:uiPriority w:val="39"/>
    <w:unhideWhenUsed/>
    <w:qFormat/>
    <w:rsid w:val="00E56313"/>
    <w:pPr>
      <w:spacing w:after="0"/>
      <w:outlineLvl w:val="9"/>
    </w:pPr>
    <w:rPr>
      <w:color w:val="365F91"/>
      <w:sz w:val="28"/>
      <w:szCs w:val="28"/>
    </w:rPr>
  </w:style>
  <w:style w:type="paragraph" w:styleId="FootnoteText">
    <w:name w:val="footnote text"/>
    <w:basedOn w:val="Normal"/>
    <w:link w:val="FootnoteTextChar"/>
    <w:uiPriority w:val="99"/>
    <w:unhideWhenUsed/>
    <w:rsid w:val="005A4534"/>
    <w:pPr>
      <w:spacing w:after="60"/>
    </w:pPr>
    <w:rPr>
      <w:sz w:val="20"/>
    </w:rPr>
  </w:style>
  <w:style w:type="character" w:customStyle="1" w:styleId="FootnoteTextChar">
    <w:name w:val="Footnote Text Char"/>
    <w:link w:val="FootnoteText"/>
    <w:uiPriority w:val="99"/>
    <w:rsid w:val="005A4534"/>
    <w:rPr>
      <w:rFonts w:ascii="Arial" w:hAnsi="Arial" w:cs="Arial"/>
      <w:szCs w:val="32"/>
      <w:lang w:eastAsia="en-US"/>
    </w:rPr>
  </w:style>
  <w:style w:type="paragraph" w:customStyle="1" w:styleId="TableBullet">
    <w:name w:val="Table Bullet"/>
    <w:basedOn w:val="TableCopy"/>
    <w:qFormat/>
    <w:rsid w:val="005A4534"/>
    <w:pPr>
      <w:numPr>
        <w:numId w:val="11"/>
      </w:numPr>
      <w:spacing w:before="60" w:after="60"/>
    </w:pPr>
    <w:rPr>
      <w:szCs w:val="22"/>
    </w:r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5A4534"/>
    <w:pPr>
      <w:spacing w:before="120" w:after="0"/>
    </w:pPr>
    <w:rPr>
      <w:b/>
    </w:rPr>
  </w:style>
  <w:style w:type="paragraph" w:styleId="TOC2">
    <w:name w:val="toc 2"/>
    <w:basedOn w:val="Normal"/>
    <w:next w:val="Normal"/>
    <w:autoRedefine/>
    <w:uiPriority w:val="39"/>
    <w:unhideWhenUsed/>
    <w:rsid w:val="005A4534"/>
    <w:pPr>
      <w:spacing w:after="0"/>
      <w:ind w:left="200"/>
    </w:pPr>
    <w:rPr>
      <w:szCs w:val="22"/>
    </w:rPr>
  </w:style>
  <w:style w:type="paragraph" w:styleId="TOC4">
    <w:name w:val="toc 4"/>
    <w:basedOn w:val="Normal"/>
    <w:next w:val="Normal"/>
    <w:autoRedefine/>
    <w:uiPriority w:val="39"/>
    <w:semiHidden/>
    <w:unhideWhenUsed/>
    <w:rsid w:val="0065327B"/>
    <w:pPr>
      <w:spacing w:after="0"/>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65327B"/>
    <w:pPr>
      <w:spacing w:after="0"/>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65327B"/>
    <w:pPr>
      <w:spacing w:after="0"/>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65327B"/>
    <w:pPr>
      <w:spacing w:after="0"/>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65327B"/>
    <w:pPr>
      <w:spacing w:after="0"/>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65327B"/>
    <w:pPr>
      <w:spacing w:after="0"/>
      <w:ind w:left="1920"/>
    </w:pPr>
    <w:rPr>
      <w:rFonts w:asciiTheme="minorHAnsi" w:hAnsiTheme="minorHAnsi" w:cstheme="minorHAnsi"/>
      <w:sz w:val="20"/>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3029B8"/>
    <w:pPr>
      <w:spacing w:after="360"/>
      <w:outlineLvl w:val="1"/>
    </w:pPr>
    <w:rPr>
      <w:rFonts w:eastAsia="Times New Roman" w:cs="Times New Roman"/>
      <w:sz w:val="36"/>
    </w:rPr>
  </w:style>
  <w:style w:type="character" w:customStyle="1" w:styleId="SubtitleChar">
    <w:name w:val="Subtitle Char"/>
    <w:link w:val="Subtitle"/>
    <w:uiPriority w:val="11"/>
    <w:rsid w:val="003029B8"/>
    <w:rPr>
      <w:rFonts w:ascii="Arial" w:eastAsia="Times New Roman" w:hAnsi="Arial"/>
      <w:sz w:val="36"/>
      <w:szCs w:val="24"/>
      <w:lang w:val="en-US" w:eastAsia="en-US"/>
    </w:rPr>
  </w:style>
  <w:style w:type="character" w:styleId="Emphasis">
    <w:name w:val="Emphasis"/>
    <w:uiPriority w:val="20"/>
    <w:qFormat/>
    <w:rsid w:val="00E56313"/>
    <w:rPr>
      <w:rFonts w:ascii="Arial" w:hAnsi="Arial"/>
      <w:i/>
      <w:iCs/>
    </w:rPr>
  </w:style>
  <w:style w:type="character" w:customStyle="1" w:styleId="PlainTable31">
    <w:name w:val="Plain Table 31"/>
    <w:uiPriority w:val="19"/>
    <w:qFormat/>
    <w:rsid w:val="00E56313"/>
    <w:rPr>
      <w:rFonts w:ascii="Arial" w:hAnsi="Arial"/>
      <w:i/>
      <w:iCs/>
      <w:color w:val="404040"/>
    </w:rPr>
  </w:style>
  <w:style w:type="character" w:customStyle="1" w:styleId="PlainTable41">
    <w:name w:val="Plain Table 41"/>
    <w:uiPriority w:val="21"/>
    <w:qFormat/>
    <w:rsid w:val="00E56313"/>
    <w:rPr>
      <w:rFonts w:ascii="Arial" w:hAnsi="Arial"/>
      <w:i/>
      <w:iCs/>
      <w:color w:val="5B9BD5"/>
    </w:rPr>
  </w:style>
  <w:style w:type="character" w:customStyle="1" w:styleId="PlainTable51">
    <w:name w:val="Plain Table 51"/>
    <w:uiPriority w:val="31"/>
    <w:qFormat/>
    <w:rsid w:val="00E56313"/>
    <w:rPr>
      <w:rFonts w:ascii="Arial" w:hAnsi="Arial"/>
      <w:smallCaps/>
      <w:color w:val="5A5A5A"/>
    </w:rPr>
  </w:style>
  <w:style w:type="character" w:customStyle="1" w:styleId="TableGridLight1">
    <w:name w:val="Table Grid Light1"/>
    <w:uiPriority w:val="32"/>
    <w:qFormat/>
    <w:rsid w:val="00E56313"/>
    <w:rPr>
      <w:rFonts w:ascii="Arial" w:hAnsi="Arial"/>
      <w:b/>
      <w:bCs/>
      <w:smallCaps/>
      <w:color w:val="5B9BD5"/>
      <w:spacing w:val="5"/>
    </w:rPr>
  </w:style>
  <w:style w:type="character" w:customStyle="1" w:styleId="GridTable1Light1">
    <w:name w:val="Grid Table 1 Light1"/>
    <w:uiPriority w:val="33"/>
    <w:qFormat/>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paragraph" w:styleId="TOC3">
    <w:name w:val="toc 3"/>
    <w:basedOn w:val="Normal"/>
    <w:next w:val="Normal"/>
    <w:uiPriority w:val="39"/>
    <w:unhideWhenUsed/>
    <w:rsid w:val="00244113"/>
    <w:pPr>
      <w:spacing w:after="60"/>
      <w:ind w:left="482"/>
    </w:pPr>
    <w:rPr>
      <w:rFonts w:asciiTheme="minorHAnsi" w:hAnsiTheme="minorHAnsi" w:cstheme="minorHAnsi"/>
      <w:szCs w:val="20"/>
    </w:rPr>
  </w:style>
  <w:style w:type="paragraph" w:styleId="ListParagraph">
    <w:name w:val="List Paragraph"/>
    <w:basedOn w:val="Normal"/>
    <w:link w:val="ListParagraphChar"/>
    <w:uiPriority w:val="34"/>
    <w:qFormat/>
    <w:rsid w:val="005A4534"/>
    <w:pPr>
      <w:numPr>
        <w:numId w:val="10"/>
      </w:numPr>
      <w:tabs>
        <w:tab w:val="left" w:pos="2180"/>
        <w:tab w:val="left" w:pos="2181"/>
      </w:tabs>
      <w:spacing w:after="140"/>
    </w:pPr>
    <w:rPr>
      <w:rFonts w:eastAsia="Times New Roman"/>
      <w:lang w:eastAsia="en-GB"/>
    </w:rPr>
  </w:style>
  <w:style w:type="paragraph" w:customStyle="1" w:styleId="Figuretitle">
    <w:name w:val="Figure title"/>
    <w:basedOn w:val="Normal"/>
    <w:qFormat/>
    <w:rsid w:val="00A3754E"/>
    <w:pPr>
      <w:spacing w:after="120" w:line="240" w:lineRule="auto"/>
    </w:pPr>
    <w:rPr>
      <w:rFonts w:ascii="Calibri" w:eastAsiaTheme="minorHAnsi" w:hAnsi="Calibri" w:cstheme="minorBidi"/>
      <w:b/>
      <w:color w:val="4472C4" w:themeColor="accent1"/>
      <w:sz w:val="18"/>
      <w:szCs w:val="18"/>
    </w:rPr>
  </w:style>
  <w:style w:type="character" w:customStyle="1" w:styleId="ListParagraphChar">
    <w:name w:val="List Paragraph Char"/>
    <w:basedOn w:val="DefaultParagraphFont"/>
    <w:link w:val="ListParagraph"/>
    <w:uiPriority w:val="34"/>
    <w:locked/>
    <w:rsid w:val="00A3754E"/>
    <w:rPr>
      <w:rFonts w:ascii="Arial" w:eastAsia="Times New Roman" w:hAnsi="Arial" w:cs="Arial"/>
      <w:sz w:val="24"/>
      <w:szCs w:val="32"/>
    </w:rPr>
  </w:style>
  <w:style w:type="table" w:customStyle="1" w:styleId="TableGrid4">
    <w:name w:val="Table Grid4"/>
    <w:basedOn w:val="TableNormal"/>
    <w:next w:val="TableGrid"/>
    <w:uiPriority w:val="39"/>
    <w:rsid w:val="0043001E"/>
    <w:rPr>
      <w:rFonts w:asciiTheme="minorHAnsi" w:eastAsiaTheme="minorHAnsi" w:hAnsiTheme="minorHAnsi" w:cstheme="minorBidi"/>
      <w:szCs w:val="24"/>
      <w:lang w:val="en-GB"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tcBorders>
          <w:insideH w:val="single" w:sz="4" w:space="0" w:color="FFFFFF"/>
          <w:insideV w:val="single" w:sz="4" w:space="0" w:color="FFFFFF"/>
        </w:tcBorders>
        <w:shd w:val="clear" w:color="auto" w:fill="AF272F"/>
      </w:tcPr>
    </w:tblStylePr>
    <w:tblStylePr w:type="firstCol">
      <w:rPr>
        <w:color w:val="AF272F"/>
      </w:rPr>
    </w:tblStylePr>
  </w:style>
  <w:style w:type="table" w:customStyle="1" w:styleId="TableGrid3">
    <w:name w:val="Table Grid3"/>
    <w:basedOn w:val="TableNormal"/>
    <w:next w:val="TableGrid"/>
    <w:uiPriority w:val="39"/>
    <w:rsid w:val="0043001E"/>
    <w:rPr>
      <w:rFonts w:asciiTheme="minorHAnsi" w:eastAsiaTheme="minorHAnsi" w:hAnsiTheme="minorHAnsi" w:cstheme="minorBidi"/>
      <w:szCs w:val="24"/>
      <w:lang w:val="en-GB"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tcBorders>
          <w:insideH w:val="single" w:sz="4" w:space="0" w:color="FFFFFF"/>
          <w:insideV w:val="single" w:sz="4" w:space="0" w:color="FFFFFF"/>
        </w:tcBorders>
        <w:shd w:val="clear" w:color="auto" w:fill="AF272F"/>
      </w:tcPr>
    </w:tblStylePr>
    <w:tblStylePr w:type="firstCol">
      <w:rPr>
        <w:color w:val="AF272F"/>
      </w:rPr>
    </w:tblStylePr>
  </w:style>
  <w:style w:type="table" w:customStyle="1" w:styleId="TableGrid5">
    <w:name w:val="Table Grid5"/>
    <w:basedOn w:val="TableNormal"/>
    <w:next w:val="TableGrid"/>
    <w:uiPriority w:val="39"/>
    <w:rsid w:val="0043001E"/>
    <w:rPr>
      <w:rFonts w:asciiTheme="minorHAnsi" w:eastAsiaTheme="minorHAnsi" w:hAnsiTheme="minorHAnsi" w:cstheme="minorBidi"/>
      <w:szCs w:val="24"/>
      <w:lang w:val="en-GB"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tcBorders>
          <w:insideH w:val="single" w:sz="4" w:space="0" w:color="FFFFFF"/>
          <w:insideV w:val="single" w:sz="4" w:space="0" w:color="FFFFFF"/>
        </w:tcBorders>
        <w:shd w:val="clear" w:color="auto" w:fill="AF272F"/>
      </w:tcPr>
    </w:tblStylePr>
    <w:tblStylePr w:type="firstCol">
      <w:rPr>
        <w:color w:val="AF272F"/>
      </w:rPr>
    </w:tblStylePr>
  </w:style>
  <w:style w:type="paragraph" w:customStyle="1" w:styleId="Bullet2">
    <w:name w:val="Bullet 2"/>
    <w:basedOn w:val="Bullet"/>
    <w:qFormat/>
    <w:rsid w:val="005A4534"/>
    <w:pPr>
      <w:numPr>
        <w:numId w:val="8"/>
      </w:numPr>
    </w:pPr>
  </w:style>
  <w:style w:type="paragraph" w:customStyle="1" w:styleId="Bulletlast">
    <w:name w:val="Bullet last"/>
    <w:basedOn w:val="Bullet"/>
    <w:qFormat/>
    <w:rsid w:val="005A4534"/>
    <w:pPr>
      <w:spacing w:after="280"/>
    </w:pPr>
  </w:style>
  <w:style w:type="paragraph" w:customStyle="1" w:styleId="Normalbeforebullets">
    <w:name w:val="Normal before bullets"/>
    <w:basedOn w:val="Normal"/>
    <w:qFormat/>
    <w:rsid w:val="005A4534"/>
    <w:pPr>
      <w:keepNext/>
      <w:spacing w:after="140"/>
    </w:pPr>
  </w:style>
  <w:style w:type="paragraph" w:customStyle="1" w:styleId="TableColumnHeading">
    <w:name w:val="Table Column Heading"/>
    <w:basedOn w:val="TableHeading"/>
    <w:qFormat/>
    <w:rsid w:val="005A4534"/>
    <w:pPr>
      <w:keepNext/>
      <w:spacing w:before="80" w:after="80"/>
    </w:pPr>
    <w:rPr>
      <w:szCs w:val="3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24395FE84AB9F4BA3F2DB8C0682F15A" ma:contentTypeVersion="29" ma:contentTypeDescription="DEDJTR Document" ma:contentTypeScope="" ma:versionID="93d766dc5c5a5d9110173654ddf0454d">
  <xsd:schema xmlns:xsd="http://www.w3.org/2001/XMLSchema" xmlns:xs="http://www.w3.org/2001/XMLSchema" xmlns:p="http://schemas.microsoft.com/office/2006/metadata/properties" xmlns:ns2="1970f3ff-c7c3-4b73-8f0c-0bc260d159f3" xmlns:ns3="3b4993c4-1e12-480f-8829-7529dfd7c42d" xmlns:ns4="4ae6eb50-8777-409e-ac69-0f23188bec30" targetNamespace="http://schemas.microsoft.com/office/2006/metadata/properties" ma:root="true" ma:fieldsID="940ab30f2cade75218006b5f21935d77" ns2:_="" ns3:_="" ns4:_="">
    <xsd:import namespace="1970f3ff-c7c3-4b73-8f0c-0bc260d159f3"/>
    <xsd:import namespace="3b4993c4-1e12-480f-8829-7529dfd7c42d"/>
    <xsd:import namespace="4ae6eb50-8777-409e-ac69-0f23188bec30"/>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3:SharedWithUsers" minOccurs="0"/>
                <xsd:element ref="ns3:SharedWithDetails"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993c4-1e12-480f-8829-7529dfd7c42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bd90f15-730d-4257-a8c4-3195608d5de6}" ma:internalName="TaxCatchAll" ma:showField="CatchAllData"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d90f15-730d-4257-a8c4-3195608d5de6}" ma:internalName="TaxCatchAllLabel" ma:readOnly="true" ma:showField="CatchAllDataLabel"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e6eb50-8777-409e-ac69-0f23188bec30"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CAF0E0-BC07-4DF3-A845-282FBA1D3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3b4993c4-1e12-480f-8829-7529dfd7c42d"/>
    <ds:schemaRef ds:uri="4ae6eb50-8777-409e-ac69-0f23188be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E1B939-16C1-5A4E-BD70-2ED2F1FCBF0B}">
  <ds:schemaRefs>
    <ds:schemaRef ds:uri="http://schemas.openxmlformats.org/officeDocument/2006/bibliography"/>
  </ds:schemaRefs>
</ds:datastoreItem>
</file>

<file path=customXml/itemProps3.xml><?xml version="1.0" encoding="utf-8"?>
<ds:datastoreItem xmlns:ds="http://schemas.openxmlformats.org/officeDocument/2006/customXml" ds:itemID="{C7AA975C-34E6-4D0C-B9BC-24BE10B4BC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1958</Words>
  <Characters>11166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Training Market Report: Half Year 2017</dc:title>
  <dc:subject/>
  <dc:creator>Microsoft Office User</dc:creator>
  <cp:keywords/>
  <dc:description/>
  <cp:lastModifiedBy>Susan Y Heale (DJSIR)</cp:lastModifiedBy>
  <cp:revision>20</cp:revision>
  <dcterms:created xsi:type="dcterms:W3CDTF">2023-10-30T05:56:00Z</dcterms:created>
  <dcterms:modified xsi:type="dcterms:W3CDTF">2023-11-09T21:23:00Z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2023-11-09T21:23:42Z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12b8290c-6a6d-41d3-abea-86f71ea728f5</vt:lpwstr>
  </property>
  <property fmtid="{D5CDD505-2E9C-101B-9397-08002B2CF9AE}" pid="8" name="MSIP_Label_d00a4df9-c942-4b09-b23a-6c1023f6de27_ContentBits">
    <vt:lpwstr>3</vt:lpwstr>
  </property>
</Properties>
</file>