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7A82" w14:textId="7AE9ED54" w:rsidR="00624A55" w:rsidRPr="00912189" w:rsidRDefault="00912189" w:rsidP="00624A55">
      <w:pPr>
        <w:pStyle w:val="Heading1"/>
      </w:pPr>
      <w:r w:rsidRPr="008B1996">
        <w:t>Disability Inclusion Implementation</w:t>
      </w:r>
    </w:p>
    <w:p w14:paraId="05B39715" w14:textId="09EC48E1" w:rsidR="00FD580D" w:rsidRPr="00F93238" w:rsidRDefault="00FD580D" w:rsidP="00624A55">
      <w:pPr>
        <w:pStyle w:val="Intro"/>
        <w:rPr>
          <w:sz w:val="24"/>
        </w:rPr>
      </w:pPr>
      <w:r w:rsidRPr="00296183">
        <w:rPr>
          <w:sz w:val="24"/>
        </w:rPr>
        <w:t>Disability Inclusion invests almost $1.6 billion in improving supports for students with disability in Victorian government schools.</w:t>
      </w:r>
    </w:p>
    <w:p w14:paraId="001526D0" w14:textId="77777777" w:rsidR="00A45EDB" w:rsidRPr="008B1996" w:rsidRDefault="00A45EDB" w:rsidP="00A45EDB">
      <w:pPr>
        <w:pStyle w:val="Heading2"/>
      </w:pPr>
      <w:bookmarkStart w:id="0" w:name="_Toc54877710"/>
      <w:r w:rsidRPr="008B1996">
        <w:t>Tiered funding model</w:t>
      </w:r>
    </w:p>
    <w:p w14:paraId="467E9CEE" w14:textId="77777777" w:rsidR="00A45EDB" w:rsidRPr="00EF78E4" w:rsidRDefault="00A45EDB" w:rsidP="00A45EDB">
      <w:pPr>
        <w:rPr>
          <w:sz w:val="24"/>
        </w:rPr>
      </w:pPr>
      <w:r w:rsidRPr="00EF78E4">
        <w:rPr>
          <w:sz w:val="24"/>
        </w:rPr>
        <w:t>A new tiered funding model is introducing additional funding to support students with disability.</w:t>
      </w:r>
    </w:p>
    <w:p w14:paraId="0257261D" w14:textId="647CB1FD" w:rsidR="00A45EDB" w:rsidRPr="00EF78E4" w:rsidRDefault="00A45EDB" w:rsidP="00A45EDB">
      <w:pPr>
        <w:rPr>
          <w:sz w:val="24"/>
        </w:rPr>
      </w:pPr>
      <w:r w:rsidRPr="00EF78E4">
        <w:rPr>
          <w:sz w:val="24"/>
        </w:rPr>
        <w:t>Tier 3: Student level funding (</w:t>
      </w:r>
      <w:r w:rsidR="00FB41F8">
        <w:rPr>
          <w:sz w:val="24"/>
        </w:rPr>
        <w:t xml:space="preserve">intensive and individualised support </w:t>
      </w:r>
      <w:r w:rsidRPr="00EF78E4">
        <w:rPr>
          <w:sz w:val="24"/>
        </w:rPr>
        <w:t>informed by Disability Inclusion Profile)</w:t>
      </w:r>
    </w:p>
    <w:p w14:paraId="645DEADE" w14:textId="04D92A14" w:rsidR="00A45EDB" w:rsidRPr="00EF78E4" w:rsidRDefault="00A45EDB" w:rsidP="00A45EDB">
      <w:pPr>
        <w:rPr>
          <w:sz w:val="24"/>
        </w:rPr>
      </w:pPr>
      <w:r w:rsidRPr="00EF78E4">
        <w:rPr>
          <w:sz w:val="24"/>
        </w:rPr>
        <w:t>Tier 2: School level funding</w:t>
      </w:r>
      <w:r w:rsidR="00FB41F8">
        <w:rPr>
          <w:sz w:val="24"/>
        </w:rPr>
        <w:t xml:space="preserve"> (additional targeted </w:t>
      </w:r>
      <w:r w:rsidR="00247247">
        <w:rPr>
          <w:sz w:val="24"/>
        </w:rPr>
        <w:t>support and capacity building)</w:t>
      </w:r>
    </w:p>
    <w:p w14:paraId="020839AB" w14:textId="1733E3B9" w:rsidR="00A45EDB" w:rsidRPr="00EF78E4" w:rsidRDefault="00A45EDB" w:rsidP="00A45EDB">
      <w:pPr>
        <w:rPr>
          <w:sz w:val="24"/>
        </w:rPr>
      </w:pPr>
      <w:r w:rsidRPr="00EF78E4">
        <w:rPr>
          <w:sz w:val="24"/>
        </w:rPr>
        <w:t>Tier 1: Core student learning funding</w:t>
      </w:r>
      <w:r w:rsidR="00247247">
        <w:rPr>
          <w:sz w:val="24"/>
        </w:rPr>
        <w:t xml:space="preserve"> (universal </w:t>
      </w:r>
      <w:r w:rsidR="00F963C1">
        <w:rPr>
          <w:sz w:val="24"/>
        </w:rPr>
        <w:t>support for all students)</w:t>
      </w:r>
    </w:p>
    <w:p w14:paraId="5C52CB94" w14:textId="6C77C176" w:rsidR="00A45EDB" w:rsidRPr="00EF78E4" w:rsidRDefault="00A45EDB" w:rsidP="00A45EDB">
      <w:pPr>
        <w:rPr>
          <w:sz w:val="24"/>
        </w:rPr>
      </w:pPr>
      <w:r w:rsidRPr="00EF78E4">
        <w:rPr>
          <w:sz w:val="24"/>
        </w:rPr>
        <w:t>Schools are using the new Tier 2 funding to recruit and train staff and to purchase resources to</w:t>
      </w:r>
      <w:r w:rsidR="00EF78E4" w:rsidRPr="00EF78E4">
        <w:rPr>
          <w:sz w:val="24"/>
        </w:rPr>
        <w:t xml:space="preserve"> </w:t>
      </w:r>
      <w:r w:rsidRPr="00EF78E4">
        <w:rPr>
          <w:sz w:val="24"/>
        </w:rPr>
        <w:t>strengthen supports for a broad range of students with disability.</w:t>
      </w:r>
    </w:p>
    <w:p w14:paraId="107049F1" w14:textId="7E1B4F90" w:rsidR="000D2EA2" w:rsidRDefault="00000000" w:rsidP="000D2EA2">
      <w:pPr>
        <w:rPr>
          <w:sz w:val="24"/>
        </w:rPr>
      </w:pPr>
      <w:hyperlink r:id="rId11" w:history="1">
        <w:r w:rsidR="00A45EDB" w:rsidRPr="00EF78E4">
          <w:rPr>
            <w:rStyle w:val="Hyperlink"/>
            <w:sz w:val="24"/>
          </w:rPr>
          <w:t>Find out more</w:t>
        </w:r>
      </w:hyperlink>
      <w:r w:rsidR="00A45EDB" w:rsidRPr="00EF78E4">
        <w:rPr>
          <w:sz w:val="24"/>
        </w:rPr>
        <w:t xml:space="preserve"> about how schools across Victoria are using this funding to support students </w:t>
      </w:r>
      <w:hyperlink r:id="rId12" w:history="1">
        <w:r w:rsidR="000D2EA2" w:rsidRPr="00EF78E4">
          <w:rPr>
            <w:rStyle w:val="Hyperlink"/>
            <w:sz w:val="24"/>
          </w:rPr>
          <w:t>Inclusive Education in Practice</w:t>
        </w:r>
      </w:hyperlink>
      <w:r w:rsidR="000D2EA2" w:rsidRPr="00EF78E4">
        <w:rPr>
          <w:sz w:val="24"/>
        </w:rPr>
        <w:t>.</w:t>
      </w:r>
    </w:p>
    <w:p w14:paraId="78C84BB5" w14:textId="090CEBCC" w:rsidR="002D72A5" w:rsidRPr="00EF78E4" w:rsidRDefault="002D72A5" w:rsidP="000D2EA2">
      <w:pPr>
        <w:rPr>
          <w:sz w:val="24"/>
        </w:rPr>
      </w:pPr>
      <w:r>
        <w:rPr>
          <w:sz w:val="24"/>
        </w:rPr>
        <w:t xml:space="preserve">Over 1,240 schools have transitioned to Disability Inclusion. </w:t>
      </w:r>
    </w:p>
    <w:p w14:paraId="37CB19A6" w14:textId="48B48CC5" w:rsidR="00FD580D" w:rsidRDefault="00FD580D" w:rsidP="00FD580D">
      <w:pPr>
        <w:rPr>
          <w:sz w:val="24"/>
        </w:rPr>
      </w:pPr>
      <w:r w:rsidRPr="00296183">
        <w:rPr>
          <w:sz w:val="24"/>
        </w:rPr>
        <w:t>“The difference for our</w:t>
      </w:r>
      <w:r>
        <w:rPr>
          <w:sz w:val="24"/>
        </w:rPr>
        <w:t xml:space="preserve"> </w:t>
      </w:r>
      <w:r w:rsidRPr="00296183">
        <w:rPr>
          <w:sz w:val="24"/>
        </w:rPr>
        <w:t>students that tier 2 funding</w:t>
      </w:r>
      <w:r>
        <w:rPr>
          <w:sz w:val="24"/>
        </w:rPr>
        <w:t xml:space="preserve"> </w:t>
      </w:r>
      <w:r w:rsidRPr="00296183">
        <w:rPr>
          <w:sz w:val="24"/>
        </w:rPr>
        <w:t>makes has been enormous.</w:t>
      </w:r>
      <w:r>
        <w:rPr>
          <w:sz w:val="24"/>
        </w:rPr>
        <w:t xml:space="preserve"> </w:t>
      </w:r>
      <w:r w:rsidRPr="00296183">
        <w:rPr>
          <w:sz w:val="24"/>
        </w:rPr>
        <w:t>We can reach more students</w:t>
      </w:r>
      <w:r>
        <w:rPr>
          <w:sz w:val="24"/>
        </w:rPr>
        <w:t xml:space="preserve"> </w:t>
      </w:r>
      <w:r w:rsidRPr="00296183">
        <w:rPr>
          <w:sz w:val="24"/>
        </w:rPr>
        <w:t>across the school and make</w:t>
      </w:r>
      <w:r>
        <w:rPr>
          <w:sz w:val="24"/>
        </w:rPr>
        <w:t xml:space="preserve"> </w:t>
      </w:r>
      <w:r w:rsidRPr="00296183">
        <w:rPr>
          <w:sz w:val="24"/>
        </w:rPr>
        <w:t>sure we’ve got adjustments</w:t>
      </w:r>
      <w:r>
        <w:rPr>
          <w:sz w:val="24"/>
        </w:rPr>
        <w:t xml:space="preserve"> </w:t>
      </w:r>
      <w:r w:rsidRPr="00296183">
        <w:rPr>
          <w:sz w:val="24"/>
        </w:rPr>
        <w:t>in place for all the students</w:t>
      </w:r>
      <w:r>
        <w:rPr>
          <w:sz w:val="24"/>
        </w:rPr>
        <w:t xml:space="preserve"> </w:t>
      </w:r>
      <w:r w:rsidRPr="00296183">
        <w:rPr>
          <w:sz w:val="24"/>
        </w:rPr>
        <w:t>that need it.” (P-8 principal)</w:t>
      </w:r>
    </w:p>
    <w:p w14:paraId="58EAC30E" w14:textId="77777777" w:rsidR="00B97E16" w:rsidRDefault="00B97E16" w:rsidP="00B97E16">
      <w:pPr>
        <w:pStyle w:val="Heading2"/>
      </w:pPr>
      <w:r>
        <w:t>Disability Inclusion Profiles</w:t>
      </w:r>
    </w:p>
    <w:p w14:paraId="5B4E210B" w14:textId="2369223D" w:rsidR="006A6099" w:rsidRPr="00EF78E4" w:rsidRDefault="00C95DA5" w:rsidP="00C95DA5">
      <w:pPr>
        <w:rPr>
          <w:sz w:val="24"/>
        </w:rPr>
      </w:pPr>
      <w:r w:rsidRPr="00EF78E4">
        <w:rPr>
          <w:sz w:val="24"/>
        </w:rPr>
        <w:t xml:space="preserve">The </w:t>
      </w:r>
      <w:hyperlink r:id="rId13" w:history="1">
        <w:r w:rsidRPr="00EF78E4">
          <w:rPr>
            <w:rStyle w:val="Hyperlink"/>
            <w:sz w:val="24"/>
          </w:rPr>
          <w:t>Disability Inclusion Profile</w:t>
        </w:r>
      </w:hyperlink>
      <w:r w:rsidRPr="00EF78E4">
        <w:rPr>
          <w:sz w:val="24"/>
        </w:rPr>
        <w:t xml:space="preserve"> is </w:t>
      </w:r>
      <w:r w:rsidR="006A6099" w:rsidRPr="00296183">
        <w:rPr>
          <w:sz w:val="24"/>
        </w:rPr>
        <w:t>developed by the key people who know the student best. These include</w:t>
      </w:r>
      <w:r w:rsidR="006A6099">
        <w:rPr>
          <w:sz w:val="24"/>
        </w:rPr>
        <w:t xml:space="preserve"> </w:t>
      </w:r>
      <w:r w:rsidR="006A6099" w:rsidRPr="00296183">
        <w:rPr>
          <w:sz w:val="24"/>
        </w:rPr>
        <w:t>the student’s family, school staff and the student themselves. An independent Disability Inclusion Facilitator completes the profile. The profile helps to identify a student’s strengths and goals. It identifies the educational adjustments that schools are making to help students with disability participate and learn.</w:t>
      </w:r>
    </w:p>
    <w:p w14:paraId="2631C401" w14:textId="27EE5572" w:rsidR="00C95DA5" w:rsidRDefault="00C95DA5" w:rsidP="00C95DA5">
      <w:pPr>
        <w:rPr>
          <w:sz w:val="24"/>
        </w:rPr>
      </w:pPr>
      <w:r w:rsidRPr="00EF78E4">
        <w:rPr>
          <w:sz w:val="24"/>
        </w:rPr>
        <w:t>School staff are reporting confidence that the profile will lead to better adjustments for students and that “building that big picture of a student through a strengths-based approach can be really powerful.”</w:t>
      </w:r>
    </w:p>
    <w:p w14:paraId="7D50B700" w14:textId="6370C233" w:rsidR="0021395F" w:rsidRPr="00EF78E4" w:rsidRDefault="0021395F" w:rsidP="00C95DA5">
      <w:pPr>
        <w:rPr>
          <w:sz w:val="24"/>
        </w:rPr>
      </w:pPr>
      <w:r>
        <w:rPr>
          <w:sz w:val="24"/>
        </w:rPr>
        <w:t xml:space="preserve">As of November 2023, </w:t>
      </w:r>
      <w:r w:rsidRPr="00F1177F">
        <w:rPr>
          <w:sz w:val="24"/>
        </w:rPr>
        <w:t xml:space="preserve">5,178 students </w:t>
      </w:r>
      <w:r>
        <w:rPr>
          <w:sz w:val="24"/>
        </w:rPr>
        <w:t xml:space="preserve">have </w:t>
      </w:r>
      <w:r w:rsidRPr="00F1177F">
        <w:rPr>
          <w:sz w:val="24"/>
        </w:rPr>
        <w:t xml:space="preserve">completed </w:t>
      </w:r>
      <w:r>
        <w:rPr>
          <w:sz w:val="24"/>
        </w:rPr>
        <w:t xml:space="preserve">a </w:t>
      </w:r>
      <w:r w:rsidRPr="00F1177F">
        <w:rPr>
          <w:sz w:val="24"/>
        </w:rPr>
        <w:t>profile meeting</w:t>
      </w:r>
      <w:r>
        <w:rPr>
          <w:sz w:val="24"/>
        </w:rPr>
        <w:t xml:space="preserve">. </w:t>
      </w:r>
    </w:p>
    <w:p w14:paraId="5E3923F1" w14:textId="3D6A229B" w:rsidR="00C95DA5" w:rsidRPr="00296183" w:rsidRDefault="006A6099" w:rsidP="00296183">
      <w:pPr>
        <w:autoSpaceDE w:val="0"/>
        <w:autoSpaceDN w:val="0"/>
        <w:adjustRightInd w:val="0"/>
        <w:spacing w:after="0"/>
        <w:rPr>
          <w:rFonts w:ascii="VIC-Bold" w:hAnsi="VIC-Bold" w:cs="VIC-Bold"/>
          <w:b/>
          <w:bCs/>
          <w:color w:val="00B3AA"/>
          <w:sz w:val="16"/>
          <w:szCs w:val="16"/>
          <w:lang w:val="en-AU"/>
        </w:rPr>
      </w:pPr>
      <w:r w:rsidRPr="00296183">
        <w:rPr>
          <w:sz w:val="24"/>
        </w:rPr>
        <w:t>“The profile has had amazing and positive feedback. It helps parents get a better understanding of what happens day to day in the classroom.”</w:t>
      </w:r>
      <w:r w:rsidRPr="00EF78E4" w:rsidDel="006A6099">
        <w:rPr>
          <w:sz w:val="24"/>
        </w:rPr>
        <w:t xml:space="preserve"> </w:t>
      </w:r>
      <w:r w:rsidR="00C95DA5" w:rsidRPr="00EF78E4">
        <w:rPr>
          <w:sz w:val="24"/>
        </w:rPr>
        <w:t>(primary school teacher)</w:t>
      </w:r>
    </w:p>
    <w:p w14:paraId="615FF2CC" w14:textId="77777777" w:rsidR="00446007" w:rsidRDefault="00446007" w:rsidP="00446007">
      <w:pPr>
        <w:pStyle w:val="Heading2"/>
      </w:pPr>
      <w:r w:rsidRPr="00F50F9F">
        <w:t>Student voice and family engagement</w:t>
      </w:r>
    </w:p>
    <w:p w14:paraId="1F4865F7" w14:textId="49C52AF1" w:rsidR="005B0947" w:rsidRPr="005B0947" w:rsidRDefault="005B0947" w:rsidP="005B0947">
      <w:pPr>
        <w:rPr>
          <w:sz w:val="24"/>
        </w:rPr>
      </w:pPr>
      <w:r w:rsidRPr="00296183">
        <w:rPr>
          <w:sz w:val="24"/>
        </w:rPr>
        <w:t xml:space="preserve">Visit </w:t>
      </w:r>
      <w:hyperlink r:id="rId14" w:history="1">
        <w:r w:rsidRPr="00296183">
          <w:rPr>
            <w:rStyle w:val="Hyperlink"/>
            <w:sz w:val="24"/>
          </w:rPr>
          <w:t>Student Voice and Disability Inclusion</w:t>
        </w:r>
      </w:hyperlink>
      <w:r w:rsidRPr="00296183">
        <w:rPr>
          <w:sz w:val="24"/>
        </w:rPr>
        <w:t xml:space="preserve"> for resources co-designed by students with disability.</w:t>
      </w:r>
    </w:p>
    <w:p w14:paraId="51ED763E" w14:textId="5C9C2B62" w:rsidR="005B0947" w:rsidRPr="005B0947" w:rsidRDefault="005B0947" w:rsidP="005B0947">
      <w:pPr>
        <w:rPr>
          <w:sz w:val="24"/>
        </w:rPr>
      </w:pPr>
      <w:proofErr w:type="gramStart"/>
      <w:r w:rsidRPr="00296183">
        <w:rPr>
          <w:sz w:val="24"/>
        </w:rPr>
        <w:lastRenderedPageBreak/>
        <w:t>”We've</w:t>
      </w:r>
      <w:proofErr w:type="gramEnd"/>
      <w:r w:rsidRPr="00296183">
        <w:rPr>
          <w:sz w:val="24"/>
        </w:rPr>
        <w:t xml:space="preserve"> co-designed a resource that will help you feel more comfortable and prepared coming into your profile meeting and give you prompts</w:t>
      </w:r>
      <w:r>
        <w:rPr>
          <w:sz w:val="24"/>
        </w:rPr>
        <w:t xml:space="preserve"> </w:t>
      </w:r>
      <w:r w:rsidRPr="00296183">
        <w:rPr>
          <w:sz w:val="24"/>
        </w:rPr>
        <w:t>to help your teachers know what kind of things you enjoy doing and what the best ways of learning are for you.” (student co-designer)</w:t>
      </w:r>
    </w:p>
    <w:p w14:paraId="5B1DC838" w14:textId="7BEA5365" w:rsidR="005B0947" w:rsidRPr="00EF78E4" w:rsidRDefault="005B0947" w:rsidP="005B0947">
      <w:pPr>
        <w:rPr>
          <w:sz w:val="24"/>
        </w:rPr>
      </w:pPr>
      <w:r w:rsidRPr="00296183">
        <w:rPr>
          <w:sz w:val="24"/>
        </w:rPr>
        <w:t>Over 94% of profile</w:t>
      </w:r>
      <w:r>
        <w:rPr>
          <w:sz w:val="24"/>
        </w:rPr>
        <w:t xml:space="preserve"> </w:t>
      </w:r>
      <w:r w:rsidRPr="00296183">
        <w:rPr>
          <w:sz w:val="24"/>
        </w:rPr>
        <w:t>meetings have incorporated</w:t>
      </w:r>
      <w:r>
        <w:rPr>
          <w:sz w:val="24"/>
        </w:rPr>
        <w:t xml:space="preserve"> </w:t>
      </w:r>
      <w:r w:rsidRPr="00296183">
        <w:rPr>
          <w:sz w:val="24"/>
        </w:rPr>
        <w:t>some form of student voice</w:t>
      </w:r>
      <w:r>
        <w:rPr>
          <w:sz w:val="24"/>
        </w:rPr>
        <w:t xml:space="preserve">. </w:t>
      </w:r>
    </w:p>
    <w:p w14:paraId="55132032" w14:textId="5AD72DE6" w:rsidR="008C41B5" w:rsidRPr="00EC3065" w:rsidRDefault="005B0947" w:rsidP="005B0947">
      <w:pPr>
        <w:rPr>
          <w:sz w:val="24"/>
        </w:rPr>
      </w:pPr>
      <w:r w:rsidRPr="00296183">
        <w:rPr>
          <w:sz w:val="24"/>
        </w:rPr>
        <w:t>“Now my child wants to go to school,</w:t>
      </w:r>
      <w:r>
        <w:rPr>
          <w:sz w:val="24"/>
        </w:rPr>
        <w:t xml:space="preserve"> </w:t>
      </w:r>
      <w:r w:rsidRPr="00296183">
        <w:rPr>
          <w:sz w:val="24"/>
        </w:rPr>
        <w:t>he wants to be part of it. The profile</w:t>
      </w:r>
      <w:r>
        <w:rPr>
          <w:sz w:val="24"/>
        </w:rPr>
        <w:t xml:space="preserve"> </w:t>
      </w:r>
      <w:r w:rsidRPr="00296183">
        <w:rPr>
          <w:sz w:val="24"/>
        </w:rPr>
        <w:t>has been huge for his participation.”</w:t>
      </w:r>
      <w:r w:rsidRPr="00EF78E4" w:rsidDel="005B0947">
        <w:rPr>
          <w:sz w:val="24"/>
        </w:rPr>
        <w:t xml:space="preserve"> </w:t>
      </w:r>
      <w:r w:rsidR="00415611" w:rsidRPr="00EF78E4">
        <w:rPr>
          <w:sz w:val="24"/>
        </w:rPr>
        <w:t>(parent of a student).</w:t>
      </w:r>
    </w:p>
    <w:p w14:paraId="0F1094DC" w14:textId="77777777" w:rsidR="00DF4845" w:rsidRDefault="00DF4845" w:rsidP="00DF4845">
      <w:pPr>
        <w:pStyle w:val="Heading2"/>
      </w:pPr>
      <w:r w:rsidRPr="00F50F9F">
        <w:t>Workforce Capability Building</w:t>
      </w:r>
    </w:p>
    <w:p w14:paraId="25DE70A1" w14:textId="5EE3310C" w:rsidR="00216FD6" w:rsidRPr="00EC3065" w:rsidRDefault="00B2371D" w:rsidP="00B2371D">
      <w:pPr>
        <w:rPr>
          <w:sz w:val="24"/>
        </w:rPr>
      </w:pPr>
      <w:r w:rsidRPr="00296183">
        <w:rPr>
          <w:sz w:val="24"/>
        </w:rPr>
        <w:t>Disability Inclusion aims to uplift the capability of every school to educate</w:t>
      </w:r>
      <w:r>
        <w:rPr>
          <w:sz w:val="24"/>
        </w:rPr>
        <w:t xml:space="preserve"> </w:t>
      </w:r>
      <w:r w:rsidRPr="00296183">
        <w:rPr>
          <w:sz w:val="24"/>
        </w:rPr>
        <w:t>students with disability and diverse learning needs. It introduces initiatives</w:t>
      </w:r>
      <w:r>
        <w:rPr>
          <w:sz w:val="24"/>
        </w:rPr>
        <w:t xml:space="preserve"> </w:t>
      </w:r>
      <w:r w:rsidRPr="00296183">
        <w:rPr>
          <w:sz w:val="24"/>
        </w:rPr>
        <w:t>that build knowledge and skills in inclusive education across the school</w:t>
      </w:r>
      <w:r>
        <w:rPr>
          <w:sz w:val="24"/>
        </w:rPr>
        <w:t xml:space="preserve"> </w:t>
      </w:r>
      <w:r w:rsidRPr="00296183">
        <w:rPr>
          <w:sz w:val="24"/>
        </w:rPr>
        <w:t xml:space="preserve">system. </w:t>
      </w:r>
      <w:r w:rsidR="00C354E1">
        <w:rPr>
          <w:sz w:val="24"/>
        </w:rPr>
        <w:t>These</w:t>
      </w:r>
      <w:r w:rsidR="009A6BEB">
        <w:rPr>
          <w:sz w:val="24"/>
        </w:rPr>
        <w:t xml:space="preserve"> include:</w:t>
      </w:r>
    </w:p>
    <w:p w14:paraId="759BD0FB" w14:textId="4CDD8A93" w:rsidR="00216FD6" w:rsidRPr="00EC3065" w:rsidRDefault="00000000" w:rsidP="00216FD6">
      <w:pPr>
        <w:rPr>
          <w:sz w:val="24"/>
        </w:rPr>
      </w:pPr>
      <w:hyperlink r:id="rId15" w:history="1">
        <w:r w:rsidR="00216FD6" w:rsidRPr="00EC3065">
          <w:rPr>
            <w:rStyle w:val="Hyperlink"/>
            <w:sz w:val="24"/>
          </w:rPr>
          <w:t>Inclusive Classrooms professional learning</w:t>
        </w:r>
      </w:hyperlink>
    </w:p>
    <w:p w14:paraId="75AD35A0" w14:textId="059EB4CF" w:rsidR="00216FD6" w:rsidRPr="00EC3065" w:rsidRDefault="00000000" w:rsidP="00216FD6">
      <w:pPr>
        <w:rPr>
          <w:sz w:val="24"/>
        </w:rPr>
      </w:pPr>
      <w:hyperlink r:id="rId16" w:history="1">
        <w:r w:rsidR="00216FD6" w:rsidRPr="00EC3065">
          <w:rPr>
            <w:rStyle w:val="Hyperlink"/>
            <w:sz w:val="24"/>
          </w:rPr>
          <w:t xml:space="preserve">Masters of Inclusive Education </w:t>
        </w:r>
        <w:r w:rsidR="00C97F73">
          <w:rPr>
            <w:rStyle w:val="Hyperlink"/>
            <w:sz w:val="24"/>
          </w:rPr>
          <w:t>p</w:t>
        </w:r>
        <w:r w:rsidR="00216FD6" w:rsidRPr="00EC3065">
          <w:rPr>
            <w:rStyle w:val="Hyperlink"/>
            <w:sz w:val="24"/>
          </w:rPr>
          <w:t>rogram</w:t>
        </w:r>
      </w:hyperlink>
    </w:p>
    <w:p w14:paraId="10EF327D" w14:textId="348B12DC" w:rsidR="00216FD6" w:rsidRPr="00EC3065" w:rsidRDefault="00000000" w:rsidP="00216FD6">
      <w:pPr>
        <w:rPr>
          <w:sz w:val="24"/>
        </w:rPr>
      </w:pPr>
      <w:hyperlink r:id="rId17" w:history="1">
        <w:r w:rsidR="00216FD6" w:rsidRPr="00EC3065">
          <w:rPr>
            <w:rStyle w:val="Hyperlink"/>
            <w:sz w:val="24"/>
          </w:rPr>
          <w:t>Graduate Certificate in Education (Learning Difficulties) program</w:t>
        </w:r>
      </w:hyperlink>
    </w:p>
    <w:p w14:paraId="08BCCD36" w14:textId="0D0FE8D4" w:rsidR="006C06AB" w:rsidRDefault="00000000" w:rsidP="000D6A7F">
      <w:pPr>
        <w:rPr>
          <w:rStyle w:val="Hyperlink"/>
          <w:sz w:val="24"/>
        </w:rPr>
      </w:pPr>
      <w:hyperlink r:id="rId18" w:history="1">
        <w:r w:rsidR="00216FD6" w:rsidRPr="00EC3065">
          <w:rPr>
            <w:rStyle w:val="Hyperlink"/>
            <w:sz w:val="24"/>
          </w:rPr>
          <w:t>Inclusion Outreach Coaching</w:t>
        </w:r>
      </w:hyperlink>
      <w:bookmarkStart w:id="1" w:name="_Hlk135235000"/>
    </w:p>
    <w:p w14:paraId="3663B374" w14:textId="2703500A" w:rsidR="001C32B2" w:rsidRPr="00296183" w:rsidRDefault="001C32B2" w:rsidP="001C32B2">
      <w:r w:rsidRPr="00296183">
        <w:rPr>
          <w:sz w:val="24"/>
        </w:rPr>
        <w:t>Inclusion Outreach Coaches assist schools to set up schoolwide systems, practices and data to sustain and strengthen inclusion over time. 46 coaches worked with schools in 2023. Another 25 coaches are starting in Term 1 2024.</w:t>
      </w:r>
    </w:p>
    <w:p w14:paraId="362B8CEA" w14:textId="0E214DEB" w:rsidR="00C97F73" w:rsidRDefault="00000000" w:rsidP="00C97F73">
      <w:pPr>
        <w:rPr>
          <w:rStyle w:val="Hyperlink"/>
          <w:sz w:val="24"/>
        </w:rPr>
      </w:pPr>
      <w:hyperlink r:id="rId19" w:history="1">
        <w:r w:rsidR="00C97F73" w:rsidRPr="00EC3065">
          <w:rPr>
            <w:rStyle w:val="Hyperlink"/>
            <w:sz w:val="24"/>
          </w:rPr>
          <w:t>Diverse Learners Hub</w:t>
        </w:r>
      </w:hyperlink>
    </w:p>
    <w:p w14:paraId="499DAEF7" w14:textId="565F5B76" w:rsidR="00AD42EA" w:rsidRPr="009449A5" w:rsidRDefault="009449A5" w:rsidP="00296183">
      <w:pPr>
        <w:spacing w:before="240"/>
        <w:rPr>
          <w:sz w:val="24"/>
        </w:rPr>
      </w:pPr>
      <w:r w:rsidRPr="00296183">
        <w:rPr>
          <w:sz w:val="24"/>
        </w:rPr>
        <w:t>The Diverse Learners Hub is a centre of excellence, providing evidence-based advice, information and resources to schools for meeting diverse learners’ needs. 165 schools have engaged in capability building in 2023.</w:t>
      </w:r>
    </w:p>
    <w:p w14:paraId="73DF275E" w14:textId="77777777" w:rsidR="000D6A7F" w:rsidRDefault="000D6A7F" w:rsidP="000D6A7F"/>
    <w:p w14:paraId="6D2322C8" w14:textId="23449A08" w:rsidR="006C06AB" w:rsidRPr="006C06AB" w:rsidRDefault="003D1E5B" w:rsidP="006C06AB">
      <w:pPr>
        <w:pStyle w:val="Heading3"/>
        <w:rPr>
          <w:color w:val="004C97" w:themeColor="accent2"/>
          <w:sz w:val="32"/>
          <w:szCs w:val="26"/>
        </w:rPr>
      </w:pPr>
      <w:r>
        <w:rPr>
          <w:color w:val="004C97" w:themeColor="accent2"/>
          <w:sz w:val="32"/>
          <w:szCs w:val="26"/>
        </w:rPr>
        <w:t xml:space="preserve">Progress of supporting initiatives </w:t>
      </w:r>
    </w:p>
    <w:bookmarkEnd w:id="1"/>
    <w:p w14:paraId="748EAD01" w14:textId="11D4A2CC" w:rsidR="00BD4878" w:rsidRPr="00EC3065" w:rsidRDefault="00BD4878" w:rsidP="00296183">
      <w:r w:rsidRPr="00EC3065">
        <w:rPr>
          <w:sz w:val="24"/>
        </w:rPr>
        <w:t>Implementation is on-track, with the 2022 independent evaluation reporting that school workforces understand and feel positively about Disability Inclusion. As of</w:t>
      </w:r>
      <w:r w:rsidR="005219B2">
        <w:rPr>
          <w:sz w:val="24"/>
        </w:rPr>
        <w:t xml:space="preserve"> November</w:t>
      </w:r>
      <w:r w:rsidRPr="00EC3065">
        <w:rPr>
          <w:sz w:val="24"/>
        </w:rPr>
        <w:t xml:space="preserve"> 2023:</w:t>
      </w:r>
    </w:p>
    <w:p w14:paraId="3EF1486C" w14:textId="02F5037E" w:rsidR="00004FF7" w:rsidRDefault="00004FF7" w:rsidP="00BD4878">
      <w:pPr>
        <w:pStyle w:val="ListParagraph"/>
        <w:numPr>
          <w:ilvl w:val="0"/>
          <w:numId w:val="18"/>
        </w:numPr>
        <w:rPr>
          <w:sz w:val="24"/>
          <w:szCs w:val="24"/>
        </w:rPr>
      </w:pPr>
      <w:r>
        <w:rPr>
          <w:sz w:val="24"/>
          <w:szCs w:val="24"/>
        </w:rPr>
        <w:t>246</w:t>
      </w:r>
      <w:r w:rsidRPr="00EC3065">
        <w:rPr>
          <w:sz w:val="24"/>
          <w:szCs w:val="24"/>
        </w:rPr>
        <w:t xml:space="preserve"> scholarships provided to teachers and regional </w:t>
      </w:r>
      <w:r>
        <w:rPr>
          <w:sz w:val="24"/>
          <w:szCs w:val="24"/>
        </w:rPr>
        <w:t>workforces</w:t>
      </w:r>
      <w:r w:rsidRPr="00EC3065">
        <w:rPr>
          <w:sz w:val="24"/>
          <w:szCs w:val="24"/>
        </w:rPr>
        <w:t xml:space="preserve"> for the Masters of Inclusive Education and Graduate Certificate Initiative</w:t>
      </w:r>
    </w:p>
    <w:p w14:paraId="0C939D6B" w14:textId="2F467D0E" w:rsidR="00004FF7" w:rsidRPr="00296183" w:rsidRDefault="00004FF7" w:rsidP="00004FF7">
      <w:pPr>
        <w:pStyle w:val="ListParagraph"/>
        <w:numPr>
          <w:ilvl w:val="0"/>
          <w:numId w:val="18"/>
        </w:numPr>
        <w:rPr>
          <w:sz w:val="24"/>
          <w:szCs w:val="24"/>
        </w:rPr>
      </w:pPr>
      <w:r>
        <w:rPr>
          <w:sz w:val="24"/>
          <w:szCs w:val="24"/>
        </w:rPr>
        <w:t>3,562</w:t>
      </w:r>
      <w:r w:rsidRPr="00EC3065">
        <w:rPr>
          <w:sz w:val="24"/>
          <w:szCs w:val="24"/>
        </w:rPr>
        <w:t xml:space="preserve"> enrolments in the Inclusive Classrooms professional learning program</w:t>
      </w:r>
    </w:p>
    <w:p w14:paraId="391C76DF" w14:textId="2DAEECF7" w:rsidR="00BD4878" w:rsidRPr="00004FF7" w:rsidRDefault="005E30EC" w:rsidP="00004FF7">
      <w:pPr>
        <w:pStyle w:val="ListParagraph"/>
        <w:numPr>
          <w:ilvl w:val="0"/>
          <w:numId w:val="18"/>
        </w:numPr>
      </w:pPr>
      <w:r>
        <w:rPr>
          <w:sz w:val="24"/>
          <w:szCs w:val="24"/>
        </w:rPr>
        <w:t>5,266</w:t>
      </w:r>
      <w:r w:rsidR="00BD4878" w:rsidRPr="00EC3065">
        <w:rPr>
          <w:sz w:val="24"/>
          <w:szCs w:val="24"/>
        </w:rPr>
        <w:t xml:space="preserve"> school staff have completed Disability Inclusion eLearn modules</w:t>
      </w:r>
    </w:p>
    <w:p w14:paraId="5FD71DF7" w14:textId="77777777" w:rsidR="000D6A7F" w:rsidRPr="000D6A7F" w:rsidRDefault="000D6A7F" w:rsidP="000D6A7F">
      <w:pPr>
        <w:pStyle w:val="Heading3"/>
        <w:rPr>
          <w:color w:val="004C97" w:themeColor="accent2"/>
          <w:sz w:val="32"/>
          <w:szCs w:val="26"/>
        </w:rPr>
      </w:pPr>
      <w:r w:rsidRPr="000D6A7F">
        <w:rPr>
          <w:color w:val="004C97" w:themeColor="accent2"/>
          <w:sz w:val="32"/>
          <w:szCs w:val="26"/>
        </w:rPr>
        <w:t>Stages of implementation</w:t>
      </w:r>
    </w:p>
    <w:p w14:paraId="5AA573FB" w14:textId="2AC58AF6" w:rsidR="000D6A7F" w:rsidRPr="00EC3065" w:rsidRDefault="000D6A7F" w:rsidP="000D6A7F">
      <w:pPr>
        <w:rPr>
          <w:sz w:val="24"/>
        </w:rPr>
      </w:pPr>
      <w:r w:rsidRPr="00EC3065">
        <w:rPr>
          <w:sz w:val="24"/>
        </w:rPr>
        <w:t xml:space="preserve">Disability Inclusion is being introduced </w:t>
      </w:r>
      <w:r w:rsidR="005260C8">
        <w:rPr>
          <w:sz w:val="24"/>
        </w:rPr>
        <w:t>in stages over five years. It</w:t>
      </w:r>
      <w:r w:rsidRPr="00EC3065">
        <w:rPr>
          <w:sz w:val="24"/>
        </w:rPr>
        <w:t xml:space="preserve"> will be implemented in all government schools in Victoria by 2025.</w:t>
      </w:r>
    </w:p>
    <w:p w14:paraId="185F4990" w14:textId="77777777" w:rsidR="000D6A7F" w:rsidRPr="00EC3065" w:rsidRDefault="000D6A7F" w:rsidP="000D6A7F">
      <w:pPr>
        <w:rPr>
          <w:sz w:val="24"/>
        </w:rPr>
      </w:pPr>
      <w:r w:rsidRPr="00EC3065">
        <w:rPr>
          <w:sz w:val="24"/>
        </w:rPr>
        <w:t>Year 1 (2021)</w:t>
      </w:r>
    </w:p>
    <w:p w14:paraId="1A95E9F0" w14:textId="77777777" w:rsidR="000D6A7F" w:rsidRPr="00EC3065" w:rsidRDefault="000D6A7F" w:rsidP="000D6A7F">
      <w:pPr>
        <w:pStyle w:val="ListParagraph"/>
        <w:numPr>
          <w:ilvl w:val="0"/>
          <w:numId w:val="19"/>
        </w:numPr>
        <w:rPr>
          <w:sz w:val="24"/>
          <w:szCs w:val="24"/>
        </w:rPr>
      </w:pPr>
      <w:r w:rsidRPr="00EC3065">
        <w:rPr>
          <w:sz w:val="24"/>
          <w:szCs w:val="24"/>
        </w:rPr>
        <w:t>Bayside Peninsula</w:t>
      </w:r>
    </w:p>
    <w:p w14:paraId="043C60C0" w14:textId="77777777" w:rsidR="000D6A7F" w:rsidRPr="00EC3065" w:rsidRDefault="000D6A7F" w:rsidP="000D6A7F">
      <w:pPr>
        <w:pStyle w:val="ListParagraph"/>
        <w:numPr>
          <w:ilvl w:val="0"/>
          <w:numId w:val="19"/>
        </w:numPr>
        <w:rPr>
          <w:sz w:val="24"/>
          <w:szCs w:val="24"/>
        </w:rPr>
      </w:pPr>
      <w:r w:rsidRPr="00EC3065">
        <w:rPr>
          <w:sz w:val="24"/>
          <w:szCs w:val="24"/>
        </w:rPr>
        <w:lastRenderedPageBreak/>
        <w:t>Barwon</w:t>
      </w:r>
    </w:p>
    <w:p w14:paraId="1B5860F2" w14:textId="77777777" w:rsidR="000D6A7F" w:rsidRPr="00EC3065" w:rsidRDefault="000D6A7F" w:rsidP="000D6A7F">
      <w:pPr>
        <w:pStyle w:val="ListParagraph"/>
        <w:numPr>
          <w:ilvl w:val="0"/>
          <w:numId w:val="19"/>
        </w:numPr>
        <w:rPr>
          <w:sz w:val="24"/>
          <w:szCs w:val="24"/>
        </w:rPr>
      </w:pPr>
      <w:r w:rsidRPr="00EC3065">
        <w:rPr>
          <w:sz w:val="24"/>
          <w:szCs w:val="24"/>
        </w:rPr>
        <w:t>Loddon Campaspe</w:t>
      </w:r>
    </w:p>
    <w:p w14:paraId="288BEA6C" w14:textId="77777777" w:rsidR="000D6A7F" w:rsidRPr="00EC3065" w:rsidRDefault="000D6A7F" w:rsidP="000D6A7F">
      <w:pPr>
        <w:pStyle w:val="ListParagraph"/>
        <w:numPr>
          <w:ilvl w:val="0"/>
          <w:numId w:val="19"/>
        </w:numPr>
        <w:rPr>
          <w:sz w:val="24"/>
          <w:szCs w:val="24"/>
        </w:rPr>
      </w:pPr>
      <w:r w:rsidRPr="00EC3065">
        <w:rPr>
          <w:sz w:val="24"/>
          <w:szCs w:val="24"/>
        </w:rPr>
        <w:t>Five supported inclusion schools</w:t>
      </w:r>
    </w:p>
    <w:p w14:paraId="1AAD0827" w14:textId="77777777" w:rsidR="000D6A7F" w:rsidRPr="00EC3065" w:rsidRDefault="000D6A7F" w:rsidP="000D6A7F">
      <w:pPr>
        <w:rPr>
          <w:sz w:val="24"/>
        </w:rPr>
      </w:pPr>
      <w:r w:rsidRPr="00EC3065">
        <w:rPr>
          <w:sz w:val="24"/>
        </w:rPr>
        <w:t>Year 2 (2022)</w:t>
      </w:r>
    </w:p>
    <w:p w14:paraId="7B1E8E9D" w14:textId="77777777" w:rsidR="000D6A7F" w:rsidRPr="00EC3065" w:rsidRDefault="000D6A7F" w:rsidP="000D6A7F">
      <w:pPr>
        <w:pStyle w:val="ListParagraph"/>
        <w:numPr>
          <w:ilvl w:val="0"/>
          <w:numId w:val="20"/>
        </w:numPr>
        <w:rPr>
          <w:sz w:val="24"/>
          <w:szCs w:val="24"/>
        </w:rPr>
      </w:pPr>
      <w:r w:rsidRPr="00EC3065">
        <w:rPr>
          <w:sz w:val="24"/>
          <w:szCs w:val="24"/>
        </w:rPr>
        <w:t>Outer Eastern Melbourne</w:t>
      </w:r>
    </w:p>
    <w:p w14:paraId="5E52240E" w14:textId="77777777" w:rsidR="000D6A7F" w:rsidRPr="00EC3065" w:rsidRDefault="000D6A7F" w:rsidP="000D6A7F">
      <w:pPr>
        <w:pStyle w:val="ListParagraph"/>
        <w:numPr>
          <w:ilvl w:val="0"/>
          <w:numId w:val="20"/>
        </w:numPr>
        <w:rPr>
          <w:sz w:val="24"/>
          <w:szCs w:val="24"/>
        </w:rPr>
      </w:pPr>
      <w:r w:rsidRPr="00EC3065">
        <w:rPr>
          <w:sz w:val="24"/>
          <w:szCs w:val="24"/>
        </w:rPr>
        <w:t>Central Highlands</w:t>
      </w:r>
    </w:p>
    <w:p w14:paraId="103E1337" w14:textId="77777777" w:rsidR="000D6A7F" w:rsidRPr="00EC3065" w:rsidRDefault="000D6A7F" w:rsidP="000D6A7F">
      <w:pPr>
        <w:pStyle w:val="ListParagraph"/>
        <w:numPr>
          <w:ilvl w:val="0"/>
          <w:numId w:val="20"/>
        </w:numPr>
        <w:rPr>
          <w:sz w:val="24"/>
          <w:szCs w:val="24"/>
        </w:rPr>
      </w:pPr>
      <w:r w:rsidRPr="00EC3065">
        <w:rPr>
          <w:sz w:val="24"/>
          <w:szCs w:val="24"/>
        </w:rPr>
        <w:t>Mallee</w:t>
      </w:r>
    </w:p>
    <w:p w14:paraId="3873EE90" w14:textId="77777777" w:rsidR="000D6A7F" w:rsidRPr="00EC3065" w:rsidRDefault="000D6A7F" w:rsidP="000D6A7F">
      <w:pPr>
        <w:pStyle w:val="ListParagraph"/>
        <w:numPr>
          <w:ilvl w:val="0"/>
          <w:numId w:val="20"/>
        </w:numPr>
        <w:rPr>
          <w:sz w:val="24"/>
          <w:szCs w:val="24"/>
        </w:rPr>
      </w:pPr>
      <w:r w:rsidRPr="00EC3065">
        <w:rPr>
          <w:sz w:val="24"/>
          <w:szCs w:val="24"/>
        </w:rPr>
        <w:t>Two supported inclusion schools</w:t>
      </w:r>
    </w:p>
    <w:p w14:paraId="5293CC06" w14:textId="7770C0ED" w:rsidR="000D6A7F" w:rsidRPr="00EC3065" w:rsidRDefault="000D6A7F" w:rsidP="000D6A7F">
      <w:pPr>
        <w:rPr>
          <w:sz w:val="24"/>
        </w:rPr>
      </w:pPr>
      <w:r w:rsidRPr="00EC3065">
        <w:rPr>
          <w:sz w:val="24"/>
        </w:rPr>
        <w:t xml:space="preserve">Year 3 (2023) </w:t>
      </w:r>
    </w:p>
    <w:p w14:paraId="0B06E77C" w14:textId="77777777" w:rsidR="000D6A7F" w:rsidRPr="00EC3065" w:rsidRDefault="000D6A7F" w:rsidP="000D6A7F">
      <w:pPr>
        <w:pStyle w:val="ListParagraph"/>
        <w:numPr>
          <w:ilvl w:val="0"/>
          <w:numId w:val="21"/>
        </w:numPr>
        <w:rPr>
          <w:sz w:val="24"/>
          <w:szCs w:val="24"/>
        </w:rPr>
      </w:pPr>
      <w:r w:rsidRPr="00EC3065">
        <w:rPr>
          <w:sz w:val="24"/>
          <w:szCs w:val="24"/>
        </w:rPr>
        <w:t>Inner Gippsland</w:t>
      </w:r>
    </w:p>
    <w:p w14:paraId="22EB49B4" w14:textId="77777777" w:rsidR="000D6A7F" w:rsidRPr="00EC3065" w:rsidRDefault="000D6A7F" w:rsidP="000D6A7F">
      <w:pPr>
        <w:pStyle w:val="ListParagraph"/>
        <w:numPr>
          <w:ilvl w:val="0"/>
          <w:numId w:val="21"/>
        </w:numPr>
        <w:rPr>
          <w:sz w:val="24"/>
          <w:szCs w:val="24"/>
        </w:rPr>
      </w:pPr>
      <w:r w:rsidRPr="00EC3065">
        <w:rPr>
          <w:sz w:val="24"/>
          <w:szCs w:val="24"/>
        </w:rPr>
        <w:t>Ovens Murray</w:t>
      </w:r>
    </w:p>
    <w:p w14:paraId="37774712" w14:textId="77777777" w:rsidR="000D6A7F" w:rsidRPr="00EC3065" w:rsidRDefault="000D6A7F" w:rsidP="000D6A7F">
      <w:pPr>
        <w:pStyle w:val="ListParagraph"/>
        <w:numPr>
          <w:ilvl w:val="0"/>
          <w:numId w:val="21"/>
        </w:numPr>
        <w:rPr>
          <w:sz w:val="24"/>
          <w:szCs w:val="24"/>
        </w:rPr>
      </w:pPr>
      <w:r w:rsidRPr="00EC3065">
        <w:rPr>
          <w:sz w:val="24"/>
          <w:szCs w:val="24"/>
        </w:rPr>
        <w:t>Western Melbourne</w:t>
      </w:r>
    </w:p>
    <w:p w14:paraId="75EE5EB8" w14:textId="77777777" w:rsidR="000D6A7F" w:rsidRPr="00EC3065" w:rsidRDefault="000D6A7F" w:rsidP="000D6A7F">
      <w:pPr>
        <w:pStyle w:val="ListParagraph"/>
        <w:numPr>
          <w:ilvl w:val="0"/>
          <w:numId w:val="21"/>
        </w:numPr>
        <w:rPr>
          <w:sz w:val="24"/>
          <w:szCs w:val="24"/>
        </w:rPr>
      </w:pPr>
      <w:r w:rsidRPr="00EC3065">
        <w:rPr>
          <w:sz w:val="24"/>
          <w:szCs w:val="24"/>
        </w:rPr>
        <w:t>Three supported inclusion schools</w:t>
      </w:r>
    </w:p>
    <w:p w14:paraId="54B4A93C" w14:textId="2EAC8FCB" w:rsidR="000D6A7F" w:rsidRPr="00EC3065" w:rsidRDefault="000D6A7F" w:rsidP="000D6A7F">
      <w:pPr>
        <w:rPr>
          <w:sz w:val="24"/>
        </w:rPr>
      </w:pPr>
      <w:r w:rsidRPr="00EC3065">
        <w:rPr>
          <w:sz w:val="24"/>
        </w:rPr>
        <w:t>Year 4 (2024)</w:t>
      </w:r>
      <w:r w:rsidR="005260C8" w:rsidRPr="005260C8">
        <w:rPr>
          <w:sz w:val="24"/>
        </w:rPr>
        <w:t xml:space="preserve"> </w:t>
      </w:r>
      <w:r w:rsidR="005260C8" w:rsidRPr="00EC3065">
        <w:rPr>
          <w:sz w:val="24"/>
        </w:rPr>
        <w:t>We are here</w:t>
      </w:r>
    </w:p>
    <w:p w14:paraId="31CD4E52" w14:textId="77777777" w:rsidR="000D6A7F" w:rsidRPr="00EC3065" w:rsidRDefault="000D6A7F" w:rsidP="000D6A7F">
      <w:pPr>
        <w:pStyle w:val="ListParagraph"/>
        <w:numPr>
          <w:ilvl w:val="0"/>
          <w:numId w:val="22"/>
        </w:numPr>
        <w:rPr>
          <w:sz w:val="24"/>
          <w:szCs w:val="24"/>
        </w:rPr>
      </w:pPr>
      <w:proofErr w:type="gramStart"/>
      <w:r w:rsidRPr="00EC3065">
        <w:rPr>
          <w:sz w:val="24"/>
          <w:szCs w:val="24"/>
        </w:rPr>
        <w:t>North Eastern</w:t>
      </w:r>
      <w:proofErr w:type="gramEnd"/>
      <w:r w:rsidRPr="00EC3065">
        <w:rPr>
          <w:sz w:val="24"/>
          <w:szCs w:val="24"/>
        </w:rPr>
        <w:t xml:space="preserve"> Melbourne</w:t>
      </w:r>
    </w:p>
    <w:p w14:paraId="2C426C5E" w14:textId="77777777" w:rsidR="000D6A7F" w:rsidRPr="00EC3065" w:rsidRDefault="000D6A7F" w:rsidP="000D6A7F">
      <w:pPr>
        <w:pStyle w:val="ListParagraph"/>
        <w:numPr>
          <w:ilvl w:val="0"/>
          <w:numId w:val="22"/>
        </w:numPr>
        <w:rPr>
          <w:sz w:val="24"/>
          <w:szCs w:val="24"/>
        </w:rPr>
      </w:pPr>
      <w:r w:rsidRPr="00EC3065">
        <w:rPr>
          <w:sz w:val="24"/>
          <w:szCs w:val="24"/>
        </w:rPr>
        <w:t>Southern Melbourne</w:t>
      </w:r>
    </w:p>
    <w:p w14:paraId="0B441E0E" w14:textId="77777777" w:rsidR="000D6A7F" w:rsidRPr="00EC3065" w:rsidRDefault="000D6A7F" w:rsidP="000D6A7F">
      <w:pPr>
        <w:pStyle w:val="ListParagraph"/>
        <w:numPr>
          <w:ilvl w:val="0"/>
          <w:numId w:val="22"/>
        </w:numPr>
        <w:rPr>
          <w:sz w:val="24"/>
          <w:szCs w:val="24"/>
        </w:rPr>
      </w:pPr>
      <w:r w:rsidRPr="00EC3065">
        <w:rPr>
          <w:sz w:val="24"/>
          <w:szCs w:val="24"/>
        </w:rPr>
        <w:t>Brimbank Melton</w:t>
      </w:r>
    </w:p>
    <w:p w14:paraId="4F41B2A3" w14:textId="77777777" w:rsidR="000D6A7F" w:rsidRPr="00EC3065" w:rsidRDefault="000D6A7F" w:rsidP="000D6A7F">
      <w:pPr>
        <w:pStyle w:val="ListParagraph"/>
        <w:numPr>
          <w:ilvl w:val="0"/>
          <w:numId w:val="22"/>
        </w:numPr>
        <w:rPr>
          <w:sz w:val="24"/>
          <w:szCs w:val="24"/>
        </w:rPr>
      </w:pPr>
      <w:r w:rsidRPr="00EC3065">
        <w:rPr>
          <w:sz w:val="24"/>
          <w:szCs w:val="24"/>
        </w:rPr>
        <w:t>Goulburn</w:t>
      </w:r>
    </w:p>
    <w:p w14:paraId="266EEFDB" w14:textId="77777777" w:rsidR="000D6A7F" w:rsidRPr="00EC3065" w:rsidRDefault="000D6A7F" w:rsidP="000D6A7F">
      <w:pPr>
        <w:rPr>
          <w:sz w:val="24"/>
        </w:rPr>
      </w:pPr>
      <w:r w:rsidRPr="00EC3065">
        <w:rPr>
          <w:sz w:val="24"/>
        </w:rPr>
        <w:t>Year 5 (2025)</w:t>
      </w:r>
    </w:p>
    <w:p w14:paraId="08F479D5" w14:textId="77777777" w:rsidR="000D6A7F" w:rsidRPr="00EC3065" w:rsidRDefault="000D6A7F" w:rsidP="000D6A7F">
      <w:pPr>
        <w:pStyle w:val="ListParagraph"/>
        <w:numPr>
          <w:ilvl w:val="0"/>
          <w:numId w:val="23"/>
        </w:numPr>
        <w:rPr>
          <w:sz w:val="24"/>
          <w:szCs w:val="24"/>
        </w:rPr>
      </w:pPr>
      <w:r w:rsidRPr="00EC3065">
        <w:rPr>
          <w:sz w:val="24"/>
          <w:szCs w:val="24"/>
        </w:rPr>
        <w:t>Hume Merri-bek</w:t>
      </w:r>
    </w:p>
    <w:p w14:paraId="25F2889E" w14:textId="08EF1B61" w:rsidR="000D6A7F" w:rsidRPr="00EC3065" w:rsidRDefault="000D6A7F" w:rsidP="000D6A7F">
      <w:pPr>
        <w:pStyle w:val="ListParagraph"/>
        <w:numPr>
          <w:ilvl w:val="0"/>
          <w:numId w:val="23"/>
        </w:numPr>
        <w:rPr>
          <w:sz w:val="24"/>
          <w:szCs w:val="24"/>
        </w:rPr>
      </w:pPr>
      <w:r w:rsidRPr="00EC3065">
        <w:rPr>
          <w:sz w:val="24"/>
          <w:szCs w:val="24"/>
        </w:rPr>
        <w:t>Outer Gippsland</w:t>
      </w:r>
    </w:p>
    <w:p w14:paraId="646FDDA1" w14:textId="77777777" w:rsidR="000D6A7F" w:rsidRPr="00EC3065" w:rsidRDefault="000D6A7F" w:rsidP="000D6A7F">
      <w:pPr>
        <w:pStyle w:val="ListParagraph"/>
        <w:numPr>
          <w:ilvl w:val="0"/>
          <w:numId w:val="23"/>
        </w:numPr>
        <w:rPr>
          <w:sz w:val="24"/>
          <w:szCs w:val="24"/>
        </w:rPr>
      </w:pPr>
      <w:r w:rsidRPr="00EC3065">
        <w:rPr>
          <w:sz w:val="24"/>
          <w:szCs w:val="24"/>
        </w:rPr>
        <w:t xml:space="preserve">Wimmera </w:t>
      </w:r>
      <w:proofErr w:type="gramStart"/>
      <w:r w:rsidRPr="00EC3065">
        <w:rPr>
          <w:sz w:val="24"/>
          <w:szCs w:val="24"/>
        </w:rPr>
        <w:t>South West</w:t>
      </w:r>
      <w:proofErr w:type="gramEnd"/>
    </w:p>
    <w:p w14:paraId="00443549" w14:textId="44256C5D" w:rsidR="00415611" w:rsidRDefault="000D6A7F" w:rsidP="00624A55">
      <w:pPr>
        <w:pStyle w:val="ListParagraph"/>
        <w:numPr>
          <w:ilvl w:val="0"/>
          <w:numId w:val="23"/>
        </w:numPr>
        <w:rPr>
          <w:sz w:val="24"/>
          <w:szCs w:val="24"/>
        </w:rPr>
      </w:pPr>
      <w:r w:rsidRPr="00EC3065">
        <w:rPr>
          <w:sz w:val="24"/>
          <w:szCs w:val="24"/>
        </w:rPr>
        <w:t>Inner Eastern Melbourne</w:t>
      </w:r>
      <w:bookmarkEnd w:id="0"/>
    </w:p>
    <w:p w14:paraId="42913314" w14:textId="05CBB77A" w:rsidR="00F67893" w:rsidRPr="00F67893" w:rsidRDefault="002A4A5A" w:rsidP="00F67893">
      <w:pPr>
        <w:rPr>
          <w:sz w:val="24"/>
        </w:rPr>
      </w:pPr>
      <w:r>
        <w:rPr>
          <w:sz w:val="24"/>
        </w:rPr>
        <w:t xml:space="preserve">Contact your school for additional information or </w:t>
      </w:r>
      <w:hyperlink r:id="rId20" w:history="1">
        <w:r w:rsidR="00070D43" w:rsidRPr="001623BD">
          <w:rPr>
            <w:rStyle w:val="Hyperlink"/>
            <w:sz w:val="24"/>
          </w:rPr>
          <w:t>disability.inclusion@education.vic.gov.au</w:t>
        </w:r>
      </w:hyperlink>
      <w:r w:rsidR="00070D43">
        <w:rPr>
          <w:sz w:val="24"/>
        </w:rPr>
        <w:t xml:space="preserve"> </w:t>
      </w:r>
    </w:p>
    <w:sectPr w:rsidR="00F67893" w:rsidRPr="00F67893" w:rsidSect="00D9091E">
      <w:headerReference w:type="even" r:id="rId21"/>
      <w:headerReference w:type="default" r:id="rId22"/>
      <w:footerReference w:type="even" r:id="rId23"/>
      <w:footerReference w:type="default" r:id="rId24"/>
      <w:headerReference w:type="first" r:id="rId25"/>
      <w:footerReference w:type="first" r:id="rId26"/>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EF89" w14:textId="77777777" w:rsidR="00F231F5" w:rsidRDefault="00F231F5" w:rsidP="003967DD">
      <w:pPr>
        <w:spacing w:after="0"/>
      </w:pPr>
      <w:r>
        <w:separator/>
      </w:r>
    </w:p>
  </w:endnote>
  <w:endnote w:type="continuationSeparator" w:id="0">
    <w:p w14:paraId="6FAFD018" w14:textId="77777777" w:rsidR="00F231F5" w:rsidRDefault="00F231F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VIC-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8413" w14:textId="77777777" w:rsidR="00BB6A1C" w:rsidRDefault="00BB6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E236"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E324B">
      <w:rPr>
        <w:rStyle w:val="PageNumber"/>
        <w:noProof/>
      </w:rPr>
      <w:t>3</w:t>
    </w:r>
    <w:r>
      <w:rPr>
        <w:rStyle w:val="PageNumber"/>
      </w:rPr>
      <w:fldChar w:fldCharType="end"/>
    </w:r>
  </w:p>
  <w:p w14:paraId="6E87F739" w14:textId="77777777" w:rsidR="00DA5F30" w:rsidRDefault="00DA5F30"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7676" w14:textId="77777777" w:rsidR="00BB6A1C" w:rsidRDefault="00BB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9DF9" w14:textId="77777777" w:rsidR="00F231F5" w:rsidRDefault="00F231F5" w:rsidP="003967DD">
      <w:pPr>
        <w:spacing w:after="0"/>
      </w:pPr>
      <w:r>
        <w:separator/>
      </w:r>
    </w:p>
  </w:footnote>
  <w:footnote w:type="continuationSeparator" w:id="0">
    <w:p w14:paraId="03419A16" w14:textId="77777777" w:rsidR="00F231F5" w:rsidRDefault="00F231F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5CF" w14:textId="77777777" w:rsidR="00BB6A1C" w:rsidRDefault="00BB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2070" w14:textId="77777777" w:rsidR="00DA5F30" w:rsidRDefault="000177B9" w:rsidP="00A63D55">
    <w:pPr>
      <w:pStyle w:val="Header"/>
      <w:tabs>
        <w:tab w:val="clear" w:pos="4513"/>
        <w:tab w:val="clear" w:pos="9026"/>
        <w:tab w:val="left" w:pos="1425"/>
      </w:tabs>
    </w:pPr>
    <w:r>
      <w:rPr>
        <w:noProof/>
      </w:rPr>
      <w:drawing>
        <wp:anchor distT="0" distB="0" distL="114300" distR="114300" simplePos="0" relativeHeight="251658240" behindDoc="1" locked="0" layoutInCell="1" allowOverlap="1" wp14:anchorId="3A3AAF23" wp14:editId="785D967F">
          <wp:simplePos x="0" y="0"/>
          <wp:positionH relativeFrom="page">
            <wp:posOffset>0</wp:posOffset>
          </wp:positionH>
          <wp:positionV relativeFrom="page">
            <wp:posOffset>6776</wp:posOffset>
          </wp:positionV>
          <wp:extent cx="7560000"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3E43" w14:textId="77777777" w:rsidR="00BB6A1C" w:rsidRDefault="00BB6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D25481"/>
    <w:multiLevelType w:val="hybridMultilevel"/>
    <w:tmpl w:val="2C86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22A91"/>
    <w:multiLevelType w:val="hybridMultilevel"/>
    <w:tmpl w:val="8E3C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4E6C3ED7"/>
    <w:multiLevelType w:val="hybridMultilevel"/>
    <w:tmpl w:val="E558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40639C"/>
    <w:multiLevelType w:val="hybridMultilevel"/>
    <w:tmpl w:val="5EB0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D7F26"/>
    <w:multiLevelType w:val="hybridMultilevel"/>
    <w:tmpl w:val="38B03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BA7656"/>
    <w:multiLevelType w:val="hybridMultilevel"/>
    <w:tmpl w:val="43884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0757198">
    <w:abstractNumId w:val="0"/>
  </w:num>
  <w:num w:numId="2" w16cid:durableId="988359668">
    <w:abstractNumId w:val="1"/>
  </w:num>
  <w:num w:numId="3" w16cid:durableId="1310595761">
    <w:abstractNumId w:val="2"/>
  </w:num>
  <w:num w:numId="4" w16cid:durableId="1361396185">
    <w:abstractNumId w:val="3"/>
  </w:num>
  <w:num w:numId="5" w16cid:durableId="718482910">
    <w:abstractNumId w:val="4"/>
  </w:num>
  <w:num w:numId="6" w16cid:durableId="852885965">
    <w:abstractNumId w:val="9"/>
  </w:num>
  <w:num w:numId="7" w16cid:durableId="909463973">
    <w:abstractNumId w:val="5"/>
  </w:num>
  <w:num w:numId="8" w16cid:durableId="446236620">
    <w:abstractNumId w:val="6"/>
  </w:num>
  <w:num w:numId="9" w16cid:durableId="466246704">
    <w:abstractNumId w:val="7"/>
  </w:num>
  <w:num w:numId="10" w16cid:durableId="357122448">
    <w:abstractNumId w:val="8"/>
  </w:num>
  <w:num w:numId="11" w16cid:durableId="707607262">
    <w:abstractNumId w:val="10"/>
  </w:num>
  <w:num w:numId="12" w16cid:durableId="813105286">
    <w:abstractNumId w:val="13"/>
  </w:num>
  <w:num w:numId="13" w16cid:durableId="2060784908">
    <w:abstractNumId w:val="17"/>
  </w:num>
  <w:num w:numId="14" w16cid:durableId="1529564590">
    <w:abstractNumId w:val="19"/>
  </w:num>
  <w:num w:numId="15" w16cid:durableId="1079713310">
    <w:abstractNumId w:val="12"/>
  </w:num>
  <w:num w:numId="16" w16cid:durableId="1341276707">
    <w:abstractNumId w:val="12"/>
    <w:lvlOverride w:ilvl="0">
      <w:startOverride w:val="1"/>
    </w:lvlOverride>
  </w:num>
  <w:num w:numId="17" w16cid:durableId="1387798012">
    <w:abstractNumId w:val="15"/>
  </w:num>
  <w:num w:numId="18" w16cid:durableId="1947074969">
    <w:abstractNumId w:val="14"/>
  </w:num>
  <w:num w:numId="19" w16cid:durableId="364987923">
    <w:abstractNumId w:val="18"/>
  </w:num>
  <w:num w:numId="20" w16cid:durableId="226766214">
    <w:abstractNumId w:val="21"/>
  </w:num>
  <w:num w:numId="21" w16cid:durableId="725564672">
    <w:abstractNumId w:val="16"/>
  </w:num>
  <w:num w:numId="22" w16cid:durableId="1804882258">
    <w:abstractNumId w:val="11"/>
  </w:num>
  <w:num w:numId="23" w16cid:durableId="45378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BB"/>
    <w:rsid w:val="00004FF7"/>
    <w:rsid w:val="00013339"/>
    <w:rsid w:val="000136A4"/>
    <w:rsid w:val="0001640E"/>
    <w:rsid w:val="000177B9"/>
    <w:rsid w:val="00035D06"/>
    <w:rsid w:val="00065195"/>
    <w:rsid w:val="0006773D"/>
    <w:rsid w:val="00070D43"/>
    <w:rsid w:val="00076B54"/>
    <w:rsid w:val="00083C9C"/>
    <w:rsid w:val="00087AA1"/>
    <w:rsid w:val="000A47D4"/>
    <w:rsid w:val="000B7A2B"/>
    <w:rsid w:val="000D2EA2"/>
    <w:rsid w:val="000D41DD"/>
    <w:rsid w:val="000D6A7F"/>
    <w:rsid w:val="00114ACA"/>
    <w:rsid w:val="00122369"/>
    <w:rsid w:val="00124D09"/>
    <w:rsid w:val="0012582C"/>
    <w:rsid w:val="00132D78"/>
    <w:rsid w:val="00141F23"/>
    <w:rsid w:val="001504D5"/>
    <w:rsid w:val="0018270D"/>
    <w:rsid w:val="001C32B2"/>
    <w:rsid w:val="001E2B4D"/>
    <w:rsid w:val="0020333C"/>
    <w:rsid w:val="00207499"/>
    <w:rsid w:val="002136D9"/>
    <w:rsid w:val="0021395F"/>
    <w:rsid w:val="00216FD6"/>
    <w:rsid w:val="002344F6"/>
    <w:rsid w:val="00247247"/>
    <w:rsid w:val="00286D3D"/>
    <w:rsid w:val="002959BB"/>
    <w:rsid w:val="00296183"/>
    <w:rsid w:val="002970D9"/>
    <w:rsid w:val="002A4A5A"/>
    <w:rsid w:val="002A4A96"/>
    <w:rsid w:val="002C45AB"/>
    <w:rsid w:val="002D72A5"/>
    <w:rsid w:val="002E3BED"/>
    <w:rsid w:val="00310E2A"/>
    <w:rsid w:val="00312720"/>
    <w:rsid w:val="00323DD1"/>
    <w:rsid w:val="00343D7F"/>
    <w:rsid w:val="00370CA2"/>
    <w:rsid w:val="00376828"/>
    <w:rsid w:val="003957B1"/>
    <w:rsid w:val="003967DD"/>
    <w:rsid w:val="00397444"/>
    <w:rsid w:val="003D1E5B"/>
    <w:rsid w:val="00401C31"/>
    <w:rsid w:val="00415611"/>
    <w:rsid w:val="00415BD3"/>
    <w:rsid w:val="00420768"/>
    <w:rsid w:val="00446007"/>
    <w:rsid w:val="00451111"/>
    <w:rsid w:val="0045446B"/>
    <w:rsid w:val="00482401"/>
    <w:rsid w:val="0049589E"/>
    <w:rsid w:val="004A3A6A"/>
    <w:rsid w:val="00507148"/>
    <w:rsid w:val="005219B2"/>
    <w:rsid w:val="005260C8"/>
    <w:rsid w:val="00584366"/>
    <w:rsid w:val="005B0947"/>
    <w:rsid w:val="005C57E7"/>
    <w:rsid w:val="005C62E8"/>
    <w:rsid w:val="005D63C3"/>
    <w:rsid w:val="005E30EC"/>
    <w:rsid w:val="00624A55"/>
    <w:rsid w:val="006321C3"/>
    <w:rsid w:val="00635C65"/>
    <w:rsid w:val="006621B2"/>
    <w:rsid w:val="00685432"/>
    <w:rsid w:val="006A25AC"/>
    <w:rsid w:val="006A29C4"/>
    <w:rsid w:val="006A6099"/>
    <w:rsid w:val="006C06AB"/>
    <w:rsid w:val="00713093"/>
    <w:rsid w:val="00727A11"/>
    <w:rsid w:val="0073270D"/>
    <w:rsid w:val="00736FB0"/>
    <w:rsid w:val="00744E46"/>
    <w:rsid w:val="00770CE4"/>
    <w:rsid w:val="007A131C"/>
    <w:rsid w:val="007A5F49"/>
    <w:rsid w:val="007B556E"/>
    <w:rsid w:val="007B5834"/>
    <w:rsid w:val="007D1E86"/>
    <w:rsid w:val="007D1FB1"/>
    <w:rsid w:val="007D3E38"/>
    <w:rsid w:val="007F2207"/>
    <w:rsid w:val="00810492"/>
    <w:rsid w:val="0087456B"/>
    <w:rsid w:val="0087747E"/>
    <w:rsid w:val="0089606B"/>
    <w:rsid w:val="008C41B5"/>
    <w:rsid w:val="008C6C2E"/>
    <w:rsid w:val="008C78AF"/>
    <w:rsid w:val="008D5C8A"/>
    <w:rsid w:val="008F494F"/>
    <w:rsid w:val="009101FB"/>
    <w:rsid w:val="00910E98"/>
    <w:rsid w:val="00912189"/>
    <w:rsid w:val="009449A5"/>
    <w:rsid w:val="009456ED"/>
    <w:rsid w:val="00955390"/>
    <w:rsid w:val="00973E84"/>
    <w:rsid w:val="009A0367"/>
    <w:rsid w:val="009A6BEB"/>
    <w:rsid w:val="00A31926"/>
    <w:rsid w:val="00A45EDB"/>
    <w:rsid w:val="00A54A0B"/>
    <w:rsid w:val="00A619D6"/>
    <w:rsid w:val="00A63D55"/>
    <w:rsid w:val="00A724F4"/>
    <w:rsid w:val="00AD42EA"/>
    <w:rsid w:val="00AD7516"/>
    <w:rsid w:val="00AE324B"/>
    <w:rsid w:val="00B009FB"/>
    <w:rsid w:val="00B04CD2"/>
    <w:rsid w:val="00B0601D"/>
    <w:rsid w:val="00B12B63"/>
    <w:rsid w:val="00B211E6"/>
    <w:rsid w:val="00B2371D"/>
    <w:rsid w:val="00B30C5C"/>
    <w:rsid w:val="00B476BA"/>
    <w:rsid w:val="00B70EE2"/>
    <w:rsid w:val="00B76BB1"/>
    <w:rsid w:val="00B97E16"/>
    <w:rsid w:val="00BB6A1C"/>
    <w:rsid w:val="00BD4878"/>
    <w:rsid w:val="00BE63CA"/>
    <w:rsid w:val="00C354E1"/>
    <w:rsid w:val="00C41571"/>
    <w:rsid w:val="00C470AB"/>
    <w:rsid w:val="00C95DA5"/>
    <w:rsid w:val="00C97F73"/>
    <w:rsid w:val="00CC3AB6"/>
    <w:rsid w:val="00CC6433"/>
    <w:rsid w:val="00CE16AC"/>
    <w:rsid w:val="00D013E1"/>
    <w:rsid w:val="00D252AE"/>
    <w:rsid w:val="00D6567D"/>
    <w:rsid w:val="00D65FD9"/>
    <w:rsid w:val="00D9091E"/>
    <w:rsid w:val="00DA3218"/>
    <w:rsid w:val="00DA5F30"/>
    <w:rsid w:val="00DB416E"/>
    <w:rsid w:val="00DD3F70"/>
    <w:rsid w:val="00DE511D"/>
    <w:rsid w:val="00DF0F4B"/>
    <w:rsid w:val="00DF2003"/>
    <w:rsid w:val="00DF2273"/>
    <w:rsid w:val="00DF3442"/>
    <w:rsid w:val="00DF4845"/>
    <w:rsid w:val="00E01071"/>
    <w:rsid w:val="00E03CE0"/>
    <w:rsid w:val="00E60B5E"/>
    <w:rsid w:val="00EA2BE3"/>
    <w:rsid w:val="00EB027C"/>
    <w:rsid w:val="00EB4033"/>
    <w:rsid w:val="00EC3065"/>
    <w:rsid w:val="00EC6651"/>
    <w:rsid w:val="00ED765D"/>
    <w:rsid w:val="00EF78E4"/>
    <w:rsid w:val="00F16334"/>
    <w:rsid w:val="00F231F5"/>
    <w:rsid w:val="00F671C1"/>
    <w:rsid w:val="00F67893"/>
    <w:rsid w:val="00F81500"/>
    <w:rsid w:val="00F93238"/>
    <w:rsid w:val="00F963C1"/>
    <w:rsid w:val="00FB29F4"/>
    <w:rsid w:val="00FB41F8"/>
    <w:rsid w:val="00FD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DA2A"/>
  <w14:defaultImageDpi w14:val="32767"/>
  <w15:chartTrackingRefBased/>
  <w15:docId w15:val="{E7B272BA-CBD8-4022-A8EB-B856B68B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ListParagraph">
    <w:name w:val="List Paragraph"/>
    <w:basedOn w:val="Normal"/>
    <w:uiPriority w:val="34"/>
    <w:qFormat/>
    <w:rsid w:val="00BD4878"/>
    <w:pPr>
      <w:spacing w:after="160" w:line="259" w:lineRule="auto"/>
      <w:ind w:left="720"/>
      <w:contextualSpacing/>
    </w:pPr>
    <w:rPr>
      <w:szCs w:val="22"/>
      <w:lang w:val="en-AU"/>
    </w:rPr>
  </w:style>
  <w:style w:type="paragraph" w:styleId="Revision">
    <w:name w:val="Revision"/>
    <w:hidden/>
    <w:uiPriority w:val="99"/>
    <w:semiHidden/>
    <w:rsid w:val="00E60B5E"/>
    <w:rPr>
      <w:sz w:val="22"/>
    </w:rPr>
  </w:style>
  <w:style w:type="character" w:styleId="CommentReference">
    <w:name w:val="annotation reference"/>
    <w:basedOn w:val="DefaultParagraphFont"/>
    <w:uiPriority w:val="99"/>
    <w:semiHidden/>
    <w:unhideWhenUsed/>
    <w:rsid w:val="00C41571"/>
    <w:rPr>
      <w:sz w:val="16"/>
      <w:szCs w:val="16"/>
    </w:rPr>
  </w:style>
  <w:style w:type="paragraph" w:styleId="CommentText">
    <w:name w:val="annotation text"/>
    <w:basedOn w:val="Normal"/>
    <w:link w:val="CommentTextChar"/>
    <w:uiPriority w:val="99"/>
    <w:unhideWhenUsed/>
    <w:rsid w:val="00C41571"/>
    <w:rPr>
      <w:sz w:val="20"/>
      <w:szCs w:val="20"/>
    </w:rPr>
  </w:style>
  <w:style w:type="character" w:customStyle="1" w:styleId="CommentTextChar">
    <w:name w:val="Comment Text Char"/>
    <w:basedOn w:val="DefaultParagraphFont"/>
    <w:link w:val="CommentText"/>
    <w:uiPriority w:val="99"/>
    <w:rsid w:val="00C41571"/>
    <w:rPr>
      <w:sz w:val="20"/>
      <w:szCs w:val="20"/>
    </w:rPr>
  </w:style>
  <w:style w:type="paragraph" w:styleId="CommentSubject">
    <w:name w:val="annotation subject"/>
    <w:basedOn w:val="CommentText"/>
    <w:next w:val="CommentText"/>
    <w:link w:val="CommentSubjectChar"/>
    <w:uiPriority w:val="99"/>
    <w:semiHidden/>
    <w:unhideWhenUsed/>
    <w:rsid w:val="00C41571"/>
    <w:rPr>
      <w:b/>
      <w:bCs/>
    </w:rPr>
  </w:style>
  <w:style w:type="character" w:customStyle="1" w:styleId="CommentSubjectChar">
    <w:name w:val="Comment Subject Char"/>
    <w:basedOn w:val="CommentTextChar"/>
    <w:link w:val="CommentSubject"/>
    <w:uiPriority w:val="99"/>
    <w:semiHidden/>
    <w:rsid w:val="00C41571"/>
    <w:rPr>
      <w:b/>
      <w:bCs/>
      <w:sz w:val="20"/>
      <w:szCs w:val="20"/>
    </w:rPr>
  </w:style>
  <w:style w:type="character" w:styleId="UnresolvedMention">
    <w:name w:val="Unresolved Mention"/>
    <w:basedOn w:val="DefaultParagraphFont"/>
    <w:uiPriority w:val="99"/>
    <w:rsid w:val="0007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792121041/319694be40" TargetMode="External"/><Relationship Id="rId18" Type="http://schemas.openxmlformats.org/officeDocument/2006/relationships/hyperlink" Target="https://www2.education.vic.gov.au/pal/student-resource-package-srp-targeted-initiatives/guidance/inclusion-outreach-coaching-io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ic.gov.au/disability-inclusion&#8211;education-in-practice" TargetMode="External"/><Relationship Id="rId17" Type="http://schemas.openxmlformats.org/officeDocument/2006/relationships/hyperlink" Target="https://www.schools.vic.gov.au/graduate-certificate-education-learning-difficulties-progra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chools.vic.gov.au/master-inclusive-education-program" TargetMode="External"/><Relationship Id="rId20" Type="http://schemas.openxmlformats.org/officeDocument/2006/relationships/hyperlink" Target="mailto:disability.inclusion@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73562599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deafeducation.vic.edu.au/professional-learning/inclusive-classroom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c.gov.au/diverse-learners-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tudent-voic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938933\AppData\Local\Microsoft\Windows\INetCache\Content.Outlook\WW01CDV8\23-012%20Disability%20Inclusion_factsheet%20template.dotx" TargetMode="External"/></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Disability-Inclusion-Implementation-Progress–July-2023-Accessible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2.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1AD7C18B-B380-4E91-908B-650196D7D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72C23-DA0C-47C2-AF50-90D36DCE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23-012 Disability Inclusion_factsheet template.dotx</Template>
  <TotalTime>1</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Tsabasidis, Katrina K</dc:creator>
  <cp:keywords/>
  <dc:description/>
  <cp:lastModifiedBy>Swati Srivastava</cp:lastModifiedBy>
  <cp:revision>2</cp:revision>
  <cp:lastPrinted>2023-06-01T05:10:00Z</cp:lastPrinted>
  <dcterms:created xsi:type="dcterms:W3CDTF">2024-01-16T00:09:00Z</dcterms:created>
  <dcterms:modified xsi:type="dcterms:W3CDTF">2024-01-16T00:09:00Z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