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A7D8" w14:textId="1FE2C8AF" w:rsidR="00203251" w:rsidRPr="00D62C9C" w:rsidRDefault="00D62C9C" w:rsidP="00D62C9C">
      <w:pPr>
        <w:pStyle w:val="Title"/>
        <w:spacing w:after="840"/>
        <w:rPr>
          <w:rFonts w:cs="Times New Roman (Headings CS)"/>
          <w:bCs/>
          <w:spacing w:val="8"/>
          <w:lang w:val="en-GB"/>
        </w:rPr>
      </w:pPr>
      <w:r w:rsidRPr="00D62C9C">
        <w:rPr>
          <w:rFonts w:cs="Times New Roman (Headings CS)"/>
          <w:bCs/>
          <w:spacing w:val="8"/>
          <w:lang w:val="en-GB"/>
        </w:rPr>
        <w:t>Circular Economy</w:t>
      </w:r>
      <w:r>
        <w:rPr>
          <w:rFonts w:cs="Times New Roman (Headings CS)"/>
          <w:bCs/>
          <w:spacing w:val="8"/>
          <w:lang w:val="en-GB"/>
        </w:rPr>
        <w:t xml:space="preserve"> </w:t>
      </w:r>
      <w:r w:rsidRPr="00D62C9C">
        <w:rPr>
          <w:rFonts w:cs="Times New Roman (Headings CS)"/>
          <w:bCs/>
          <w:spacing w:val="8"/>
          <w:lang w:val="en-GB"/>
        </w:rPr>
        <w:t>Market Report</w:t>
      </w:r>
      <w:r>
        <w:rPr>
          <w:rFonts w:cs="Times New Roman (Headings CS)"/>
          <w:bCs/>
          <w:spacing w:val="8"/>
          <w:lang w:val="en-GB"/>
        </w:rPr>
        <w:t xml:space="preserve"> 202</w:t>
      </w:r>
      <w:r w:rsidR="006C5FC5">
        <w:rPr>
          <w:rFonts w:cs="Times New Roman (Headings CS)"/>
          <w:bCs/>
          <w:spacing w:val="8"/>
          <w:lang w:val="en-GB"/>
        </w:rPr>
        <w:t>4</w:t>
      </w:r>
    </w:p>
    <w:p w14:paraId="1E9B3B46" w14:textId="77777777" w:rsidR="00D62C9C" w:rsidRPr="00D62C9C" w:rsidRDefault="00D62C9C" w:rsidP="00D62C9C">
      <w:pPr>
        <w:pStyle w:val="BodyText"/>
        <w:rPr>
          <w:lang w:val="en-US"/>
        </w:rPr>
      </w:pPr>
      <w:r w:rsidRPr="00D62C9C">
        <w:rPr>
          <w:lang w:val="en-US"/>
        </w:rPr>
        <w:t>We acknowledge and respect Victorian Traditional Owners as the original custodians of Victoria’s land and waters, their unique ability to care for Country and deep spiritual connection to it.</w:t>
      </w:r>
    </w:p>
    <w:p w14:paraId="443DBD5A" w14:textId="3ADF90BA" w:rsidR="00D62C9C" w:rsidRPr="00D62C9C" w:rsidRDefault="00D62C9C" w:rsidP="00D62C9C">
      <w:pPr>
        <w:pStyle w:val="BodyText"/>
        <w:rPr>
          <w:lang w:val="en-US"/>
        </w:rPr>
      </w:pPr>
      <w:r w:rsidRPr="00D62C9C">
        <w:rPr>
          <w:lang w:val="en-US"/>
        </w:rPr>
        <w:t xml:space="preserve">We </w:t>
      </w:r>
      <w:proofErr w:type="spellStart"/>
      <w:r w:rsidRPr="00D62C9C">
        <w:rPr>
          <w:lang w:val="en-US"/>
        </w:rPr>
        <w:t>honour</w:t>
      </w:r>
      <w:proofErr w:type="spellEnd"/>
      <w:r w:rsidRPr="00D62C9C">
        <w:rPr>
          <w:lang w:val="en-US"/>
        </w:rPr>
        <w:t xml:space="preserve"> Elders past and present whose knowledge and wisdom has ensured the continuation of culture and traditional practices.</w:t>
      </w:r>
    </w:p>
    <w:p w14:paraId="581487B3" w14:textId="2DC00DE8" w:rsidR="00203251" w:rsidRPr="00D62C9C" w:rsidRDefault="00D62C9C" w:rsidP="00C20104">
      <w:pPr>
        <w:pStyle w:val="BodyText"/>
        <w:rPr>
          <w:lang w:val="en-US"/>
        </w:rPr>
      </w:pPr>
      <w:r w:rsidRPr="00D62C9C">
        <w:rPr>
          <w:lang w:val="en-US"/>
        </w:rPr>
        <w:t>DEECA is committed to genuinely partnering with Victorian Traditional Owners and Victoria’s Aboriginal community to progress their aspirations</w:t>
      </w:r>
      <w:r w:rsidR="00203251" w:rsidRPr="00203251">
        <w:t>.</w:t>
      </w:r>
    </w:p>
    <w:p w14:paraId="26A6BB3D" w14:textId="7EB8EF0D" w:rsidR="00203251" w:rsidRPr="00D63DD7" w:rsidRDefault="00203251" w:rsidP="0028015F">
      <w:pPr>
        <w:pStyle w:val="BodyText"/>
        <w:ind w:right="-143"/>
      </w:pPr>
      <w:r w:rsidRPr="00D63DD7">
        <w:t xml:space="preserve">© The State of Victoria Department of Energy, Environment and Climate Action, </w:t>
      </w:r>
      <w:r>
        <w:t>March</w:t>
      </w:r>
      <w:r w:rsidRPr="005E730C">
        <w:t xml:space="preserve"> 2024</w:t>
      </w:r>
    </w:p>
    <w:p w14:paraId="6569EB80" w14:textId="77777777" w:rsidR="00203251" w:rsidRPr="0028015F" w:rsidRDefault="00203251" w:rsidP="0028015F">
      <w:pPr>
        <w:pStyle w:val="BodyText"/>
        <w:spacing w:after="120"/>
        <w:rPr>
          <w:b/>
          <w:bCs/>
        </w:rPr>
      </w:pPr>
      <w:r w:rsidRPr="0028015F">
        <w:rPr>
          <w:b/>
          <w:bCs/>
        </w:rPr>
        <w:t>Creative Commons</w:t>
      </w:r>
    </w:p>
    <w:p w14:paraId="2B7C6D43" w14:textId="77777777" w:rsidR="00203251" w:rsidRPr="00096F20" w:rsidRDefault="00203251" w:rsidP="00C20104">
      <w:pPr>
        <w:pStyle w:val="BodyText"/>
      </w:pPr>
      <w:r w:rsidRPr="00096F20">
        <w:t xml:space="preserve">This work is licensed under a Creative Commons Attribution 4.0 International licence, visit the </w:t>
      </w:r>
      <w:hyperlink r:id="rId8" w:history="1">
        <w:r w:rsidRPr="00096F20">
          <w:rPr>
            <w:rStyle w:val="Hyperlink"/>
            <w:lang w:val="en-US"/>
          </w:rPr>
          <w:t>Creative Commons website</w:t>
        </w:r>
      </w:hyperlink>
      <w:r w:rsidRPr="00096F20">
        <w:t xml:space="preserve"> (http://creativecommons.org/licenses/by/4.0/).</w:t>
      </w:r>
    </w:p>
    <w:p w14:paraId="5F785C0F" w14:textId="77777777" w:rsidR="00203251" w:rsidRDefault="00203251" w:rsidP="00C20104">
      <w:pPr>
        <w:pStyle w:val="BodyText"/>
      </w:pPr>
      <w:r w:rsidRPr="00096F20">
        <w:t xml:space="preserve">You are free to re-use the work under that licence, on the condition that you credit the State of Victoria as author. The licence does not apply to any images, </w:t>
      </w:r>
      <w:proofErr w:type="gramStart"/>
      <w:r w:rsidRPr="00096F20">
        <w:t>photographs</w:t>
      </w:r>
      <w:proofErr w:type="gramEnd"/>
      <w:r w:rsidRPr="00096F20">
        <w:t xml:space="preserve"> or branding, including the Victorian Coat of Arms, and the Victorian Government and Department logos.</w:t>
      </w:r>
    </w:p>
    <w:p w14:paraId="76558A3F" w14:textId="5374CB63" w:rsidR="00203251" w:rsidRPr="00096F20" w:rsidRDefault="00203251" w:rsidP="00C20104">
      <w:pPr>
        <w:pStyle w:val="BodyText"/>
      </w:pPr>
      <w:r w:rsidRPr="00203251">
        <w:t xml:space="preserve">ISBN </w:t>
      </w:r>
      <w:r w:rsidR="001C4994" w:rsidRPr="006C5FC5">
        <w:rPr>
          <w:lang w:val="en-AU"/>
        </w:rPr>
        <w:t>978-1-76136-642-0 </w:t>
      </w:r>
      <w:r w:rsidR="001C4994" w:rsidRPr="006C5FC5">
        <w:rPr>
          <w:b/>
          <w:bCs/>
          <w:lang w:val="en-AU"/>
        </w:rPr>
        <w:t>(pdf/online/MS word)</w:t>
      </w:r>
    </w:p>
    <w:p w14:paraId="2770988C" w14:textId="77777777" w:rsidR="00203251" w:rsidRPr="0028015F" w:rsidRDefault="00203251" w:rsidP="0028015F">
      <w:pPr>
        <w:pStyle w:val="BodyText"/>
        <w:spacing w:after="120"/>
        <w:rPr>
          <w:b/>
          <w:bCs/>
        </w:rPr>
      </w:pPr>
      <w:r w:rsidRPr="0028015F">
        <w:rPr>
          <w:b/>
          <w:bCs/>
        </w:rPr>
        <w:t>Disclaimer</w:t>
      </w:r>
    </w:p>
    <w:p w14:paraId="2598F852" w14:textId="13EB58E7" w:rsidR="00203251" w:rsidRPr="00D62C9C" w:rsidRDefault="00D62C9C" w:rsidP="00C20104">
      <w:pPr>
        <w:pStyle w:val="BodyText"/>
        <w:rPr>
          <w:lang w:val="en-US"/>
        </w:rPr>
      </w:pPr>
      <w:r w:rsidRPr="00D62C9C">
        <w:rPr>
          <w:lang w:val="en-US"/>
        </w:rPr>
        <w:t xml:space="preserve">This publication may be of assistance to </w:t>
      </w:r>
      <w:proofErr w:type="gramStart"/>
      <w:r w:rsidRPr="00D62C9C">
        <w:rPr>
          <w:lang w:val="en-US"/>
        </w:rPr>
        <w:t>you</w:t>
      </w:r>
      <w:proofErr w:type="gramEnd"/>
      <w:r w:rsidRPr="00D62C9C">
        <w:rPr>
          <w:lang w:val="en-US"/>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87B23DF" w14:textId="77777777" w:rsidR="00203251" w:rsidRPr="0028015F" w:rsidRDefault="00203251" w:rsidP="0028015F">
      <w:pPr>
        <w:pStyle w:val="BodyText"/>
        <w:spacing w:after="120"/>
        <w:rPr>
          <w:b/>
          <w:bCs/>
        </w:rPr>
      </w:pPr>
      <w:r w:rsidRPr="0028015F">
        <w:rPr>
          <w:b/>
          <w:bCs/>
        </w:rPr>
        <w:t>Accessibility</w:t>
      </w:r>
    </w:p>
    <w:p w14:paraId="454294FB" w14:textId="24CBA818" w:rsidR="00D62C9C" w:rsidRDefault="00203251" w:rsidP="00F148EB">
      <w:pPr>
        <w:pStyle w:val="BodyText"/>
      </w:pPr>
      <w:r w:rsidRPr="009F308A">
        <w:t xml:space="preserve">To receive this document in an alternative format, phone the Customer Service Centre on 136 186, email </w:t>
      </w:r>
      <w:hyperlink r:id="rId9" w:history="1">
        <w:r w:rsidRPr="009F308A">
          <w:rPr>
            <w:rStyle w:val="Hyperlink"/>
          </w:rPr>
          <w:t>customer.service@delwp.vic.gov.au</w:t>
        </w:r>
      </w:hyperlink>
      <w:r w:rsidRPr="009F308A">
        <w:t xml:space="preserve"> or contact </w:t>
      </w:r>
      <w:hyperlink r:id="rId10" w:history="1">
        <w:r w:rsidRPr="009F308A">
          <w:rPr>
            <w:rStyle w:val="Hyperlink"/>
          </w:rPr>
          <w:t>National Relay Service</w:t>
        </w:r>
      </w:hyperlink>
      <w:r w:rsidRPr="009F308A">
        <w:t xml:space="preserve"> </w:t>
      </w:r>
      <w:r w:rsidRPr="009F308A">
        <w:lastRenderedPageBreak/>
        <w:t>(</w:t>
      </w:r>
      <w:hyperlink r:id="rId11" w:history="1">
        <w:r w:rsidRPr="00203251">
          <w:rPr>
            <w:rStyle w:val="Hyperlink"/>
          </w:rPr>
          <w:t>www.accesshub.gov.au/</w:t>
        </w:r>
      </w:hyperlink>
      <w:r w:rsidRPr="009F308A">
        <w:t>) on 133 677.</w:t>
      </w:r>
      <w:r>
        <w:t xml:space="preserve"> </w:t>
      </w:r>
      <w:r w:rsidRPr="00203251">
        <w:t xml:space="preserve">Available at </w:t>
      </w:r>
      <w:hyperlink r:id="rId12" w:history="1">
        <w:r w:rsidRPr="00203251">
          <w:rPr>
            <w:rStyle w:val="Hyperlink"/>
          </w:rPr>
          <w:t>DEECA website</w:t>
        </w:r>
      </w:hyperlink>
      <w:r w:rsidRPr="00203251">
        <w:t xml:space="preserve"> </w:t>
      </w:r>
      <w:r w:rsidRPr="00203251">
        <w:br/>
        <w:t>(</w:t>
      </w:r>
      <w:hyperlink r:id="rId13" w:history="1">
        <w:r w:rsidRPr="00203251">
          <w:rPr>
            <w:rStyle w:val="Hyperlink"/>
          </w:rPr>
          <w:t>www.deeca.vic.gov.au</w:t>
        </w:r>
      </w:hyperlink>
      <w:r w:rsidRPr="00203251">
        <w:t>).</w:t>
      </w:r>
    </w:p>
    <w:p w14:paraId="0BD92777" w14:textId="75DA29EE" w:rsidR="00203251" w:rsidRPr="00D62C9C" w:rsidRDefault="00D62C9C" w:rsidP="00D62C9C">
      <w:pPr>
        <w:suppressAutoHyphens w:val="0"/>
        <w:spacing w:after="160"/>
        <w:rPr>
          <w:rFonts w:cs="Times New Roman (Body CS)"/>
          <w:kern w:val="24"/>
          <w:lang w:val="en-GB"/>
        </w:rPr>
      </w:pPr>
      <w:r>
        <w:br w:type="page"/>
      </w:r>
    </w:p>
    <w:sdt>
      <w:sdtPr>
        <w:rPr>
          <w:rFonts w:asciiTheme="minorHAnsi" w:eastAsiaTheme="minorEastAsia" w:hAnsiTheme="minorHAnsi" w:cstheme="minorBidi"/>
          <w:b w:val="0"/>
          <w:color w:val="auto"/>
          <w:sz w:val="24"/>
          <w:szCs w:val="22"/>
          <w:lang w:val="en-AU"/>
        </w:rPr>
        <w:id w:val="2029681437"/>
        <w:docPartObj>
          <w:docPartGallery w:val="Table of Contents"/>
          <w:docPartUnique/>
        </w:docPartObj>
      </w:sdtPr>
      <w:sdtEndPr>
        <w:rPr>
          <w:bCs/>
          <w:noProof/>
        </w:rPr>
      </w:sdtEndPr>
      <w:sdtContent>
        <w:p w14:paraId="7766BE86" w14:textId="526309D9" w:rsidR="00D52FF3" w:rsidRDefault="00D52FF3" w:rsidP="009E417E">
          <w:pPr>
            <w:pStyle w:val="TOCHeading"/>
            <w:spacing w:after="0"/>
          </w:pPr>
          <w:r>
            <w:t>Table of Contents</w:t>
          </w:r>
        </w:p>
        <w:p w14:paraId="2BA44891" w14:textId="340BB453" w:rsidR="009E52EF" w:rsidRDefault="009E417E">
          <w:pPr>
            <w:pStyle w:val="TOC1"/>
            <w:tabs>
              <w:tab w:val="right" w:leader="dot" w:pos="9628"/>
            </w:tabs>
            <w:rPr>
              <w:rFonts w:cstheme="minorBidi"/>
              <w:b w:val="0"/>
              <w:bCs w:val="0"/>
              <w:iCs w:val="0"/>
              <w:noProof/>
              <w:kern w:val="2"/>
              <w:sz w:val="24"/>
              <w:lang w:eastAsia="en-GB"/>
              <w14:ligatures w14:val="standardContextual"/>
            </w:rPr>
          </w:pPr>
          <w:r>
            <w:rPr>
              <w:bCs w:val="0"/>
            </w:rPr>
            <w:fldChar w:fldCharType="begin"/>
          </w:r>
          <w:r>
            <w:rPr>
              <w:bCs w:val="0"/>
            </w:rPr>
            <w:instrText xml:space="preserve"> TOC \o "1-3" \h \z \u </w:instrText>
          </w:r>
          <w:r>
            <w:rPr>
              <w:bCs w:val="0"/>
            </w:rPr>
            <w:fldChar w:fldCharType="separate"/>
          </w:r>
          <w:hyperlink w:anchor="_Toc161758509" w:history="1">
            <w:r w:rsidR="009E52EF" w:rsidRPr="00E313C6">
              <w:rPr>
                <w:rStyle w:val="Hyperlink"/>
                <w:noProof/>
              </w:rPr>
              <w:t>Executive summary</w:t>
            </w:r>
            <w:r w:rsidR="009E52EF">
              <w:rPr>
                <w:noProof/>
                <w:webHidden/>
              </w:rPr>
              <w:tab/>
            </w:r>
            <w:r w:rsidR="009E52EF">
              <w:rPr>
                <w:noProof/>
                <w:webHidden/>
              </w:rPr>
              <w:fldChar w:fldCharType="begin"/>
            </w:r>
            <w:r w:rsidR="009E52EF">
              <w:rPr>
                <w:noProof/>
                <w:webHidden/>
              </w:rPr>
              <w:instrText xml:space="preserve"> PAGEREF _Toc161758509 \h </w:instrText>
            </w:r>
            <w:r w:rsidR="009E52EF">
              <w:rPr>
                <w:noProof/>
                <w:webHidden/>
              </w:rPr>
            </w:r>
            <w:r w:rsidR="009E52EF">
              <w:rPr>
                <w:noProof/>
                <w:webHidden/>
              </w:rPr>
              <w:fldChar w:fldCharType="separate"/>
            </w:r>
            <w:r w:rsidR="000378C7">
              <w:rPr>
                <w:noProof/>
                <w:webHidden/>
              </w:rPr>
              <w:t>5</w:t>
            </w:r>
            <w:r w:rsidR="009E52EF">
              <w:rPr>
                <w:noProof/>
                <w:webHidden/>
              </w:rPr>
              <w:fldChar w:fldCharType="end"/>
            </w:r>
          </w:hyperlink>
        </w:p>
        <w:p w14:paraId="5880B805" w14:textId="029A2BF3"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10" w:history="1">
            <w:r w:rsidR="009E52EF" w:rsidRPr="00E313C6">
              <w:rPr>
                <w:rStyle w:val="Hyperlink"/>
                <w:noProof/>
              </w:rPr>
              <w:t>Overview</w:t>
            </w:r>
            <w:r w:rsidR="009E52EF">
              <w:rPr>
                <w:noProof/>
                <w:webHidden/>
              </w:rPr>
              <w:tab/>
            </w:r>
            <w:r w:rsidR="009E52EF">
              <w:rPr>
                <w:noProof/>
                <w:webHidden/>
              </w:rPr>
              <w:fldChar w:fldCharType="begin"/>
            </w:r>
            <w:r w:rsidR="009E52EF">
              <w:rPr>
                <w:noProof/>
                <w:webHidden/>
              </w:rPr>
              <w:instrText xml:space="preserve"> PAGEREF _Toc161758510 \h </w:instrText>
            </w:r>
            <w:r w:rsidR="009E52EF">
              <w:rPr>
                <w:noProof/>
                <w:webHidden/>
              </w:rPr>
            </w:r>
            <w:r w:rsidR="009E52EF">
              <w:rPr>
                <w:noProof/>
                <w:webHidden/>
              </w:rPr>
              <w:fldChar w:fldCharType="separate"/>
            </w:r>
            <w:r w:rsidR="000378C7">
              <w:rPr>
                <w:noProof/>
                <w:webHidden/>
              </w:rPr>
              <w:t>7</w:t>
            </w:r>
            <w:r w:rsidR="009E52EF">
              <w:rPr>
                <w:noProof/>
                <w:webHidden/>
              </w:rPr>
              <w:fldChar w:fldCharType="end"/>
            </w:r>
          </w:hyperlink>
        </w:p>
        <w:p w14:paraId="5D206D62" w14:textId="35626916"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11" w:history="1">
            <w:r w:rsidR="009E52EF" w:rsidRPr="00E313C6">
              <w:rPr>
                <w:rStyle w:val="Hyperlink"/>
                <w:noProof/>
              </w:rPr>
              <w:t>Introduction</w:t>
            </w:r>
            <w:r w:rsidR="009E52EF">
              <w:rPr>
                <w:noProof/>
                <w:webHidden/>
              </w:rPr>
              <w:tab/>
            </w:r>
            <w:r w:rsidR="009E52EF">
              <w:rPr>
                <w:noProof/>
                <w:webHidden/>
              </w:rPr>
              <w:fldChar w:fldCharType="begin"/>
            </w:r>
            <w:r w:rsidR="009E52EF">
              <w:rPr>
                <w:noProof/>
                <w:webHidden/>
              </w:rPr>
              <w:instrText xml:space="preserve"> PAGEREF _Toc161758511 \h </w:instrText>
            </w:r>
            <w:r w:rsidR="009E52EF">
              <w:rPr>
                <w:noProof/>
                <w:webHidden/>
              </w:rPr>
            </w:r>
            <w:r w:rsidR="009E52EF">
              <w:rPr>
                <w:noProof/>
                <w:webHidden/>
              </w:rPr>
              <w:fldChar w:fldCharType="separate"/>
            </w:r>
            <w:r w:rsidR="000378C7">
              <w:rPr>
                <w:noProof/>
                <w:webHidden/>
              </w:rPr>
              <w:t>7</w:t>
            </w:r>
            <w:r w:rsidR="009E52EF">
              <w:rPr>
                <w:noProof/>
                <w:webHidden/>
              </w:rPr>
              <w:fldChar w:fldCharType="end"/>
            </w:r>
          </w:hyperlink>
        </w:p>
        <w:p w14:paraId="40113313" w14:textId="3BEA7ABA" w:rsidR="009E52EF" w:rsidRDefault="00000000">
          <w:pPr>
            <w:pStyle w:val="TOC3"/>
            <w:tabs>
              <w:tab w:val="right" w:leader="dot" w:pos="9628"/>
            </w:tabs>
            <w:rPr>
              <w:rFonts w:cstheme="minorBidi"/>
              <w:noProof/>
              <w:kern w:val="2"/>
              <w:szCs w:val="24"/>
              <w:lang w:eastAsia="en-GB"/>
              <w14:ligatures w14:val="standardContextual"/>
            </w:rPr>
          </w:pPr>
          <w:hyperlink w:anchor="_Toc161758512" w:history="1">
            <w:r w:rsidR="009E52EF" w:rsidRPr="00E313C6">
              <w:rPr>
                <w:rStyle w:val="Hyperlink"/>
                <w:noProof/>
              </w:rPr>
              <w:t>Recycling Victoria</w:t>
            </w:r>
            <w:r w:rsidR="009E52EF">
              <w:rPr>
                <w:noProof/>
                <w:webHidden/>
              </w:rPr>
              <w:tab/>
            </w:r>
            <w:r w:rsidR="009E52EF">
              <w:rPr>
                <w:noProof/>
                <w:webHidden/>
              </w:rPr>
              <w:fldChar w:fldCharType="begin"/>
            </w:r>
            <w:r w:rsidR="009E52EF">
              <w:rPr>
                <w:noProof/>
                <w:webHidden/>
              </w:rPr>
              <w:instrText xml:space="preserve"> PAGEREF _Toc161758512 \h </w:instrText>
            </w:r>
            <w:r w:rsidR="009E52EF">
              <w:rPr>
                <w:noProof/>
                <w:webHidden/>
              </w:rPr>
            </w:r>
            <w:r w:rsidR="009E52EF">
              <w:rPr>
                <w:noProof/>
                <w:webHidden/>
              </w:rPr>
              <w:fldChar w:fldCharType="separate"/>
            </w:r>
            <w:r w:rsidR="000378C7">
              <w:rPr>
                <w:noProof/>
                <w:webHidden/>
              </w:rPr>
              <w:t>7</w:t>
            </w:r>
            <w:r w:rsidR="009E52EF">
              <w:rPr>
                <w:noProof/>
                <w:webHidden/>
              </w:rPr>
              <w:fldChar w:fldCharType="end"/>
            </w:r>
          </w:hyperlink>
        </w:p>
        <w:p w14:paraId="6EE13E02" w14:textId="31670E5F"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13" w:history="1">
            <w:r w:rsidR="009E52EF" w:rsidRPr="00E313C6">
              <w:rPr>
                <w:rStyle w:val="Hyperlink"/>
                <w:noProof/>
              </w:rPr>
              <w:t>Background</w:t>
            </w:r>
            <w:r w:rsidR="009E52EF">
              <w:rPr>
                <w:noProof/>
                <w:webHidden/>
              </w:rPr>
              <w:tab/>
            </w:r>
            <w:r w:rsidR="009E52EF">
              <w:rPr>
                <w:noProof/>
                <w:webHidden/>
              </w:rPr>
              <w:fldChar w:fldCharType="begin"/>
            </w:r>
            <w:r w:rsidR="009E52EF">
              <w:rPr>
                <w:noProof/>
                <w:webHidden/>
              </w:rPr>
              <w:instrText xml:space="preserve"> PAGEREF _Toc161758513 \h </w:instrText>
            </w:r>
            <w:r w:rsidR="009E52EF">
              <w:rPr>
                <w:noProof/>
                <w:webHidden/>
              </w:rPr>
            </w:r>
            <w:r w:rsidR="009E52EF">
              <w:rPr>
                <w:noProof/>
                <w:webHidden/>
              </w:rPr>
              <w:fldChar w:fldCharType="separate"/>
            </w:r>
            <w:r w:rsidR="000378C7">
              <w:rPr>
                <w:noProof/>
                <w:webHidden/>
              </w:rPr>
              <w:t>8</w:t>
            </w:r>
            <w:r w:rsidR="009E52EF">
              <w:rPr>
                <w:noProof/>
                <w:webHidden/>
              </w:rPr>
              <w:fldChar w:fldCharType="end"/>
            </w:r>
          </w:hyperlink>
        </w:p>
        <w:p w14:paraId="5214D853" w14:textId="464DBA38"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14" w:history="1">
            <w:r w:rsidR="009E52EF" w:rsidRPr="00E313C6">
              <w:rPr>
                <w:rStyle w:val="Hyperlink"/>
                <w:noProof/>
              </w:rPr>
              <w:t>Scope</w:t>
            </w:r>
            <w:r w:rsidR="009E52EF">
              <w:rPr>
                <w:noProof/>
                <w:webHidden/>
              </w:rPr>
              <w:tab/>
            </w:r>
            <w:r w:rsidR="009E52EF">
              <w:rPr>
                <w:noProof/>
                <w:webHidden/>
              </w:rPr>
              <w:fldChar w:fldCharType="begin"/>
            </w:r>
            <w:r w:rsidR="009E52EF">
              <w:rPr>
                <w:noProof/>
                <w:webHidden/>
              </w:rPr>
              <w:instrText xml:space="preserve"> PAGEREF _Toc161758514 \h </w:instrText>
            </w:r>
            <w:r w:rsidR="009E52EF">
              <w:rPr>
                <w:noProof/>
                <w:webHidden/>
              </w:rPr>
            </w:r>
            <w:r w:rsidR="009E52EF">
              <w:rPr>
                <w:noProof/>
                <w:webHidden/>
              </w:rPr>
              <w:fldChar w:fldCharType="separate"/>
            </w:r>
            <w:r w:rsidR="000378C7">
              <w:rPr>
                <w:noProof/>
                <w:webHidden/>
              </w:rPr>
              <w:t>11</w:t>
            </w:r>
            <w:r w:rsidR="009E52EF">
              <w:rPr>
                <w:noProof/>
                <w:webHidden/>
              </w:rPr>
              <w:fldChar w:fldCharType="end"/>
            </w:r>
          </w:hyperlink>
        </w:p>
        <w:p w14:paraId="04BBBCE6" w14:textId="72D17E55"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15" w:history="1">
            <w:r w:rsidR="009E52EF" w:rsidRPr="00E313C6">
              <w:rPr>
                <w:rStyle w:val="Hyperlink"/>
                <w:noProof/>
              </w:rPr>
              <w:t>Market overview and performance</w:t>
            </w:r>
            <w:r w:rsidR="009E52EF">
              <w:rPr>
                <w:noProof/>
                <w:webHidden/>
              </w:rPr>
              <w:tab/>
            </w:r>
            <w:r w:rsidR="009E52EF">
              <w:rPr>
                <w:noProof/>
                <w:webHidden/>
              </w:rPr>
              <w:fldChar w:fldCharType="begin"/>
            </w:r>
            <w:r w:rsidR="009E52EF">
              <w:rPr>
                <w:noProof/>
                <w:webHidden/>
              </w:rPr>
              <w:instrText xml:space="preserve"> PAGEREF _Toc161758515 \h </w:instrText>
            </w:r>
            <w:r w:rsidR="009E52EF">
              <w:rPr>
                <w:noProof/>
                <w:webHidden/>
              </w:rPr>
            </w:r>
            <w:r w:rsidR="009E52EF">
              <w:rPr>
                <w:noProof/>
                <w:webHidden/>
              </w:rPr>
              <w:fldChar w:fldCharType="separate"/>
            </w:r>
            <w:r w:rsidR="000378C7">
              <w:rPr>
                <w:noProof/>
                <w:webHidden/>
              </w:rPr>
              <w:t>13</w:t>
            </w:r>
            <w:r w:rsidR="009E52EF">
              <w:rPr>
                <w:noProof/>
                <w:webHidden/>
              </w:rPr>
              <w:fldChar w:fldCharType="end"/>
            </w:r>
          </w:hyperlink>
        </w:p>
        <w:p w14:paraId="314A87BE" w14:textId="15A96905"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16" w:history="1">
            <w:r w:rsidR="009E52EF" w:rsidRPr="00E313C6">
              <w:rPr>
                <w:rStyle w:val="Hyperlink"/>
                <w:noProof/>
              </w:rPr>
              <w:t>Sector turnover and commodity/material value</w:t>
            </w:r>
            <w:r w:rsidR="009E52EF">
              <w:rPr>
                <w:noProof/>
                <w:webHidden/>
              </w:rPr>
              <w:tab/>
            </w:r>
            <w:r w:rsidR="009E52EF">
              <w:rPr>
                <w:noProof/>
                <w:webHidden/>
              </w:rPr>
              <w:fldChar w:fldCharType="begin"/>
            </w:r>
            <w:r w:rsidR="009E52EF">
              <w:rPr>
                <w:noProof/>
                <w:webHidden/>
              </w:rPr>
              <w:instrText xml:space="preserve"> PAGEREF _Toc161758516 \h </w:instrText>
            </w:r>
            <w:r w:rsidR="009E52EF">
              <w:rPr>
                <w:noProof/>
                <w:webHidden/>
              </w:rPr>
            </w:r>
            <w:r w:rsidR="009E52EF">
              <w:rPr>
                <w:noProof/>
                <w:webHidden/>
              </w:rPr>
              <w:fldChar w:fldCharType="separate"/>
            </w:r>
            <w:r w:rsidR="000378C7">
              <w:rPr>
                <w:noProof/>
                <w:webHidden/>
              </w:rPr>
              <w:t>16</w:t>
            </w:r>
            <w:r w:rsidR="009E52EF">
              <w:rPr>
                <w:noProof/>
                <w:webHidden/>
              </w:rPr>
              <w:fldChar w:fldCharType="end"/>
            </w:r>
          </w:hyperlink>
        </w:p>
        <w:p w14:paraId="134642BE" w14:textId="5B4D1321"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17" w:history="1">
            <w:r w:rsidR="009E52EF" w:rsidRPr="00E313C6">
              <w:rPr>
                <w:rStyle w:val="Hyperlink"/>
                <w:noProof/>
              </w:rPr>
              <w:t>Materials circularity</w:t>
            </w:r>
            <w:r w:rsidR="009E52EF">
              <w:rPr>
                <w:noProof/>
                <w:webHidden/>
              </w:rPr>
              <w:tab/>
            </w:r>
            <w:r w:rsidR="009E52EF">
              <w:rPr>
                <w:noProof/>
                <w:webHidden/>
              </w:rPr>
              <w:fldChar w:fldCharType="begin"/>
            </w:r>
            <w:r w:rsidR="009E52EF">
              <w:rPr>
                <w:noProof/>
                <w:webHidden/>
              </w:rPr>
              <w:instrText xml:space="preserve"> PAGEREF _Toc161758517 \h </w:instrText>
            </w:r>
            <w:r w:rsidR="009E52EF">
              <w:rPr>
                <w:noProof/>
                <w:webHidden/>
              </w:rPr>
            </w:r>
            <w:r w:rsidR="009E52EF">
              <w:rPr>
                <w:noProof/>
                <w:webHidden/>
              </w:rPr>
              <w:fldChar w:fldCharType="separate"/>
            </w:r>
            <w:r w:rsidR="000378C7">
              <w:rPr>
                <w:noProof/>
                <w:webHidden/>
              </w:rPr>
              <w:t>17</w:t>
            </w:r>
            <w:r w:rsidR="009E52EF">
              <w:rPr>
                <w:noProof/>
                <w:webHidden/>
              </w:rPr>
              <w:fldChar w:fldCharType="end"/>
            </w:r>
          </w:hyperlink>
        </w:p>
        <w:p w14:paraId="097B27C7" w14:textId="5B7DBC16" w:rsidR="009E52EF" w:rsidRDefault="00000000">
          <w:pPr>
            <w:pStyle w:val="TOC3"/>
            <w:tabs>
              <w:tab w:val="right" w:leader="dot" w:pos="9628"/>
            </w:tabs>
            <w:rPr>
              <w:rFonts w:cstheme="minorBidi"/>
              <w:noProof/>
              <w:kern w:val="2"/>
              <w:szCs w:val="24"/>
              <w:lang w:eastAsia="en-GB"/>
              <w14:ligatures w14:val="standardContextual"/>
            </w:rPr>
          </w:pPr>
          <w:hyperlink w:anchor="_Toc161758518" w:history="1">
            <w:r w:rsidR="009E52EF" w:rsidRPr="00E313C6">
              <w:rPr>
                <w:rStyle w:val="Hyperlink"/>
                <w:noProof/>
              </w:rPr>
              <w:t>Areas for greater material circularity</w:t>
            </w:r>
            <w:r w:rsidR="009E52EF">
              <w:rPr>
                <w:noProof/>
                <w:webHidden/>
              </w:rPr>
              <w:tab/>
            </w:r>
            <w:r w:rsidR="009E52EF">
              <w:rPr>
                <w:noProof/>
                <w:webHidden/>
              </w:rPr>
              <w:fldChar w:fldCharType="begin"/>
            </w:r>
            <w:r w:rsidR="009E52EF">
              <w:rPr>
                <w:noProof/>
                <w:webHidden/>
              </w:rPr>
              <w:instrText xml:space="preserve"> PAGEREF _Toc161758518 \h </w:instrText>
            </w:r>
            <w:r w:rsidR="009E52EF">
              <w:rPr>
                <w:noProof/>
                <w:webHidden/>
              </w:rPr>
            </w:r>
            <w:r w:rsidR="009E52EF">
              <w:rPr>
                <w:noProof/>
                <w:webHidden/>
              </w:rPr>
              <w:fldChar w:fldCharType="separate"/>
            </w:r>
            <w:r w:rsidR="000378C7">
              <w:rPr>
                <w:noProof/>
                <w:webHidden/>
              </w:rPr>
              <w:t>19</w:t>
            </w:r>
            <w:r w:rsidR="009E52EF">
              <w:rPr>
                <w:noProof/>
                <w:webHidden/>
              </w:rPr>
              <w:fldChar w:fldCharType="end"/>
            </w:r>
          </w:hyperlink>
        </w:p>
        <w:p w14:paraId="54B1ABF9" w14:textId="466E0320" w:rsidR="009E52EF" w:rsidRDefault="00000000">
          <w:pPr>
            <w:pStyle w:val="TOC3"/>
            <w:tabs>
              <w:tab w:val="right" w:leader="dot" w:pos="9628"/>
            </w:tabs>
            <w:rPr>
              <w:rFonts w:cstheme="minorBidi"/>
              <w:noProof/>
              <w:kern w:val="2"/>
              <w:szCs w:val="24"/>
              <w:lang w:eastAsia="en-GB"/>
              <w14:ligatures w14:val="standardContextual"/>
            </w:rPr>
          </w:pPr>
          <w:hyperlink w:anchor="_Toc161758519" w:history="1">
            <w:r w:rsidR="009E52EF" w:rsidRPr="00E313C6">
              <w:rPr>
                <w:rStyle w:val="Hyperlink"/>
                <w:noProof/>
              </w:rPr>
              <w:t>Material reuse and repair</w:t>
            </w:r>
            <w:r w:rsidR="009E52EF">
              <w:rPr>
                <w:noProof/>
                <w:webHidden/>
              </w:rPr>
              <w:tab/>
            </w:r>
            <w:r w:rsidR="009E52EF">
              <w:rPr>
                <w:noProof/>
                <w:webHidden/>
              </w:rPr>
              <w:fldChar w:fldCharType="begin"/>
            </w:r>
            <w:r w:rsidR="009E52EF">
              <w:rPr>
                <w:noProof/>
                <w:webHidden/>
              </w:rPr>
              <w:instrText xml:space="preserve"> PAGEREF _Toc161758519 \h </w:instrText>
            </w:r>
            <w:r w:rsidR="009E52EF">
              <w:rPr>
                <w:noProof/>
                <w:webHidden/>
              </w:rPr>
            </w:r>
            <w:r w:rsidR="009E52EF">
              <w:rPr>
                <w:noProof/>
                <w:webHidden/>
              </w:rPr>
              <w:fldChar w:fldCharType="separate"/>
            </w:r>
            <w:r w:rsidR="000378C7">
              <w:rPr>
                <w:noProof/>
                <w:webHidden/>
              </w:rPr>
              <w:t>20</w:t>
            </w:r>
            <w:r w:rsidR="009E52EF">
              <w:rPr>
                <w:noProof/>
                <w:webHidden/>
              </w:rPr>
              <w:fldChar w:fldCharType="end"/>
            </w:r>
          </w:hyperlink>
        </w:p>
        <w:p w14:paraId="3F1F4F84" w14:textId="4EA03542"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20" w:history="1">
            <w:r w:rsidR="009E52EF" w:rsidRPr="00E313C6">
              <w:rPr>
                <w:rStyle w:val="Hyperlink"/>
                <w:noProof/>
              </w:rPr>
              <w:t>Material stream discussion</w:t>
            </w:r>
            <w:r w:rsidR="009E52EF">
              <w:rPr>
                <w:noProof/>
                <w:webHidden/>
              </w:rPr>
              <w:tab/>
            </w:r>
            <w:r w:rsidR="009E52EF">
              <w:rPr>
                <w:noProof/>
                <w:webHidden/>
              </w:rPr>
              <w:fldChar w:fldCharType="begin"/>
            </w:r>
            <w:r w:rsidR="009E52EF">
              <w:rPr>
                <w:noProof/>
                <w:webHidden/>
              </w:rPr>
              <w:instrText xml:space="preserve"> PAGEREF _Toc161758520 \h </w:instrText>
            </w:r>
            <w:r w:rsidR="009E52EF">
              <w:rPr>
                <w:noProof/>
                <w:webHidden/>
              </w:rPr>
            </w:r>
            <w:r w:rsidR="009E52EF">
              <w:rPr>
                <w:noProof/>
                <w:webHidden/>
              </w:rPr>
              <w:fldChar w:fldCharType="separate"/>
            </w:r>
            <w:r w:rsidR="000378C7">
              <w:rPr>
                <w:noProof/>
                <w:webHidden/>
              </w:rPr>
              <w:t>22</w:t>
            </w:r>
            <w:r w:rsidR="009E52EF">
              <w:rPr>
                <w:noProof/>
                <w:webHidden/>
              </w:rPr>
              <w:fldChar w:fldCharType="end"/>
            </w:r>
          </w:hyperlink>
        </w:p>
        <w:p w14:paraId="2F3A4F8C" w14:textId="5F36B74E"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21" w:history="1">
            <w:r w:rsidR="009E52EF" w:rsidRPr="00E313C6">
              <w:rPr>
                <w:rStyle w:val="Hyperlink"/>
                <w:noProof/>
              </w:rPr>
              <w:t>Aggregates, masonry and soil</w:t>
            </w:r>
            <w:r w:rsidR="009E52EF">
              <w:rPr>
                <w:noProof/>
                <w:webHidden/>
              </w:rPr>
              <w:tab/>
            </w:r>
            <w:r w:rsidR="009E52EF">
              <w:rPr>
                <w:noProof/>
                <w:webHidden/>
              </w:rPr>
              <w:fldChar w:fldCharType="begin"/>
            </w:r>
            <w:r w:rsidR="009E52EF">
              <w:rPr>
                <w:noProof/>
                <w:webHidden/>
              </w:rPr>
              <w:instrText xml:space="preserve"> PAGEREF _Toc161758521 \h </w:instrText>
            </w:r>
            <w:r w:rsidR="009E52EF">
              <w:rPr>
                <w:noProof/>
                <w:webHidden/>
              </w:rPr>
            </w:r>
            <w:r w:rsidR="009E52EF">
              <w:rPr>
                <w:noProof/>
                <w:webHidden/>
              </w:rPr>
              <w:fldChar w:fldCharType="separate"/>
            </w:r>
            <w:r w:rsidR="000378C7">
              <w:rPr>
                <w:noProof/>
                <w:webHidden/>
              </w:rPr>
              <w:t>22</w:t>
            </w:r>
            <w:r w:rsidR="009E52EF">
              <w:rPr>
                <w:noProof/>
                <w:webHidden/>
              </w:rPr>
              <w:fldChar w:fldCharType="end"/>
            </w:r>
          </w:hyperlink>
        </w:p>
        <w:p w14:paraId="6B0A8A78" w14:textId="49B24830" w:rsidR="009E52EF" w:rsidRDefault="00000000">
          <w:pPr>
            <w:pStyle w:val="TOC3"/>
            <w:tabs>
              <w:tab w:val="right" w:leader="dot" w:pos="9628"/>
            </w:tabs>
            <w:rPr>
              <w:rFonts w:cstheme="minorBidi"/>
              <w:noProof/>
              <w:kern w:val="2"/>
              <w:szCs w:val="24"/>
              <w:lang w:eastAsia="en-GB"/>
              <w14:ligatures w14:val="standardContextual"/>
            </w:rPr>
          </w:pPr>
          <w:hyperlink w:anchor="_Toc161758522"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_Toc161758522 \h </w:instrText>
            </w:r>
            <w:r w:rsidR="009E52EF">
              <w:rPr>
                <w:noProof/>
                <w:webHidden/>
              </w:rPr>
            </w:r>
            <w:r w:rsidR="009E52EF">
              <w:rPr>
                <w:noProof/>
                <w:webHidden/>
              </w:rPr>
              <w:fldChar w:fldCharType="separate"/>
            </w:r>
            <w:r w:rsidR="000378C7">
              <w:rPr>
                <w:noProof/>
                <w:webHidden/>
              </w:rPr>
              <w:t>22</w:t>
            </w:r>
            <w:r w:rsidR="009E52EF">
              <w:rPr>
                <w:noProof/>
                <w:webHidden/>
              </w:rPr>
              <w:fldChar w:fldCharType="end"/>
            </w:r>
          </w:hyperlink>
        </w:p>
        <w:p w14:paraId="0E6F0AEB" w14:textId="213AA46A" w:rsidR="009E52EF" w:rsidRDefault="00000000">
          <w:pPr>
            <w:pStyle w:val="TOC3"/>
            <w:tabs>
              <w:tab w:val="right" w:leader="dot" w:pos="9628"/>
            </w:tabs>
            <w:rPr>
              <w:rFonts w:cstheme="minorBidi"/>
              <w:noProof/>
              <w:kern w:val="2"/>
              <w:szCs w:val="24"/>
              <w:lang w:eastAsia="en-GB"/>
              <w14:ligatures w14:val="standardContextual"/>
            </w:rPr>
          </w:pPr>
          <w:hyperlink w:anchor="_Toc161758523"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_Toc161758523 \h </w:instrText>
            </w:r>
            <w:r w:rsidR="009E52EF">
              <w:rPr>
                <w:noProof/>
                <w:webHidden/>
              </w:rPr>
            </w:r>
            <w:r w:rsidR="009E52EF">
              <w:rPr>
                <w:noProof/>
                <w:webHidden/>
              </w:rPr>
              <w:fldChar w:fldCharType="separate"/>
            </w:r>
            <w:r w:rsidR="000378C7">
              <w:rPr>
                <w:noProof/>
                <w:webHidden/>
              </w:rPr>
              <w:t>22</w:t>
            </w:r>
            <w:r w:rsidR="009E52EF">
              <w:rPr>
                <w:noProof/>
                <w:webHidden/>
              </w:rPr>
              <w:fldChar w:fldCharType="end"/>
            </w:r>
          </w:hyperlink>
        </w:p>
        <w:p w14:paraId="55028D72" w14:textId="70DCF9B3" w:rsidR="009E52EF" w:rsidRDefault="00000000">
          <w:pPr>
            <w:pStyle w:val="TOC3"/>
            <w:tabs>
              <w:tab w:val="right" w:leader="dot" w:pos="9628"/>
            </w:tabs>
            <w:rPr>
              <w:rFonts w:cstheme="minorBidi"/>
              <w:noProof/>
              <w:kern w:val="2"/>
              <w:szCs w:val="24"/>
              <w:lang w:eastAsia="en-GB"/>
              <w14:ligatures w14:val="standardContextual"/>
            </w:rPr>
          </w:pPr>
          <w:hyperlink w:anchor="_Toc161758524"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_Toc161758524 \h </w:instrText>
            </w:r>
            <w:r w:rsidR="009E52EF">
              <w:rPr>
                <w:noProof/>
                <w:webHidden/>
              </w:rPr>
            </w:r>
            <w:r w:rsidR="009E52EF">
              <w:rPr>
                <w:noProof/>
                <w:webHidden/>
              </w:rPr>
              <w:fldChar w:fldCharType="separate"/>
            </w:r>
            <w:r w:rsidR="000378C7">
              <w:rPr>
                <w:noProof/>
                <w:webHidden/>
              </w:rPr>
              <w:t>23</w:t>
            </w:r>
            <w:r w:rsidR="009E52EF">
              <w:rPr>
                <w:noProof/>
                <w:webHidden/>
              </w:rPr>
              <w:fldChar w:fldCharType="end"/>
            </w:r>
          </w:hyperlink>
        </w:p>
        <w:p w14:paraId="5DF93178" w14:textId="67AA2E68" w:rsidR="009E52EF" w:rsidRDefault="00000000">
          <w:pPr>
            <w:pStyle w:val="TOC3"/>
            <w:tabs>
              <w:tab w:val="right" w:leader="dot" w:pos="9628"/>
            </w:tabs>
            <w:rPr>
              <w:rFonts w:cstheme="minorBidi"/>
              <w:noProof/>
              <w:kern w:val="2"/>
              <w:szCs w:val="24"/>
              <w:lang w:eastAsia="en-GB"/>
              <w14:ligatures w14:val="standardContextual"/>
            </w:rPr>
          </w:pPr>
          <w:hyperlink w:anchor="_Toc161758525" w:history="1">
            <w:r w:rsidR="009E52EF" w:rsidRPr="00E313C6">
              <w:rPr>
                <w:rStyle w:val="Hyperlink"/>
                <w:noProof/>
              </w:rPr>
              <w:t>Areas for greater circularity – aggregates, masonry and soils</w:t>
            </w:r>
            <w:r w:rsidR="009E52EF">
              <w:rPr>
                <w:noProof/>
                <w:webHidden/>
              </w:rPr>
              <w:tab/>
            </w:r>
            <w:r w:rsidR="009E52EF">
              <w:rPr>
                <w:noProof/>
                <w:webHidden/>
              </w:rPr>
              <w:fldChar w:fldCharType="begin"/>
            </w:r>
            <w:r w:rsidR="009E52EF">
              <w:rPr>
                <w:noProof/>
                <w:webHidden/>
              </w:rPr>
              <w:instrText xml:space="preserve"> PAGEREF _Toc161758525 \h </w:instrText>
            </w:r>
            <w:r w:rsidR="009E52EF">
              <w:rPr>
                <w:noProof/>
                <w:webHidden/>
              </w:rPr>
            </w:r>
            <w:r w:rsidR="009E52EF">
              <w:rPr>
                <w:noProof/>
                <w:webHidden/>
              </w:rPr>
              <w:fldChar w:fldCharType="separate"/>
            </w:r>
            <w:r w:rsidR="000378C7">
              <w:rPr>
                <w:noProof/>
                <w:webHidden/>
              </w:rPr>
              <w:t>23</w:t>
            </w:r>
            <w:r w:rsidR="009E52EF">
              <w:rPr>
                <w:noProof/>
                <w:webHidden/>
              </w:rPr>
              <w:fldChar w:fldCharType="end"/>
            </w:r>
          </w:hyperlink>
        </w:p>
        <w:p w14:paraId="3BEBA761" w14:textId="0A1958D2"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26" w:history="1">
            <w:r w:rsidR="009E52EF" w:rsidRPr="00E313C6">
              <w:rPr>
                <w:rStyle w:val="Hyperlink"/>
                <w:noProof/>
              </w:rPr>
              <w:t>Glass</w:t>
            </w:r>
            <w:r w:rsidR="009E52EF">
              <w:rPr>
                <w:noProof/>
                <w:webHidden/>
              </w:rPr>
              <w:tab/>
            </w:r>
            <w:r w:rsidR="009E52EF">
              <w:rPr>
                <w:noProof/>
                <w:webHidden/>
              </w:rPr>
              <w:fldChar w:fldCharType="begin"/>
            </w:r>
            <w:r w:rsidR="009E52EF">
              <w:rPr>
                <w:noProof/>
                <w:webHidden/>
              </w:rPr>
              <w:instrText xml:space="preserve"> PAGEREF _Toc161758526 \h </w:instrText>
            </w:r>
            <w:r w:rsidR="009E52EF">
              <w:rPr>
                <w:noProof/>
                <w:webHidden/>
              </w:rPr>
            </w:r>
            <w:r w:rsidR="009E52EF">
              <w:rPr>
                <w:noProof/>
                <w:webHidden/>
              </w:rPr>
              <w:fldChar w:fldCharType="separate"/>
            </w:r>
            <w:r w:rsidR="000378C7">
              <w:rPr>
                <w:noProof/>
                <w:webHidden/>
              </w:rPr>
              <w:t>26</w:t>
            </w:r>
            <w:r w:rsidR="009E52EF">
              <w:rPr>
                <w:noProof/>
                <w:webHidden/>
              </w:rPr>
              <w:fldChar w:fldCharType="end"/>
            </w:r>
          </w:hyperlink>
        </w:p>
        <w:p w14:paraId="5A810576" w14:textId="56B1EE23" w:rsidR="009E52EF" w:rsidRDefault="00000000">
          <w:pPr>
            <w:pStyle w:val="TOC3"/>
            <w:tabs>
              <w:tab w:val="right" w:leader="dot" w:pos="9628"/>
            </w:tabs>
            <w:rPr>
              <w:rFonts w:cstheme="minorBidi"/>
              <w:noProof/>
              <w:kern w:val="2"/>
              <w:szCs w:val="24"/>
              <w:lang w:eastAsia="en-GB"/>
              <w14:ligatures w14:val="standardContextual"/>
            </w:rPr>
          </w:pPr>
          <w:hyperlink w:anchor="_Toc161758527"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_Toc161758527 \h </w:instrText>
            </w:r>
            <w:r w:rsidR="009E52EF">
              <w:rPr>
                <w:noProof/>
                <w:webHidden/>
              </w:rPr>
            </w:r>
            <w:r w:rsidR="009E52EF">
              <w:rPr>
                <w:noProof/>
                <w:webHidden/>
              </w:rPr>
              <w:fldChar w:fldCharType="separate"/>
            </w:r>
            <w:r w:rsidR="000378C7">
              <w:rPr>
                <w:noProof/>
                <w:webHidden/>
              </w:rPr>
              <w:t>26</w:t>
            </w:r>
            <w:r w:rsidR="009E52EF">
              <w:rPr>
                <w:noProof/>
                <w:webHidden/>
              </w:rPr>
              <w:fldChar w:fldCharType="end"/>
            </w:r>
          </w:hyperlink>
        </w:p>
        <w:p w14:paraId="22BB55D0" w14:textId="243266C8" w:rsidR="009E52EF" w:rsidRDefault="00000000">
          <w:pPr>
            <w:pStyle w:val="TOC3"/>
            <w:tabs>
              <w:tab w:val="right" w:leader="dot" w:pos="9628"/>
            </w:tabs>
            <w:rPr>
              <w:rFonts w:cstheme="minorBidi"/>
              <w:noProof/>
              <w:kern w:val="2"/>
              <w:szCs w:val="24"/>
              <w:lang w:eastAsia="en-GB"/>
              <w14:ligatures w14:val="standardContextual"/>
            </w:rPr>
          </w:pPr>
          <w:hyperlink w:anchor="_Toc161758528"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_Toc161758528 \h </w:instrText>
            </w:r>
            <w:r w:rsidR="009E52EF">
              <w:rPr>
                <w:noProof/>
                <w:webHidden/>
              </w:rPr>
            </w:r>
            <w:r w:rsidR="009E52EF">
              <w:rPr>
                <w:noProof/>
                <w:webHidden/>
              </w:rPr>
              <w:fldChar w:fldCharType="separate"/>
            </w:r>
            <w:r w:rsidR="000378C7">
              <w:rPr>
                <w:noProof/>
                <w:webHidden/>
              </w:rPr>
              <w:t>26</w:t>
            </w:r>
            <w:r w:rsidR="009E52EF">
              <w:rPr>
                <w:noProof/>
                <w:webHidden/>
              </w:rPr>
              <w:fldChar w:fldCharType="end"/>
            </w:r>
          </w:hyperlink>
        </w:p>
        <w:p w14:paraId="07D7CD28" w14:textId="0C141AD9" w:rsidR="009E52EF" w:rsidRDefault="00000000">
          <w:pPr>
            <w:pStyle w:val="TOC3"/>
            <w:tabs>
              <w:tab w:val="right" w:leader="dot" w:pos="9628"/>
            </w:tabs>
            <w:rPr>
              <w:rFonts w:cstheme="minorBidi"/>
              <w:noProof/>
              <w:kern w:val="2"/>
              <w:szCs w:val="24"/>
              <w:lang w:eastAsia="en-GB"/>
              <w14:ligatures w14:val="standardContextual"/>
            </w:rPr>
          </w:pPr>
          <w:hyperlink w:anchor="_Toc161758529"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_Toc161758529 \h </w:instrText>
            </w:r>
            <w:r w:rsidR="009E52EF">
              <w:rPr>
                <w:noProof/>
                <w:webHidden/>
              </w:rPr>
            </w:r>
            <w:r w:rsidR="009E52EF">
              <w:rPr>
                <w:noProof/>
                <w:webHidden/>
              </w:rPr>
              <w:fldChar w:fldCharType="separate"/>
            </w:r>
            <w:r w:rsidR="000378C7">
              <w:rPr>
                <w:noProof/>
                <w:webHidden/>
              </w:rPr>
              <w:t>27</w:t>
            </w:r>
            <w:r w:rsidR="009E52EF">
              <w:rPr>
                <w:noProof/>
                <w:webHidden/>
              </w:rPr>
              <w:fldChar w:fldCharType="end"/>
            </w:r>
          </w:hyperlink>
        </w:p>
        <w:p w14:paraId="7CE61AAB" w14:textId="67E2009D" w:rsidR="009E52EF" w:rsidRDefault="00000000">
          <w:pPr>
            <w:pStyle w:val="TOC3"/>
            <w:tabs>
              <w:tab w:val="right" w:leader="dot" w:pos="9628"/>
            </w:tabs>
            <w:rPr>
              <w:rFonts w:cstheme="minorBidi"/>
              <w:noProof/>
              <w:kern w:val="2"/>
              <w:szCs w:val="24"/>
              <w:lang w:eastAsia="en-GB"/>
              <w14:ligatures w14:val="standardContextual"/>
            </w:rPr>
          </w:pPr>
          <w:hyperlink w:anchor="_Toc161758530" w:history="1">
            <w:r w:rsidR="009E52EF" w:rsidRPr="00E313C6">
              <w:rPr>
                <w:rStyle w:val="Hyperlink"/>
                <w:noProof/>
              </w:rPr>
              <w:t>Areas for greater circularity – glass</w:t>
            </w:r>
            <w:r w:rsidR="009E52EF">
              <w:rPr>
                <w:noProof/>
                <w:webHidden/>
              </w:rPr>
              <w:tab/>
            </w:r>
            <w:r w:rsidR="009E52EF">
              <w:rPr>
                <w:noProof/>
                <w:webHidden/>
              </w:rPr>
              <w:fldChar w:fldCharType="begin"/>
            </w:r>
            <w:r w:rsidR="009E52EF">
              <w:rPr>
                <w:noProof/>
                <w:webHidden/>
              </w:rPr>
              <w:instrText xml:space="preserve"> PAGEREF _Toc161758530 \h </w:instrText>
            </w:r>
            <w:r w:rsidR="009E52EF">
              <w:rPr>
                <w:noProof/>
                <w:webHidden/>
              </w:rPr>
            </w:r>
            <w:r w:rsidR="009E52EF">
              <w:rPr>
                <w:noProof/>
                <w:webHidden/>
              </w:rPr>
              <w:fldChar w:fldCharType="separate"/>
            </w:r>
            <w:r w:rsidR="000378C7">
              <w:rPr>
                <w:noProof/>
                <w:webHidden/>
              </w:rPr>
              <w:t>27</w:t>
            </w:r>
            <w:r w:rsidR="009E52EF">
              <w:rPr>
                <w:noProof/>
                <w:webHidden/>
              </w:rPr>
              <w:fldChar w:fldCharType="end"/>
            </w:r>
          </w:hyperlink>
        </w:p>
        <w:p w14:paraId="229A1998" w14:textId="4AC36444"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31" w:history="1">
            <w:r w:rsidR="009E52EF" w:rsidRPr="00E313C6">
              <w:rPr>
                <w:rStyle w:val="Hyperlink"/>
                <w:noProof/>
              </w:rPr>
              <w:t>Metals</w:t>
            </w:r>
            <w:r w:rsidR="009E52EF">
              <w:rPr>
                <w:noProof/>
                <w:webHidden/>
              </w:rPr>
              <w:tab/>
            </w:r>
            <w:r w:rsidR="009E52EF">
              <w:rPr>
                <w:noProof/>
                <w:webHidden/>
              </w:rPr>
              <w:fldChar w:fldCharType="begin"/>
            </w:r>
            <w:r w:rsidR="009E52EF">
              <w:rPr>
                <w:noProof/>
                <w:webHidden/>
              </w:rPr>
              <w:instrText xml:space="preserve"> PAGEREF _Toc161758531 \h </w:instrText>
            </w:r>
            <w:r w:rsidR="009E52EF">
              <w:rPr>
                <w:noProof/>
                <w:webHidden/>
              </w:rPr>
            </w:r>
            <w:r w:rsidR="009E52EF">
              <w:rPr>
                <w:noProof/>
                <w:webHidden/>
              </w:rPr>
              <w:fldChar w:fldCharType="separate"/>
            </w:r>
            <w:r w:rsidR="000378C7">
              <w:rPr>
                <w:noProof/>
                <w:webHidden/>
              </w:rPr>
              <w:t>29</w:t>
            </w:r>
            <w:r w:rsidR="009E52EF">
              <w:rPr>
                <w:noProof/>
                <w:webHidden/>
              </w:rPr>
              <w:fldChar w:fldCharType="end"/>
            </w:r>
          </w:hyperlink>
        </w:p>
        <w:p w14:paraId="0CD49F48" w14:textId="70A6B03B" w:rsidR="009E52EF" w:rsidRDefault="00000000">
          <w:pPr>
            <w:pStyle w:val="TOC3"/>
            <w:tabs>
              <w:tab w:val="right" w:leader="dot" w:pos="9628"/>
            </w:tabs>
            <w:rPr>
              <w:rFonts w:cstheme="minorBidi"/>
              <w:noProof/>
              <w:kern w:val="2"/>
              <w:szCs w:val="24"/>
              <w:lang w:eastAsia="en-GB"/>
              <w14:ligatures w14:val="standardContextual"/>
            </w:rPr>
          </w:pPr>
          <w:hyperlink w:anchor="_Toc161758532"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_Toc161758532 \h </w:instrText>
            </w:r>
            <w:r w:rsidR="009E52EF">
              <w:rPr>
                <w:noProof/>
                <w:webHidden/>
              </w:rPr>
            </w:r>
            <w:r w:rsidR="009E52EF">
              <w:rPr>
                <w:noProof/>
                <w:webHidden/>
              </w:rPr>
              <w:fldChar w:fldCharType="separate"/>
            </w:r>
            <w:r w:rsidR="000378C7">
              <w:rPr>
                <w:noProof/>
                <w:webHidden/>
              </w:rPr>
              <w:t>29</w:t>
            </w:r>
            <w:r w:rsidR="009E52EF">
              <w:rPr>
                <w:noProof/>
                <w:webHidden/>
              </w:rPr>
              <w:fldChar w:fldCharType="end"/>
            </w:r>
          </w:hyperlink>
        </w:p>
        <w:p w14:paraId="53EF566F" w14:textId="01925831" w:rsidR="009E52EF" w:rsidRDefault="00000000">
          <w:pPr>
            <w:pStyle w:val="TOC3"/>
            <w:tabs>
              <w:tab w:val="right" w:leader="dot" w:pos="9628"/>
            </w:tabs>
            <w:rPr>
              <w:rFonts w:cstheme="minorBidi"/>
              <w:noProof/>
              <w:kern w:val="2"/>
              <w:szCs w:val="24"/>
              <w:lang w:eastAsia="en-GB"/>
              <w14:ligatures w14:val="standardContextual"/>
            </w:rPr>
          </w:pPr>
          <w:hyperlink w:anchor="_Toc161758533"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_Toc161758533 \h </w:instrText>
            </w:r>
            <w:r w:rsidR="009E52EF">
              <w:rPr>
                <w:noProof/>
                <w:webHidden/>
              </w:rPr>
            </w:r>
            <w:r w:rsidR="009E52EF">
              <w:rPr>
                <w:noProof/>
                <w:webHidden/>
              </w:rPr>
              <w:fldChar w:fldCharType="separate"/>
            </w:r>
            <w:r w:rsidR="000378C7">
              <w:rPr>
                <w:noProof/>
                <w:webHidden/>
              </w:rPr>
              <w:t>29</w:t>
            </w:r>
            <w:r w:rsidR="009E52EF">
              <w:rPr>
                <w:noProof/>
                <w:webHidden/>
              </w:rPr>
              <w:fldChar w:fldCharType="end"/>
            </w:r>
          </w:hyperlink>
        </w:p>
        <w:p w14:paraId="1FD3D2E4" w14:textId="59CC6D5F" w:rsidR="009E52EF" w:rsidRDefault="00000000">
          <w:pPr>
            <w:pStyle w:val="TOC3"/>
            <w:tabs>
              <w:tab w:val="right" w:leader="dot" w:pos="9628"/>
            </w:tabs>
            <w:rPr>
              <w:rFonts w:cstheme="minorBidi"/>
              <w:noProof/>
              <w:kern w:val="2"/>
              <w:szCs w:val="24"/>
              <w:lang w:eastAsia="en-GB"/>
              <w14:ligatures w14:val="standardContextual"/>
            </w:rPr>
          </w:pPr>
          <w:hyperlink w:anchor="_Toc161758534"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_Toc161758534 \h </w:instrText>
            </w:r>
            <w:r w:rsidR="009E52EF">
              <w:rPr>
                <w:noProof/>
                <w:webHidden/>
              </w:rPr>
            </w:r>
            <w:r w:rsidR="009E52EF">
              <w:rPr>
                <w:noProof/>
                <w:webHidden/>
              </w:rPr>
              <w:fldChar w:fldCharType="separate"/>
            </w:r>
            <w:r w:rsidR="000378C7">
              <w:rPr>
                <w:noProof/>
                <w:webHidden/>
              </w:rPr>
              <w:t>30</w:t>
            </w:r>
            <w:r w:rsidR="009E52EF">
              <w:rPr>
                <w:noProof/>
                <w:webHidden/>
              </w:rPr>
              <w:fldChar w:fldCharType="end"/>
            </w:r>
          </w:hyperlink>
        </w:p>
        <w:p w14:paraId="1C4E4441" w14:textId="3A695EC8" w:rsidR="009E52EF" w:rsidRDefault="00000000">
          <w:pPr>
            <w:pStyle w:val="TOC3"/>
            <w:tabs>
              <w:tab w:val="right" w:leader="dot" w:pos="9628"/>
            </w:tabs>
            <w:rPr>
              <w:rFonts w:cstheme="minorBidi"/>
              <w:noProof/>
              <w:kern w:val="2"/>
              <w:szCs w:val="24"/>
              <w:lang w:eastAsia="en-GB"/>
              <w14:ligatures w14:val="standardContextual"/>
            </w:rPr>
          </w:pPr>
          <w:hyperlink w:anchor="_Toc161758535" w:history="1">
            <w:r w:rsidR="009E52EF" w:rsidRPr="00E313C6">
              <w:rPr>
                <w:rStyle w:val="Hyperlink"/>
                <w:noProof/>
              </w:rPr>
              <w:t>Areas for greater circularity – metals</w:t>
            </w:r>
            <w:r w:rsidR="009E52EF">
              <w:rPr>
                <w:noProof/>
                <w:webHidden/>
              </w:rPr>
              <w:tab/>
            </w:r>
            <w:r w:rsidR="009E52EF">
              <w:rPr>
                <w:noProof/>
                <w:webHidden/>
              </w:rPr>
              <w:fldChar w:fldCharType="begin"/>
            </w:r>
            <w:r w:rsidR="009E52EF">
              <w:rPr>
                <w:noProof/>
                <w:webHidden/>
              </w:rPr>
              <w:instrText xml:space="preserve"> PAGEREF _Toc161758535 \h </w:instrText>
            </w:r>
            <w:r w:rsidR="009E52EF">
              <w:rPr>
                <w:noProof/>
                <w:webHidden/>
              </w:rPr>
            </w:r>
            <w:r w:rsidR="009E52EF">
              <w:rPr>
                <w:noProof/>
                <w:webHidden/>
              </w:rPr>
              <w:fldChar w:fldCharType="separate"/>
            </w:r>
            <w:r w:rsidR="000378C7">
              <w:rPr>
                <w:noProof/>
                <w:webHidden/>
              </w:rPr>
              <w:t>30</w:t>
            </w:r>
            <w:r w:rsidR="009E52EF">
              <w:rPr>
                <w:noProof/>
                <w:webHidden/>
              </w:rPr>
              <w:fldChar w:fldCharType="end"/>
            </w:r>
          </w:hyperlink>
        </w:p>
        <w:p w14:paraId="019D39C6" w14:textId="1D0F3C6A"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36" w:history="1">
            <w:r w:rsidR="009E52EF" w:rsidRPr="00E313C6">
              <w:rPr>
                <w:rStyle w:val="Hyperlink"/>
                <w:noProof/>
              </w:rPr>
              <w:t>Organics</w:t>
            </w:r>
            <w:r w:rsidR="009E52EF">
              <w:rPr>
                <w:noProof/>
                <w:webHidden/>
              </w:rPr>
              <w:tab/>
            </w:r>
            <w:r w:rsidR="009E52EF">
              <w:rPr>
                <w:noProof/>
                <w:webHidden/>
              </w:rPr>
              <w:fldChar w:fldCharType="begin"/>
            </w:r>
            <w:r w:rsidR="009E52EF">
              <w:rPr>
                <w:noProof/>
                <w:webHidden/>
              </w:rPr>
              <w:instrText xml:space="preserve"> PAGEREF _Toc161758536 \h </w:instrText>
            </w:r>
            <w:r w:rsidR="009E52EF">
              <w:rPr>
                <w:noProof/>
                <w:webHidden/>
              </w:rPr>
            </w:r>
            <w:r w:rsidR="009E52EF">
              <w:rPr>
                <w:noProof/>
                <w:webHidden/>
              </w:rPr>
              <w:fldChar w:fldCharType="separate"/>
            </w:r>
            <w:r w:rsidR="000378C7">
              <w:rPr>
                <w:noProof/>
                <w:webHidden/>
              </w:rPr>
              <w:t>32</w:t>
            </w:r>
            <w:r w:rsidR="009E52EF">
              <w:rPr>
                <w:noProof/>
                <w:webHidden/>
              </w:rPr>
              <w:fldChar w:fldCharType="end"/>
            </w:r>
          </w:hyperlink>
        </w:p>
        <w:p w14:paraId="07BE1156" w14:textId="0B899D75" w:rsidR="009E52EF" w:rsidRDefault="00000000">
          <w:pPr>
            <w:pStyle w:val="TOC3"/>
            <w:tabs>
              <w:tab w:val="right" w:leader="dot" w:pos="9628"/>
            </w:tabs>
            <w:rPr>
              <w:rFonts w:cstheme="minorBidi"/>
              <w:noProof/>
              <w:kern w:val="2"/>
              <w:szCs w:val="24"/>
              <w:lang w:eastAsia="en-GB"/>
              <w14:ligatures w14:val="standardContextual"/>
            </w:rPr>
          </w:pPr>
          <w:hyperlink w:anchor="_Toc161758537"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_Toc161758537 \h </w:instrText>
            </w:r>
            <w:r w:rsidR="009E52EF">
              <w:rPr>
                <w:noProof/>
                <w:webHidden/>
              </w:rPr>
            </w:r>
            <w:r w:rsidR="009E52EF">
              <w:rPr>
                <w:noProof/>
                <w:webHidden/>
              </w:rPr>
              <w:fldChar w:fldCharType="separate"/>
            </w:r>
            <w:r w:rsidR="000378C7">
              <w:rPr>
                <w:noProof/>
                <w:webHidden/>
              </w:rPr>
              <w:t>32</w:t>
            </w:r>
            <w:r w:rsidR="009E52EF">
              <w:rPr>
                <w:noProof/>
                <w:webHidden/>
              </w:rPr>
              <w:fldChar w:fldCharType="end"/>
            </w:r>
          </w:hyperlink>
        </w:p>
        <w:p w14:paraId="21ABD0C2" w14:textId="3DD0D840" w:rsidR="009E52EF" w:rsidRDefault="00000000">
          <w:pPr>
            <w:pStyle w:val="TOC3"/>
            <w:tabs>
              <w:tab w:val="right" w:leader="dot" w:pos="9628"/>
            </w:tabs>
            <w:rPr>
              <w:rFonts w:cstheme="minorBidi"/>
              <w:noProof/>
              <w:kern w:val="2"/>
              <w:szCs w:val="24"/>
              <w:lang w:eastAsia="en-GB"/>
              <w14:ligatures w14:val="standardContextual"/>
            </w:rPr>
          </w:pPr>
          <w:hyperlink w:anchor="_Toc161758538"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_Toc161758538 \h </w:instrText>
            </w:r>
            <w:r w:rsidR="009E52EF">
              <w:rPr>
                <w:noProof/>
                <w:webHidden/>
              </w:rPr>
            </w:r>
            <w:r w:rsidR="009E52EF">
              <w:rPr>
                <w:noProof/>
                <w:webHidden/>
              </w:rPr>
              <w:fldChar w:fldCharType="separate"/>
            </w:r>
            <w:r w:rsidR="000378C7">
              <w:rPr>
                <w:noProof/>
                <w:webHidden/>
              </w:rPr>
              <w:t>32</w:t>
            </w:r>
            <w:r w:rsidR="009E52EF">
              <w:rPr>
                <w:noProof/>
                <w:webHidden/>
              </w:rPr>
              <w:fldChar w:fldCharType="end"/>
            </w:r>
          </w:hyperlink>
        </w:p>
        <w:p w14:paraId="57747083" w14:textId="28775D22" w:rsidR="009E52EF" w:rsidRDefault="00000000">
          <w:pPr>
            <w:pStyle w:val="TOC3"/>
            <w:tabs>
              <w:tab w:val="right" w:leader="dot" w:pos="9628"/>
            </w:tabs>
            <w:rPr>
              <w:rFonts w:cstheme="minorBidi"/>
              <w:noProof/>
              <w:kern w:val="2"/>
              <w:szCs w:val="24"/>
              <w:lang w:eastAsia="en-GB"/>
              <w14:ligatures w14:val="standardContextual"/>
            </w:rPr>
          </w:pPr>
          <w:hyperlink w:anchor="_Toc161758539"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_Toc161758539 \h </w:instrText>
            </w:r>
            <w:r w:rsidR="009E52EF">
              <w:rPr>
                <w:noProof/>
                <w:webHidden/>
              </w:rPr>
            </w:r>
            <w:r w:rsidR="009E52EF">
              <w:rPr>
                <w:noProof/>
                <w:webHidden/>
              </w:rPr>
              <w:fldChar w:fldCharType="separate"/>
            </w:r>
            <w:r w:rsidR="000378C7">
              <w:rPr>
                <w:noProof/>
                <w:webHidden/>
              </w:rPr>
              <w:t>33</w:t>
            </w:r>
            <w:r w:rsidR="009E52EF">
              <w:rPr>
                <w:noProof/>
                <w:webHidden/>
              </w:rPr>
              <w:fldChar w:fldCharType="end"/>
            </w:r>
          </w:hyperlink>
        </w:p>
        <w:p w14:paraId="290D4578" w14:textId="5DC193B4" w:rsidR="009E52EF" w:rsidRDefault="00000000">
          <w:pPr>
            <w:pStyle w:val="TOC3"/>
            <w:tabs>
              <w:tab w:val="right" w:leader="dot" w:pos="9628"/>
            </w:tabs>
            <w:rPr>
              <w:rFonts w:cstheme="minorBidi"/>
              <w:noProof/>
              <w:kern w:val="2"/>
              <w:szCs w:val="24"/>
              <w:lang w:eastAsia="en-GB"/>
              <w14:ligatures w14:val="standardContextual"/>
            </w:rPr>
          </w:pPr>
          <w:hyperlink w:anchor="_Toc161758540" w:history="1">
            <w:r w:rsidR="009E52EF" w:rsidRPr="00E313C6">
              <w:rPr>
                <w:rStyle w:val="Hyperlink"/>
                <w:noProof/>
              </w:rPr>
              <w:t>Areas for greater circularity – organics</w:t>
            </w:r>
            <w:r w:rsidR="009E52EF">
              <w:rPr>
                <w:noProof/>
                <w:webHidden/>
              </w:rPr>
              <w:tab/>
            </w:r>
            <w:r w:rsidR="009E52EF">
              <w:rPr>
                <w:noProof/>
                <w:webHidden/>
              </w:rPr>
              <w:fldChar w:fldCharType="begin"/>
            </w:r>
            <w:r w:rsidR="009E52EF">
              <w:rPr>
                <w:noProof/>
                <w:webHidden/>
              </w:rPr>
              <w:instrText xml:space="preserve"> PAGEREF _Toc161758540 \h </w:instrText>
            </w:r>
            <w:r w:rsidR="009E52EF">
              <w:rPr>
                <w:noProof/>
                <w:webHidden/>
              </w:rPr>
            </w:r>
            <w:r w:rsidR="009E52EF">
              <w:rPr>
                <w:noProof/>
                <w:webHidden/>
              </w:rPr>
              <w:fldChar w:fldCharType="separate"/>
            </w:r>
            <w:r w:rsidR="000378C7">
              <w:rPr>
                <w:noProof/>
                <w:webHidden/>
              </w:rPr>
              <w:t>33</w:t>
            </w:r>
            <w:r w:rsidR="009E52EF">
              <w:rPr>
                <w:noProof/>
                <w:webHidden/>
              </w:rPr>
              <w:fldChar w:fldCharType="end"/>
            </w:r>
          </w:hyperlink>
        </w:p>
        <w:p w14:paraId="7D2ECFBA" w14:textId="1676AEB1"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41" w:history="1">
            <w:r w:rsidR="009E52EF" w:rsidRPr="00E313C6">
              <w:rPr>
                <w:rStyle w:val="Hyperlink"/>
                <w:noProof/>
              </w:rPr>
              <w:t>Paper and cardboard</w:t>
            </w:r>
            <w:r w:rsidR="009E52EF">
              <w:rPr>
                <w:noProof/>
                <w:webHidden/>
              </w:rPr>
              <w:tab/>
            </w:r>
            <w:r w:rsidR="009E52EF">
              <w:rPr>
                <w:noProof/>
                <w:webHidden/>
              </w:rPr>
              <w:fldChar w:fldCharType="begin"/>
            </w:r>
            <w:r w:rsidR="009E52EF">
              <w:rPr>
                <w:noProof/>
                <w:webHidden/>
              </w:rPr>
              <w:instrText xml:space="preserve"> PAGEREF _Toc161758541 \h </w:instrText>
            </w:r>
            <w:r w:rsidR="009E52EF">
              <w:rPr>
                <w:noProof/>
                <w:webHidden/>
              </w:rPr>
            </w:r>
            <w:r w:rsidR="009E52EF">
              <w:rPr>
                <w:noProof/>
                <w:webHidden/>
              </w:rPr>
              <w:fldChar w:fldCharType="separate"/>
            </w:r>
            <w:r w:rsidR="000378C7">
              <w:rPr>
                <w:noProof/>
                <w:webHidden/>
              </w:rPr>
              <w:t>36</w:t>
            </w:r>
            <w:r w:rsidR="009E52EF">
              <w:rPr>
                <w:noProof/>
                <w:webHidden/>
              </w:rPr>
              <w:fldChar w:fldCharType="end"/>
            </w:r>
          </w:hyperlink>
        </w:p>
        <w:p w14:paraId="07E40930" w14:textId="62678A37" w:rsidR="009E52EF" w:rsidRDefault="00000000">
          <w:pPr>
            <w:pStyle w:val="TOC3"/>
            <w:tabs>
              <w:tab w:val="right" w:leader="dot" w:pos="9628"/>
            </w:tabs>
            <w:rPr>
              <w:rFonts w:cstheme="minorBidi"/>
              <w:noProof/>
              <w:kern w:val="2"/>
              <w:szCs w:val="24"/>
              <w:lang w:eastAsia="en-GB"/>
              <w14:ligatures w14:val="standardContextual"/>
            </w:rPr>
          </w:pPr>
          <w:hyperlink w:anchor="_Toc161758542"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_Toc161758542 \h </w:instrText>
            </w:r>
            <w:r w:rsidR="009E52EF">
              <w:rPr>
                <w:noProof/>
                <w:webHidden/>
              </w:rPr>
            </w:r>
            <w:r w:rsidR="009E52EF">
              <w:rPr>
                <w:noProof/>
                <w:webHidden/>
              </w:rPr>
              <w:fldChar w:fldCharType="separate"/>
            </w:r>
            <w:r w:rsidR="000378C7">
              <w:rPr>
                <w:noProof/>
                <w:webHidden/>
              </w:rPr>
              <w:t>36</w:t>
            </w:r>
            <w:r w:rsidR="009E52EF">
              <w:rPr>
                <w:noProof/>
                <w:webHidden/>
              </w:rPr>
              <w:fldChar w:fldCharType="end"/>
            </w:r>
          </w:hyperlink>
        </w:p>
        <w:p w14:paraId="5241183B" w14:textId="422448A5" w:rsidR="009E52EF" w:rsidRDefault="00000000">
          <w:pPr>
            <w:pStyle w:val="TOC3"/>
            <w:tabs>
              <w:tab w:val="right" w:leader="dot" w:pos="9628"/>
            </w:tabs>
            <w:rPr>
              <w:rFonts w:cstheme="minorBidi"/>
              <w:noProof/>
              <w:kern w:val="2"/>
              <w:szCs w:val="24"/>
              <w:lang w:eastAsia="en-GB"/>
              <w14:ligatures w14:val="standardContextual"/>
            </w:rPr>
          </w:pPr>
          <w:hyperlink w:anchor="_Toc161758543"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_Toc161758543 \h </w:instrText>
            </w:r>
            <w:r w:rsidR="009E52EF">
              <w:rPr>
                <w:noProof/>
                <w:webHidden/>
              </w:rPr>
            </w:r>
            <w:r w:rsidR="009E52EF">
              <w:rPr>
                <w:noProof/>
                <w:webHidden/>
              </w:rPr>
              <w:fldChar w:fldCharType="separate"/>
            </w:r>
            <w:r w:rsidR="000378C7">
              <w:rPr>
                <w:noProof/>
                <w:webHidden/>
              </w:rPr>
              <w:t>37</w:t>
            </w:r>
            <w:r w:rsidR="009E52EF">
              <w:rPr>
                <w:noProof/>
                <w:webHidden/>
              </w:rPr>
              <w:fldChar w:fldCharType="end"/>
            </w:r>
          </w:hyperlink>
        </w:p>
        <w:p w14:paraId="264B6634" w14:textId="7A8A01DC" w:rsidR="009E52EF" w:rsidRDefault="00000000">
          <w:pPr>
            <w:pStyle w:val="TOC3"/>
            <w:tabs>
              <w:tab w:val="right" w:leader="dot" w:pos="9628"/>
            </w:tabs>
            <w:rPr>
              <w:rFonts w:cstheme="minorBidi"/>
              <w:noProof/>
              <w:kern w:val="2"/>
              <w:szCs w:val="24"/>
              <w:lang w:eastAsia="en-GB"/>
              <w14:ligatures w14:val="standardContextual"/>
            </w:rPr>
          </w:pPr>
          <w:hyperlink w:anchor="_Toc161758544"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_Toc161758544 \h </w:instrText>
            </w:r>
            <w:r w:rsidR="009E52EF">
              <w:rPr>
                <w:noProof/>
                <w:webHidden/>
              </w:rPr>
            </w:r>
            <w:r w:rsidR="009E52EF">
              <w:rPr>
                <w:noProof/>
                <w:webHidden/>
              </w:rPr>
              <w:fldChar w:fldCharType="separate"/>
            </w:r>
            <w:r w:rsidR="000378C7">
              <w:rPr>
                <w:noProof/>
                <w:webHidden/>
              </w:rPr>
              <w:t>37</w:t>
            </w:r>
            <w:r w:rsidR="009E52EF">
              <w:rPr>
                <w:noProof/>
                <w:webHidden/>
              </w:rPr>
              <w:fldChar w:fldCharType="end"/>
            </w:r>
          </w:hyperlink>
        </w:p>
        <w:p w14:paraId="359C9968" w14:textId="261F7933" w:rsidR="009E52EF" w:rsidRDefault="00000000">
          <w:pPr>
            <w:pStyle w:val="TOC3"/>
            <w:tabs>
              <w:tab w:val="right" w:leader="dot" w:pos="9628"/>
            </w:tabs>
            <w:rPr>
              <w:rFonts w:cstheme="minorBidi"/>
              <w:noProof/>
              <w:kern w:val="2"/>
              <w:szCs w:val="24"/>
              <w:lang w:eastAsia="en-GB"/>
              <w14:ligatures w14:val="standardContextual"/>
            </w:rPr>
          </w:pPr>
          <w:hyperlink w:anchor="_Toc161758545" w:history="1">
            <w:r w:rsidR="009E52EF" w:rsidRPr="00E313C6">
              <w:rPr>
                <w:rStyle w:val="Hyperlink"/>
                <w:noProof/>
              </w:rPr>
              <w:t>Areas for greater circularity – paper and cardboard</w:t>
            </w:r>
            <w:r w:rsidR="009E52EF">
              <w:rPr>
                <w:noProof/>
                <w:webHidden/>
              </w:rPr>
              <w:tab/>
            </w:r>
            <w:r w:rsidR="009E52EF">
              <w:rPr>
                <w:noProof/>
                <w:webHidden/>
              </w:rPr>
              <w:fldChar w:fldCharType="begin"/>
            </w:r>
            <w:r w:rsidR="009E52EF">
              <w:rPr>
                <w:noProof/>
                <w:webHidden/>
              </w:rPr>
              <w:instrText xml:space="preserve"> PAGEREF _Toc161758545 \h </w:instrText>
            </w:r>
            <w:r w:rsidR="009E52EF">
              <w:rPr>
                <w:noProof/>
                <w:webHidden/>
              </w:rPr>
            </w:r>
            <w:r w:rsidR="009E52EF">
              <w:rPr>
                <w:noProof/>
                <w:webHidden/>
              </w:rPr>
              <w:fldChar w:fldCharType="separate"/>
            </w:r>
            <w:r w:rsidR="000378C7">
              <w:rPr>
                <w:noProof/>
                <w:webHidden/>
              </w:rPr>
              <w:t>38</w:t>
            </w:r>
            <w:r w:rsidR="009E52EF">
              <w:rPr>
                <w:noProof/>
                <w:webHidden/>
              </w:rPr>
              <w:fldChar w:fldCharType="end"/>
            </w:r>
          </w:hyperlink>
        </w:p>
        <w:p w14:paraId="53B5ED51" w14:textId="6D90D739"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46" w:history="1">
            <w:r w:rsidR="009E52EF" w:rsidRPr="00E313C6">
              <w:rPr>
                <w:rStyle w:val="Hyperlink"/>
                <w:noProof/>
              </w:rPr>
              <w:t>Plastics</w:t>
            </w:r>
            <w:r w:rsidR="009E52EF">
              <w:rPr>
                <w:noProof/>
                <w:webHidden/>
              </w:rPr>
              <w:tab/>
            </w:r>
            <w:r w:rsidR="009E52EF">
              <w:rPr>
                <w:noProof/>
                <w:webHidden/>
              </w:rPr>
              <w:fldChar w:fldCharType="begin"/>
            </w:r>
            <w:r w:rsidR="009E52EF">
              <w:rPr>
                <w:noProof/>
                <w:webHidden/>
              </w:rPr>
              <w:instrText xml:space="preserve"> PAGEREF _Toc161758546 \h </w:instrText>
            </w:r>
            <w:r w:rsidR="009E52EF">
              <w:rPr>
                <w:noProof/>
                <w:webHidden/>
              </w:rPr>
            </w:r>
            <w:r w:rsidR="009E52EF">
              <w:rPr>
                <w:noProof/>
                <w:webHidden/>
              </w:rPr>
              <w:fldChar w:fldCharType="separate"/>
            </w:r>
            <w:r w:rsidR="000378C7">
              <w:rPr>
                <w:noProof/>
                <w:webHidden/>
              </w:rPr>
              <w:t>40</w:t>
            </w:r>
            <w:r w:rsidR="009E52EF">
              <w:rPr>
                <w:noProof/>
                <w:webHidden/>
              </w:rPr>
              <w:fldChar w:fldCharType="end"/>
            </w:r>
          </w:hyperlink>
        </w:p>
        <w:p w14:paraId="055E21A8" w14:textId="02C78F43" w:rsidR="009E52EF" w:rsidRDefault="00000000">
          <w:pPr>
            <w:pStyle w:val="TOC3"/>
            <w:tabs>
              <w:tab w:val="right" w:leader="dot" w:pos="9628"/>
            </w:tabs>
            <w:rPr>
              <w:rFonts w:cstheme="minorBidi"/>
              <w:noProof/>
              <w:kern w:val="2"/>
              <w:szCs w:val="24"/>
              <w:lang w:eastAsia="en-GB"/>
              <w14:ligatures w14:val="standardContextual"/>
            </w:rPr>
          </w:pPr>
          <w:hyperlink w:anchor="_Toc161758547"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_Toc161758547 \h </w:instrText>
            </w:r>
            <w:r w:rsidR="009E52EF">
              <w:rPr>
                <w:noProof/>
                <w:webHidden/>
              </w:rPr>
            </w:r>
            <w:r w:rsidR="009E52EF">
              <w:rPr>
                <w:noProof/>
                <w:webHidden/>
              </w:rPr>
              <w:fldChar w:fldCharType="separate"/>
            </w:r>
            <w:r w:rsidR="000378C7">
              <w:rPr>
                <w:noProof/>
                <w:webHidden/>
              </w:rPr>
              <w:t>40</w:t>
            </w:r>
            <w:r w:rsidR="009E52EF">
              <w:rPr>
                <w:noProof/>
                <w:webHidden/>
              </w:rPr>
              <w:fldChar w:fldCharType="end"/>
            </w:r>
          </w:hyperlink>
        </w:p>
        <w:p w14:paraId="073DECB9" w14:textId="0471CE1E" w:rsidR="009E52EF" w:rsidRDefault="00000000">
          <w:pPr>
            <w:pStyle w:val="TOC3"/>
            <w:tabs>
              <w:tab w:val="right" w:leader="dot" w:pos="9628"/>
            </w:tabs>
            <w:rPr>
              <w:rFonts w:cstheme="minorBidi"/>
              <w:noProof/>
              <w:kern w:val="2"/>
              <w:szCs w:val="24"/>
              <w:lang w:eastAsia="en-GB"/>
              <w14:ligatures w14:val="standardContextual"/>
            </w:rPr>
          </w:pPr>
          <w:hyperlink w:anchor="_Toc161758548"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_Toc161758548 \h </w:instrText>
            </w:r>
            <w:r w:rsidR="009E52EF">
              <w:rPr>
                <w:noProof/>
                <w:webHidden/>
              </w:rPr>
            </w:r>
            <w:r w:rsidR="009E52EF">
              <w:rPr>
                <w:noProof/>
                <w:webHidden/>
              </w:rPr>
              <w:fldChar w:fldCharType="separate"/>
            </w:r>
            <w:r w:rsidR="000378C7">
              <w:rPr>
                <w:noProof/>
                <w:webHidden/>
              </w:rPr>
              <w:t>42</w:t>
            </w:r>
            <w:r w:rsidR="009E52EF">
              <w:rPr>
                <w:noProof/>
                <w:webHidden/>
              </w:rPr>
              <w:fldChar w:fldCharType="end"/>
            </w:r>
          </w:hyperlink>
        </w:p>
        <w:p w14:paraId="6DAF1BA5" w14:textId="2FF8366A" w:rsidR="009E52EF" w:rsidRDefault="00000000">
          <w:pPr>
            <w:pStyle w:val="TOC3"/>
            <w:tabs>
              <w:tab w:val="right" w:leader="dot" w:pos="9628"/>
            </w:tabs>
            <w:rPr>
              <w:rFonts w:cstheme="minorBidi"/>
              <w:noProof/>
              <w:kern w:val="2"/>
              <w:szCs w:val="24"/>
              <w:lang w:eastAsia="en-GB"/>
              <w14:ligatures w14:val="standardContextual"/>
            </w:rPr>
          </w:pPr>
          <w:hyperlink w:anchor="_Toc161758549"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_Toc161758549 \h </w:instrText>
            </w:r>
            <w:r w:rsidR="009E52EF">
              <w:rPr>
                <w:noProof/>
                <w:webHidden/>
              </w:rPr>
            </w:r>
            <w:r w:rsidR="009E52EF">
              <w:rPr>
                <w:noProof/>
                <w:webHidden/>
              </w:rPr>
              <w:fldChar w:fldCharType="separate"/>
            </w:r>
            <w:r w:rsidR="000378C7">
              <w:rPr>
                <w:noProof/>
                <w:webHidden/>
              </w:rPr>
              <w:t>42</w:t>
            </w:r>
            <w:r w:rsidR="009E52EF">
              <w:rPr>
                <w:noProof/>
                <w:webHidden/>
              </w:rPr>
              <w:fldChar w:fldCharType="end"/>
            </w:r>
          </w:hyperlink>
        </w:p>
        <w:p w14:paraId="71C469BF" w14:textId="692ABCEB" w:rsidR="009E52EF" w:rsidRDefault="00000000">
          <w:pPr>
            <w:pStyle w:val="TOC3"/>
            <w:tabs>
              <w:tab w:val="right" w:leader="dot" w:pos="9628"/>
            </w:tabs>
            <w:rPr>
              <w:rFonts w:cstheme="minorBidi"/>
              <w:noProof/>
              <w:kern w:val="2"/>
              <w:szCs w:val="24"/>
              <w:lang w:eastAsia="en-GB"/>
              <w14:ligatures w14:val="standardContextual"/>
            </w:rPr>
          </w:pPr>
          <w:hyperlink w:anchor="_Toc161758550" w:history="1">
            <w:r w:rsidR="009E52EF" w:rsidRPr="00E313C6">
              <w:rPr>
                <w:rStyle w:val="Hyperlink"/>
                <w:noProof/>
              </w:rPr>
              <w:t>Areas for greater circularity – plastics</w:t>
            </w:r>
            <w:r w:rsidR="009E52EF">
              <w:rPr>
                <w:noProof/>
                <w:webHidden/>
              </w:rPr>
              <w:tab/>
            </w:r>
            <w:r w:rsidR="009E52EF">
              <w:rPr>
                <w:noProof/>
                <w:webHidden/>
              </w:rPr>
              <w:fldChar w:fldCharType="begin"/>
            </w:r>
            <w:r w:rsidR="009E52EF">
              <w:rPr>
                <w:noProof/>
                <w:webHidden/>
              </w:rPr>
              <w:instrText xml:space="preserve"> PAGEREF _Toc161758550 \h </w:instrText>
            </w:r>
            <w:r w:rsidR="009E52EF">
              <w:rPr>
                <w:noProof/>
                <w:webHidden/>
              </w:rPr>
            </w:r>
            <w:r w:rsidR="009E52EF">
              <w:rPr>
                <w:noProof/>
                <w:webHidden/>
              </w:rPr>
              <w:fldChar w:fldCharType="separate"/>
            </w:r>
            <w:r w:rsidR="000378C7">
              <w:rPr>
                <w:noProof/>
                <w:webHidden/>
              </w:rPr>
              <w:t>42</w:t>
            </w:r>
            <w:r w:rsidR="009E52EF">
              <w:rPr>
                <w:noProof/>
                <w:webHidden/>
              </w:rPr>
              <w:fldChar w:fldCharType="end"/>
            </w:r>
          </w:hyperlink>
        </w:p>
        <w:p w14:paraId="1719B84E" w14:textId="071EF098"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51" w:history="1">
            <w:r w:rsidR="009E52EF" w:rsidRPr="00E313C6">
              <w:rPr>
                <w:rStyle w:val="Hyperlink"/>
                <w:noProof/>
              </w:rPr>
              <w:t>Tyres</w:t>
            </w:r>
            <w:r w:rsidR="009E52EF">
              <w:rPr>
                <w:noProof/>
                <w:webHidden/>
              </w:rPr>
              <w:tab/>
            </w:r>
            <w:r w:rsidR="009E52EF">
              <w:rPr>
                <w:noProof/>
                <w:webHidden/>
              </w:rPr>
              <w:fldChar w:fldCharType="begin"/>
            </w:r>
            <w:r w:rsidR="009E52EF">
              <w:rPr>
                <w:noProof/>
                <w:webHidden/>
              </w:rPr>
              <w:instrText xml:space="preserve"> PAGEREF _Toc161758551 \h </w:instrText>
            </w:r>
            <w:r w:rsidR="009E52EF">
              <w:rPr>
                <w:noProof/>
                <w:webHidden/>
              </w:rPr>
            </w:r>
            <w:r w:rsidR="009E52EF">
              <w:rPr>
                <w:noProof/>
                <w:webHidden/>
              </w:rPr>
              <w:fldChar w:fldCharType="separate"/>
            </w:r>
            <w:r w:rsidR="000378C7">
              <w:rPr>
                <w:noProof/>
                <w:webHidden/>
              </w:rPr>
              <w:t>45</w:t>
            </w:r>
            <w:r w:rsidR="009E52EF">
              <w:rPr>
                <w:noProof/>
                <w:webHidden/>
              </w:rPr>
              <w:fldChar w:fldCharType="end"/>
            </w:r>
          </w:hyperlink>
        </w:p>
        <w:p w14:paraId="50C03BD0" w14:textId="3C0864A9" w:rsidR="009E52EF" w:rsidRDefault="00000000">
          <w:pPr>
            <w:pStyle w:val="TOC3"/>
            <w:tabs>
              <w:tab w:val="right" w:leader="dot" w:pos="9628"/>
            </w:tabs>
            <w:rPr>
              <w:rFonts w:cstheme="minorBidi"/>
              <w:noProof/>
              <w:kern w:val="2"/>
              <w:szCs w:val="24"/>
              <w:lang w:eastAsia="en-GB"/>
              <w14:ligatures w14:val="standardContextual"/>
            </w:rPr>
          </w:pPr>
          <w:hyperlink w:anchor="_Toc161758552"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_Toc161758552 \h </w:instrText>
            </w:r>
            <w:r w:rsidR="009E52EF">
              <w:rPr>
                <w:noProof/>
                <w:webHidden/>
              </w:rPr>
            </w:r>
            <w:r w:rsidR="009E52EF">
              <w:rPr>
                <w:noProof/>
                <w:webHidden/>
              </w:rPr>
              <w:fldChar w:fldCharType="separate"/>
            </w:r>
            <w:r w:rsidR="000378C7">
              <w:rPr>
                <w:noProof/>
                <w:webHidden/>
              </w:rPr>
              <w:t>45</w:t>
            </w:r>
            <w:r w:rsidR="009E52EF">
              <w:rPr>
                <w:noProof/>
                <w:webHidden/>
              </w:rPr>
              <w:fldChar w:fldCharType="end"/>
            </w:r>
          </w:hyperlink>
        </w:p>
        <w:p w14:paraId="79C36C3B" w14:textId="130CAC79" w:rsidR="009E52EF" w:rsidRDefault="00000000">
          <w:pPr>
            <w:pStyle w:val="TOC3"/>
            <w:tabs>
              <w:tab w:val="right" w:leader="dot" w:pos="9628"/>
            </w:tabs>
            <w:rPr>
              <w:rFonts w:cstheme="minorBidi"/>
              <w:noProof/>
              <w:kern w:val="2"/>
              <w:szCs w:val="24"/>
              <w:lang w:eastAsia="en-GB"/>
              <w14:ligatures w14:val="standardContextual"/>
            </w:rPr>
          </w:pPr>
          <w:hyperlink w:anchor="_Toc161758553"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_Toc161758553 \h </w:instrText>
            </w:r>
            <w:r w:rsidR="009E52EF">
              <w:rPr>
                <w:noProof/>
                <w:webHidden/>
              </w:rPr>
            </w:r>
            <w:r w:rsidR="009E52EF">
              <w:rPr>
                <w:noProof/>
                <w:webHidden/>
              </w:rPr>
              <w:fldChar w:fldCharType="separate"/>
            </w:r>
            <w:r w:rsidR="000378C7">
              <w:rPr>
                <w:noProof/>
                <w:webHidden/>
              </w:rPr>
              <w:t>46</w:t>
            </w:r>
            <w:r w:rsidR="009E52EF">
              <w:rPr>
                <w:noProof/>
                <w:webHidden/>
              </w:rPr>
              <w:fldChar w:fldCharType="end"/>
            </w:r>
          </w:hyperlink>
        </w:p>
        <w:p w14:paraId="591C132F" w14:textId="2CCCA1C6" w:rsidR="009E52EF" w:rsidRDefault="00000000">
          <w:pPr>
            <w:pStyle w:val="TOC3"/>
            <w:tabs>
              <w:tab w:val="right" w:leader="dot" w:pos="9628"/>
            </w:tabs>
            <w:rPr>
              <w:rFonts w:cstheme="minorBidi"/>
              <w:noProof/>
              <w:kern w:val="2"/>
              <w:szCs w:val="24"/>
              <w:lang w:eastAsia="en-GB"/>
              <w14:ligatures w14:val="standardContextual"/>
            </w:rPr>
          </w:pPr>
          <w:hyperlink w:anchor="_Toc161758554"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_Toc161758554 \h </w:instrText>
            </w:r>
            <w:r w:rsidR="009E52EF">
              <w:rPr>
                <w:noProof/>
                <w:webHidden/>
              </w:rPr>
            </w:r>
            <w:r w:rsidR="009E52EF">
              <w:rPr>
                <w:noProof/>
                <w:webHidden/>
              </w:rPr>
              <w:fldChar w:fldCharType="separate"/>
            </w:r>
            <w:r w:rsidR="000378C7">
              <w:rPr>
                <w:noProof/>
                <w:webHidden/>
              </w:rPr>
              <w:t>46</w:t>
            </w:r>
            <w:r w:rsidR="009E52EF">
              <w:rPr>
                <w:noProof/>
                <w:webHidden/>
              </w:rPr>
              <w:fldChar w:fldCharType="end"/>
            </w:r>
          </w:hyperlink>
        </w:p>
        <w:p w14:paraId="2518E6BD" w14:textId="25C5A98E" w:rsidR="009E52EF" w:rsidRDefault="00000000">
          <w:pPr>
            <w:pStyle w:val="TOC3"/>
            <w:tabs>
              <w:tab w:val="right" w:leader="dot" w:pos="9628"/>
            </w:tabs>
            <w:rPr>
              <w:rFonts w:cstheme="minorBidi"/>
              <w:noProof/>
              <w:kern w:val="2"/>
              <w:szCs w:val="24"/>
              <w:lang w:eastAsia="en-GB"/>
              <w14:ligatures w14:val="standardContextual"/>
            </w:rPr>
          </w:pPr>
          <w:hyperlink w:anchor="_Toc161758555" w:history="1">
            <w:r w:rsidR="009E52EF" w:rsidRPr="00E313C6">
              <w:rPr>
                <w:rStyle w:val="Hyperlink"/>
                <w:noProof/>
              </w:rPr>
              <w:t>Areas for greater circularity – tyres</w:t>
            </w:r>
            <w:r w:rsidR="009E52EF">
              <w:rPr>
                <w:noProof/>
                <w:webHidden/>
              </w:rPr>
              <w:tab/>
            </w:r>
            <w:r w:rsidR="009E52EF">
              <w:rPr>
                <w:noProof/>
                <w:webHidden/>
              </w:rPr>
              <w:fldChar w:fldCharType="begin"/>
            </w:r>
            <w:r w:rsidR="009E52EF">
              <w:rPr>
                <w:noProof/>
                <w:webHidden/>
              </w:rPr>
              <w:instrText xml:space="preserve"> PAGEREF _Toc161758555 \h </w:instrText>
            </w:r>
            <w:r w:rsidR="009E52EF">
              <w:rPr>
                <w:noProof/>
                <w:webHidden/>
              </w:rPr>
            </w:r>
            <w:r w:rsidR="009E52EF">
              <w:rPr>
                <w:noProof/>
                <w:webHidden/>
              </w:rPr>
              <w:fldChar w:fldCharType="separate"/>
            </w:r>
            <w:r w:rsidR="000378C7">
              <w:rPr>
                <w:noProof/>
                <w:webHidden/>
              </w:rPr>
              <w:t>47</w:t>
            </w:r>
            <w:r w:rsidR="009E52EF">
              <w:rPr>
                <w:noProof/>
                <w:webHidden/>
              </w:rPr>
              <w:fldChar w:fldCharType="end"/>
            </w:r>
          </w:hyperlink>
        </w:p>
        <w:p w14:paraId="4758B362" w14:textId="2FAE4B54"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56" w:history="1">
            <w:r w:rsidR="009E52EF" w:rsidRPr="00E313C6">
              <w:rPr>
                <w:rStyle w:val="Hyperlink"/>
                <w:noProof/>
              </w:rPr>
              <w:t>Textiles</w:t>
            </w:r>
            <w:r w:rsidR="009E52EF">
              <w:rPr>
                <w:noProof/>
                <w:webHidden/>
              </w:rPr>
              <w:tab/>
            </w:r>
            <w:r w:rsidR="009E52EF">
              <w:rPr>
                <w:noProof/>
                <w:webHidden/>
              </w:rPr>
              <w:fldChar w:fldCharType="begin"/>
            </w:r>
            <w:r w:rsidR="009E52EF">
              <w:rPr>
                <w:noProof/>
                <w:webHidden/>
              </w:rPr>
              <w:instrText xml:space="preserve"> PAGEREF _Toc161758556 \h </w:instrText>
            </w:r>
            <w:r w:rsidR="009E52EF">
              <w:rPr>
                <w:noProof/>
                <w:webHidden/>
              </w:rPr>
            </w:r>
            <w:r w:rsidR="009E52EF">
              <w:rPr>
                <w:noProof/>
                <w:webHidden/>
              </w:rPr>
              <w:fldChar w:fldCharType="separate"/>
            </w:r>
            <w:r w:rsidR="000378C7">
              <w:rPr>
                <w:noProof/>
                <w:webHidden/>
              </w:rPr>
              <w:t>48</w:t>
            </w:r>
            <w:r w:rsidR="009E52EF">
              <w:rPr>
                <w:noProof/>
                <w:webHidden/>
              </w:rPr>
              <w:fldChar w:fldCharType="end"/>
            </w:r>
          </w:hyperlink>
        </w:p>
        <w:p w14:paraId="30E67E76" w14:textId="4B8F0EF9" w:rsidR="009E52EF" w:rsidRDefault="00000000">
          <w:pPr>
            <w:pStyle w:val="TOC3"/>
            <w:tabs>
              <w:tab w:val="right" w:leader="dot" w:pos="9628"/>
            </w:tabs>
            <w:rPr>
              <w:rFonts w:cstheme="minorBidi"/>
              <w:noProof/>
              <w:kern w:val="2"/>
              <w:szCs w:val="24"/>
              <w:lang w:eastAsia="en-GB"/>
              <w14:ligatures w14:val="standardContextual"/>
            </w:rPr>
          </w:pPr>
          <w:hyperlink w:anchor="_Toc161758557" w:history="1">
            <w:r w:rsidR="009E52EF" w:rsidRPr="00E313C6">
              <w:rPr>
                <w:rStyle w:val="Hyperlink"/>
                <w:noProof/>
              </w:rPr>
              <w:t>Developments and changes</w:t>
            </w:r>
            <w:r w:rsidR="009E52EF">
              <w:rPr>
                <w:noProof/>
                <w:webHidden/>
              </w:rPr>
              <w:tab/>
            </w:r>
            <w:r w:rsidR="009E52EF">
              <w:rPr>
                <w:noProof/>
                <w:webHidden/>
              </w:rPr>
              <w:fldChar w:fldCharType="begin"/>
            </w:r>
            <w:r w:rsidR="009E52EF">
              <w:rPr>
                <w:noProof/>
                <w:webHidden/>
              </w:rPr>
              <w:instrText xml:space="preserve"> PAGEREF _Toc161758557 \h </w:instrText>
            </w:r>
            <w:r w:rsidR="009E52EF">
              <w:rPr>
                <w:noProof/>
                <w:webHidden/>
              </w:rPr>
            </w:r>
            <w:r w:rsidR="009E52EF">
              <w:rPr>
                <w:noProof/>
                <w:webHidden/>
              </w:rPr>
              <w:fldChar w:fldCharType="separate"/>
            </w:r>
            <w:r w:rsidR="000378C7">
              <w:rPr>
                <w:noProof/>
                <w:webHidden/>
              </w:rPr>
              <w:t>49</w:t>
            </w:r>
            <w:r w:rsidR="009E52EF">
              <w:rPr>
                <w:noProof/>
                <w:webHidden/>
              </w:rPr>
              <w:fldChar w:fldCharType="end"/>
            </w:r>
          </w:hyperlink>
        </w:p>
        <w:p w14:paraId="158E2FC4" w14:textId="513B3506" w:rsidR="009E52EF" w:rsidRDefault="00000000">
          <w:pPr>
            <w:pStyle w:val="TOC3"/>
            <w:tabs>
              <w:tab w:val="right" w:leader="dot" w:pos="9628"/>
            </w:tabs>
            <w:rPr>
              <w:rFonts w:cstheme="minorBidi"/>
              <w:noProof/>
              <w:kern w:val="2"/>
              <w:szCs w:val="24"/>
              <w:lang w:eastAsia="en-GB"/>
              <w14:ligatures w14:val="standardContextual"/>
            </w:rPr>
          </w:pPr>
          <w:hyperlink w:anchor="_Toc161758558" w:history="1">
            <w:r w:rsidR="009E52EF" w:rsidRPr="00E313C6">
              <w:rPr>
                <w:rStyle w:val="Hyperlink"/>
                <w:noProof/>
              </w:rPr>
              <w:t>Market performance</w:t>
            </w:r>
            <w:r w:rsidR="009E52EF">
              <w:rPr>
                <w:noProof/>
                <w:webHidden/>
              </w:rPr>
              <w:tab/>
            </w:r>
            <w:r w:rsidR="009E52EF">
              <w:rPr>
                <w:noProof/>
                <w:webHidden/>
              </w:rPr>
              <w:fldChar w:fldCharType="begin"/>
            </w:r>
            <w:r w:rsidR="009E52EF">
              <w:rPr>
                <w:noProof/>
                <w:webHidden/>
              </w:rPr>
              <w:instrText xml:space="preserve"> PAGEREF _Toc161758558 \h </w:instrText>
            </w:r>
            <w:r w:rsidR="009E52EF">
              <w:rPr>
                <w:noProof/>
                <w:webHidden/>
              </w:rPr>
            </w:r>
            <w:r w:rsidR="009E52EF">
              <w:rPr>
                <w:noProof/>
                <w:webHidden/>
              </w:rPr>
              <w:fldChar w:fldCharType="separate"/>
            </w:r>
            <w:r w:rsidR="000378C7">
              <w:rPr>
                <w:noProof/>
                <w:webHidden/>
              </w:rPr>
              <w:t>49</w:t>
            </w:r>
            <w:r w:rsidR="009E52EF">
              <w:rPr>
                <w:noProof/>
                <w:webHidden/>
              </w:rPr>
              <w:fldChar w:fldCharType="end"/>
            </w:r>
          </w:hyperlink>
        </w:p>
        <w:p w14:paraId="0ACB1CD7" w14:textId="00DC7D7F" w:rsidR="009E52EF" w:rsidRDefault="00000000">
          <w:pPr>
            <w:pStyle w:val="TOC3"/>
            <w:tabs>
              <w:tab w:val="right" w:leader="dot" w:pos="9628"/>
            </w:tabs>
            <w:rPr>
              <w:rFonts w:cstheme="minorBidi"/>
              <w:noProof/>
              <w:kern w:val="2"/>
              <w:szCs w:val="24"/>
              <w:lang w:eastAsia="en-GB"/>
              <w14:ligatures w14:val="standardContextual"/>
            </w:rPr>
          </w:pPr>
          <w:hyperlink w:anchor="_Toc161758559" w:history="1">
            <w:r w:rsidR="009E52EF" w:rsidRPr="00E313C6">
              <w:rPr>
                <w:rStyle w:val="Hyperlink"/>
                <w:noProof/>
              </w:rPr>
              <w:t>Market issues and challenges</w:t>
            </w:r>
            <w:r w:rsidR="009E52EF">
              <w:rPr>
                <w:noProof/>
                <w:webHidden/>
              </w:rPr>
              <w:tab/>
            </w:r>
            <w:r w:rsidR="009E52EF">
              <w:rPr>
                <w:noProof/>
                <w:webHidden/>
              </w:rPr>
              <w:fldChar w:fldCharType="begin"/>
            </w:r>
            <w:r w:rsidR="009E52EF">
              <w:rPr>
                <w:noProof/>
                <w:webHidden/>
              </w:rPr>
              <w:instrText xml:space="preserve"> PAGEREF _Toc161758559 \h </w:instrText>
            </w:r>
            <w:r w:rsidR="009E52EF">
              <w:rPr>
                <w:noProof/>
                <w:webHidden/>
              </w:rPr>
            </w:r>
            <w:r w:rsidR="009E52EF">
              <w:rPr>
                <w:noProof/>
                <w:webHidden/>
              </w:rPr>
              <w:fldChar w:fldCharType="separate"/>
            </w:r>
            <w:r w:rsidR="000378C7">
              <w:rPr>
                <w:noProof/>
                <w:webHidden/>
              </w:rPr>
              <w:t>50</w:t>
            </w:r>
            <w:r w:rsidR="009E52EF">
              <w:rPr>
                <w:noProof/>
                <w:webHidden/>
              </w:rPr>
              <w:fldChar w:fldCharType="end"/>
            </w:r>
          </w:hyperlink>
        </w:p>
        <w:p w14:paraId="2D1E2525" w14:textId="60A9D12D" w:rsidR="009E52EF" w:rsidRDefault="00000000">
          <w:pPr>
            <w:pStyle w:val="TOC3"/>
            <w:tabs>
              <w:tab w:val="right" w:leader="dot" w:pos="9628"/>
            </w:tabs>
            <w:rPr>
              <w:rFonts w:cstheme="minorBidi"/>
              <w:noProof/>
              <w:kern w:val="2"/>
              <w:szCs w:val="24"/>
              <w:lang w:eastAsia="en-GB"/>
              <w14:ligatures w14:val="standardContextual"/>
            </w:rPr>
          </w:pPr>
          <w:hyperlink w:anchor="_Toc161758560" w:history="1">
            <w:r w:rsidR="009E52EF" w:rsidRPr="00E313C6">
              <w:rPr>
                <w:rStyle w:val="Hyperlink"/>
                <w:noProof/>
              </w:rPr>
              <w:t>Areas for greater circularity – textiles</w:t>
            </w:r>
            <w:r w:rsidR="009E52EF">
              <w:rPr>
                <w:noProof/>
                <w:webHidden/>
              </w:rPr>
              <w:tab/>
            </w:r>
            <w:r w:rsidR="009E52EF">
              <w:rPr>
                <w:noProof/>
                <w:webHidden/>
              </w:rPr>
              <w:fldChar w:fldCharType="begin"/>
            </w:r>
            <w:r w:rsidR="009E52EF">
              <w:rPr>
                <w:noProof/>
                <w:webHidden/>
              </w:rPr>
              <w:instrText xml:space="preserve"> PAGEREF _Toc161758560 \h </w:instrText>
            </w:r>
            <w:r w:rsidR="009E52EF">
              <w:rPr>
                <w:noProof/>
                <w:webHidden/>
              </w:rPr>
            </w:r>
            <w:r w:rsidR="009E52EF">
              <w:rPr>
                <w:noProof/>
                <w:webHidden/>
              </w:rPr>
              <w:fldChar w:fldCharType="separate"/>
            </w:r>
            <w:r w:rsidR="000378C7">
              <w:rPr>
                <w:noProof/>
                <w:webHidden/>
              </w:rPr>
              <w:t>50</w:t>
            </w:r>
            <w:r w:rsidR="009E52EF">
              <w:rPr>
                <w:noProof/>
                <w:webHidden/>
              </w:rPr>
              <w:fldChar w:fldCharType="end"/>
            </w:r>
          </w:hyperlink>
        </w:p>
        <w:p w14:paraId="7883C964" w14:textId="10BB7DAD"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61" w:history="1">
            <w:r w:rsidR="009E52EF" w:rsidRPr="00E313C6">
              <w:rPr>
                <w:rStyle w:val="Hyperlink"/>
                <w:noProof/>
              </w:rPr>
              <w:t>Emerging materials and products</w:t>
            </w:r>
            <w:r w:rsidR="009E52EF">
              <w:rPr>
                <w:noProof/>
                <w:webHidden/>
              </w:rPr>
              <w:tab/>
            </w:r>
            <w:r w:rsidR="009E52EF">
              <w:rPr>
                <w:noProof/>
                <w:webHidden/>
              </w:rPr>
              <w:fldChar w:fldCharType="begin"/>
            </w:r>
            <w:r w:rsidR="009E52EF">
              <w:rPr>
                <w:noProof/>
                <w:webHidden/>
              </w:rPr>
              <w:instrText xml:space="preserve"> PAGEREF _Toc161758561 \h </w:instrText>
            </w:r>
            <w:r w:rsidR="009E52EF">
              <w:rPr>
                <w:noProof/>
                <w:webHidden/>
              </w:rPr>
            </w:r>
            <w:r w:rsidR="009E52EF">
              <w:rPr>
                <w:noProof/>
                <w:webHidden/>
              </w:rPr>
              <w:fldChar w:fldCharType="separate"/>
            </w:r>
            <w:r w:rsidR="000378C7">
              <w:rPr>
                <w:noProof/>
                <w:webHidden/>
              </w:rPr>
              <w:t>51</w:t>
            </w:r>
            <w:r w:rsidR="009E52EF">
              <w:rPr>
                <w:noProof/>
                <w:webHidden/>
              </w:rPr>
              <w:fldChar w:fldCharType="end"/>
            </w:r>
          </w:hyperlink>
        </w:p>
        <w:p w14:paraId="72D1F012" w14:textId="0611BECF" w:rsidR="009E52EF" w:rsidRDefault="00000000">
          <w:pPr>
            <w:pStyle w:val="TOC3"/>
            <w:tabs>
              <w:tab w:val="right" w:leader="dot" w:pos="9628"/>
            </w:tabs>
            <w:rPr>
              <w:rFonts w:cstheme="minorBidi"/>
              <w:noProof/>
              <w:kern w:val="2"/>
              <w:szCs w:val="24"/>
              <w:lang w:eastAsia="en-GB"/>
              <w14:ligatures w14:val="standardContextual"/>
            </w:rPr>
          </w:pPr>
          <w:hyperlink w:anchor="_Toc161758562" w:history="1">
            <w:r w:rsidR="009E52EF" w:rsidRPr="00E313C6">
              <w:rPr>
                <w:rStyle w:val="Hyperlink"/>
                <w:noProof/>
                <w:kern w:val="24"/>
              </w:rPr>
              <w:t>Photovoltaics</w:t>
            </w:r>
            <w:r w:rsidR="009E52EF">
              <w:rPr>
                <w:noProof/>
                <w:webHidden/>
              </w:rPr>
              <w:tab/>
            </w:r>
            <w:r w:rsidR="009E52EF">
              <w:rPr>
                <w:noProof/>
                <w:webHidden/>
              </w:rPr>
              <w:fldChar w:fldCharType="begin"/>
            </w:r>
            <w:r w:rsidR="009E52EF">
              <w:rPr>
                <w:noProof/>
                <w:webHidden/>
              </w:rPr>
              <w:instrText xml:space="preserve"> PAGEREF _Toc161758562 \h </w:instrText>
            </w:r>
            <w:r w:rsidR="009E52EF">
              <w:rPr>
                <w:noProof/>
                <w:webHidden/>
              </w:rPr>
            </w:r>
            <w:r w:rsidR="009E52EF">
              <w:rPr>
                <w:noProof/>
                <w:webHidden/>
              </w:rPr>
              <w:fldChar w:fldCharType="separate"/>
            </w:r>
            <w:r w:rsidR="000378C7">
              <w:rPr>
                <w:noProof/>
                <w:webHidden/>
              </w:rPr>
              <w:t>52</w:t>
            </w:r>
            <w:r w:rsidR="009E52EF">
              <w:rPr>
                <w:noProof/>
                <w:webHidden/>
              </w:rPr>
              <w:fldChar w:fldCharType="end"/>
            </w:r>
          </w:hyperlink>
        </w:p>
        <w:p w14:paraId="7AF3CE35" w14:textId="186FAECC" w:rsidR="009E52EF" w:rsidRDefault="00000000">
          <w:pPr>
            <w:pStyle w:val="TOC3"/>
            <w:tabs>
              <w:tab w:val="right" w:leader="dot" w:pos="9628"/>
            </w:tabs>
            <w:rPr>
              <w:rFonts w:cstheme="minorBidi"/>
              <w:noProof/>
              <w:kern w:val="2"/>
              <w:szCs w:val="24"/>
              <w:lang w:eastAsia="en-GB"/>
              <w14:ligatures w14:val="standardContextual"/>
            </w:rPr>
          </w:pPr>
          <w:hyperlink w:anchor="_Toc161758563" w:history="1">
            <w:r w:rsidR="009E52EF" w:rsidRPr="00E313C6">
              <w:rPr>
                <w:rStyle w:val="Hyperlink"/>
                <w:noProof/>
              </w:rPr>
              <w:t>Batteries</w:t>
            </w:r>
            <w:r w:rsidR="009E52EF">
              <w:rPr>
                <w:noProof/>
                <w:webHidden/>
              </w:rPr>
              <w:tab/>
            </w:r>
            <w:r w:rsidR="009E52EF">
              <w:rPr>
                <w:noProof/>
                <w:webHidden/>
              </w:rPr>
              <w:fldChar w:fldCharType="begin"/>
            </w:r>
            <w:r w:rsidR="009E52EF">
              <w:rPr>
                <w:noProof/>
                <w:webHidden/>
              </w:rPr>
              <w:instrText xml:space="preserve"> PAGEREF _Toc161758563 \h </w:instrText>
            </w:r>
            <w:r w:rsidR="009E52EF">
              <w:rPr>
                <w:noProof/>
                <w:webHidden/>
              </w:rPr>
            </w:r>
            <w:r w:rsidR="009E52EF">
              <w:rPr>
                <w:noProof/>
                <w:webHidden/>
              </w:rPr>
              <w:fldChar w:fldCharType="separate"/>
            </w:r>
            <w:r w:rsidR="000378C7">
              <w:rPr>
                <w:noProof/>
                <w:webHidden/>
              </w:rPr>
              <w:t>52</w:t>
            </w:r>
            <w:r w:rsidR="009E52EF">
              <w:rPr>
                <w:noProof/>
                <w:webHidden/>
              </w:rPr>
              <w:fldChar w:fldCharType="end"/>
            </w:r>
          </w:hyperlink>
        </w:p>
        <w:p w14:paraId="763AC834" w14:textId="5AE8BF0B" w:rsidR="009E52EF" w:rsidRDefault="00000000">
          <w:pPr>
            <w:pStyle w:val="TOC3"/>
            <w:tabs>
              <w:tab w:val="right" w:leader="dot" w:pos="9628"/>
            </w:tabs>
            <w:rPr>
              <w:rFonts w:cstheme="minorBidi"/>
              <w:noProof/>
              <w:kern w:val="2"/>
              <w:szCs w:val="24"/>
              <w:lang w:eastAsia="en-GB"/>
              <w14:ligatures w14:val="standardContextual"/>
            </w:rPr>
          </w:pPr>
          <w:hyperlink w:anchor="_Toc161758564" w:history="1">
            <w:r w:rsidR="009E52EF" w:rsidRPr="00E313C6">
              <w:rPr>
                <w:rStyle w:val="Hyperlink"/>
                <w:noProof/>
              </w:rPr>
              <w:t>Areas for greater circularity – batteries</w:t>
            </w:r>
            <w:r w:rsidR="009E52EF">
              <w:rPr>
                <w:noProof/>
                <w:webHidden/>
              </w:rPr>
              <w:tab/>
            </w:r>
            <w:r w:rsidR="009E52EF">
              <w:rPr>
                <w:noProof/>
                <w:webHidden/>
              </w:rPr>
              <w:fldChar w:fldCharType="begin"/>
            </w:r>
            <w:r w:rsidR="009E52EF">
              <w:rPr>
                <w:noProof/>
                <w:webHidden/>
              </w:rPr>
              <w:instrText xml:space="preserve"> PAGEREF _Toc161758564 \h </w:instrText>
            </w:r>
            <w:r w:rsidR="009E52EF">
              <w:rPr>
                <w:noProof/>
                <w:webHidden/>
              </w:rPr>
            </w:r>
            <w:r w:rsidR="009E52EF">
              <w:rPr>
                <w:noProof/>
                <w:webHidden/>
              </w:rPr>
              <w:fldChar w:fldCharType="separate"/>
            </w:r>
            <w:r w:rsidR="000378C7">
              <w:rPr>
                <w:noProof/>
                <w:webHidden/>
              </w:rPr>
              <w:t>53</w:t>
            </w:r>
            <w:r w:rsidR="009E52EF">
              <w:rPr>
                <w:noProof/>
                <w:webHidden/>
              </w:rPr>
              <w:fldChar w:fldCharType="end"/>
            </w:r>
          </w:hyperlink>
        </w:p>
        <w:p w14:paraId="481F63F5" w14:textId="4E426F72" w:rsidR="009E52EF" w:rsidRDefault="00000000">
          <w:pPr>
            <w:pStyle w:val="TOC3"/>
            <w:tabs>
              <w:tab w:val="right" w:leader="dot" w:pos="9628"/>
            </w:tabs>
            <w:rPr>
              <w:rFonts w:cstheme="minorBidi"/>
              <w:noProof/>
              <w:kern w:val="2"/>
              <w:szCs w:val="24"/>
              <w:lang w:eastAsia="en-GB"/>
              <w14:ligatures w14:val="standardContextual"/>
            </w:rPr>
          </w:pPr>
          <w:hyperlink w:anchor="_Toc161758565" w:history="1">
            <w:r w:rsidR="009E52EF" w:rsidRPr="00E313C6">
              <w:rPr>
                <w:rStyle w:val="Hyperlink"/>
                <w:noProof/>
              </w:rPr>
              <w:t>Wind turbines</w:t>
            </w:r>
            <w:r w:rsidR="009E52EF">
              <w:rPr>
                <w:noProof/>
                <w:webHidden/>
              </w:rPr>
              <w:tab/>
            </w:r>
            <w:r w:rsidR="009E52EF">
              <w:rPr>
                <w:noProof/>
                <w:webHidden/>
              </w:rPr>
              <w:fldChar w:fldCharType="begin"/>
            </w:r>
            <w:r w:rsidR="009E52EF">
              <w:rPr>
                <w:noProof/>
                <w:webHidden/>
              </w:rPr>
              <w:instrText xml:space="preserve"> PAGEREF _Toc161758565 \h </w:instrText>
            </w:r>
            <w:r w:rsidR="009E52EF">
              <w:rPr>
                <w:noProof/>
                <w:webHidden/>
              </w:rPr>
            </w:r>
            <w:r w:rsidR="009E52EF">
              <w:rPr>
                <w:noProof/>
                <w:webHidden/>
              </w:rPr>
              <w:fldChar w:fldCharType="separate"/>
            </w:r>
            <w:r w:rsidR="000378C7">
              <w:rPr>
                <w:noProof/>
                <w:webHidden/>
              </w:rPr>
              <w:t>53</w:t>
            </w:r>
            <w:r w:rsidR="009E52EF">
              <w:rPr>
                <w:noProof/>
                <w:webHidden/>
              </w:rPr>
              <w:fldChar w:fldCharType="end"/>
            </w:r>
          </w:hyperlink>
        </w:p>
        <w:p w14:paraId="774A8B96" w14:textId="37C5AFAE"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66" w:history="1">
            <w:r w:rsidR="009E52EF" w:rsidRPr="00E313C6">
              <w:rPr>
                <w:rStyle w:val="Hyperlink"/>
                <w:noProof/>
              </w:rPr>
              <w:t>Victorian Government actions towards a circular economy</w:t>
            </w:r>
            <w:r w:rsidR="009E52EF">
              <w:rPr>
                <w:noProof/>
                <w:webHidden/>
              </w:rPr>
              <w:tab/>
            </w:r>
            <w:r w:rsidR="009E52EF">
              <w:rPr>
                <w:noProof/>
                <w:webHidden/>
              </w:rPr>
              <w:fldChar w:fldCharType="begin"/>
            </w:r>
            <w:r w:rsidR="009E52EF">
              <w:rPr>
                <w:noProof/>
                <w:webHidden/>
              </w:rPr>
              <w:instrText xml:space="preserve"> PAGEREF _Toc161758566 \h </w:instrText>
            </w:r>
            <w:r w:rsidR="009E52EF">
              <w:rPr>
                <w:noProof/>
                <w:webHidden/>
              </w:rPr>
            </w:r>
            <w:r w:rsidR="009E52EF">
              <w:rPr>
                <w:noProof/>
                <w:webHidden/>
              </w:rPr>
              <w:fldChar w:fldCharType="separate"/>
            </w:r>
            <w:r w:rsidR="000378C7">
              <w:rPr>
                <w:noProof/>
                <w:webHidden/>
              </w:rPr>
              <w:t>56</w:t>
            </w:r>
            <w:r w:rsidR="009E52EF">
              <w:rPr>
                <w:noProof/>
                <w:webHidden/>
              </w:rPr>
              <w:fldChar w:fldCharType="end"/>
            </w:r>
          </w:hyperlink>
        </w:p>
        <w:p w14:paraId="01D9F4AE" w14:textId="0B2C5705"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67" w:history="1">
            <w:r w:rsidR="009E52EF" w:rsidRPr="00E313C6">
              <w:rPr>
                <w:rStyle w:val="Hyperlink"/>
                <w:noProof/>
              </w:rPr>
              <w:t>Container deposit scheme</w:t>
            </w:r>
            <w:r w:rsidR="009E52EF">
              <w:rPr>
                <w:noProof/>
                <w:webHidden/>
              </w:rPr>
              <w:tab/>
            </w:r>
            <w:r w:rsidR="009E52EF">
              <w:rPr>
                <w:noProof/>
                <w:webHidden/>
              </w:rPr>
              <w:fldChar w:fldCharType="begin"/>
            </w:r>
            <w:r w:rsidR="009E52EF">
              <w:rPr>
                <w:noProof/>
                <w:webHidden/>
              </w:rPr>
              <w:instrText xml:space="preserve"> PAGEREF _Toc161758567 \h </w:instrText>
            </w:r>
            <w:r w:rsidR="009E52EF">
              <w:rPr>
                <w:noProof/>
                <w:webHidden/>
              </w:rPr>
            </w:r>
            <w:r w:rsidR="009E52EF">
              <w:rPr>
                <w:noProof/>
                <w:webHidden/>
              </w:rPr>
              <w:fldChar w:fldCharType="separate"/>
            </w:r>
            <w:r w:rsidR="000378C7">
              <w:rPr>
                <w:noProof/>
                <w:webHidden/>
              </w:rPr>
              <w:t>56</w:t>
            </w:r>
            <w:r w:rsidR="009E52EF">
              <w:rPr>
                <w:noProof/>
                <w:webHidden/>
              </w:rPr>
              <w:fldChar w:fldCharType="end"/>
            </w:r>
          </w:hyperlink>
        </w:p>
        <w:p w14:paraId="218C5C01" w14:textId="5BB8C6A8"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68" w:history="1">
            <w:r w:rsidR="009E52EF" w:rsidRPr="00E313C6">
              <w:rPr>
                <w:rStyle w:val="Hyperlink"/>
                <w:noProof/>
              </w:rPr>
              <w:t>Four waste and recycling streams</w:t>
            </w:r>
            <w:r w:rsidR="009E52EF">
              <w:rPr>
                <w:noProof/>
                <w:webHidden/>
              </w:rPr>
              <w:tab/>
            </w:r>
            <w:r w:rsidR="009E52EF">
              <w:rPr>
                <w:noProof/>
                <w:webHidden/>
              </w:rPr>
              <w:fldChar w:fldCharType="begin"/>
            </w:r>
            <w:r w:rsidR="009E52EF">
              <w:rPr>
                <w:noProof/>
                <w:webHidden/>
              </w:rPr>
              <w:instrText xml:space="preserve"> PAGEREF _Toc161758568 \h </w:instrText>
            </w:r>
            <w:r w:rsidR="009E52EF">
              <w:rPr>
                <w:noProof/>
                <w:webHidden/>
              </w:rPr>
            </w:r>
            <w:r w:rsidR="009E52EF">
              <w:rPr>
                <w:noProof/>
                <w:webHidden/>
              </w:rPr>
              <w:fldChar w:fldCharType="separate"/>
            </w:r>
            <w:r w:rsidR="000378C7">
              <w:rPr>
                <w:noProof/>
                <w:webHidden/>
              </w:rPr>
              <w:t>56</w:t>
            </w:r>
            <w:r w:rsidR="009E52EF">
              <w:rPr>
                <w:noProof/>
                <w:webHidden/>
              </w:rPr>
              <w:fldChar w:fldCharType="end"/>
            </w:r>
          </w:hyperlink>
        </w:p>
        <w:p w14:paraId="20B24CF6" w14:textId="44496A83" w:rsidR="009E52EF" w:rsidRDefault="00000000">
          <w:pPr>
            <w:pStyle w:val="TOC2"/>
            <w:tabs>
              <w:tab w:val="right" w:leader="dot" w:pos="9628"/>
            </w:tabs>
            <w:rPr>
              <w:rFonts w:cstheme="minorBidi"/>
              <w:b w:val="0"/>
              <w:bCs w:val="0"/>
              <w:noProof/>
              <w:kern w:val="2"/>
              <w:szCs w:val="24"/>
              <w:lang w:eastAsia="en-GB"/>
              <w14:ligatures w14:val="standardContextual"/>
            </w:rPr>
          </w:pPr>
          <w:hyperlink w:anchor="_Toc161758569" w:history="1">
            <w:r w:rsidR="009E52EF" w:rsidRPr="00E313C6">
              <w:rPr>
                <w:rStyle w:val="Hyperlink"/>
                <w:i/>
                <w:iCs/>
                <w:noProof/>
              </w:rPr>
              <w:t>Recycled First policy</w:t>
            </w:r>
            <w:r w:rsidR="009E52EF">
              <w:rPr>
                <w:noProof/>
                <w:webHidden/>
              </w:rPr>
              <w:tab/>
            </w:r>
            <w:r w:rsidR="009E52EF">
              <w:rPr>
                <w:noProof/>
                <w:webHidden/>
              </w:rPr>
              <w:fldChar w:fldCharType="begin"/>
            </w:r>
            <w:r w:rsidR="009E52EF">
              <w:rPr>
                <w:noProof/>
                <w:webHidden/>
              </w:rPr>
              <w:instrText xml:space="preserve"> PAGEREF _Toc161758569 \h </w:instrText>
            </w:r>
            <w:r w:rsidR="009E52EF">
              <w:rPr>
                <w:noProof/>
                <w:webHidden/>
              </w:rPr>
            </w:r>
            <w:r w:rsidR="009E52EF">
              <w:rPr>
                <w:noProof/>
                <w:webHidden/>
              </w:rPr>
              <w:fldChar w:fldCharType="separate"/>
            </w:r>
            <w:r w:rsidR="000378C7">
              <w:rPr>
                <w:noProof/>
                <w:webHidden/>
              </w:rPr>
              <w:t>57</w:t>
            </w:r>
            <w:r w:rsidR="009E52EF">
              <w:rPr>
                <w:noProof/>
                <w:webHidden/>
              </w:rPr>
              <w:fldChar w:fldCharType="end"/>
            </w:r>
          </w:hyperlink>
        </w:p>
        <w:p w14:paraId="733F457E" w14:textId="2FF26C8C"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70" w:history="1">
            <w:r w:rsidR="009E52EF" w:rsidRPr="00E313C6">
              <w:rPr>
                <w:rStyle w:val="Hyperlink"/>
                <w:noProof/>
              </w:rPr>
              <w:t>Conclusion</w:t>
            </w:r>
            <w:r w:rsidR="009E52EF">
              <w:rPr>
                <w:noProof/>
                <w:webHidden/>
              </w:rPr>
              <w:tab/>
            </w:r>
            <w:r w:rsidR="009E52EF">
              <w:rPr>
                <w:noProof/>
                <w:webHidden/>
              </w:rPr>
              <w:fldChar w:fldCharType="begin"/>
            </w:r>
            <w:r w:rsidR="009E52EF">
              <w:rPr>
                <w:noProof/>
                <w:webHidden/>
              </w:rPr>
              <w:instrText xml:space="preserve"> PAGEREF _Toc161758570 \h </w:instrText>
            </w:r>
            <w:r w:rsidR="009E52EF">
              <w:rPr>
                <w:noProof/>
                <w:webHidden/>
              </w:rPr>
            </w:r>
            <w:r w:rsidR="009E52EF">
              <w:rPr>
                <w:noProof/>
                <w:webHidden/>
              </w:rPr>
              <w:fldChar w:fldCharType="separate"/>
            </w:r>
            <w:r w:rsidR="000378C7">
              <w:rPr>
                <w:noProof/>
                <w:webHidden/>
              </w:rPr>
              <w:t>57</w:t>
            </w:r>
            <w:r w:rsidR="009E52EF">
              <w:rPr>
                <w:noProof/>
                <w:webHidden/>
              </w:rPr>
              <w:fldChar w:fldCharType="end"/>
            </w:r>
          </w:hyperlink>
        </w:p>
        <w:p w14:paraId="5D59E197" w14:textId="2CBD8E91" w:rsidR="009E52EF" w:rsidRDefault="00000000">
          <w:pPr>
            <w:pStyle w:val="TOC1"/>
            <w:tabs>
              <w:tab w:val="right" w:leader="dot" w:pos="9628"/>
            </w:tabs>
            <w:rPr>
              <w:rFonts w:cstheme="minorBidi"/>
              <w:b w:val="0"/>
              <w:bCs w:val="0"/>
              <w:iCs w:val="0"/>
              <w:noProof/>
              <w:kern w:val="2"/>
              <w:sz w:val="24"/>
              <w:lang w:eastAsia="en-GB"/>
              <w14:ligatures w14:val="standardContextual"/>
            </w:rPr>
          </w:pPr>
          <w:hyperlink w:anchor="_Toc161758571" w:history="1">
            <w:r w:rsidR="009E52EF" w:rsidRPr="00E313C6">
              <w:rPr>
                <w:rStyle w:val="Hyperlink"/>
                <w:noProof/>
              </w:rPr>
              <w:t>Glossary</w:t>
            </w:r>
            <w:r w:rsidR="009E52EF">
              <w:rPr>
                <w:noProof/>
                <w:webHidden/>
              </w:rPr>
              <w:tab/>
            </w:r>
            <w:r w:rsidR="009E52EF">
              <w:rPr>
                <w:noProof/>
                <w:webHidden/>
              </w:rPr>
              <w:fldChar w:fldCharType="begin"/>
            </w:r>
            <w:r w:rsidR="009E52EF">
              <w:rPr>
                <w:noProof/>
                <w:webHidden/>
              </w:rPr>
              <w:instrText xml:space="preserve"> PAGEREF _Toc161758571 \h </w:instrText>
            </w:r>
            <w:r w:rsidR="009E52EF">
              <w:rPr>
                <w:noProof/>
                <w:webHidden/>
              </w:rPr>
            </w:r>
            <w:r w:rsidR="009E52EF">
              <w:rPr>
                <w:noProof/>
                <w:webHidden/>
              </w:rPr>
              <w:fldChar w:fldCharType="separate"/>
            </w:r>
            <w:r w:rsidR="000378C7">
              <w:rPr>
                <w:noProof/>
                <w:webHidden/>
              </w:rPr>
              <w:t>59</w:t>
            </w:r>
            <w:r w:rsidR="009E52EF">
              <w:rPr>
                <w:noProof/>
                <w:webHidden/>
              </w:rPr>
              <w:fldChar w:fldCharType="end"/>
            </w:r>
          </w:hyperlink>
        </w:p>
        <w:p w14:paraId="3BA80800" w14:textId="5C305092" w:rsidR="00D52FF3" w:rsidRDefault="009E417E">
          <w:r>
            <w:rPr>
              <w:rFonts w:cstheme="minorHAnsi"/>
              <w:bCs/>
              <w:szCs w:val="24"/>
            </w:rPr>
            <w:fldChar w:fldCharType="end"/>
          </w:r>
        </w:p>
      </w:sdtContent>
    </w:sdt>
    <w:p w14:paraId="2B131298" w14:textId="77777777" w:rsidR="00D63DD7" w:rsidRDefault="00096F20" w:rsidP="00C20104">
      <w:pPr>
        <w:pStyle w:val="BodyText"/>
      </w:pPr>
      <w:r>
        <w:br w:type="page"/>
      </w:r>
    </w:p>
    <w:p w14:paraId="0BEC6BA0" w14:textId="77777777" w:rsidR="00D62C9C" w:rsidRDefault="00D62C9C" w:rsidP="00D931BC">
      <w:pPr>
        <w:pStyle w:val="Heading1"/>
      </w:pPr>
      <w:bookmarkStart w:id="0" w:name="_Toc161758509"/>
      <w:r w:rsidRPr="00D62C9C">
        <w:lastRenderedPageBreak/>
        <w:t>Executive summary</w:t>
      </w:r>
      <w:bookmarkEnd w:id="0"/>
    </w:p>
    <w:p w14:paraId="405DED5A" w14:textId="3D02642B" w:rsidR="00D62C9C" w:rsidRPr="00D62C9C" w:rsidRDefault="00D62C9C" w:rsidP="007F1AB7">
      <w:pPr>
        <w:pStyle w:val="BodyText"/>
        <w:spacing w:after="200"/>
        <w:rPr>
          <w:b/>
          <w:bCs/>
        </w:rPr>
      </w:pPr>
      <w:r w:rsidRPr="00D62C9C">
        <w:rPr>
          <w:b/>
          <w:bCs/>
        </w:rPr>
        <w:t>The Victorian Government has committed to a long-term target of net zero greenhouse gas emissions by 2045 and an emissions reduction target of 75 to 80% by 2035.</w:t>
      </w:r>
    </w:p>
    <w:p w14:paraId="6E6760FF" w14:textId="77777777" w:rsidR="00D62C9C" w:rsidRPr="00D62C9C" w:rsidRDefault="00D62C9C" w:rsidP="007F1AB7">
      <w:pPr>
        <w:pStyle w:val="BodyText"/>
        <w:spacing w:after="200"/>
      </w:pPr>
      <w:r w:rsidRPr="00D62C9C">
        <w:t>Achieving these targets is a shared responsibility across all sectors of the economy including the Australian, state, and local governments, the goods and services industry, waste, recycling, and resource recovery sector, and the community. By reducing our waste, we also reduce our greenhouse gas emissions footprint and build a circular, more sustainable, and climate resilient economy.</w:t>
      </w:r>
    </w:p>
    <w:p w14:paraId="0F010589" w14:textId="77777777" w:rsidR="00D62C9C" w:rsidRPr="00D62C9C" w:rsidRDefault="00D62C9C" w:rsidP="007F1AB7">
      <w:pPr>
        <w:pStyle w:val="BodyText"/>
        <w:spacing w:after="200"/>
      </w:pPr>
      <w:r w:rsidRPr="00D62C9C">
        <w:t>Victoria is projected to add 4.7 million people from 2018 to 2056, reaching a population of 11.2 million. This represents annual average growth of 125,000 people, at a rate of 1.5% per annum. Greater Melbourne is projected to grow by about 4 million people, increasing from 5 million in 2018 to 9 million in 2056. Over the same period, Victoria’s regions are expected to grow by just over 700,000 from 1.5 million to 2.2 million.</w:t>
      </w:r>
    </w:p>
    <w:p w14:paraId="353E05A7" w14:textId="7F131648" w:rsidR="00D62C9C" w:rsidRPr="00D62C9C" w:rsidRDefault="00D62C9C" w:rsidP="007F1AB7">
      <w:pPr>
        <w:pStyle w:val="BodyText"/>
        <w:spacing w:after="200"/>
      </w:pPr>
      <w:r w:rsidRPr="00D62C9C">
        <w:t>Without mitigation, this growth will place greater pressure on our environment including through higher levels of waste generation. Victoria also needs a reliable and robust market to avoid precious materials and embodied energy being lost to landfill.</w:t>
      </w:r>
    </w:p>
    <w:p w14:paraId="276BA9F1" w14:textId="77777777" w:rsidR="00D62C9C" w:rsidRPr="00D62C9C" w:rsidRDefault="00D62C9C" w:rsidP="007F1AB7">
      <w:pPr>
        <w:pStyle w:val="BodyText"/>
        <w:spacing w:after="200"/>
      </w:pPr>
      <w:r w:rsidRPr="00D62C9C">
        <w:t>Recycling Victoria’s long-term vision is for a world class circular economy system that helps build a sustainable future for all Victorians. This vision will be built on the foundations of sustainability, leadership, collaboration, and accountability.</w:t>
      </w:r>
    </w:p>
    <w:p w14:paraId="686346F5" w14:textId="77777777" w:rsidR="00D62C9C" w:rsidRPr="00D62C9C" w:rsidRDefault="00D62C9C" w:rsidP="007F1AB7">
      <w:pPr>
        <w:pStyle w:val="BodyText"/>
        <w:spacing w:after="200"/>
      </w:pPr>
      <w:r w:rsidRPr="00D62C9C">
        <w:t>Recognising that our purpose is to support the development of a circular economy, future work will require partnership and collective effort from state and local governments, waste, recycling, and resource recovery sector, industry, businesses, and community.</w:t>
      </w:r>
    </w:p>
    <w:p w14:paraId="43A61EFD" w14:textId="1A4AD58C" w:rsidR="00D62C9C" w:rsidRPr="00D62C9C" w:rsidRDefault="00D62C9C" w:rsidP="007F1AB7">
      <w:pPr>
        <w:pStyle w:val="BodyText"/>
        <w:spacing w:after="200"/>
      </w:pPr>
      <w:r w:rsidRPr="00D62C9C">
        <w:t xml:space="preserve">In a linear economy, raw natural resources are mined, </w:t>
      </w:r>
      <w:proofErr w:type="gramStart"/>
      <w:r w:rsidRPr="00D62C9C">
        <w:t>processed</w:t>
      </w:r>
      <w:proofErr w:type="gramEnd"/>
      <w:r w:rsidRPr="00D62C9C">
        <w:t xml:space="preserve"> and transformed to a product that is thrown away after use. The direct opposite of this is a circular economy which aims to close the gap between the production and the natural ecosystems’ cycles. To create a circular economy, systematic changes are needed at all stages of the supply chain, from production design to disposal (see diagram below). From waste to value, Victoria is using this pathway to grow a cleaner and smarter State.</w:t>
      </w:r>
    </w:p>
    <w:p w14:paraId="27768F90" w14:textId="43EF2C68" w:rsidR="00D62C9C" w:rsidRPr="00D62C9C" w:rsidRDefault="00D62C9C" w:rsidP="007F1AB7">
      <w:pPr>
        <w:pStyle w:val="BodyText"/>
        <w:spacing w:after="200"/>
      </w:pPr>
      <w:r w:rsidRPr="00D62C9C">
        <w:lastRenderedPageBreak/>
        <w:t>The Circular Economy Market Report responds to Recycling Victoria’s commitment to greater market transparency and building confidence for future investment, with a view to enabling stronger circular economy opportunities and interventions.</w:t>
      </w:r>
    </w:p>
    <w:p w14:paraId="0A6E5CCF" w14:textId="498775BC" w:rsidR="00D62C9C" w:rsidRPr="00D62C9C" w:rsidRDefault="00D62C9C" w:rsidP="007F1AB7">
      <w:pPr>
        <w:pStyle w:val="BodyText"/>
        <w:spacing w:after="200"/>
      </w:pPr>
      <w:r w:rsidRPr="00D62C9C">
        <w:t>This report provides best available information about the performance of material circularity in Victoria including priorities in relation to the circular economy market overall, as well as recommended focus areas for further investigation to improve circularity for each material stream.</w:t>
      </w:r>
    </w:p>
    <w:p w14:paraId="46EB2E57" w14:textId="6CBC92F9" w:rsidR="00D62C9C" w:rsidRPr="00D62C9C" w:rsidRDefault="00D62C9C" w:rsidP="007F1AB7">
      <w:pPr>
        <w:pStyle w:val="BodyText"/>
        <w:spacing w:after="200"/>
      </w:pPr>
      <w:r w:rsidRPr="00D62C9C">
        <w:t>Going forward, Recycling Victoria remains committed to expanding Victoria’s waste data systems which will inform better decision-making and allow the government to monitor progress towards a circular economy.</w:t>
      </w:r>
    </w:p>
    <w:p w14:paraId="475DA1D6" w14:textId="195F46F5" w:rsidR="00D62C9C" w:rsidRPr="00D62C9C" w:rsidRDefault="00D62C9C" w:rsidP="007F1AB7">
      <w:pPr>
        <w:pStyle w:val="BodyText"/>
        <w:spacing w:after="200"/>
      </w:pPr>
      <w:r w:rsidRPr="00D62C9C">
        <w:t>Recovery rates of individual material streams are the current available proxy to provide insights into Victoria’s circular economy. While it is a good representation of the overall circular economy environment, there are gaps within the material resource flow data. Once addressed, circularity will be easier to measure, monitor and progress. It is a Recycling Victoria priority to progress the development of a new circular economy metric to better monitor and measure Victoria’s material circularity.</w:t>
      </w:r>
    </w:p>
    <w:p w14:paraId="6E166D99" w14:textId="7731D913" w:rsidR="00D62C9C" w:rsidRPr="00D62C9C" w:rsidRDefault="00D62C9C" w:rsidP="007F1AB7">
      <w:pPr>
        <w:pStyle w:val="BodyText"/>
        <w:spacing w:after="200"/>
      </w:pPr>
      <w:r w:rsidRPr="00D62C9C">
        <w:t>Resource recovery rates across Victoria vary depending on the material stream. This report outlines the current recovery rates and identifies the unique challenges and opportunities to improve circularity for each stream.</w:t>
      </w:r>
    </w:p>
    <w:p w14:paraId="6D778522" w14:textId="77777777" w:rsidR="00D62C9C" w:rsidRPr="00D62C9C" w:rsidRDefault="00D62C9C" w:rsidP="007F1AB7">
      <w:pPr>
        <w:pStyle w:val="BodyText"/>
        <w:spacing w:after="200"/>
      </w:pPr>
      <w:r w:rsidRPr="00D62C9C">
        <w:t xml:space="preserve">This year’s review of the Victorian circular economy market has identified </w:t>
      </w:r>
      <w:proofErr w:type="gramStart"/>
      <w:r w:rsidRPr="00D62C9C">
        <w:t>a number of</w:t>
      </w:r>
      <w:proofErr w:type="gramEnd"/>
      <w:r w:rsidRPr="00D62C9C">
        <w:t xml:space="preserve"> material streams that are continuing to challenge the sector, such as textiles, plastics and tyres. It is recommended that government and sector collaboration, focus and effort continue towards exploring and finding improvements in these areas.</w:t>
      </w:r>
    </w:p>
    <w:p w14:paraId="1D3B619D" w14:textId="4E61B752" w:rsidR="00D62C9C" w:rsidRPr="00D62C9C" w:rsidRDefault="00D62C9C" w:rsidP="007F1AB7">
      <w:pPr>
        <w:pStyle w:val="BodyText"/>
        <w:spacing w:after="200"/>
        <w:ind w:right="-143"/>
      </w:pPr>
      <w:r w:rsidRPr="00D62C9C">
        <w:t>The review also identified problematic emerging material streams such as batteries, wind turbines and photovoltaic panels. Recycling Victoria will continue to focus efforts to increase understanding of each of these and identify stronger circular economy opportunities.</w:t>
      </w:r>
    </w:p>
    <w:p w14:paraId="2F4527E0" w14:textId="12858C14" w:rsidR="005E0BF1" w:rsidRDefault="00D62C9C" w:rsidP="007F1AB7">
      <w:pPr>
        <w:pStyle w:val="BodyText"/>
        <w:spacing w:after="0"/>
      </w:pPr>
      <w:r w:rsidRPr="00D62C9C">
        <w:t xml:space="preserve">This inaugural report delivers against the Recycling Victoria Strategic Plan, which includes the provision of regular, timely and quality market data and insights to identify key investments, gaps, </w:t>
      </w:r>
      <w:proofErr w:type="gramStart"/>
      <w:r w:rsidRPr="00D62C9C">
        <w:t>issues</w:t>
      </w:r>
      <w:proofErr w:type="gramEnd"/>
      <w:r w:rsidRPr="00D62C9C">
        <w:t xml:space="preserve"> and opportunities, with a view to enabling stronger circular economy opportunities. The preparation of this market report is an annual legislative responsibility under the </w:t>
      </w:r>
      <w:r w:rsidRPr="00D62C9C">
        <w:rPr>
          <w:i/>
          <w:iCs/>
        </w:rPr>
        <w:t xml:space="preserve">Circular Economy (Waste Reduction and Recycling) Act 2021 </w:t>
      </w:r>
      <w:r w:rsidRPr="00D62C9C">
        <w:t>(the CE Act).</w:t>
      </w:r>
    </w:p>
    <w:p w14:paraId="224A3168" w14:textId="05BB52E4" w:rsidR="005E0BF1" w:rsidRPr="005E0BF1" w:rsidRDefault="005E0BF1" w:rsidP="00D931BC">
      <w:pPr>
        <w:pStyle w:val="Heading1"/>
        <w:rPr>
          <w:rFonts w:cs="Times New Roman (Body CS)"/>
          <w:kern w:val="24"/>
        </w:rPr>
      </w:pPr>
      <w:bookmarkStart w:id="1" w:name="_Toc161758510"/>
      <w:r w:rsidRPr="005E0BF1">
        <w:lastRenderedPageBreak/>
        <w:t>Overview</w:t>
      </w:r>
      <w:bookmarkEnd w:id="1"/>
    </w:p>
    <w:p w14:paraId="13561F2D" w14:textId="77777777" w:rsidR="005E0BF1" w:rsidRPr="005E0BF1" w:rsidRDefault="005E0BF1" w:rsidP="00D931BC">
      <w:pPr>
        <w:pStyle w:val="Heading2"/>
      </w:pPr>
      <w:bookmarkStart w:id="2" w:name="_Toc161758511"/>
      <w:r w:rsidRPr="005E0BF1">
        <w:t>Introduction</w:t>
      </w:r>
      <w:bookmarkEnd w:id="2"/>
    </w:p>
    <w:p w14:paraId="69F6C442" w14:textId="77777777" w:rsidR="005E0BF1" w:rsidRPr="005E0BF1" w:rsidRDefault="005E0BF1" w:rsidP="00D931BC">
      <w:pPr>
        <w:pStyle w:val="Heading3"/>
      </w:pPr>
      <w:bookmarkStart w:id="3" w:name="_Toc161758512"/>
      <w:r w:rsidRPr="005E0BF1">
        <w:t>Recycling Victoria</w:t>
      </w:r>
      <w:bookmarkEnd w:id="3"/>
    </w:p>
    <w:p w14:paraId="3AD3F9AF" w14:textId="77777777" w:rsidR="005E0BF1" w:rsidRPr="005E0BF1" w:rsidRDefault="005E0BF1" w:rsidP="005E0BF1">
      <w:pPr>
        <w:pStyle w:val="BodyText"/>
        <w:rPr>
          <w:b/>
          <w:bCs/>
        </w:rPr>
      </w:pPr>
      <w:r w:rsidRPr="005E0BF1">
        <w:rPr>
          <w:b/>
          <w:bCs/>
        </w:rPr>
        <w:t>Our long-term vision is for a world-class circular economy system that helps build a more sustainable future for all Victorians.</w:t>
      </w:r>
    </w:p>
    <w:p w14:paraId="711E8304" w14:textId="77777777" w:rsidR="005E0BF1" w:rsidRPr="005E0BF1" w:rsidRDefault="005E0BF1" w:rsidP="005E0BF1">
      <w:pPr>
        <w:pStyle w:val="BodyText"/>
      </w:pPr>
      <w:r w:rsidRPr="005E0BF1">
        <w:t>Recycling Victoria commenced in July 2022 to provide leadership, stewardship and to provide oversight and support the transition to a circular economy. Its strategic priorities for 2023 to 2026 include providing strategic market information for greater market transparency, and confidence to enable stronger circular economy opportunities.</w:t>
      </w:r>
    </w:p>
    <w:p w14:paraId="3A95257E" w14:textId="15C2A394" w:rsidR="005E0BF1" w:rsidRPr="005E0BF1" w:rsidRDefault="005E0BF1" w:rsidP="005E0BF1">
      <w:pPr>
        <w:pStyle w:val="BodyText"/>
      </w:pPr>
      <w:r w:rsidRPr="005E0BF1">
        <w:t>Victoria is developing a waste and resource recovery system that minimises waste generation and maximises resource recovery.</w:t>
      </w:r>
    </w:p>
    <w:p w14:paraId="06CC21FA" w14:textId="77777777" w:rsidR="005E0BF1" w:rsidRPr="005E0BF1" w:rsidRDefault="005E0BF1" w:rsidP="005E0BF1">
      <w:pPr>
        <w:pStyle w:val="BodyText"/>
      </w:pPr>
      <w:r w:rsidRPr="005E0BF1">
        <w:t>Everyone has a part to play - without collaboration between industry, community, and local, state and Commonwealth governments, we cannot achieve the required transition to a new system of resource management and move closer to a circular economy.</w:t>
      </w:r>
    </w:p>
    <w:p w14:paraId="60402712" w14:textId="77777777" w:rsidR="005E0BF1" w:rsidRPr="005E0BF1" w:rsidRDefault="005E0BF1" w:rsidP="005E0BF1">
      <w:pPr>
        <w:pStyle w:val="BodyText"/>
      </w:pPr>
      <w:r w:rsidRPr="005E0BF1">
        <w:t>Recycling Victoria supports the transition to a more sustainable model of resource management within Victoria, to enable stronger circular economy opportunities outcomes for the community. This inaugural Circular Economy Market Report is an important part of the Recycling Victoria Strategic Plan.</w:t>
      </w:r>
    </w:p>
    <w:p w14:paraId="1827C0AC" w14:textId="77777777" w:rsidR="005E0BF1" w:rsidRPr="005E0BF1" w:rsidRDefault="005E0BF1" w:rsidP="005E0BF1">
      <w:pPr>
        <w:pStyle w:val="BodyText"/>
      </w:pPr>
      <w:r w:rsidRPr="005E0BF1">
        <w:t>Recycling Victoria’s vision is supported by its strategic objectives which aim to:</w:t>
      </w:r>
    </w:p>
    <w:p w14:paraId="481745E0" w14:textId="77777777" w:rsidR="005E0BF1" w:rsidRPr="005E0BF1" w:rsidRDefault="005E0BF1" w:rsidP="007F1AB7">
      <w:pPr>
        <w:pStyle w:val="ListNumber"/>
      </w:pPr>
      <w:r w:rsidRPr="007F1AB7">
        <w:rPr>
          <w:b/>
          <w:bCs/>
        </w:rPr>
        <w:t>Contribute</w:t>
      </w:r>
      <w:r w:rsidRPr="005E0BF1">
        <w:t xml:space="preserve"> to a strong and robust circular economy.</w:t>
      </w:r>
    </w:p>
    <w:p w14:paraId="3FE06F7A" w14:textId="77777777" w:rsidR="005E0BF1" w:rsidRPr="005E0BF1" w:rsidRDefault="005E0BF1" w:rsidP="007F1AB7">
      <w:pPr>
        <w:pStyle w:val="ListNumber"/>
      </w:pPr>
      <w:r w:rsidRPr="007F1AB7">
        <w:rPr>
          <w:b/>
          <w:bCs/>
        </w:rPr>
        <w:t>Increase</w:t>
      </w:r>
      <w:r w:rsidRPr="005E0BF1">
        <w:t xml:space="preserve"> the resilience of the Victorian waste and resource recovery system.</w:t>
      </w:r>
    </w:p>
    <w:p w14:paraId="202171A4" w14:textId="77777777" w:rsidR="005E0BF1" w:rsidRPr="005E0BF1" w:rsidRDefault="005E0BF1" w:rsidP="007F1AB7">
      <w:pPr>
        <w:pStyle w:val="ListNumber"/>
      </w:pPr>
      <w:r w:rsidRPr="007F1AB7">
        <w:rPr>
          <w:b/>
          <w:bCs/>
        </w:rPr>
        <w:t>Enable</w:t>
      </w:r>
      <w:r w:rsidRPr="005E0BF1">
        <w:t xml:space="preserve"> sector investment and growth.</w:t>
      </w:r>
    </w:p>
    <w:p w14:paraId="3E115DA5" w14:textId="77777777" w:rsidR="005E0BF1" w:rsidRPr="005E0BF1" w:rsidRDefault="005E0BF1" w:rsidP="007F1AB7">
      <w:pPr>
        <w:pStyle w:val="ListNumber"/>
      </w:pPr>
      <w:r w:rsidRPr="007F1AB7">
        <w:rPr>
          <w:b/>
          <w:bCs/>
        </w:rPr>
        <w:t>Build</w:t>
      </w:r>
      <w:r w:rsidRPr="005E0BF1">
        <w:t xml:space="preserve"> system capacity and capability.</w:t>
      </w:r>
    </w:p>
    <w:p w14:paraId="3B425E34" w14:textId="77777777" w:rsidR="005E0BF1" w:rsidRPr="005E0BF1" w:rsidRDefault="005E0BF1" w:rsidP="005E0BF1">
      <w:pPr>
        <w:pStyle w:val="BodyText"/>
      </w:pPr>
      <w:r w:rsidRPr="005E0BF1">
        <w:t xml:space="preserve">Recycling Victoria’s vision and strategic objectives each support the </w:t>
      </w:r>
      <w:r w:rsidRPr="005E0BF1">
        <w:rPr>
          <w:i/>
          <w:iCs/>
        </w:rPr>
        <w:t>Recycling Victoria: a new economy</w:t>
      </w:r>
      <w:r w:rsidRPr="005E0BF1">
        <w:t xml:space="preserve"> policy for the management of waste and recycling within Victoria, which sets a plan to transition Victoria to a circular economy through the following goals:</w:t>
      </w:r>
    </w:p>
    <w:p w14:paraId="7C24D3DE" w14:textId="77777777" w:rsidR="005E0BF1" w:rsidRPr="005E0BF1" w:rsidRDefault="005E0BF1" w:rsidP="007F1AB7">
      <w:pPr>
        <w:pStyle w:val="ListBullet"/>
      </w:pPr>
      <w:r w:rsidRPr="005E0BF1">
        <w:lastRenderedPageBreak/>
        <w:t xml:space="preserve">Design to last, </w:t>
      </w:r>
      <w:proofErr w:type="gramStart"/>
      <w:r w:rsidRPr="005E0BF1">
        <w:t>repair</w:t>
      </w:r>
      <w:proofErr w:type="gramEnd"/>
      <w:r w:rsidRPr="005E0BF1">
        <w:t xml:space="preserve"> and recycle. </w:t>
      </w:r>
    </w:p>
    <w:p w14:paraId="2BE0E9D4" w14:textId="77777777" w:rsidR="005E0BF1" w:rsidRPr="005E0BF1" w:rsidRDefault="005E0BF1" w:rsidP="007F1AB7">
      <w:pPr>
        <w:pStyle w:val="ListBullet"/>
      </w:pPr>
      <w:r w:rsidRPr="005E0BF1">
        <w:t>Use products to create more value.</w:t>
      </w:r>
    </w:p>
    <w:p w14:paraId="6E773F5B" w14:textId="77777777" w:rsidR="005E0BF1" w:rsidRPr="005E0BF1" w:rsidRDefault="005E0BF1" w:rsidP="007F1AB7">
      <w:pPr>
        <w:pStyle w:val="ListBullet"/>
      </w:pPr>
      <w:r w:rsidRPr="005E0BF1">
        <w:t>Recycle more resources.</w:t>
      </w:r>
    </w:p>
    <w:p w14:paraId="2D75B162" w14:textId="2225D140" w:rsidR="005E0BF1" w:rsidRPr="005E0BF1" w:rsidRDefault="005E0BF1" w:rsidP="007F1AB7">
      <w:pPr>
        <w:pStyle w:val="Bullet1last"/>
      </w:pPr>
      <w:r w:rsidRPr="005E0BF1">
        <w:t>Reduce harm from waste and pollution.</w:t>
      </w:r>
    </w:p>
    <w:p w14:paraId="1722DACA" w14:textId="77777777" w:rsidR="005E0BF1" w:rsidRPr="005E0BF1" w:rsidRDefault="005E0BF1" w:rsidP="005E0BF1">
      <w:pPr>
        <w:pStyle w:val="BodyText"/>
      </w:pPr>
      <w:r w:rsidRPr="005E0BF1">
        <w:t>The Circular Economy Market Report directly contributes to the first three goals, by measuring and understanding the circularity of material streams generated within Victoria, identifying barriers and opportunities within each stream to achieve circularity, and identifying emerging new material streams entering the Victorian market.</w:t>
      </w:r>
    </w:p>
    <w:p w14:paraId="2F303739" w14:textId="77777777" w:rsidR="005E0BF1" w:rsidRPr="005E0BF1" w:rsidRDefault="005E0BF1" w:rsidP="00D931BC">
      <w:pPr>
        <w:pStyle w:val="Heading2"/>
      </w:pPr>
      <w:bookmarkStart w:id="4" w:name="_Toc161758513"/>
      <w:r w:rsidRPr="005E0BF1">
        <w:t>Background</w:t>
      </w:r>
      <w:bookmarkEnd w:id="4"/>
    </w:p>
    <w:p w14:paraId="67C35641" w14:textId="748FA98F" w:rsidR="005E0BF1" w:rsidRPr="005E0BF1" w:rsidRDefault="005E0BF1" w:rsidP="005E0BF1">
      <w:pPr>
        <w:pStyle w:val="BodyText"/>
        <w:rPr>
          <w:u w:val="thick"/>
        </w:rPr>
      </w:pPr>
      <w:r w:rsidRPr="005E0BF1">
        <w:t>Victoria is growing rapidly. By 2046, it is estimated that Victoria’s use of extractive resources to build infrastructure, provide services and to make and transport our products and food will almost double, and our waste generation will increase by about 40%</w:t>
      </w:r>
      <w:r w:rsidR="007E2A3D">
        <w:t>. (</w:t>
      </w:r>
      <w:r w:rsidR="007E2A3D" w:rsidRPr="007E2A3D">
        <w:t>DEPARTMENT of Environment, Land Water and Planning (2020) Recycling Victoria a new economy. Retrieved from</w:t>
      </w:r>
      <w:r w:rsidR="007E2A3D">
        <w:t xml:space="preserve"> </w:t>
      </w:r>
      <w:hyperlink r:id="rId14" w:history="1">
        <w:r w:rsidR="007E2A3D" w:rsidRPr="007E2A3D">
          <w:rPr>
            <w:rStyle w:val="Hyperlink"/>
          </w:rPr>
          <w:t>https://www.vic.gov.au/victorias-plan-circular-economy</w:t>
        </w:r>
      </w:hyperlink>
      <w:r w:rsidR="007E2A3D" w:rsidRPr="007E2A3D">
        <w:t>)</w:t>
      </w:r>
      <w:r w:rsidR="007F1AB7">
        <w:t>.</w:t>
      </w:r>
    </w:p>
    <w:p w14:paraId="4BD0DF91" w14:textId="77777777" w:rsidR="005E0BF1" w:rsidRPr="005E0BF1" w:rsidRDefault="005E0BF1" w:rsidP="005E0BF1">
      <w:pPr>
        <w:pStyle w:val="BodyText"/>
      </w:pPr>
      <w:r w:rsidRPr="005E0BF1">
        <w:t>Increasing inequality, climate change and scarce resources are challenging our planet and society. These challenges require systemic change in the logic of value creation to shape new, more responsible business models. In summary, we need to produce more with less, and create less waste.</w:t>
      </w:r>
    </w:p>
    <w:p w14:paraId="271DA35B" w14:textId="77777777" w:rsidR="005E0BF1" w:rsidRPr="005E0BF1" w:rsidRDefault="005E0BF1" w:rsidP="005E0BF1">
      <w:pPr>
        <w:pStyle w:val="BodyText"/>
      </w:pPr>
      <w:r w:rsidRPr="005E0BF1">
        <w:t xml:space="preserve">We also recognise that decisions and policies about waste avoidance, reduction, management, and recycling can impact the health and wellbeing of Traditional Owners and Aboriginal Victorians. Having the appropriate waste management systems and infrastructure in place can contribute to caring for Country and supporting Victoria’s transition to a circular economy, in line with the Victorian Government’s </w:t>
      </w:r>
      <w:r w:rsidRPr="005E0BF1">
        <w:rPr>
          <w:i/>
          <w:iCs/>
        </w:rPr>
        <w:t>Recycling Victoria: a new economy</w:t>
      </w:r>
      <w:r w:rsidRPr="005E0BF1">
        <w:t xml:space="preserve"> policy.</w:t>
      </w:r>
    </w:p>
    <w:p w14:paraId="3710A031" w14:textId="77777777" w:rsidR="005E0BF1" w:rsidRPr="005E0BF1" w:rsidRDefault="005E0BF1" w:rsidP="005E0BF1">
      <w:pPr>
        <w:pStyle w:val="BodyText"/>
      </w:pPr>
      <w:r w:rsidRPr="005E0BF1">
        <w:t>Governments around the world are making the shift to a more circular global economy, and many businesses are employing circular economy principles. Responding to this is important for Victoria’s international competitiveness.</w:t>
      </w:r>
    </w:p>
    <w:p w14:paraId="13DE523E" w14:textId="5450E949" w:rsidR="005E0BF1" w:rsidRDefault="005E0BF1" w:rsidP="005E0BF1">
      <w:pPr>
        <w:pStyle w:val="BodyText"/>
      </w:pPr>
      <w:r w:rsidRPr="005E0BF1">
        <w:lastRenderedPageBreak/>
        <w:t xml:space="preserve">The circular economy is an alternative economic model that seeks to address these challenges </w:t>
      </w:r>
      <w:r w:rsidRPr="003A1991">
        <w:t xml:space="preserve">(refer </w:t>
      </w:r>
      <w:r w:rsidR="003A1991">
        <w:fldChar w:fldCharType="begin"/>
      </w:r>
      <w:r w:rsidR="003A1991">
        <w:instrText xml:space="preserve"> REF _Ref161756572 \h </w:instrText>
      </w:r>
      <w:r w:rsidR="003A1991">
        <w:fldChar w:fldCharType="separate"/>
      </w:r>
      <w:r w:rsidR="003A1991">
        <w:t xml:space="preserve">Figure </w:t>
      </w:r>
      <w:r w:rsidR="003A1991">
        <w:rPr>
          <w:noProof/>
        </w:rPr>
        <w:t>1</w:t>
      </w:r>
      <w:r w:rsidR="003A1991">
        <w:fldChar w:fldCharType="end"/>
      </w:r>
      <w:r w:rsidRPr="003A1991">
        <w:t>).</w:t>
      </w:r>
      <w:r w:rsidRPr="005E0BF1">
        <w:t xml:space="preserve"> It is a system where products are designed, marketed, and delivered with a reduced reliance on raw or virgin materials, are made to be reusable, durable, repairable, and shareable, and have an extended life cycle</w:t>
      </w:r>
      <w:r w:rsidR="007E2A3D">
        <w:t>. (</w:t>
      </w:r>
      <w:r w:rsidR="007E2A3D" w:rsidRPr="007E2A3D">
        <w:t>The State of Victoria Circular Economy (Waste Reduction and Recycling) Act (2021)</w:t>
      </w:r>
      <w:r w:rsidR="007E2A3D">
        <w:t xml:space="preserve"> </w:t>
      </w:r>
      <w:r w:rsidR="007E2A3D" w:rsidRPr="007E2A3D">
        <w:t xml:space="preserve">Retrieved from </w:t>
      </w:r>
      <w:hyperlink r:id="rId15" w:history="1">
        <w:r w:rsidR="007E2A3D" w:rsidRPr="007E2A3D">
          <w:rPr>
            <w:rStyle w:val="Hyperlink"/>
          </w:rPr>
          <w:t>https://content.legislation.vic.gov.au/sites/default/files/2023-11/21-55aa010-authorised.pdf</w:t>
        </w:r>
      </w:hyperlink>
      <w:r w:rsidR="007E2A3D" w:rsidRPr="007E2A3D">
        <w:t xml:space="preserve"> Adapted from Section 8(2)</w:t>
      </w:r>
      <w:r w:rsidR="007E2A3D">
        <w:t>)</w:t>
      </w:r>
    </w:p>
    <w:p w14:paraId="3F1FAC13" w14:textId="3BBECCEC" w:rsidR="003A1991" w:rsidRDefault="003A1991" w:rsidP="003A1991">
      <w:pPr>
        <w:pStyle w:val="Caption"/>
        <w:keepNext/>
      </w:pPr>
      <w:bookmarkStart w:id="5" w:name="_Ref161756572"/>
      <w:r>
        <w:t xml:space="preserve">Figure </w:t>
      </w:r>
      <w:r>
        <w:fldChar w:fldCharType="begin"/>
      </w:r>
      <w:r>
        <w:instrText xml:space="preserve"> SEQ Figure \* ARABIC </w:instrText>
      </w:r>
      <w:r>
        <w:fldChar w:fldCharType="separate"/>
      </w:r>
      <w:r w:rsidR="00C41C42">
        <w:rPr>
          <w:noProof/>
        </w:rPr>
        <w:t>1</w:t>
      </w:r>
      <w:r>
        <w:fldChar w:fldCharType="end"/>
      </w:r>
      <w:bookmarkEnd w:id="5"/>
      <w:r>
        <w:t xml:space="preserve">: </w:t>
      </w:r>
      <w:r w:rsidRPr="00001396">
        <w:t>Resource flows in a circular economy (Source: Recycling Victoria – a new economy policy 2019)</w:t>
      </w:r>
    </w:p>
    <w:p w14:paraId="183B8969" w14:textId="5E07A9BF" w:rsidR="003A1991" w:rsidRPr="007F1AB7" w:rsidRDefault="003A1991" w:rsidP="007F1AB7">
      <w:pPr>
        <w:pStyle w:val="BodyText"/>
        <w:rPr>
          <w:b/>
          <w:bCs/>
        </w:rPr>
      </w:pPr>
      <w:r>
        <w:rPr>
          <w:b/>
          <w:bCs/>
          <w:noProof/>
        </w:rPr>
        <w:drawing>
          <wp:inline distT="0" distB="0" distL="0" distR="0" wp14:anchorId="6707F0E1" wp14:editId="629FBDB3">
            <wp:extent cx="3088957" cy="2307590"/>
            <wp:effectExtent l="0" t="0" r="0" b="3810"/>
            <wp:docPr id="1401711319" name="Picture 1" descr="Of the 15.8 million tonnes of waste generated in Victoria, 11 million tonnes were recovered for reprocessing while 4.8 million tonnes are disposed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1319" name="Picture 1" descr="Of the 15.8 million tonnes of waste generated in Victoria, 11 million tonnes were recovered for reprocessing while 4.8 million tonnes are disposed of"/>
                    <pic:cNvPicPr/>
                  </pic:nvPicPr>
                  <pic:blipFill>
                    <a:blip r:embed="rId16"/>
                    <a:stretch>
                      <a:fillRect/>
                    </a:stretch>
                  </pic:blipFill>
                  <pic:spPr>
                    <a:xfrm>
                      <a:off x="0" y="0"/>
                      <a:ext cx="3088957" cy="2307590"/>
                    </a:xfrm>
                    <a:prstGeom prst="rect">
                      <a:avLst/>
                    </a:prstGeom>
                  </pic:spPr>
                </pic:pic>
              </a:graphicData>
            </a:graphic>
          </wp:inline>
        </w:drawing>
      </w:r>
    </w:p>
    <w:p w14:paraId="3A8D97E1" w14:textId="77777777" w:rsidR="005E0BF1" w:rsidRPr="007F1AB7" w:rsidRDefault="005E0BF1" w:rsidP="005E0BF1">
      <w:pPr>
        <w:pStyle w:val="BodyText"/>
        <w:rPr>
          <w:b/>
          <w:bCs/>
        </w:rPr>
      </w:pPr>
      <w:r w:rsidRPr="007F1AB7">
        <w:rPr>
          <w:b/>
          <w:bCs/>
        </w:rPr>
        <w:t>A circular economy aims to keep products and materials at their highest value for as long as possible to reduce the need for virgin materials and keep overall material use within the planetary boundaries.</w:t>
      </w:r>
    </w:p>
    <w:p w14:paraId="375C586E" w14:textId="77777777" w:rsidR="005E0BF1" w:rsidRPr="005E0BF1" w:rsidRDefault="005E0BF1" w:rsidP="005E0BF1">
      <w:pPr>
        <w:pStyle w:val="BodyText"/>
      </w:pPr>
      <w:r w:rsidRPr="005E0BF1">
        <w:t xml:space="preserve">The circular economy has become a mainstream focus for industry development, resource security and waste and resource recovery policies around the world. The European Union has taken a strong lead with Closing the loop - an EU action plan for a circular economy, supported by national strategies in Denmark, Finland, France, Germany, the </w:t>
      </w:r>
      <w:proofErr w:type="gramStart"/>
      <w:r w:rsidRPr="005E0BF1">
        <w:t>Netherlands</w:t>
      </w:r>
      <w:proofErr w:type="gramEnd"/>
      <w:r w:rsidRPr="005E0BF1">
        <w:t xml:space="preserve"> and Slovenia.</w:t>
      </w:r>
    </w:p>
    <w:p w14:paraId="6CB93B84" w14:textId="670A0F9F" w:rsidR="005E0BF1" w:rsidRPr="005E0BF1" w:rsidRDefault="005E0BF1" w:rsidP="005E0BF1">
      <w:pPr>
        <w:pStyle w:val="BodyText"/>
      </w:pPr>
      <w:r w:rsidRPr="005E0BF1">
        <w:t>Transition towards a circular economy is taking place at all levels of government in Australia. The Australian Government is supporting this transition with action via the National Waste Policy, and collaboration across the states and territories via the Environment Ministers Meeting, and the Circular Economy Ministerial Advisory Group.</w:t>
      </w:r>
    </w:p>
    <w:p w14:paraId="192D22B4" w14:textId="08064312" w:rsidR="005E0BF1" w:rsidRPr="005E0BF1" w:rsidRDefault="005E0BF1" w:rsidP="005E0BF1">
      <w:pPr>
        <w:pStyle w:val="BodyText"/>
      </w:pPr>
      <w:r w:rsidRPr="005E0BF1">
        <w:lastRenderedPageBreak/>
        <w:t>Victoria has undertaken significant policy and legislative reform to limit the impacts of population growth on the environment and change how we manage materials within Victoria.</w:t>
      </w:r>
    </w:p>
    <w:p w14:paraId="73990E82" w14:textId="7347CA20" w:rsidR="005E0BF1" w:rsidRPr="005E0BF1" w:rsidRDefault="005E0BF1" w:rsidP="005E0BF1">
      <w:pPr>
        <w:pStyle w:val="BodyText"/>
      </w:pPr>
      <w:r w:rsidRPr="007F1AB7">
        <w:rPr>
          <w:b/>
          <w:bCs/>
        </w:rPr>
        <w:t>The CE Act 2021</w:t>
      </w:r>
      <w:r w:rsidRPr="005E0BF1">
        <w:t xml:space="preserve"> enables better and more recycling, recovery and reuse of our precious resources, less waste in landfill, and a recycling system that Victorians can rely on.</w:t>
      </w:r>
    </w:p>
    <w:p w14:paraId="78BD0806" w14:textId="21C80C2B" w:rsidR="005E0BF1" w:rsidRPr="005E0BF1" w:rsidRDefault="005E0BF1" w:rsidP="005E0BF1">
      <w:pPr>
        <w:pStyle w:val="BodyText"/>
      </w:pPr>
      <w:r w:rsidRPr="007F1AB7">
        <w:rPr>
          <w:b/>
          <w:bCs/>
          <w:i/>
          <w:iCs/>
        </w:rPr>
        <w:t>Recycling Victoria – a new economy</w:t>
      </w:r>
      <w:r w:rsidRPr="005E0BF1">
        <w:t xml:space="preserve"> policy creates a way forward for Victoria, including setting targets to define success and measure progress and action to transition to a more circular economy.</w:t>
      </w:r>
    </w:p>
    <w:p w14:paraId="06E9C29F" w14:textId="77777777" w:rsidR="005E0BF1" w:rsidRPr="005E0BF1" w:rsidRDefault="005E0BF1" w:rsidP="005E0BF1">
      <w:pPr>
        <w:pStyle w:val="BodyText"/>
      </w:pPr>
      <w:r w:rsidRPr="005E0BF1">
        <w:t>Moving closer to a circular economy has the potential to deliver numerous benefits to Victoria, including:</w:t>
      </w:r>
    </w:p>
    <w:p w14:paraId="50DC0B94" w14:textId="77777777" w:rsidR="005E0BF1" w:rsidRPr="005E0BF1" w:rsidRDefault="005E0BF1" w:rsidP="007F1AB7">
      <w:pPr>
        <w:pStyle w:val="ListBullet"/>
      </w:pPr>
      <w:r w:rsidRPr="005E0BF1">
        <w:t>significantly reducing greenhouse gas emissions by reducing material extraction and consumption</w:t>
      </w:r>
    </w:p>
    <w:p w14:paraId="24B500FD" w14:textId="77777777" w:rsidR="005E0BF1" w:rsidRPr="005E0BF1" w:rsidRDefault="005E0BF1" w:rsidP="007F1AB7">
      <w:pPr>
        <w:pStyle w:val="ListBullet"/>
      </w:pPr>
      <w:r w:rsidRPr="005E0BF1">
        <w:t>strengthening food security (the ability to produce food for current and future generations)</w:t>
      </w:r>
    </w:p>
    <w:p w14:paraId="4EF3A3AE" w14:textId="24221D7F" w:rsidR="005E0BF1" w:rsidRPr="005E0BF1" w:rsidRDefault="005E0BF1" w:rsidP="007F1AB7">
      <w:pPr>
        <w:pStyle w:val="ListBullet"/>
      </w:pPr>
      <w:r w:rsidRPr="005E0BF1">
        <w:t xml:space="preserve">job creation and industry </w:t>
      </w:r>
      <w:proofErr w:type="gramStart"/>
      <w:r w:rsidRPr="005E0BF1">
        <w:t>development</w:t>
      </w:r>
      <w:proofErr w:type="gramEnd"/>
    </w:p>
    <w:p w14:paraId="73DB25C5" w14:textId="77777777" w:rsidR="005E0BF1" w:rsidRPr="005E0BF1" w:rsidRDefault="005E0BF1" w:rsidP="007F1AB7">
      <w:pPr>
        <w:pStyle w:val="ListBullet"/>
      </w:pPr>
      <w:r w:rsidRPr="005E0BF1">
        <w:t>reducing air, land, and water pollution</w:t>
      </w:r>
    </w:p>
    <w:p w14:paraId="3944F56C" w14:textId="77777777" w:rsidR="005E0BF1" w:rsidRPr="005E0BF1" w:rsidRDefault="005E0BF1" w:rsidP="007F1AB7">
      <w:pPr>
        <w:pStyle w:val="ListBullet"/>
      </w:pPr>
      <w:r w:rsidRPr="005E0BF1">
        <w:t>improving human health and wellbeing</w:t>
      </w:r>
    </w:p>
    <w:p w14:paraId="2587F7A5" w14:textId="77777777" w:rsidR="005E0BF1" w:rsidRPr="005E0BF1" w:rsidRDefault="005E0BF1" w:rsidP="007F1AB7">
      <w:pPr>
        <w:pStyle w:val="ListBullet"/>
      </w:pPr>
      <w:r w:rsidRPr="005E0BF1">
        <w:t>greater protection of biodiversity</w:t>
      </w:r>
    </w:p>
    <w:p w14:paraId="6C342C63" w14:textId="77777777" w:rsidR="005E0BF1" w:rsidRPr="005E0BF1" w:rsidRDefault="005E0BF1" w:rsidP="007F1AB7">
      <w:pPr>
        <w:pStyle w:val="Bullet1last"/>
      </w:pPr>
      <w:r w:rsidRPr="005E0BF1">
        <w:t>regenerating the natural environment.</w:t>
      </w:r>
    </w:p>
    <w:p w14:paraId="2897BBB1" w14:textId="757F3E24" w:rsidR="005E0BF1" w:rsidRPr="005E0BF1" w:rsidRDefault="005E0BF1" w:rsidP="005E0BF1">
      <w:pPr>
        <w:pStyle w:val="BodyText"/>
      </w:pPr>
      <w:r w:rsidRPr="005E0BF1">
        <w:t xml:space="preserve">Increasing circularity cannot be achieved simply by recycling and resource recovery; it must be driven by minimising any waste in the first instance, driving better product design, sharing, repairing, and re-use, which leads to circular production, consumption, and resource recovery outcomes </w:t>
      </w:r>
      <w:r w:rsidRPr="003A1991">
        <w:t>(</w:t>
      </w:r>
      <w:r w:rsidR="003A1991">
        <w:fldChar w:fldCharType="begin"/>
      </w:r>
      <w:r w:rsidR="003A1991">
        <w:instrText xml:space="preserve"> REF _Ref161756572 \h </w:instrText>
      </w:r>
      <w:r w:rsidR="003A1991">
        <w:fldChar w:fldCharType="separate"/>
      </w:r>
      <w:r w:rsidR="003A1991">
        <w:t xml:space="preserve">Figure </w:t>
      </w:r>
      <w:r w:rsidR="003A1991">
        <w:rPr>
          <w:noProof/>
        </w:rPr>
        <w:t>1</w:t>
      </w:r>
      <w:r w:rsidR="003A1991">
        <w:fldChar w:fldCharType="end"/>
      </w:r>
      <w:r w:rsidRPr="003A1991">
        <w:t>).</w:t>
      </w:r>
    </w:p>
    <w:p w14:paraId="6008342A" w14:textId="77777777" w:rsidR="005E0BF1" w:rsidRDefault="005E0BF1" w:rsidP="005E0BF1">
      <w:pPr>
        <w:pStyle w:val="BodyText"/>
      </w:pPr>
      <w:r w:rsidRPr="005E0BF1">
        <w:t xml:space="preserve">Progressing towards Victoria’s circular economy contributes to the broader global shift to greater sustainable development, based on the United Nations 17 Sustainable Development Goals (SDGs) and targets, which aim to make cities and human settlements inclusive, safe, resilient, and sustainable, ensure sustainable consumption and production patterns, and take urgent action to combat climate change and its impacts. Future work </w:t>
      </w:r>
      <w:r w:rsidRPr="005E0BF1">
        <w:lastRenderedPageBreak/>
        <w:t xml:space="preserve">will advance Victorian circular economy measurements and support future policy and regulatory work identified in the CE Act. </w:t>
      </w:r>
    </w:p>
    <w:p w14:paraId="58042AE2" w14:textId="6B0BDA4E" w:rsidR="003A1991" w:rsidRDefault="003A1991" w:rsidP="003A1991">
      <w:pPr>
        <w:pStyle w:val="Caption"/>
        <w:keepNext/>
      </w:pPr>
      <w:bookmarkStart w:id="6" w:name="_Ref161756797"/>
      <w:r>
        <w:t xml:space="preserve">Figure </w:t>
      </w:r>
      <w:r>
        <w:fldChar w:fldCharType="begin"/>
      </w:r>
      <w:r>
        <w:instrText xml:space="preserve"> SEQ Figure \* ARABIC </w:instrText>
      </w:r>
      <w:r>
        <w:fldChar w:fldCharType="separate"/>
      </w:r>
      <w:r w:rsidR="00C41C42">
        <w:rPr>
          <w:noProof/>
        </w:rPr>
        <w:t>2</w:t>
      </w:r>
      <w:r>
        <w:fldChar w:fldCharType="end"/>
      </w:r>
      <w:bookmarkEnd w:id="6"/>
      <w:r>
        <w:t xml:space="preserve">: </w:t>
      </w:r>
      <w:r w:rsidRPr="00FD2865">
        <w:t>The 12 Sustainable Development Goals aligned with Recycling Victoria’s objectives and actions (Source: Recycling Victoria Strategic Plan 2023–2026)</w:t>
      </w:r>
    </w:p>
    <w:p w14:paraId="4238633B" w14:textId="2667996E" w:rsidR="003A1991" w:rsidRDefault="003A1991" w:rsidP="00EF5372">
      <w:pPr>
        <w:pStyle w:val="BodyText"/>
      </w:pPr>
      <w:r>
        <w:rPr>
          <w:noProof/>
        </w:rPr>
        <w:drawing>
          <wp:inline distT="0" distB="0" distL="0" distR="0" wp14:anchorId="6F75E7CD" wp14:editId="09E4FF9C">
            <wp:extent cx="5499463" cy="4027776"/>
            <wp:effectExtent l="0" t="0" r="0" b="0"/>
            <wp:docPr id="965222318" name="Picture 2" descr="12 of the UN Sustainable Development goals align with Recycling Victoria's strategic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22318" name="Picture 2" descr="12 of the UN Sustainable Development goals align with Recycling Victoria's strategic plan"/>
                    <pic:cNvPicPr/>
                  </pic:nvPicPr>
                  <pic:blipFill>
                    <a:blip r:embed="rId17"/>
                    <a:stretch>
                      <a:fillRect/>
                    </a:stretch>
                  </pic:blipFill>
                  <pic:spPr>
                    <a:xfrm>
                      <a:off x="0" y="0"/>
                      <a:ext cx="5557073" cy="4069969"/>
                    </a:xfrm>
                    <a:prstGeom prst="rect">
                      <a:avLst/>
                    </a:prstGeom>
                  </pic:spPr>
                </pic:pic>
              </a:graphicData>
            </a:graphic>
          </wp:inline>
        </w:drawing>
      </w:r>
    </w:p>
    <w:p w14:paraId="04D9ABE0" w14:textId="09824233" w:rsidR="005E0BF1" w:rsidRPr="005E0BF1" w:rsidRDefault="005E0BF1" w:rsidP="005E0BF1">
      <w:pPr>
        <w:pStyle w:val="BodyText"/>
      </w:pPr>
      <w:r w:rsidRPr="005E0BF1">
        <w:t xml:space="preserve">These SDG targets aim, amongst other things, to make cities and human settlements inclusive, safe, resilient, and sustainable, ensure sustainable consumption and production patterns, and take urgent action to combat climate change and its impacts. Goals 4, 6, 7, 8, 9, 11, 12, 13, 14, 15, 16 and 17 are directly related to the work of Recycling Victoria (refer to </w:t>
      </w:r>
      <w:r w:rsidR="003A1991">
        <w:fldChar w:fldCharType="begin"/>
      </w:r>
      <w:r w:rsidR="003A1991">
        <w:instrText xml:space="preserve"> REF _Ref161756797 \h </w:instrText>
      </w:r>
      <w:r w:rsidR="003A1991">
        <w:fldChar w:fldCharType="separate"/>
      </w:r>
      <w:r w:rsidR="003A1991">
        <w:t xml:space="preserve">Figure </w:t>
      </w:r>
      <w:r w:rsidR="003A1991">
        <w:rPr>
          <w:noProof/>
        </w:rPr>
        <w:t>2</w:t>
      </w:r>
      <w:r w:rsidR="003A1991">
        <w:fldChar w:fldCharType="end"/>
      </w:r>
      <w:r w:rsidRPr="005E0BF1">
        <w:t>).</w:t>
      </w:r>
    </w:p>
    <w:p w14:paraId="2DA36FB1" w14:textId="77777777" w:rsidR="005E0BF1" w:rsidRPr="005E0BF1" w:rsidRDefault="005E0BF1" w:rsidP="00D931BC">
      <w:pPr>
        <w:pStyle w:val="Heading2"/>
      </w:pPr>
      <w:bookmarkStart w:id="7" w:name="_Toc161758514"/>
      <w:r w:rsidRPr="005E0BF1">
        <w:t>Scope</w:t>
      </w:r>
      <w:bookmarkEnd w:id="7"/>
    </w:p>
    <w:p w14:paraId="72009F6E" w14:textId="4BD24BF4" w:rsidR="005E0BF1" w:rsidRPr="005E0BF1" w:rsidRDefault="005E0BF1" w:rsidP="005E0BF1">
      <w:pPr>
        <w:pStyle w:val="BodyText"/>
      </w:pPr>
      <w:r w:rsidRPr="005E0BF1">
        <w:t>The circular economy market is defined by the CE Act as the market for waste, recycling, or resource recovery services within the circular economy.</w:t>
      </w:r>
    </w:p>
    <w:p w14:paraId="1CF13FC4" w14:textId="77777777" w:rsidR="005E0BF1" w:rsidRPr="005E0BF1" w:rsidRDefault="005E0BF1" w:rsidP="005E0BF1">
      <w:pPr>
        <w:pStyle w:val="BodyText"/>
      </w:pPr>
      <w:r w:rsidRPr="005E0BF1">
        <w:t xml:space="preserve">This inaugural Circular Economy Market Report provides an overview of the current circular economy market within Victoria and covers the 2022–23 financial year. As this is </w:t>
      </w:r>
      <w:r w:rsidRPr="005E0BF1">
        <w:lastRenderedPageBreak/>
        <w:t>the first Circular Economy Market Report, in some cases the data sets will precede 2022–23 to capture a baseline for future reporting.</w:t>
      </w:r>
    </w:p>
    <w:p w14:paraId="6E27FEF8" w14:textId="5DB8C008" w:rsidR="005E0BF1" w:rsidRPr="005E0BF1" w:rsidRDefault="005E0BF1" w:rsidP="005E0BF1">
      <w:pPr>
        <w:pStyle w:val="BodyText"/>
      </w:pPr>
      <w:r w:rsidRPr="005E0BF1">
        <w:t>This report will continue to evolve in future years, as further important work is done to expand measurement of Victoria’s material streams. This report will utilise available resource recovery rates as a measure of the circular economy market, understanding the current limitations to fully reporting the circularity of each material stream.</w:t>
      </w:r>
    </w:p>
    <w:p w14:paraId="0F6D55DA" w14:textId="77777777" w:rsidR="005E0BF1" w:rsidRPr="005E0BF1" w:rsidRDefault="005E0BF1" w:rsidP="005E0BF1">
      <w:pPr>
        <w:pStyle w:val="BodyText"/>
      </w:pPr>
      <w:r w:rsidRPr="005E0BF1">
        <w:t>Measuring circularity includes:</w:t>
      </w:r>
    </w:p>
    <w:p w14:paraId="708332EE" w14:textId="77777777" w:rsidR="005E0BF1" w:rsidRPr="005E0BF1" w:rsidRDefault="005E0BF1" w:rsidP="007F1AB7">
      <w:pPr>
        <w:pStyle w:val="ListBullet"/>
      </w:pPr>
      <w:r w:rsidRPr="005E0BF1">
        <w:t>sharing</w:t>
      </w:r>
    </w:p>
    <w:p w14:paraId="7445D124" w14:textId="77777777" w:rsidR="005E0BF1" w:rsidRPr="005E0BF1" w:rsidRDefault="005E0BF1" w:rsidP="007F1AB7">
      <w:pPr>
        <w:pStyle w:val="ListBullet"/>
      </w:pPr>
      <w:r w:rsidRPr="005E0BF1">
        <w:t>repair</w:t>
      </w:r>
    </w:p>
    <w:p w14:paraId="35753582" w14:textId="77777777" w:rsidR="005E0BF1" w:rsidRPr="005E0BF1" w:rsidRDefault="005E0BF1" w:rsidP="007F1AB7">
      <w:pPr>
        <w:pStyle w:val="ListBullet"/>
      </w:pPr>
      <w:r w:rsidRPr="005E0BF1">
        <w:t>re-use</w:t>
      </w:r>
    </w:p>
    <w:p w14:paraId="6C929790" w14:textId="77777777" w:rsidR="005E0BF1" w:rsidRPr="005E0BF1" w:rsidRDefault="005E0BF1" w:rsidP="007F1AB7">
      <w:pPr>
        <w:pStyle w:val="ListBullet"/>
      </w:pPr>
      <w:r w:rsidRPr="005E0BF1">
        <w:t xml:space="preserve">recycling </w:t>
      </w:r>
    </w:p>
    <w:p w14:paraId="47FF46E3" w14:textId="3A5B499D" w:rsidR="005E0BF1" w:rsidRDefault="005E0BF1" w:rsidP="007F1AB7">
      <w:pPr>
        <w:pStyle w:val="Bullet1last"/>
      </w:pPr>
      <w:r w:rsidRPr="005E0BF1">
        <w:t>energy recovery (linked to resource recovery activities).</w:t>
      </w:r>
    </w:p>
    <w:p w14:paraId="5B23EF04" w14:textId="77777777" w:rsidR="005E0BF1" w:rsidRDefault="005E0BF1">
      <w:pPr>
        <w:suppressAutoHyphens w:val="0"/>
        <w:spacing w:after="160"/>
        <w:rPr>
          <w:rFonts w:cs="Times New Roman (Body CS)"/>
          <w:kern w:val="24"/>
          <w:lang w:val="en-GB"/>
        </w:rPr>
      </w:pPr>
      <w:r>
        <w:br w:type="page"/>
      </w:r>
    </w:p>
    <w:p w14:paraId="0AF4D9D5" w14:textId="447055C3" w:rsidR="005E0BF1" w:rsidRPr="005E0BF1" w:rsidRDefault="005E0BF1" w:rsidP="00D931BC">
      <w:pPr>
        <w:pStyle w:val="Heading1"/>
        <w:rPr>
          <w:rFonts w:cs="Times New Roman (Body CS)"/>
          <w:kern w:val="24"/>
        </w:rPr>
      </w:pPr>
      <w:bookmarkStart w:id="8" w:name="_Toc161758515"/>
      <w:r w:rsidRPr="005E0BF1">
        <w:lastRenderedPageBreak/>
        <w:t>Market overview and performance</w:t>
      </w:r>
      <w:bookmarkEnd w:id="8"/>
    </w:p>
    <w:p w14:paraId="6E556936" w14:textId="71C6BBDE" w:rsidR="005E0BF1" w:rsidRDefault="005E0BF1" w:rsidP="005E0BF1">
      <w:pPr>
        <w:pStyle w:val="BodyText"/>
      </w:pPr>
      <w:r w:rsidRPr="005E0BF1">
        <w:t>Victoria generated a total 15.8 million tonnes of material in the 2020–21 financial year, with 11.0 million tonnes recovered for reprocessing. This resulted in a state-wide recovery rate of 70% (</w:t>
      </w:r>
      <w:r w:rsidRPr="003A1991">
        <w:t xml:space="preserve">refer </w:t>
      </w:r>
      <w:r w:rsidR="003A1991">
        <w:fldChar w:fldCharType="begin"/>
      </w:r>
      <w:r w:rsidR="003A1991">
        <w:instrText xml:space="preserve"> REF _Ref161757028 \h </w:instrText>
      </w:r>
      <w:r w:rsidR="003A1991">
        <w:fldChar w:fldCharType="separate"/>
      </w:r>
      <w:r w:rsidR="003A1991">
        <w:t xml:space="preserve">Table </w:t>
      </w:r>
      <w:r w:rsidR="003A1991">
        <w:rPr>
          <w:noProof/>
        </w:rPr>
        <w:t>1</w:t>
      </w:r>
      <w:r w:rsidR="003A1991">
        <w:fldChar w:fldCharType="end"/>
      </w:r>
      <w:r w:rsidRPr="003A1991">
        <w:t xml:space="preserve"> and </w:t>
      </w:r>
      <w:r w:rsidR="003A1991">
        <w:fldChar w:fldCharType="begin"/>
      </w:r>
      <w:r w:rsidR="003A1991">
        <w:instrText xml:space="preserve"> REF _Ref161756995 \h </w:instrText>
      </w:r>
      <w:r w:rsidR="003A1991">
        <w:fldChar w:fldCharType="separate"/>
      </w:r>
      <w:r w:rsidR="003A1991">
        <w:t xml:space="preserve">Figure </w:t>
      </w:r>
      <w:r w:rsidR="003A1991">
        <w:rPr>
          <w:noProof/>
        </w:rPr>
        <w:t>3</w:t>
      </w:r>
      <w:r w:rsidR="003A1991">
        <w:fldChar w:fldCharType="end"/>
      </w:r>
      <w:r w:rsidRPr="005E0BF1">
        <w:t>).</w:t>
      </w:r>
    </w:p>
    <w:p w14:paraId="03A420B8" w14:textId="4C67ECE6" w:rsidR="003A1991" w:rsidRDefault="003A1991" w:rsidP="003A1991">
      <w:pPr>
        <w:pStyle w:val="Caption"/>
        <w:keepNext/>
      </w:pPr>
      <w:bookmarkStart w:id="9" w:name="_Ref161756995"/>
      <w:r>
        <w:t xml:space="preserve">Figure </w:t>
      </w:r>
      <w:r>
        <w:fldChar w:fldCharType="begin"/>
      </w:r>
      <w:r>
        <w:instrText xml:space="preserve"> SEQ Figure \* ARABIC </w:instrText>
      </w:r>
      <w:r>
        <w:fldChar w:fldCharType="separate"/>
      </w:r>
      <w:r w:rsidR="00C41C42">
        <w:rPr>
          <w:noProof/>
        </w:rPr>
        <w:t>3</w:t>
      </w:r>
      <w:r>
        <w:fldChar w:fldCharType="end"/>
      </w:r>
      <w:bookmarkEnd w:id="9"/>
      <w:r>
        <w:t xml:space="preserve">: </w:t>
      </w:r>
      <w:r w:rsidRPr="005E5743">
        <w:t>Materials generated, recovered for processing, and disposed of in 2020–21 (million tonnes)</w:t>
      </w:r>
    </w:p>
    <w:p w14:paraId="554D2FDF" w14:textId="622717EC" w:rsidR="003A1991" w:rsidRPr="005E0BF1" w:rsidRDefault="003A1991" w:rsidP="005E0BF1">
      <w:pPr>
        <w:pStyle w:val="BodyText"/>
        <w:rPr>
          <w:b/>
          <w:bCs/>
        </w:rPr>
      </w:pPr>
      <w:r>
        <w:rPr>
          <w:b/>
          <w:bCs/>
          <w:noProof/>
        </w:rPr>
        <w:drawing>
          <wp:inline distT="0" distB="0" distL="0" distR="0" wp14:anchorId="10CDA409" wp14:editId="663275A0">
            <wp:extent cx="6120130" cy="4109085"/>
            <wp:effectExtent l="0" t="0" r="1270" b="5715"/>
            <wp:docPr id="485308104" name="Picture 3" descr="Of the 15.8 million tonnes of waste produced, 4.8 million tonnes were disposed of and 11 million tonnes were recovered for recyc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08104" name="Picture 3" descr="Of the 15.8 million tonnes of waste produced, 4.8 million tonnes were disposed of and 11 million tonnes were recovered for recycling "/>
                    <pic:cNvPicPr/>
                  </pic:nvPicPr>
                  <pic:blipFill>
                    <a:blip r:embed="rId18"/>
                    <a:stretch>
                      <a:fillRect/>
                    </a:stretch>
                  </pic:blipFill>
                  <pic:spPr>
                    <a:xfrm>
                      <a:off x="0" y="0"/>
                      <a:ext cx="6120130" cy="4109085"/>
                    </a:xfrm>
                    <a:prstGeom prst="rect">
                      <a:avLst/>
                    </a:prstGeom>
                  </pic:spPr>
                </pic:pic>
              </a:graphicData>
            </a:graphic>
          </wp:inline>
        </w:drawing>
      </w:r>
    </w:p>
    <w:p w14:paraId="5DB23C98" w14:textId="77777777" w:rsidR="005E0BF1" w:rsidRPr="005E0BF1" w:rsidRDefault="005E0BF1" w:rsidP="005E0BF1">
      <w:pPr>
        <w:pStyle w:val="BodyText"/>
      </w:pPr>
      <w:r w:rsidRPr="005E0BF1">
        <w:t>To best identify and deliver actions to enable the transition towards a circular economy, details within each part of the sector are required. This assists in identifying targeted areas for improved circularity and allows for meaningful measurement of progress of any actions.</w:t>
      </w:r>
    </w:p>
    <w:p w14:paraId="19CB765A" w14:textId="13ABDE6E" w:rsidR="005E0BF1" w:rsidRPr="005E0BF1" w:rsidRDefault="005E0BF1" w:rsidP="005E0BF1">
      <w:pPr>
        <w:pStyle w:val="BodyText"/>
      </w:pPr>
      <w:r w:rsidRPr="005E0BF1">
        <w:t>This inaugural Circular Economy Market Report breaks down the materials within the Victorian circular economy into eight key material streams (aggregates, masonry and soil, glass, metals, organics, paper and cardboard, plastics, tyres, textiles). This report also identifies and reviews emerging materials entering this market.</w:t>
      </w:r>
    </w:p>
    <w:p w14:paraId="2D881A16" w14:textId="4380EE8A" w:rsidR="005E0BF1" w:rsidRPr="005E0BF1" w:rsidRDefault="005E0BF1" w:rsidP="005E0BF1">
      <w:pPr>
        <w:pStyle w:val="BodyText"/>
      </w:pPr>
      <w:r w:rsidRPr="005E0BF1">
        <w:t xml:space="preserve">Each of the 8 material stream reviews in this report consider developments and changes within the market, the performance of each segment of the market, as well as issues, </w:t>
      </w:r>
      <w:proofErr w:type="gramStart"/>
      <w:r w:rsidRPr="005E0BF1">
        <w:lastRenderedPageBreak/>
        <w:t>challenges</w:t>
      </w:r>
      <w:proofErr w:type="gramEnd"/>
      <w:r w:rsidRPr="005E0BF1">
        <w:t xml:space="preserve"> and areas for greater circularity. An important consideration within each of these 8 key material streams is their source, and how they are collected.</w:t>
      </w:r>
    </w:p>
    <w:p w14:paraId="595D8B18" w14:textId="68C22F73" w:rsidR="005E0BF1" w:rsidRPr="005E0BF1" w:rsidRDefault="005E0BF1" w:rsidP="005E0BF1">
      <w:pPr>
        <w:pStyle w:val="BodyText"/>
      </w:pPr>
      <w:r w:rsidRPr="005E0BF1">
        <w:t xml:space="preserve">The 8 key material steams represented in </w:t>
      </w:r>
      <w:r w:rsidR="003A1991">
        <w:rPr>
          <w:highlight w:val="yellow"/>
        </w:rPr>
        <w:fldChar w:fldCharType="begin"/>
      </w:r>
      <w:r w:rsidR="003A1991">
        <w:instrText xml:space="preserve"> REF _Ref161756995 \h </w:instrText>
      </w:r>
      <w:r w:rsidR="003A1991">
        <w:rPr>
          <w:highlight w:val="yellow"/>
        </w:rPr>
      </w:r>
      <w:r w:rsidR="003A1991">
        <w:rPr>
          <w:highlight w:val="yellow"/>
        </w:rPr>
        <w:fldChar w:fldCharType="separate"/>
      </w:r>
      <w:r w:rsidR="003A1991">
        <w:t xml:space="preserve">Figure </w:t>
      </w:r>
      <w:r w:rsidR="003A1991">
        <w:rPr>
          <w:noProof/>
        </w:rPr>
        <w:t>3</w:t>
      </w:r>
      <w:r w:rsidR="003A1991">
        <w:rPr>
          <w:highlight w:val="yellow"/>
        </w:rPr>
        <w:fldChar w:fldCharType="end"/>
      </w:r>
      <w:r w:rsidRPr="005E0BF1">
        <w:t xml:space="preserve"> are sourced from the 3 sectors which are:</w:t>
      </w:r>
    </w:p>
    <w:p w14:paraId="74ADEE09" w14:textId="77777777" w:rsidR="005E0BF1" w:rsidRPr="005E0BF1" w:rsidRDefault="005E0BF1" w:rsidP="007F1AB7">
      <w:pPr>
        <w:pStyle w:val="ListBullet"/>
      </w:pPr>
      <w:r w:rsidRPr="005E0BF1">
        <w:t>household or municipal solid waste (MSW)</w:t>
      </w:r>
    </w:p>
    <w:p w14:paraId="4F91B2B3" w14:textId="77777777" w:rsidR="005E0BF1" w:rsidRPr="005E0BF1" w:rsidRDefault="005E0BF1" w:rsidP="007F1AB7">
      <w:pPr>
        <w:pStyle w:val="ListBullet"/>
      </w:pPr>
      <w:r w:rsidRPr="005E0BF1">
        <w:t>commercial and industrial waste (C&amp;I)</w:t>
      </w:r>
    </w:p>
    <w:p w14:paraId="2381585E" w14:textId="77777777" w:rsidR="005E0BF1" w:rsidRPr="005E0BF1" w:rsidRDefault="005E0BF1" w:rsidP="007F1AB7">
      <w:pPr>
        <w:pStyle w:val="Bullet1last"/>
      </w:pPr>
      <w:r w:rsidRPr="005E0BF1">
        <w:t>construction and demolition waste (C&amp;D).</w:t>
      </w:r>
    </w:p>
    <w:p w14:paraId="18031EC9" w14:textId="77777777" w:rsidR="00407A5A" w:rsidRPr="00407A5A" w:rsidRDefault="00407A5A" w:rsidP="00407A5A">
      <w:pPr>
        <w:pStyle w:val="BodyText"/>
      </w:pPr>
      <w:r w:rsidRPr="00407A5A">
        <w:t>Almost half of all waste materials generated within Victoria stems from the C&amp;D sector. The C&amp;I sector contributes over a third of all waste material generated, with households contributing to the remaining 20% of total waste generation in Victoria (refer Table 1).</w:t>
      </w:r>
    </w:p>
    <w:p w14:paraId="4AC0CFA6" w14:textId="77777777" w:rsidR="00407A5A" w:rsidRPr="00407A5A" w:rsidRDefault="00407A5A" w:rsidP="00407A5A">
      <w:pPr>
        <w:pStyle w:val="BodyText"/>
      </w:pPr>
      <w:r w:rsidRPr="00407A5A">
        <w:t>Material originating from each separate sector has varied recovery rates (refer Table 1). The C&amp;D sector has the highest recovery rate of the 3 sectors, with MSW having the lowest overall recovery rate (refer Table 1).</w:t>
      </w:r>
    </w:p>
    <w:p w14:paraId="6ED1AF62" w14:textId="77777777" w:rsidR="00C2301E" w:rsidRDefault="00407A5A" w:rsidP="00407A5A">
      <w:pPr>
        <w:pStyle w:val="BodyText"/>
        <w:sectPr w:rsidR="00C2301E" w:rsidSect="00633298">
          <w:pgSz w:w="11906" w:h="16838"/>
          <w:pgMar w:top="1134" w:right="1134" w:bottom="1134" w:left="1134" w:header="720" w:footer="720" w:gutter="0"/>
          <w:cols w:space="720"/>
          <w:noEndnote/>
          <w:docGrid w:linePitch="326"/>
        </w:sectPr>
      </w:pPr>
      <w:r w:rsidRPr="00407A5A">
        <w:t>There are considerable improvements within all 3 sectors. Of these 3 sectors, the commercial and industrial sector (C&amp;I) has the largest ability to influence circular economy outcomes. These include waste minimisation via design and manufacture and ensuring the ability to recycle and reuse products created.</w:t>
      </w:r>
    </w:p>
    <w:p w14:paraId="4E6DDFE3" w14:textId="5C95C155" w:rsidR="00912B69" w:rsidRDefault="00912B69" w:rsidP="00912B69">
      <w:pPr>
        <w:pStyle w:val="Caption"/>
        <w:keepNext/>
      </w:pPr>
      <w:bookmarkStart w:id="10" w:name="_Ref161757028"/>
      <w:r>
        <w:lastRenderedPageBreak/>
        <w:t xml:space="preserve">Table </w:t>
      </w:r>
      <w:r>
        <w:fldChar w:fldCharType="begin"/>
      </w:r>
      <w:r>
        <w:instrText xml:space="preserve"> SEQ Table \* ARABIC </w:instrText>
      </w:r>
      <w:r>
        <w:fldChar w:fldCharType="separate"/>
      </w:r>
      <w:r w:rsidR="00A67B1E">
        <w:rPr>
          <w:noProof/>
        </w:rPr>
        <w:t>1</w:t>
      </w:r>
      <w:r>
        <w:fldChar w:fldCharType="end"/>
      </w:r>
      <w:bookmarkEnd w:id="10"/>
      <w:r>
        <w:t xml:space="preserve">: </w:t>
      </w:r>
      <w:r w:rsidRPr="00FD282D">
        <w:t>Victorian waste and resource recovery market summary 2020–21</w:t>
      </w:r>
    </w:p>
    <w:tbl>
      <w:tblPr>
        <w:tblStyle w:val="Style2"/>
        <w:tblW w:w="14454" w:type="dxa"/>
        <w:tblLayout w:type="fixed"/>
        <w:tblCellMar>
          <w:top w:w="0" w:type="dxa"/>
          <w:left w:w="0" w:type="dxa"/>
        </w:tblCellMar>
        <w:tblLook w:val="0020" w:firstRow="1" w:lastRow="0" w:firstColumn="0" w:lastColumn="0" w:noHBand="0" w:noVBand="0"/>
        <w:tblCaption w:val="Table 1: Victorian waste and resource recovery market summary 2020–21"/>
      </w:tblPr>
      <w:tblGrid>
        <w:gridCol w:w="1554"/>
        <w:gridCol w:w="1612"/>
        <w:gridCol w:w="1649"/>
        <w:gridCol w:w="1576"/>
        <w:gridCol w:w="1684"/>
        <w:gridCol w:w="1541"/>
        <w:gridCol w:w="1613"/>
        <w:gridCol w:w="1612"/>
        <w:gridCol w:w="1613"/>
      </w:tblGrid>
      <w:tr w:rsidR="00C2301E" w:rsidRPr="00407A5A" w14:paraId="7DF97468" w14:textId="77777777" w:rsidTr="0066651F">
        <w:trPr>
          <w:cnfStyle w:val="100000000000" w:firstRow="1" w:lastRow="0" w:firstColumn="0" w:lastColumn="0" w:oddVBand="0" w:evenVBand="0" w:oddHBand="0" w:evenHBand="0" w:firstRowFirstColumn="0" w:firstRowLastColumn="0" w:lastRowFirstColumn="0" w:lastRowLastColumn="0"/>
          <w:trHeight w:val="1062"/>
        </w:trPr>
        <w:tc>
          <w:tcPr>
            <w:tcW w:w="1554" w:type="dxa"/>
            <w:vAlign w:val="center"/>
          </w:tcPr>
          <w:p w14:paraId="49F7749D" w14:textId="77777777" w:rsidR="00407A5A" w:rsidRPr="00407A5A" w:rsidRDefault="00407A5A" w:rsidP="000378C7">
            <w:pPr>
              <w:pStyle w:val="BodyText"/>
              <w:spacing w:after="0" w:line="276" w:lineRule="auto"/>
              <w:jc w:val="center"/>
            </w:pPr>
            <w:r w:rsidRPr="00407A5A">
              <w:t>Source</w:t>
            </w:r>
          </w:p>
        </w:tc>
        <w:tc>
          <w:tcPr>
            <w:tcW w:w="3261" w:type="dxa"/>
            <w:gridSpan w:val="2"/>
            <w:vAlign w:val="center"/>
          </w:tcPr>
          <w:p w14:paraId="354191D6" w14:textId="0E65AC78" w:rsidR="00407A5A" w:rsidRPr="00407A5A" w:rsidRDefault="00407A5A" w:rsidP="000378C7">
            <w:pPr>
              <w:pStyle w:val="BodyText"/>
              <w:spacing w:after="0" w:line="276" w:lineRule="auto"/>
              <w:jc w:val="center"/>
            </w:pPr>
            <w:r w:rsidRPr="00407A5A">
              <w:t>Generated</w:t>
            </w:r>
          </w:p>
        </w:tc>
        <w:tc>
          <w:tcPr>
            <w:tcW w:w="3260" w:type="dxa"/>
            <w:gridSpan w:val="2"/>
            <w:vAlign w:val="center"/>
          </w:tcPr>
          <w:p w14:paraId="2F84A0AD" w14:textId="77777777" w:rsidR="00407A5A" w:rsidRPr="00407A5A" w:rsidRDefault="00407A5A" w:rsidP="000378C7">
            <w:pPr>
              <w:pStyle w:val="BodyText"/>
              <w:spacing w:after="0" w:line="276" w:lineRule="auto"/>
              <w:jc w:val="center"/>
            </w:pPr>
            <w:r w:rsidRPr="00407A5A">
              <w:t>Recovered for reprocessing</w:t>
            </w:r>
          </w:p>
        </w:tc>
        <w:tc>
          <w:tcPr>
            <w:tcW w:w="3154" w:type="dxa"/>
            <w:gridSpan w:val="2"/>
            <w:vAlign w:val="center"/>
          </w:tcPr>
          <w:p w14:paraId="0E14CFD6" w14:textId="77777777" w:rsidR="00407A5A" w:rsidRPr="00407A5A" w:rsidRDefault="00407A5A" w:rsidP="000378C7">
            <w:pPr>
              <w:pStyle w:val="BodyText"/>
              <w:spacing w:after="0" w:line="276" w:lineRule="auto"/>
              <w:jc w:val="center"/>
            </w:pPr>
            <w:r w:rsidRPr="00407A5A">
              <w:t>Disposal</w:t>
            </w:r>
          </w:p>
        </w:tc>
        <w:tc>
          <w:tcPr>
            <w:tcW w:w="3225" w:type="dxa"/>
            <w:gridSpan w:val="2"/>
            <w:vAlign w:val="center"/>
          </w:tcPr>
          <w:p w14:paraId="4F76070E" w14:textId="77777777" w:rsidR="00407A5A" w:rsidRPr="00407A5A" w:rsidRDefault="00407A5A" w:rsidP="000378C7">
            <w:pPr>
              <w:pStyle w:val="BodyText"/>
              <w:spacing w:after="0" w:line="276" w:lineRule="auto"/>
              <w:jc w:val="center"/>
            </w:pPr>
            <w:r w:rsidRPr="00407A5A">
              <w:t>Recovery rate</w:t>
            </w:r>
          </w:p>
        </w:tc>
      </w:tr>
      <w:tr w:rsidR="00C2301E" w:rsidRPr="00407A5A" w14:paraId="7F22C055" w14:textId="77777777" w:rsidTr="0066651F">
        <w:trPr>
          <w:trHeight w:val="1827"/>
        </w:trPr>
        <w:tc>
          <w:tcPr>
            <w:tcW w:w="1554" w:type="dxa"/>
          </w:tcPr>
          <w:p w14:paraId="65F3AF31" w14:textId="77777777" w:rsidR="00407A5A" w:rsidRPr="00407A5A" w:rsidRDefault="00407A5A" w:rsidP="00912B69">
            <w:pPr>
              <w:pStyle w:val="BodyText"/>
              <w:spacing w:before="240" w:after="0"/>
            </w:pPr>
          </w:p>
        </w:tc>
        <w:tc>
          <w:tcPr>
            <w:tcW w:w="1612" w:type="dxa"/>
          </w:tcPr>
          <w:p w14:paraId="5094DCEA" w14:textId="77777777" w:rsidR="00407A5A" w:rsidRPr="00912B69" w:rsidRDefault="00407A5A" w:rsidP="00912B69">
            <w:pPr>
              <w:pStyle w:val="BodyText"/>
              <w:spacing w:before="240" w:after="0" w:line="276" w:lineRule="auto"/>
              <w:jc w:val="center"/>
              <w:rPr>
                <w:b/>
                <w:bCs/>
              </w:rPr>
            </w:pPr>
            <w:r w:rsidRPr="00912B69">
              <w:rPr>
                <w:b/>
                <w:bCs/>
              </w:rPr>
              <w:t>Tonnes</w:t>
            </w:r>
          </w:p>
        </w:tc>
        <w:tc>
          <w:tcPr>
            <w:tcW w:w="1649" w:type="dxa"/>
          </w:tcPr>
          <w:p w14:paraId="79EBEF58" w14:textId="6175530C" w:rsidR="00407A5A" w:rsidRPr="00912B69" w:rsidRDefault="00407A5A" w:rsidP="00912B69">
            <w:pPr>
              <w:pStyle w:val="BodyText"/>
              <w:spacing w:before="240" w:after="0" w:line="276" w:lineRule="auto"/>
              <w:jc w:val="center"/>
              <w:rPr>
                <w:b/>
                <w:bCs/>
              </w:rPr>
            </w:pPr>
            <w:r w:rsidRPr="00912B69">
              <w:rPr>
                <w:b/>
                <w:bCs/>
              </w:rPr>
              <w:t>Change</w:t>
            </w:r>
            <w:r w:rsidR="00912B69">
              <w:rPr>
                <w:b/>
                <w:bCs/>
              </w:rPr>
              <w:br/>
            </w:r>
            <w:r w:rsidRPr="00912B69">
              <w:rPr>
                <w:b/>
                <w:bCs/>
              </w:rPr>
              <w:t>from previous year</w:t>
            </w:r>
          </w:p>
        </w:tc>
        <w:tc>
          <w:tcPr>
            <w:tcW w:w="1576" w:type="dxa"/>
          </w:tcPr>
          <w:p w14:paraId="6B4A0A36" w14:textId="77777777" w:rsidR="00407A5A" w:rsidRPr="00912B69" w:rsidRDefault="00407A5A" w:rsidP="00912B69">
            <w:pPr>
              <w:pStyle w:val="BodyText"/>
              <w:spacing w:before="240" w:after="0" w:line="276" w:lineRule="auto"/>
              <w:jc w:val="center"/>
              <w:rPr>
                <w:b/>
                <w:bCs/>
              </w:rPr>
            </w:pPr>
            <w:r w:rsidRPr="00912B69">
              <w:rPr>
                <w:b/>
                <w:bCs/>
              </w:rPr>
              <w:t>Tonnes</w:t>
            </w:r>
          </w:p>
        </w:tc>
        <w:tc>
          <w:tcPr>
            <w:tcW w:w="1684" w:type="dxa"/>
          </w:tcPr>
          <w:p w14:paraId="1276B494" w14:textId="163E504C" w:rsidR="00407A5A" w:rsidRPr="00912B69" w:rsidRDefault="00407A5A" w:rsidP="00912B69">
            <w:pPr>
              <w:pStyle w:val="BodyText"/>
              <w:spacing w:before="240" w:after="0" w:line="276" w:lineRule="auto"/>
              <w:jc w:val="center"/>
              <w:rPr>
                <w:b/>
                <w:bCs/>
              </w:rPr>
            </w:pPr>
            <w:r w:rsidRPr="00912B69">
              <w:rPr>
                <w:b/>
                <w:bCs/>
              </w:rPr>
              <w:t xml:space="preserve">Change </w:t>
            </w:r>
            <w:r w:rsidR="00912B69">
              <w:rPr>
                <w:b/>
                <w:bCs/>
              </w:rPr>
              <w:br/>
            </w:r>
            <w:r w:rsidRPr="00912B69">
              <w:rPr>
                <w:b/>
                <w:bCs/>
              </w:rPr>
              <w:t>from previous</w:t>
            </w:r>
            <w:r w:rsidR="0066651F">
              <w:rPr>
                <w:b/>
                <w:bCs/>
              </w:rPr>
              <w:br/>
            </w:r>
            <w:r w:rsidRPr="00912B69">
              <w:rPr>
                <w:b/>
                <w:bCs/>
              </w:rPr>
              <w:t>year</w:t>
            </w:r>
          </w:p>
        </w:tc>
        <w:tc>
          <w:tcPr>
            <w:tcW w:w="1541" w:type="dxa"/>
          </w:tcPr>
          <w:p w14:paraId="6EFA4816" w14:textId="77777777" w:rsidR="00407A5A" w:rsidRPr="00912B69" w:rsidRDefault="00407A5A" w:rsidP="00912B69">
            <w:pPr>
              <w:pStyle w:val="BodyText"/>
              <w:spacing w:before="240" w:after="0" w:line="276" w:lineRule="auto"/>
              <w:jc w:val="center"/>
              <w:rPr>
                <w:b/>
                <w:bCs/>
              </w:rPr>
            </w:pPr>
            <w:r w:rsidRPr="00912B69">
              <w:rPr>
                <w:b/>
                <w:bCs/>
              </w:rPr>
              <w:t>Tonnes</w:t>
            </w:r>
          </w:p>
        </w:tc>
        <w:tc>
          <w:tcPr>
            <w:tcW w:w="1613" w:type="dxa"/>
          </w:tcPr>
          <w:p w14:paraId="12AC6849" w14:textId="5BC1E142" w:rsidR="00407A5A" w:rsidRPr="00912B69" w:rsidRDefault="00912B69" w:rsidP="00912B69">
            <w:pPr>
              <w:pStyle w:val="BodyText"/>
              <w:spacing w:before="240" w:after="0" w:line="276" w:lineRule="auto"/>
              <w:jc w:val="center"/>
              <w:rPr>
                <w:b/>
                <w:bCs/>
              </w:rPr>
            </w:pPr>
            <w:r w:rsidRPr="00912B69">
              <w:rPr>
                <w:b/>
                <w:bCs/>
              </w:rPr>
              <w:t>Change</w:t>
            </w:r>
            <w:r>
              <w:rPr>
                <w:b/>
                <w:bCs/>
              </w:rPr>
              <w:br/>
            </w:r>
            <w:r w:rsidRPr="00912B69">
              <w:rPr>
                <w:b/>
                <w:bCs/>
              </w:rPr>
              <w:t>from</w:t>
            </w:r>
            <w:r>
              <w:rPr>
                <w:b/>
                <w:bCs/>
              </w:rPr>
              <w:br/>
            </w:r>
            <w:r w:rsidRPr="00912B69">
              <w:rPr>
                <w:b/>
                <w:bCs/>
              </w:rPr>
              <w:t xml:space="preserve">previous </w:t>
            </w:r>
            <w:r>
              <w:rPr>
                <w:b/>
                <w:bCs/>
              </w:rPr>
              <w:br/>
            </w:r>
            <w:r w:rsidRPr="00912B69">
              <w:rPr>
                <w:b/>
                <w:bCs/>
              </w:rPr>
              <w:t>year</w:t>
            </w:r>
          </w:p>
        </w:tc>
        <w:tc>
          <w:tcPr>
            <w:tcW w:w="1612" w:type="dxa"/>
          </w:tcPr>
          <w:p w14:paraId="7B296865" w14:textId="77777777" w:rsidR="00407A5A" w:rsidRPr="00912B69" w:rsidRDefault="00407A5A" w:rsidP="00912B69">
            <w:pPr>
              <w:pStyle w:val="BodyText"/>
              <w:spacing w:before="240" w:after="0" w:line="276" w:lineRule="auto"/>
              <w:jc w:val="center"/>
              <w:rPr>
                <w:b/>
                <w:bCs/>
              </w:rPr>
            </w:pPr>
            <w:r w:rsidRPr="00912B69">
              <w:rPr>
                <w:b/>
                <w:bCs/>
              </w:rPr>
              <w:t>%</w:t>
            </w:r>
          </w:p>
        </w:tc>
        <w:tc>
          <w:tcPr>
            <w:tcW w:w="1613" w:type="dxa"/>
          </w:tcPr>
          <w:p w14:paraId="7E96ED83" w14:textId="31FA579F" w:rsidR="00407A5A" w:rsidRPr="00912B69" w:rsidRDefault="00407A5A" w:rsidP="00912B69">
            <w:pPr>
              <w:pStyle w:val="BodyText"/>
              <w:spacing w:before="240" w:after="0" w:line="276" w:lineRule="auto"/>
              <w:jc w:val="center"/>
              <w:rPr>
                <w:b/>
                <w:bCs/>
              </w:rPr>
            </w:pPr>
            <w:r w:rsidRPr="00912B69">
              <w:rPr>
                <w:b/>
                <w:bCs/>
              </w:rPr>
              <w:t>Change</w:t>
            </w:r>
            <w:r w:rsidR="00912B69">
              <w:rPr>
                <w:b/>
                <w:bCs/>
              </w:rPr>
              <w:br/>
            </w:r>
            <w:r w:rsidRPr="00912B69">
              <w:rPr>
                <w:b/>
                <w:bCs/>
              </w:rPr>
              <w:t>from previous year</w:t>
            </w:r>
          </w:p>
        </w:tc>
      </w:tr>
      <w:tr w:rsidR="00C2301E" w:rsidRPr="00407A5A" w14:paraId="2342FFA4" w14:textId="77777777" w:rsidTr="0066651F">
        <w:trPr>
          <w:trHeight w:val="850"/>
        </w:trPr>
        <w:tc>
          <w:tcPr>
            <w:tcW w:w="1554" w:type="dxa"/>
            <w:vAlign w:val="center"/>
          </w:tcPr>
          <w:p w14:paraId="733985EC" w14:textId="03621765" w:rsidR="00407A5A" w:rsidRPr="00407A5A" w:rsidRDefault="00407A5A" w:rsidP="003F26AC">
            <w:pPr>
              <w:pStyle w:val="BodyText"/>
              <w:spacing w:after="0" w:line="240" w:lineRule="auto"/>
              <w:jc w:val="center"/>
            </w:pPr>
            <w:r w:rsidRPr="00407A5A">
              <w:t>MSW</w:t>
            </w:r>
          </w:p>
        </w:tc>
        <w:tc>
          <w:tcPr>
            <w:tcW w:w="1612" w:type="dxa"/>
            <w:vAlign w:val="center"/>
          </w:tcPr>
          <w:p w14:paraId="00D3911F" w14:textId="77777777" w:rsidR="00407A5A" w:rsidRPr="00407A5A" w:rsidRDefault="00407A5A" w:rsidP="003F26AC">
            <w:pPr>
              <w:pStyle w:val="BodyText"/>
              <w:spacing w:after="0" w:line="240" w:lineRule="auto"/>
              <w:jc w:val="center"/>
            </w:pPr>
            <w:r w:rsidRPr="00407A5A">
              <w:t>3.1 M</w:t>
            </w:r>
          </w:p>
        </w:tc>
        <w:tc>
          <w:tcPr>
            <w:tcW w:w="1649" w:type="dxa"/>
            <w:vAlign w:val="center"/>
          </w:tcPr>
          <w:p w14:paraId="4F72F268" w14:textId="77777777" w:rsidR="00407A5A" w:rsidRPr="00912B69" w:rsidRDefault="00407A5A" w:rsidP="003F26AC">
            <w:pPr>
              <w:pStyle w:val="BodyText"/>
              <w:spacing w:after="0" w:line="240" w:lineRule="auto"/>
              <w:jc w:val="center"/>
              <w:rPr>
                <w:sz w:val="32"/>
                <w:szCs w:val="32"/>
              </w:rPr>
            </w:pPr>
            <w:r w:rsidRPr="00912B69">
              <w:rPr>
                <w:sz w:val="32"/>
                <w:szCs w:val="32"/>
              </w:rPr>
              <w:t>↓</w:t>
            </w:r>
          </w:p>
        </w:tc>
        <w:tc>
          <w:tcPr>
            <w:tcW w:w="1576" w:type="dxa"/>
            <w:vAlign w:val="center"/>
          </w:tcPr>
          <w:p w14:paraId="07CA56B4" w14:textId="77777777" w:rsidR="00407A5A" w:rsidRPr="00407A5A" w:rsidRDefault="00407A5A" w:rsidP="003F26AC">
            <w:pPr>
              <w:pStyle w:val="BodyText"/>
              <w:spacing w:after="0" w:line="240" w:lineRule="auto"/>
              <w:jc w:val="center"/>
            </w:pPr>
            <w:r w:rsidRPr="00407A5A">
              <w:t>1.4 M</w:t>
            </w:r>
          </w:p>
        </w:tc>
        <w:tc>
          <w:tcPr>
            <w:tcW w:w="1684" w:type="dxa"/>
            <w:vAlign w:val="center"/>
          </w:tcPr>
          <w:p w14:paraId="786CEAF0"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541" w:type="dxa"/>
            <w:vAlign w:val="center"/>
          </w:tcPr>
          <w:p w14:paraId="057DF832" w14:textId="77777777" w:rsidR="00407A5A" w:rsidRPr="00407A5A" w:rsidRDefault="00407A5A" w:rsidP="003F26AC">
            <w:pPr>
              <w:pStyle w:val="BodyText"/>
              <w:spacing w:after="0" w:line="240" w:lineRule="auto"/>
              <w:jc w:val="center"/>
            </w:pPr>
            <w:r w:rsidRPr="00407A5A">
              <w:t>1.7 M</w:t>
            </w:r>
          </w:p>
        </w:tc>
        <w:tc>
          <w:tcPr>
            <w:tcW w:w="1613" w:type="dxa"/>
            <w:vAlign w:val="center"/>
          </w:tcPr>
          <w:p w14:paraId="4CA74525"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612" w:type="dxa"/>
            <w:vAlign w:val="center"/>
          </w:tcPr>
          <w:p w14:paraId="48147202" w14:textId="77777777" w:rsidR="00407A5A" w:rsidRPr="00407A5A" w:rsidRDefault="00407A5A" w:rsidP="003F26AC">
            <w:pPr>
              <w:pStyle w:val="BodyText"/>
              <w:spacing w:after="0" w:line="240" w:lineRule="auto"/>
              <w:jc w:val="center"/>
            </w:pPr>
            <w:r w:rsidRPr="00407A5A">
              <w:t>46%</w:t>
            </w:r>
          </w:p>
        </w:tc>
        <w:tc>
          <w:tcPr>
            <w:tcW w:w="1613" w:type="dxa"/>
            <w:vAlign w:val="center"/>
          </w:tcPr>
          <w:p w14:paraId="5366A133" w14:textId="77777777" w:rsidR="00407A5A" w:rsidRPr="00912B69" w:rsidRDefault="00407A5A" w:rsidP="003F26AC">
            <w:pPr>
              <w:pStyle w:val="BodyText"/>
              <w:spacing w:after="0" w:line="240" w:lineRule="auto"/>
              <w:jc w:val="center"/>
              <w:rPr>
                <w:b/>
                <w:bCs/>
                <w:sz w:val="32"/>
                <w:szCs w:val="32"/>
              </w:rPr>
            </w:pPr>
            <w:r w:rsidRPr="00912B69">
              <w:rPr>
                <w:b/>
                <w:bCs/>
                <w:i/>
                <w:iCs/>
                <w:sz w:val="32"/>
                <w:szCs w:val="32"/>
              </w:rPr>
              <w:t>↓</w:t>
            </w:r>
          </w:p>
        </w:tc>
      </w:tr>
      <w:tr w:rsidR="00C2301E" w:rsidRPr="00407A5A" w14:paraId="023BD9A3" w14:textId="77777777" w:rsidTr="0066651F">
        <w:trPr>
          <w:trHeight w:val="850"/>
        </w:trPr>
        <w:tc>
          <w:tcPr>
            <w:tcW w:w="1554" w:type="dxa"/>
            <w:vAlign w:val="center"/>
          </w:tcPr>
          <w:p w14:paraId="5C55EF73" w14:textId="652833CA" w:rsidR="00407A5A" w:rsidRPr="00407A5A" w:rsidRDefault="00407A5A" w:rsidP="003F26AC">
            <w:pPr>
              <w:pStyle w:val="BodyText"/>
              <w:spacing w:after="0" w:line="240" w:lineRule="auto"/>
              <w:jc w:val="center"/>
            </w:pPr>
            <w:r w:rsidRPr="00407A5A">
              <w:t>C&amp;I</w:t>
            </w:r>
          </w:p>
        </w:tc>
        <w:tc>
          <w:tcPr>
            <w:tcW w:w="1612" w:type="dxa"/>
            <w:vAlign w:val="center"/>
          </w:tcPr>
          <w:p w14:paraId="67CFE372" w14:textId="77777777" w:rsidR="00407A5A" w:rsidRPr="00407A5A" w:rsidRDefault="00407A5A" w:rsidP="003F26AC">
            <w:pPr>
              <w:pStyle w:val="BodyText"/>
              <w:spacing w:after="0" w:line="240" w:lineRule="auto"/>
              <w:jc w:val="center"/>
            </w:pPr>
            <w:r w:rsidRPr="00407A5A">
              <w:t>4.9 M</w:t>
            </w:r>
          </w:p>
        </w:tc>
        <w:tc>
          <w:tcPr>
            <w:tcW w:w="1649" w:type="dxa"/>
            <w:vAlign w:val="center"/>
          </w:tcPr>
          <w:p w14:paraId="2D556FFF" w14:textId="77777777" w:rsidR="00407A5A" w:rsidRPr="00912B69" w:rsidRDefault="00407A5A" w:rsidP="003F26AC">
            <w:pPr>
              <w:pStyle w:val="BodyText"/>
              <w:spacing w:after="0" w:line="240" w:lineRule="auto"/>
              <w:jc w:val="center"/>
              <w:rPr>
                <w:sz w:val="32"/>
                <w:szCs w:val="32"/>
              </w:rPr>
            </w:pPr>
            <w:r w:rsidRPr="00912B69">
              <w:rPr>
                <w:sz w:val="32"/>
                <w:szCs w:val="32"/>
              </w:rPr>
              <w:t>↑</w:t>
            </w:r>
          </w:p>
        </w:tc>
        <w:tc>
          <w:tcPr>
            <w:tcW w:w="1576" w:type="dxa"/>
            <w:vAlign w:val="center"/>
          </w:tcPr>
          <w:p w14:paraId="41B64C79" w14:textId="77777777" w:rsidR="00407A5A" w:rsidRPr="00407A5A" w:rsidRDefault="00407A5A" w:rsidP="003F26AC">
            <w:pPr>
              <w:pStyle w:val="BodyText"/>
              <w:spacing w:after="0" w:line="240" w:lineRule="auto"/>
              <w:jc w:val="center"/>
            </w:pPr>
            <w:r w:rsidRPr="00407A5A">
              <w:t>2.9 M</w:t>
            </w:r>
          </w:p>
        </w:tc>
        <w:tc>
          <w:tcPr>
            <w:tcW w:w="1684" w:type="dxa"/>
            <w:vAlign w:val="center"/>
          </w:tcPr>
          <w:p w14:paraId="09A098B3"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541" w:type="dxa"/>
            <w:vAlign w:val="center"/>
          </w:tcPr>
          <w:p w14:paraId="710EBD3A" w14:textId="77777777" w:rsidR="00407A5A" w:rsidRPr="00407A5A" w:rsidRDefault="00407A5A" w:rsidP="003F26AC">
            <w:pPr>
              <w:pStyle w:val="BodyText"/>
              <w:spacing w:after="0" w:line="240" w:lineRule="auto"/>
              <w:jc w:val="center"/>
            </w:pPr>
            <w:r w:rsidRPr="00407A5A">
              <w:t>2.0 M</w:t>
            </w:r>
          </w:p>
        </w:tc>
        <w:tc>
          <w:tcPr>
            <w:tcW w:w="1613" w:type="dxa"/>
            <w:vAlign w:val="center"/>
          </w:tcPr>
          <w:p w14:paraId="5D7E4EBB"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612" w:type="dxa"/>
            <w:vAlign w:val="center"/>
          </w:tcPr>
          <w:p w14:paraId="519F5518" w14:textId="77777777" w:rsidR="00407A5A" w:rsidRPr="00407A5A" w:rsidRDefault="00407A5A" w:rsidP="003F26AC">
            <w:pPr>
              <w:pStyle w:val="BodyText"/>
              <w:spacing w:after="0" w:line="240" w:lineRule="auto"/>
              <w:jc w:val="center"/>
            </w:pPr>
            <w:r w:rsidRPr="00407A5A">
              <w:t>60%</w:t>
            </w:r>
          </w:p>
        </w:tc>
        <w:tc>
          <w:tcPr>
            <w:tcW w:w="1613" w:type="dxa"/>
            <w:vAlign w:val="center"/>
          </w:tcPr>
          <w:p w14:paraId="6890488B" w14:textId="77777777" w:rsidR="00407A5A" w:rsidRPr="00912B69" w:rsidRDefault="00407A5A" w:rsidP="003F26AC">
            <w:pPr>
              <w:pStyle w:val="BodyText"/>
              <w:spacing w:after="0" w:line="240" w:lineRule="auto"/>
              <w:jc w:val="center"/>
              <w:rPr>
                <w:b/>
                <w:bCs/>
                <w:sz w:val="32"/>
                <w:szCs w:val="32"/>
              </w:rPr>
            </w:pPr>
            <w:r w:rsidRPr="00912B69">
              <w:rPr>
                <w:b/>
                <w:bCs/>
                <w:i/>
                <w:iCs/>
                <w:sz w:val="32"/>
                <w:szCs w:val="32"/>
              </w:rPr>
              <w:t>↑</w:t>
            </w:r>
          </w:p>
        </w:tc>
      </w:tr>
      <w:tr w:rsidR="00C2301E" w:rsidRPr="00407A5A" w14:paraId="13094DFD" w14:textId="77777777" w:rsidTr="0066651F">
        <w:trPr>
          <w:trHeight w:val="850"/>
        </w:trPr>
        <w:tc>
          <w:tcPr>
            <w:tcW w:w="1554" w:type="dxa"/>
            <w:vAlign w:val="center"/>
          </w:tcPr>
          <w:p w14:paraId="4D18ED39" w14:textId="5257ABC4" w:rsidR="00407A5A" w:rsidRPr="00407A5A" w:rsidRDefault="00407A5A" w:rsidP="003F26AC">
            <w:pPr>
              <w:pStyle w:val="BodyText"/>
              <w:spacing w:after="0" w:line="240" w:lineRule="auto"/>
              <w:jc w:val="center"/>
            </w:pPr>
            <w:r w:rsidRPr="00407A5A">
              <w:t>C&amp;D</w:t>
            </w:r>
          </w:p>
        </w:tc>
        <w:tc>
          <w:tcPr>
            <w:tcW w:w="1612" w:type="dxa"/>
            <w:vAlign w:val="center"/>
          </w:tcPr>
          <w:p w14:paraId="50518797" w14:textId="77777777" w:rsidR="00407A5A" w:rsidRPr="00407A5A" w:rsidRDefault="00407A5A" w:rsidP="003F26AC">
            <w:pPr>
              <w:pStyle w:val="BodyText"/>
              <w:spacing w:after="0" w:line="240" w:lineRule="auto"/>
              <w:jc w:val="center"/>
            </w:pPr>
            <w:r w:rsidRPr="00407A5A">
              <w:t>7.7 M</w:t>
            </w:r>
          </w:p>
        </w:tc>
        <w:tc>
          <w:tcPr>
            <w:tcW w:w="1649" w:type="dxa"/>
            <w:vAlign w:val="center"/>
          </w:tcPr>
          <w:p w14:paraId="62CB7B34" w14:textId="77777777" w:rsidR="00407A5A" w:rsidRPr="00912B69" w:rsidRDefault="00407A5A" w:rsidP="003F26AC">
            <w:pPr>
              <w:pStyle w:val="BodyText"/>
              <w:spacing w:after="0" w:line="240" w:lineRule="auto"/>
              <w:jc w:val="center"/>
              <w:rPr>
                <w:sz w:val="32"/>
                <w:szCs w:val="32"/>
              </w:rPr>
            </w:pPr>
            <w:r w:rsidRPr="00912B69">
              <w:rPr>
                <w:sz w:val="32"/>
                <w:szCs w:val="32"/>
              </w:rPr>
              <w:t>~</w:t>
            </w:r>
          </w:p>
        </w:tc>
        <w:tc>
          <w:tcPr>
            <w:tcW w:w="1576" w:type="dxa"/>
            <w:vAlign w:val="center"/>
          </w:tcPr>
          <w:p w14:paraId="33426171" w14:textId="77777777" w:rsidR="00407A5A" w:rsidRPr="00407A5A" w:rsidRDefault="00407A5A" w:rsidP="003F26AC">
            <w:pPr>
              <w:pStyle w:val="BodyText"/>
              <w:spacing w:after="0" w:line="240" w:lineRule="auto"/>
              <w:jc w:val="center"/>
            </w:pPr>
            <w:r w:rsidRPr="00407A5A">
              <w:t>6.6 M</w:t>
            </w:r>
          </w:p>
        </w:tc>
        <w:tc>
          <w:tcPr>
            <w:tcW w:w="1684" w:type="dxa"/>
            <w:vAlign w:val="center"/>
          </w:tcPr>
          <w:p w14:paraId="14A106F1"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541" w:type="dxa"/>
            <w:vAlign w:val="center"/>
          </w:tcPr>
          <w:p w14:paraId="00940BB2" w14:textId="77777777" w:rsidR="00407A5A" w:rsidRPr="00407A5A" w:rsidRDefault="00407A5A" w:rsidP="003F26AC">
            <w:pPr>
              <w:pStyle w:val="BodyText"/>
              <w:spacing w:after="0" w:line="240" w:lineRule="auto"/>
              <w:jc w:val="center"/>
            </w:pPr>
            <w:r w:rsidRPr="00407A5A">
              <w:t>1.1 M</w:t>
            </w:r>
          </w:p>
        </w:tc>
        <w:tc>
          <w:tcPr>
            <w:tcW w:w="1613" w:type="dxa"/>
            <w:vAlign w:val="center"/>
          </w:tcPr>
          <w:p w14:paraId="4A914B5C"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612" w:type="dxa"/>
            <w:vAlign w:val="center"/>
          </w:tcPr>
          <w:p w14:paraId="4304DBE5" w14:textId="77777777" w:rsidR="00407A5A" w:rsidRPr="00407A5A" w:rsidRDefault="00407A5A" w:rsidP="003F26AC">
            <w:pPr>
              <w:pStyle w:val="BodyText"/>
              <w:spacing w:after="0" w:line="240" w:lineRule="auto"/>
              <w:jc w:val="center"/>
            </w:pPr>
            <w:r w:rsidRPr="00407A5A">
              <w:t>86%</w:t>
            </w:r>
          </w:p>
        </w:tc>
        <w:tc>
          <w:tcPr>
            <w:tcW w:w="1613" w:type="dxa"/>
            <w:vAlign w:val="center"/>
          </w:tcPr>
          <w:p w14:paraId="2C74AC78"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r>
      <w:tr w:rsidR="00C2301E" w:rsidRPr="00407A5A" w14:paraId="2B701015" w14:textId="77777777" w:rsidTr="0066651F">
        <w:trPr>
          <w:trHeight w:val="850"/>
        </w:trPr>
        <w:tc>
          <w:tcPr>
            <w:tcW w:w="1554" w:type="dxa"/>
            <w:vAlign w:val="center"/>
          </w:tcPr>
          <w:p w14:paraId="6701A6F1" w14:textId="086560D0" w:rsidR="00407A5A" w:rsidRPr="00407A5A" w:rsidRDefault="00407A5A" w:rsidP="003F26AC">
            <w:pPr>
              <w:pStyle w:val="BodyText"/>
              <w:spacing w:after="0" w:line="240" w:lineRule="auto"/>
              <w:jc w:val="center"/>
            </w:pPr>
            <w:r w:rsidRPr="00407A5A">
              <w:t>Total</w:t>
            </w:r>
          </w:p>
        </w:tc>
        <w:tc>
          <w:tcPr>
            <w:tcW w:w="1612" w:type="dxa"/>
            <w:vAlign w:val="center"/>
          </w:tcPr>
          <w:p w14:paraId="456E690E" w14:textId="77777777" w:rsidR="00407A5A" w:rsidRPr="00407A5A" w:rsidRDefault="00407A5A" w:rsidP="003F26AC">
            <w:pPr>
              <w:pStyle w:val="BodyText"/>
              <w:spacing w:after="0" w:line="240" w:lineRule="auto"/>
              <w:jc w:val="center"/>
            </w:pPr>
            <w:r w:rsidRPr="00407A5A">
              <w:t>15.7 M</w:t>
            </w:r>
          </w:p>
        </w:tc>
        <w:tc>
          <w:tcPr>
            <w:tcW w:w="1649" w:type="dxa"/>
            <w:vAlign w:val="center"/>
          </w:tcPr>
          <w:p w14:paraId="37C12171" w14:textId="77777777" w:rsidR="00407A5A" w:rsidRPr="00912B69" w:rsidRDefault="00407A5A" w:rsidP="003F26AC">
            <w:pPr>
              <w:pStyle w:val="BodyText"/>
              <w:spacing w:after="0" w:line="240" w:lineRule="auto"/>
              <w:jc w:val="center"/>
              <w:rPr>
                <w:sz w:val="32"/>
                <w:szCs w:val="32"/>
              </w:rPr>
            </w:pPr>
            <w:r w:rsidRPr="00912B69">
              <w:rPr>
                <w:sz w:val="32"/>
                <w:szCs w:val="32"/>
              </w:rPr>
              <w:t>↑</w:t>
            </w:r>
          </w:p>
        </w:tc>
        <w:tc>
          <w:tcPr>
            <w:tcW w:w="1576" w:type="dxa"/>
            <w:vAlign w:val="center"/>
          </w:tcPr>
          <w:p w14:paraId="072CC059" w14:textId="77777777" w:rsidR="00407A5A" w:rsidRPr="00407A5A" w:rsidRDefault="00407A5A" w:rsidP="003F26AC">
            <w:pPr>
              <w:pStyle w:val="BodyText"/>
              <w:spacing w:after="0" w:line="240" w:lineRule="auto"/>
              <w:jc w:val="center"/>
            </w:pPr>
            <w:r w:rsidRPr="00407A5A">
              <w:t>11 M</w:t>
            </w:r>
          </w:p>
        </w:tc>
        <w:tc>
          <w:tcPr>
            <w:tcW w:w="1684" w:type="dxa"/>
            <w:vAlign w:val="center"/>
          </w:tcPr>
          <w:p w14:paraId="5ADBD712"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541" w:type="dxa"/>
            <w:vAlign w:val="center"/>
          </w:tcPr>
          <w:p w14:paraId="3ED6A4FB" w14:textId="77777777" w:rsidR="00407A5A" w:rsidRPr="00407A5A" w:rsidRDefault="00407A5A" w:rsidP="003F26AC">
            <w:pPr>
              <w:pStyle w:val="BodyText"/>
              <w:spacing w:after="0" w:line="240" w:lineRule="auto"/>
              <w:jc w:val="center"/>
            </w:pPr>
            <w:r w:rsidRPr="00407A5A">
              <w:t>4.7 M</w:t>
            </w:r>
          </w:p>
        </w:tc>
        <w:tc>
          <w:tcPr>
            <w:tcW w:w="1613" w:type="dxa"/>
            <w:vAlign w:val="center"/>
          </w:tcPr>
          <w:p w14:paraId="4B840A0C"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c>
          <w:tcPr>
            <w:tcW w:w="1612" w:type="dxa"/>
            <w:vAlign w:val="center"/>
          </w:tcPr>
          <w:p w14:paraId="23825889" w14:textId="77777777" w:rsidR="00407A5A" w:rsidRPr="00407A5A" w:rsidRDefault="00407A5A" w:rsidP="003F26AC">
            <w:pPr>
              <w:pStyle w:val="BodyText"/>
              <w:spacing w:after="0" w:line="240" w:lineRule="auto"/>
              <w:jc w:val="center"/>
            </w:pPr>
            <w:r w:rsidRPr="00407A5A">
              <w:t>70%</w:t>
            </w:r>
          </w:p>
        </w:tc>
        <w:tc>
          <w:tcPr>
            <w:tcW w:w="1613" w:type="dxa"/>
            <w:vAlign w:val="center"/>
          </w:tcPr>
          <w:p w14:paraId="5A8B4201" w14:textId="77777777" w:rsidR="00407A5A" w:rsidRPr="00912B69" w:rsidRDefault="00407A5A" w:rsidP="003F26AC">
            <w:pPr>
              <w:pStyle w:val="BodyText"/>
              <w:spacing w:after="0" w:line="240" w:lineRule="auto"/>
              <w:jc w:val="center"/>
              <w:rPr>
                <w:b/>
                <w:bCs/>
                <w:sz w:val="32"/>
                <w:szCs w:val="32"/>
              </w:rPr>
            </w:pPr>
            <w:r w:rsidRPr="00912B69">
              <w:rPr>
                <w:b/>
                <w:bCs/>
                <w:sz w:val="32"/>
                <w:szCs w:val="32"/>
              </w:rPr>
              <w:t>~</w:t>
            </w:r>
          </w:p>
        </w:tc>
      </w:tr>
    </w:tbl>
    <w:p w14:paraId="7D4243A0" w14:textId="5F0A4DC5" w:rsidR="00C2301E" w:rsidRDefault="00C2301E" w:rsidP="003F26AC">
      <w:pPr>
        <w:pStyle w:val="BodyText"/>
        <w:spacing w:before="360"/>
        <w:sectPr w:rsidR="00C2301E" w:rsidSect="00633298">
          <w:pgSz w:w="16838" w:h="11906" w:orient="landscape"/>
          <w:pgMar w:top="1134" w:right="1134" w:bottom="1134" w:left="1134" w:header="720" w:footer="720" w:gutter="0"/>
          <w:cols w:space="720"/>
          <w:noEndnote/>
          <w:docGrid w:linePitch="326"/>
        </w:sectPr>
      </w:pPr>
      <w:r>
        <w:t>(</w:t>
      </w:r>
      <w:r w:rsidRPr="007E2A3D">
        <w:t>Recycling Victoria (2023) Waste projection model available at</w:t>
      </w:r>
      <w:r>
        <w:t xml:space="preserve"> </w:t>
      </w:r>
      <w:hyperlink r:id="rId19" w:history="1">
        <w:r w:rsidRPr="00396CE9">
          <w:rPr>
            <w:rStyle w:val="Hyperlink"/>
          </w:rPr>
          <w:t>https://www.vic.gov.au/victorias-waste-projection-model-dashboard</w:t>
        </w:r>
      </w:hyperlink>
      <w:r w:rsidRPr="007E2A3D">
        <w:t xml:space="preserve"> The data in the table is</w:t>
      </w:r>
      <w:r>
        <w:t xml:space="preserve"> </w:t>
      </w:r>
      <w:r w:rsidRPr="007E2A3D">
        <w:t>based on actual data from 2020–21</w:t>
      </w:r>
      <w:r>
        <w:t>)</w:t>
      </w:r>
    </w:p>
    <w:p w14:paraId="1DC58455" w14:textId="0CDA5C96" w:rsidR="00407A5A" w:rsidRPr="00407A5A" w:rsidRDefault="00407A5A" w:rsidP="00D931BC">
      <w:pPr>
        <w:pStyle w:val="Heading2"/>
      </w:pPr>
      <w:bookmarkStart w:id="11" w:name="_Toc161758516"/>
      <w:r w:rsidRPr="00407A5A">
        <w:lastRenderedPageBreak/>
        <w:t xml:space="preserve">Sector turnover and commodity/material </w:t>
      </w:r>
      <w:proofErr w:type="gramStart"/>
      <w:r w:rsidRPr="00407A5A">
        <w:t>value</w:t>
      </w:r>
      <w:bookmarkEnd w:id="11"/>
      <w:proofErr w:type="gramEnd"/>
    </w:p>
    <w:p w14:paraId="3D7262DB" w14:textId="5E8D4520" w:rsidR="00407A5A" w:rsidRDefault="00407A5A" w:rsidP="00407A5A">
      <w:pPr>
        <w:pStyle w:val="BodyText"/>
      </w:pPr>
      <w:r w:rsidRPr="00407A5A">
        <w:t>The value of the Victorian waste, recycling and resource recovery sector is estimated at over $4.4 billion</w:t>
      </w:r>
      <w:r w:rsidR="007E2A3D">
        <w:t xml:space="preserve"> (</w:t>
      </w:r>
      <w:r w:rsidR="007E2A3D" w:rsidRPr="007E2A3D">
        <w:t>(Australian Bureau of Statistics, 2020)</w:t>
      </w:r>
      <w:r w:rsidR="007E2A3D">
        <w:t xml:space="preserve"> </w:t>
      </w:r>
      <w:r w:rsidR="007E2A3D" w:rsidRPr="007E2A3D">
        <w:t xml:space="preserve">Waste Account, Australia, Experimental Estimates. Retrieved from </w:t>
      </w:r>
      <w:hyperlink r:id="rId20" w:history="1">
        <w:r w:rsidR="007E2A3D" w:rsidRPr="00396CE9">
          <w:rPr>
            <w:rStyle w:val="Hyperlink"/>
          </w:rPr>
          <w:t>https://www.abs.gov.au/statistics/environment/</w:t>
        </w:r>
        <w:r w:rsidR="007E2A3D" w:rsidRPr="00396CE9">
          <w:rPr>
            <w:rStyle w:val="Hyperlink"/>
          </w:rPr>
          <w:br/>
          <w:t>environmental-management/waste-account-australia-experimental-estimates/latest-release</w:t>
        </w:r>
      </w:hyperlink>
      <w:r w:rsidR="007E2A3D" w:rsidRPr="007E2A3D">
        <w:t>. Estimate of the value in the 2018–19 financial year based on this data.</w:t>
      </w:r>
      <w:r w:rsidR="007E2A3D">
        <w:t xml:space="preserve"> </w:t>
      </w:r>
      <w:r w:rsidRPr="00407A5A">
        <w:t>This value will continue to grow quickly as Victoria transitions to a stronger circular economy.</w:t>
      </w:r>
    </w:p>
    <w:p w14:paraId="68FCAECF" w14:textId="444BF009" w:rsidR="00407A5A" w:rsidRPr="002623BE" w:rsidRDefault="00407A5A" w:rsidP="002623BE">
      <w:pPr>
        <w:pStyle w:val="BodyText"/>
        <w:rPr>
          <w:b/>
          <w:bCs/>
        </w:rPr>
      </w:pPr>
      <w:r w:rsidRPr="002623BE">
        <w:rPr>
          <w:b/>
          <w:bCs/>
        </w:rPr>
        <w:t>The total market value of recovered materials is estimated at $1.2 billion (Figure 4).</w:t>
      </w:r>
    </w:p>
    <w:p w14:paraId="6BEBD147" w14:textId="3044632F" w:rsidR="00407A5A" w:rsidRPr="002623BE" w:rsidRDefault="00407A5A" w:rsidP="002623BE">
      <w:pPr>
        <w:pStyle w:val="BodyText"/>
      </w:pPr>
      <w:r w:rsidRPr="002623BE">
        <w:t xml:space="preserve">Commodity values and market trends continually change and are tracked in regular market reports prepared by Recycling Victoria and published on the </w:t>
      </w:r>
      <w:hyperlink r:id="rId21" w:history="1">
        <w:r w:rsidRPr="002623BE">
          <w:rPr>
            <w:rStyle w:val="Hyperlink"/>
          </w:rPr>
          <w:t xml:space="preserve">Recycling Victoria Data Hub | </w:t>
        </w:r>
        <w:r w:rsidRPr="002623BE">
          <w:rPr>
            <w:rStyle w:val="Hyperlink"/>
          </w:rPr>
          <w:br/>
          <w:t>vic.gov.au (www.vic.gov.au)</w:t>
        </w:r>
      </w:hyperlink>
    </w:p>
    <w:p w14:paraId="50C86F6D" w14:textId="77777777" w:rsidR="00407A5A" w:rsidRPr="00407A5A" w:rsidRDefault="00407A5A" w:rsidP="002623BE">
      <w:pPr>
        <w:pStyle w:val="BodyText"/>
      </w:pPr>
      <w:r w:rsidRPr="00407A5A">
        <w:t>Commodity values are driven by multiple factors including:</w:t>
      </w:r>
    </w:p>
    <w:p w14:paraId="34679253" w14:textId="2885FFAA" w:rsidR="00407A5A" w:rsidRPr="00407A5A" w:rsidRDefault="00407A5A" w:rsidP="002623BE">
      <w:pPr>
        <w:pStyle w:val="ListBullet"/>
      </w:pPr>
      <w:r w:rsidRPr="00407A5A">
        <w:t>international commodity values (e.g., metals, oil/plastics, paper/carboard)</w:t>
      </w:r>
    </w:p>
    <w:p w14:paraId="046538F2" w14:textId="77777777" w:rsidR="00407A5A" w:rsidRPr="00407A5A" w:rsidRDefault="00407A5A" w:rsidP="002623BE">
      <w:pPr>
        <w:pStyle w:val="ListBullet"/>
      </w:pPr>
      <w:r w:rsidRPr="00407A5A">
        <w:t>landfill gate fees and landfill levies (aggregates, masonry &amp; soil, organics)</w:t>
      </w:r>
    </w:p>
    <w:p w14:paraId="3A4657A2" w14:textId="77777777" w:rsidR="00407A5A" w:rsidRPr="00407A5A" w:rsidRDefault="00407A5A" w:rsidP="002623BE">
      <w:pPr>
        <w:pStyle w:val="ListBullet"/>
      </w:pPr>
      <w:r w:rsidRPr="00407A5A">
        <w:t>virgin materials costs (glass)</w:t>
      </w:r>
    </w:p>
    <w:p w14:paraId="379CB2C6" w14:textId="77777777" w:rsidR="00407A5A" w:rsidRPr="00407A5A" w:rsidRDefault="00407A5A" w:rsidP="002623BE">
      <w:pPr>
        <w:pStyle w:val="ListBullet"/>
      </w:pPr>
      <w:r w:rsidRPr="00407A5A">
        <w:t>product stewardship arrangements (CDS, E-Waste)</w:t>
      </w:r>
    </w:p>
    <w:p w14:paraId="1183365E" w14:textId="77777777" w:rsidR="00407A5A" w:rsidRPr="00407A5A" w:rsidRDefault="00407A5A" w:rsidP="002623BE">
      <w:pPr>
        <w:pStyle w:val="Bullet1last"/>
      </w:pPr>
      <w:r w:rsidRPr="00407A5A">
        <w:t>end market stage of development (organics).</w:t>
      </w:r>
    </w:p>
    <w:p w14:paraId="71C95EDB" w14:textId="77777777" w:rsidR="00407A5A" w:rsidRDefault="00407A5A" w:rsidP="00407A5A">
      <w:pPr>
        <w:pStyle w:val="BodyText"/>
      </w:pPr>
      <w:r w:rsidRPr="00407A5A">
        <w:t>The market value for each material provides some level of insight into the circularity of each sector; the material value and its price relativity to the virgin material shapes its circularity opportunity. For example, metals have a high commodity value due to high cost and demand for these materials and this drives resource recovery. Conversely, the cost to recover and process plastics to a quality to replace virgin material is currently higher than the cost of the virgin fossil fuel-based plastics for most polymers.</w:t>
      </w:r>
    </w:p>
    <w:p w14:paraId="450D47F8" w14:textId="2A8F03BC" w:rsidR="00C41C42" w:rsidRDefault="00C41C42" w:rsidP="00C41C42">
      <w:pPr>
        <w:pStyle w:val="Caption"/>
        <w:keepNext/>
      </w:pPr>
      <w:r>
        <w:lastRenderedPageBreak/>
        <w:t xml:space="preserve">Figure </w:t>
      </w:r>
      <w:r>
        <w:fldChar w:fldCharType="begin"/>
      </w:r>
      <w:r>
        <w:instrText xml:space="preserve"> SEQ Figure \* ARABIC </w:instrText>
      </w:r>
      <w:r>
        <w:fldChar w:fldCharType="separate"/>
      </w:r>
      <w:r>
        <w:rPr>
          <w:noProof/>
        </w:rPr>
        <w:t>4</w:t>
      </w:r>
      <w:r>
        <w:fldChar w:fldCharType="end"/>
      </w:r>
      <w:r>
        <w:t xml:space="preserve">: </w:t>
      </w:r>
      <w:r w:rsidRPr="00984319">
        <w:t>Estimated market value of recovered materials in 2020–</w:t>
      </w:r>
      <w:proofErr w:type="gramStart"/>
      <w:r w:rsidRPr="00984319">
        <w:t>21</w:t>
      </w:r>
      <w:proofErr w:type="gramEnd"/>
    </w:p>
    <w:p w14:paraId="215F70DA" w14:textId="722317E9" w:rsidR="00C41C42" w:rsidRPr="00407A5A" w:rsidRDefault="00C41C42" w:rsidP="00407A5A">
      <w:pPr>
        <w:pStyle w:val="BodyText"/>
        <w:rPr>
          <w:b/>
          <w:bCs/>
        </w:rPr>
      </w:pPr>
      <w:r>
        <w:rPr>
          <w:b/>
          <w:bCs/>
          <w:noProof/>
        </w:rPr>
        <w:drawing>
          <wp:inline distT="0" distB="0" distL="0" distR="0" wp14:anchorId="4759331D" wp14:editId="04E07083">
            <wp:extent cx="5879306" cy="4514911"/>
            <wp:effectExtent l="0" t="0" r="1270" b="0"/>
            <wp:docPr id="921145981" name="Picture 4" descr="Based on commodity prices and amounts recovered ,it is estimated that the total market value of recovered materials in Victoria is $1.2 billion/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45981" name="Picture 4" descr="Based on commodity prices and amounts recovered ,it is estimated that the total market value of recovered materials in Victoria is $1.2 billion/year. "/>
                    <pic:cNvPicPr/>
                  </pic:nvPicPr>
                  <pic:blipFill>
                    <a:blip r:embed="rId22"/>
                    <a:stretch>
                      <a:fillRect/>
                    </a:stretch>
                  </pic:blipFill>
                  <pic:spPr>
                    <a:xfrm>
                      <a:off x="0" y="0"/>
                      <a:ext cx="5891732" cy="4524453"/>
                    </a:xfrm>
                    <a:prstGeom prst="rect">
                      <a:avLst/>
                    </a:prstGeom>
                  </pic:spPr>
                </pic:pic>
              </a:graphicData>
            </a:graphic>
          </wp:inline>
        </w:drawing>
      </w:r>
    </w:p>
    <w:p w14:paraId="19ED0046" w14:textId="77777777" w:rsidR="00407A5A" w:rsidRPr="00407A5A" w:rsidRDefault="00407A5A" w:rsidP="00407A5A">
      <w:pPr>
        <w:pStyle w:val="BodyText"/>
      </w:pPr>
      <w:r w:rsidRPr="00407A5A">
        <w:t>The market value of each stream is estimated by multiplying the tonnes of that stream recycled by the average commodity/material sale price.</w:t>
      </w:r>
    </w:p>
    <w:p w14:paraId="50C1D093" w14:textId="77777777" w:rsidR="00407A5A" w:rsidRPr="00407A5A" w:rsidRDefault="00407A5A" w:rsidP="00D931BC">
      <w:pPr>
        <w:pStyle w:val="Heading2"/>
      </w:pPr>
      <w:bookmarkStart w:id="12" w:name="_Toc161758517"/>
      <w:r w:rsidRPr="00407A5A">
        <w:t>Materials circularity</w:t>
      </w:r>
      <w:bookmarkEnd w:id="12"/>
    </w:p>
    <w:p w14:paraId="366B8480" w14:textId="0563743C" w:rsidR="00407A5A" w:rsidRPr="00407A5A" w:rsidRDefault="00407A5A" w:rsidP="00407A5A">
      <w:pPr>
        <w:pStyle w:val="BodyText"/>
      </w:pPr>
      <w:r w:rsidRPr="00407A5A">
        <w:t>Acknowledging the limitations of measuring circularity with resource recovery rates (</w:t>
      </w:r>
      <w:r w:rsidR="00284372">
        <w:fldChar w:fldCharType="begin"/>
      </w:r>
      <w:r w:rsidR="00284372">
        <w:instrText xml:space="preserve"> REF _Ref161760939 \h </w:instrText>
      </w:r>
      <w:r w:rsidR="00284372">
        <w:fldChar w:fldCharType="separate"/>
      </w:r>
      <w:r w:rsidR="00284372">
        <w:t xml:space="preserve">Table </w:t>
      </w:r>
      <w:r w:rsidR="00284372">
        <w:rPr>
          <w:noProof/>
        </w:rPr>
        <w:t>2</w:t>
      </w:r>
      <w:r w:rsidR="00284372">
        <w:fldChar w:fldCharType="end"/>
      </w:r>
      <w:r w:rsidRPr="00407A5A">
        <w:t>), there are numerous material streams which are performing much better than others within the Victorian market.</w:t>
      </w:r>
    </w:p>
    <w:p w14:paraId="04E4D9E7" w14:textId="55C6E7F5" w:rsidR="00407A5A" w:rsidRDefault="00407A5A" w:rsidP="00407A5A">
      <w:pPr>
        <w:pStyle w:val="BodyText"/>
        <w:rPr>
          <w:lang w:val="en-AU"/>
        </w:rPr>
      </w:pPr>
      <w:r w:rsidRPr="00407A5A">
        <w:rPr>
          <w:lang w:val="en-AU"/>
        </w:rPr>
        <w:t>Currently metals, aggregates, masonry and soils, and tyres are the highest performing material streams within Victoria, with textiles and plastics the lowest.</w:t>
      </w:r>
    </w:p>
    <w:p w14:paraId="4B059D27" w14:textId="4D2C0CBF" w:rsidR="00C41C42" w:rsidRDefault="00C41C42" w:rsidP="00C41C42">
      <w:pPr>
        <w:pStyle w:val="Caption"/>
        <w:keepNext/>
      </w:pPr>
      <w:r>
        <w:lastRenderedPageBreak/>
        <w:t>Table 2: Individual material resource recovery</w:t>
      </w:r>
    </w:p>
    <w:p w14:paraId="771F079B" w14:textId="77777777" w:rsidR="00C41C42" w:rsidRDefault="00C41C42" w:rsidP="00407A5A">
      <w:pPr>
        <w:pStyle w:val="BodyText"/>
        <w:rPr>
          <w:lang w:val="en-AU"/>
        </w:rPr>
      </w:pPr>
      <w:r>
        <w:rPr>
          <w:noProof/>
          <w:lang w:val="en-AU"/>
        </w:rPr>
        <w:drawing>
          <wp:inline distT="0" distB="0" distL="0" distR="0" wp14:anchorId="6B37544A" wp14:editId="7A56E428">
            <wp:extent cx="6120130" cy="2134870"/>
            <wp:effectExtent l="0" t="0" r="1270" b="0"/>
            <wp:docPr id="2253919" name="Picture 5" descr="70% of the material waste generated each year is collected for reprocessing.  On a material by material basis recovery varies between 19% an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919" name="Picture 5" descr="70% of the material waste generated each year is collected for reprocessing.  On a material by material basis recovery varies between 19% and 89%"/>
                    <pic:cNvPicPr/>
                  </pic:nvPicPr>
                  <pic:blipFill>
                    <a:blip r:embed="rId23"/>
                    <a:stretch>
                      <a:fillRect/>
                    </a:stretch>
                  </pic:blipFill>
                  <pic:spPr>
                    <a:xfrm>
                      <a:off x="0" y="0"/>
                      <a:ext cx="6120130" cy="2134870"/>
                    </a:xfrm>
                    <a:prstGeom prst="rect">
                      <a:avLst/>
                    </a:prstGeom>
                  </pic:spPr>
                </pic:pic>
              </a:graphicData>
            </a:graphic>
          </wp:inline>
        </w:drawing>
      </w:r>
    </w:p>
    <w:p w14:paraId="457EE3A6" w14:textId="6C6A23B9" w:rsidR="00A67B1E" w:rsidRDefault="00A67B1E" w:rsidP="00A67B1E">
      <w:pPr>
        <w:pStyle w:val="Caption"/>
        <w:keepNext/>
      </w:pPr>
      <w:bookmarkStart w:id="13" w:name="_Ref161760939"/>
      <w:r>
        <w:t xml:space="preserve">Table </w:t>
      </w:r>
      <w:r>
        <w:fldChar w:fldCharType="begin"/>
      </w:r>
      <w:r>
        <w:instrText xml:space="preserve"> SEQ Table \* ARABIC </w:instrText>
      </w:r>
      <w:r>
        <w:fldChar w:fldCharType="separate"/>
      </w:r>
      <w:r>
        <w:rPr>
          <w:noProof/>
        </w:rPr>
        <w:t>2</w:t>
      </w:r>
      <w:r>
        <w:fldChar w:fldCharType="end"/>
      </w:r>
      <w:bookmarkEnd w:id="13"/>
      <w:r w:rsidR="00C41C42">
        <w:t xml:space="preserve"> Data</w:t>
      </w:r>
      <w:r>
        <w:t xml:space="preserve">: </w:t>
      </w:r>
      <w:r w:rsidRPr="004E40D2">
        <w:t>Individual material resource recovery</w:t>
      </w:r>
    </w:p>
    <w:tbl>
      <w:tblPr>
        <w:tblStyle w:val="Style2"/>
        <w:tblW w:w="0" w:type="auto"/>
        <w:tblCellMar>
          <w:top w:w="0" w:type="dxa"/>
        </w:tblCellMar>
        <w:tblLook w:val="04A0" w:firstRow="1" w:lastRow="0" w:firstColumn="1" w:lastColumn="0" w:noHBand="0" w:noVBand="1"/>
      </w:tblPr>
      <w:tblGrid>
        <w:gridCol w:w="6799"/>
        <w:gridCol w:w="2694"/>
      </w:tblGrid>
      <w:tr w:rsidR="00A67B1E" w14:paraId="7DC29160" w14:textId="77777777" w:rsidTr="00F03033">
        <w:trPr>
          <w:cnfStyle w:val="100000000000" w:firstRow="1" w:lastRow="0" w:firstColumn="0" w:lastColumn="0" w:oddVBand="0" w:evenVBand="0" w:oddHBand="0" w:evenHBand="0" w:firstRowFirstColumn="0" w:firstRowLastColumn="0" w:lastRowFirstColumn="0" w:lastRowLastColumn="0"/>
          <w:trHeight w:val="709"/>
        </w:trPr>
        <w:tc>
          <w:tcPr>
            <w:tcW w:w="6799" w:type="dxa"/>
            <w:vAlign w:val="center"/>
          </w:tcPr>
          <w:p w14:paraId="6A244850" w14:textId="3ED2926A" w:rsidR="00A67B1E" w:rsidRPr="00E544D1" w:rsidRDefault="00E544D1" w:rsidP="00E544D1">
            <w:pPr>
              <w:pStyle w:val="Tabletext"/>
              <w:spacing w:after="0"/>
            </w:pPr>
            <w:r w:rsidRPr="00E544D1">
              <w:t>Material</w:t>
            </w:r>
          </w:p>
        </w:tc>
        <w:tc>
          <w:tcPr>
            <w:tcW w:w="2694" w:type="dxa"/>
            <w:vAlign w:val="center"/>
          </w:tcPr>
          <w:p w14:paraId="0CF713E3" w14:textId="4CE0F3F7" w:rsidR="00A67B1E" w:rsidRPr="00E544D1" w:rsidRDefault="00E544D1" w:rsidP="00F5165D">
            <w:pPr>
              <w:pStyle w:val="Tabletext"/>
              <w:spacing w:after="0"/>
              <w:jc w:val="center"/>
            </w:pPr>
            <w:r w:rsidRPr="00E544D1">
              <w:t>%</w:t>
            </w:r>
          </w:p>
        </w:tc>
      </w:tr>
      <w:tr w:rsidR="00A67B1E" w14:paraId="4ED7C97A" w14:textId="77777777" w:rsidTr="00F03033">
        <w:trPr>
          <w:trHeight w:val="709"/>
        </w:trPr>
        <w:tc>
          <w:tcPr>
            <w:tcW w:w="6799" w:type="dxa"/>
            <w:vAlign w:val="center"/>
          </w:tcPr>
          <w:p w14:paraId="2C500CA2" w14:textId="031ACDDC" w:rsidR="00A67B1E" w:rsidRDefault="00E544D1" w:rsidP="00E544D1">
            <w:pPr>
              <w:pStyle w:val="Tabletext"/>
              <w:spacing w:after="0"/>
            </w:pPr>
            <w:r>
              <w:rPr>
                <w:lang w:val="en-AU"/>
              </w:rPr>
              <w:t>A</w:t>
            </w:r>
            <w:r w:rsidRPr="00407A5A">
              <w:rPr>
                <w:lang w:val="en-AU"/>
              </w:rPr>
              <w:t xml:space="preserve">ggregates, </w:t>
            </w:r>
            <w:proofErr w:type="gramStart"/>
            <w:r w:rsidRPr="00407A5A">
              <w:rPr>
                <w:lang w:val="en-AU"/>
              </w:rPr>
              <w:t>masonry</w:t>
            </w:r>
            <w:proofErr w:type="gramEnd"/>
            <w:r w:rsidRPr="00407A5A">
              <w:rPr>
                <w:lang w:val="en-AU"/>
              </w:rPr>
              <w:t xml:space="preserve"> and soils</w:t>
            </w:r>
          </w:p>
        </w:tc>
        <w:tc>
          <w:tcPr>
            <w:tcW w:w="2694" w:type="dxa"/>
            <w:vAlign w:val="center"/>
          </w:tcPr>
          <w:p w14:paraId="160166F7" w14:textId="4D961DB9" w:rsidR="00A67B1E" w:rsidRDefault="00F5165D" w:rsidP="00F5165D">
            <w:pPr>
              <w:pStyle w:val="Tabletext"/>
              <w:spacing w:after="0"/>
              <w:jc w:val="center"/>
            </w:pPr>
            <w:r>
              <w:t>85</w:t>
            </w:r>
          </w:p>
        </w:tc>
      </w:tr>
      <w:tr w:rsidR="00A67B1E" w14:paraId="35225932" w14:textId="77777777" w:rsidTr="00F03033">
        <w:trPr>
          <w:trHeight w:val="709"/>
        </w:trPr>
        <w:tc>
          <w:tcPr>
            <w:tcW w:w="6799" w:type="dxa"/>
            <w:vAlign w:val="center"/>
          </w:tcPr>
          <w:p w14:paraId="47592C8E" w14:textId="489FF0BD" w:rsidR="00A67B1E" w:rsidRDefault="00E544D1" w:rsidP="00E544D1">
            <w:pPr>
              <w:pStyle w:val="Tabletext"/>
              <w:spacing w:after="0"/>
            </w:pPr>
            <w:r>
              <w:t>Glass</w:t>
            </w:r>
          </w:p>
        </w:tc>
        <w:tc>
          <w:tcPr>
            <w:tcW w:w="2694" w:type="dxa"/>
            <w:vAlign w:val="center"/>
          </w:tcPr>
          <w:p w14:paraId="430F1841" w14:textId="5F8AAE0A" w:rsidR="00A67B1E" w:rsidRDefault="00F5165D" w:rsidP="00F5165D">
            <w:pPr>
              <w:pStyle w:val="Tabletext"/>
              <w:spacing w:after="0"/>
              <w:jc w:val="center"/>
            </w:pPr>
            <w:r>
              <w:t>71</w:t>
            </w:r>
          </w:p>
        </w:tc>
      </w:tr>
      <w:tr w:rsidR="00A67B1E" w14:paraId="4748233A" w14:textId="77777777" w:rsidTr="00F03033">
        <w:trPr>
          <w:trHeight w:val="709"/>
        </w:trPr>
        <w:tc>
          <w:tcPr>
            <w:tcW w:w="6799" w:type="dxa"/>
            <w:vAlign w:val="center"/>
          </w:tcPr>
          <w:p w14:paraId="01C49601" w14:textId="1C61B789" w:rsidR="00A67B1E" w:rsidRDefault="00E544D1" w:rsidP="00E544D1">
            <w:pPr>
              <w:pStyle w:val="Tabletext"/>
              <w:spacing w:after="0"/>
            </w:pPr>
            <w:r>
              <w:t>Metals</w:t>
            </w:r>
          </w:p>
        </w:tc>
        <w:tc>
          <w:tcPr>
            <w:tcW w:w="2694" w:type="dxa"/>
            <w:vAlign w:val="center"/>
          </w:tcPr>
          <w:p w14:paraId="6DBB58BC" w14:textId="4AB8718C" w:rsidR="00A67B1E" w:rsidRDefault="00F5165D" w:rsidP="00F5165D">
            <w:pPr>
              <w:pStyle w:val="Tabletext"/>
              <w:spacing w:after="0"/>
              <w:jc w:val="center"/>
            </w:pPr>
            <w:r>
              <w:t>89</w:t>
            </w:r>
          </w:p>
        </w:tc>
      </w:tr>
      <w:tr w:rsidR="00A67B1E" w14:paraId="44B33132" w14:textId="77777777" w:rsidTr="00F03033">
        <w:trPr>
          <w:trHeight w:val="709"/>
        </w:trPr>
        <w:tc>
          <w:tcPr>
            <w:tcW w:w="6799" w:type="dxa"/>
            <w:vAlign w:val="center"/>
          </w:tcPr>
          <w:p w14:paraId="357C4D4D" w14:textId="4BF96A08" w:rsidR="00A67B1E" w:rsidRDefault="00E544D1" w:rsidP="00E544D1">
            <w:pPr>
              <w:pStyle w:val="Tabletext"/>
              <w:spacing w:after="0"/>
            </w:pPr>
            <w:r>
              <w:t>Organics</w:t>
            </w:r>
          </w:p>
        </w:tc>
        <w:tc>
          <w:tcPr>
            <w:tcW w:w="2694" w:type="dxa"/>
            <w:vAlign w:val="center"/>
          </w:tcPr>
          <w:p w14:paraId="7CAE45A8" w14:textId="7D9F3DC5" w:rsidR="00A67B1E" w:rsidRDefault="00F5165D" w:rsidP="00F5165D">
            <w:pPr>
              <w:pStyle w:val="Tabletext"/>
              <w:spacing w:after="0"/>
              <w:jc w:val="center"/>
            </w:pPr>
            <w:r>
              <w:t>48</w:t>
            </w:r>
          </w:p>
        </w:tc>
      </w:tr>
      <w:tr w:rsidR="00A67B1E" w14:paraId="02283963" w14:textId="77777777" w:rsidTr="00F03033">
        <w:trPr>
          <w:trHeight w:val="709"/>
        </w:trPr>
        <w:tc>
          <w:tcPr>
            <w:tcW w:w="6799" w:type="dxa"/>
            <w:vAlign w:val="center"/>
          </w:tcPr>
          <w:p w14:paraId="29732C0C" w14:textId="38E7709D" w:rsidR="00A67B1E" w:rsidRDefault="00E544D1" w:rsidP="00E544D1">
            <w:pPr>
              <w:pStyle w:val="Tabletext"/>
              <w:spacing w:after="0"/>
            </w:pPr>
            <w:r>
              <w:t>Paper and cardboard</w:t>
            </w:r>
          </w:p>
        </w:tc>
        <w:tc>
          <w:tcPr>
            <w:tcW w:w="2694" w:type="dxa"/>
            <w:vAlign w:val="center"/>
          </w:tcPr>
          <w:p w14:paraId="426D9CE1" w14:textId="7F3C63CB" w:rsidR="00A67B1E" w:rsidRDefault="00F5165D" w:rsidP="00F5165D">
            <w:pPr>
              <w:pStyle w:val="Tabletext"/>
              <w:spacing w:after="0"/>
              <w:jc w:val="center"/>
            </w:pPr>
            <w:r>
              <w:t>57</w:t>
            </w:r>
          </w:p>
        </w:tc>
      </w:tr>
      <w:tr w:rsidR="00A67B1E" w14:paraId="495C9B23" w14:textId="77777777" w:rsidTr="00F03033">
        <w:trPr>
          <w:trHeight w:val="709"/>
        </w:trPr>
        <w:tc>
          <w:tcPr>
            <w:tcW w:w="6799" w:type="dxa"/>
            <w:vAlign w:val="center"/>
          </w:tcPr>
          <w:p w14:paraId="5C2E2FAE" w14:textId="76FA2D92" w:rsidR="00A67B1E" w:rsidRDefault="00E544D1" w:rsidP="00E544D1">
            <w:pPr>
              <w:pStyle w:val="Tabletext"/>
              <w:spacing w:after="0"/>
            </w:pPr>
            <w:r>
              <w:t>Plastics</w:t>
            </w:r>
          </w:p>
        </w:tc>
        <w:tc>
          <w:tcPr>
            <w:tcW w:w="2694" w:type="dxa"/>
            <w:vAlign w:val="center"/>
          </w:tcPr>
          <w:p w14:paraId="72E80033" w14:textId="45316C40" w:rsidR="00A67B1E" w:rsidRDefault="00F5165D" w:rsidP="00F5165D">
            <w:pPr>
              <w:pStyle w:val="Tabletext"/>
              <w:spacing w:after="0"/>
              <w:jc w:val="center"/>
            </w:pPr>
            <w:r>
              <w:t>19</w:t>
            </w:r>
          </w:p>
        </w:tc>
      </w:tr>
      <w:tr w:rsidR="00A67B1E" w14:paraId="77EDDB30" w14:textId="77777777" w:rsidTr="00F03033">
        <w:trPr>
          <w:trHeight w:val="709"/>
        </w:trPr>
        <w:tc>
          <w:tcPr>
            <w:tcW w:w="6799" w:type="dxa"/>
            <w:vAlign w:val="center"/>
          </w:tcPr>
          <w:p w14:paraId="00B87C3D" w14:textId="14A7B791" w:rsidR="00A67B1E" w:rsidRDefault="00E544D1" w:rsidP="00E544D1">
            <w:pPr>
              <w:pStyle w:val="Tabletext"/>
              <w:spacing w:after="0"/>
            </w:pPr>
            <w:r>
              <w:t>Tyres</w:t>
            </w:r>
          </w:p>
        </w:tc>
        <w:tc>
          <w:tcPr>
            <w:tcW w:w="2694" w:type="dxa"/>
            <w:vAlign w:val="center"/>
          </w:tcPr>
          <w:p w14:paraId="4082E090" w14:textId="2B22818E" w:rsidR="00A67B1E" w:rsidRDefault="00F5165D" w:rsidP="00F5165D">
            <w:pPr>
              <w:pStyle w:val="Tabletext"/>
              <w:spacing w:after="0"/>
              <w:jc w:val="center"/>
            </w:pPr>
            <w:r>
              <w:t>86</w:t>
            </w:r>
          </w:p>
        </w:tc>
      </w:tr>
      <w:tr w:rsidR="00E544D1" w14:paraId="1A67D75F" w14:textId="77777777" w:rsidTr="00F03033">
        <w:trPr>
          <w:trHeight w:val="709"/>
        </w:trPr>
        <w:tc>
          <w:tcPr>
            <w:tcW w:w="6799" w:type="dxa"/>
            <w:vAlign w:val="center"/>
          </w:tcPr>
          <w:p w14:paraId="6378872A" w14:textId="6AE75B39" w:rsidR="00E544D1" w:rsidRDefault="00E544D1" w:rsidP="00E544D1">
            <w:pPr>
              <w:pStyle w:val="Tabletext"/>
              <w:spacing w:after="0"/>
            </w:pPr>
            <w:r>
              <w:t>Textiles</w:t>
            </w:r>
          </w:p>
        </w:tc>
        <w:tc>
          <w:tcPr>
            <w:tcW w:w="2694" w:type="dxa"/>
            <w:vAlign w:val="center"/>
          </w:tcPr>
          <w:p w14:paraId="21E64813" w14:textId="1C4A9DF4" w:rsidR="00E544D1" w:rsidRDefault="00F5165D" w:rsidP="00F5165D">
            <w:pPr>
              <w:pStyle w:val="Tabletext"/>
              <w:spacing w:after="0"/>
              <w:jc w:val="center"/>
            </w:pPr>
            <w:r>
              <w:t>31</w:t>
            </w:r>
          </w:p>
        </w:tc>
      </w:tr>
      <w:tr w:rsidR="00F5165D" w14:paraId="5F1A1A73" w14:textId="77777777" w:rsidTr="00F03033">
        <w:trPr>
          <w:trHeight w:val="709"/>
        </w:trPr>
        <w:tc>
          <w:tcPr>
            <w:tcW w:w="6799" w:type="dxa"/>
            <w:vAlign w:val="center"/>
          </w:tcPr>
          <w:p w14:paraId="4C50E59D" w14:textId="5507A380" w:rsidR="00F5165D" w:rsidRPr="00F5165D" w:rsidRDefault="00F5165D" w:rsidP="00E544D1">
            <w:pPr>
              <w:pStyle w:val="Tabletext"/>
              <w:spacing w:after="0"/>
              <w:rPr>
                <w:b/>
                <w:bCs/>
              </w:rPr>
            </w:pPr>
            <w:r w:rsidRPr="00F5165D">
              <w:rPr>
                <w:b/>
                <w:bCs/>
              </w:rPr>
              <w:t>Overall materials</w:t>
            </w:r>
          </w:p>
        </w:tc>
        <w:tc>
          <w:tcPr>
            <w:tcW w:w="2694" w:type="dxa"/>
            <w:vAlign w:val="center"/>
          </w:tcPr>
          <w:p w14:paraId="56859E63" w14:textId="3C73450F" w:rsidR="00F5165D" w:rsidRPr="00F5165D" w:rsidRDefault="00F5165D" w:rsidP="00F5165D">
            <w:pPr>
              <w:pStyle w:val="Tabletext"/>
              <w:spacing w:after="0"/>
              <w:jc w:val="center"/>
              <w:rPr>
                <w:b/>
                <w:bCs/>
              </w:rPr>
            </w:pPr>
            <w:r w:rsidRPr="00F5165D">
              <w:rPr>
                <w:b/>
                <w:bCs/>
              </w:rPr>
              <w:t>70</w:t>
            </w:r>
          </w:p>
        </w:tc>
      </w:tr>
    </w:tbl>
    <w:p w14:paraId="4F194589" w14:textId="77777777" w:rsidR="00407A5A" w:rsidRPr="00407A5A" w:rsidRDefault="00407A5A" w:rsidP="00E544D1">
      <w:pPr>
        <w:pStyle w:val="BodyText"/>
        <w:spacing w:before="360"/>
      </w:pPr>
      <w:r w:rsidRPr="00407A5A">
        <w:t>Not all material streams can achieve full circularity. A range of factors including chemical composition of a material, contamination issues, economic viability, and existing quality control requirements across some sectors (including engineering standards) prevent some material streams from achieving circularity.</w:t>
      </w:r>
    </w:p>
    <w:p w14:paraId="702B92D8" w14:textId="178D898A" w:rsidR="00407A5A" w:rsidRDefault="00407A5A" w:rsidP="00407A5A">
      <w:pPr>
        <w:pStyle w:val="BodyText"/>
        <w:rPr>
          <w:lang w:val="en-AU"/>
        </w:rPr>
      </w:pPr>
      <w:r w:rsidRPr="00407A5A">
        <w:rPr>
          <w:lang w:val="en-AU"/>
        </w:rPr>
        <w:lastRenderedPageBreak/>
        <w:t>An early review of each of the 8 key material streams within Victoria has been undertaken, to assess at a high level the ability for each material stream to become fully circular (refer Table 3). Items that can either be reused or made back into their original form (glass bottle to glass bottle etc.) have been classified as high to very high in circularity potential. Items listed with medium to low circularity potential are material streams that cannot be remade into their original use, or easily reused, and may rely on waste to energy solutions to minimise their disposal to landfill. Table 3 also summarises areas for greater circularity for these key materials within the Victorian circular economy.</w:t>
      </w:r>
    </w:p>
    <w:p w14:paraId="458366AF" w14:textId="77777777" w:rsidR="009F57D1" w:rsidRPr="009F57D1" w:rsidRDefault="009F57D1" w:rsidP="00D931BC">
      <w:pPr>
        <w:pStyle w:val="Heading3"/>
      </w:pPr>
      <w:bookmarkStart w:id="14" w:name="_Toc161758518"/>
      <w:r w:rsidRPr="009F57D1">
        <w:t>Areas for greater material circularity</w:t>
      </w:r>
      <w:bookmarkEnd w:id="14"/>
    </w:p>
    <w:p w14:paraId="41B0CF18" w14:textId="231A5904" w:rsidR="001F1BBD" w:rsidRDefault="001F1BBD" w:rsidP="001F1BBD">
      <w:pPr>
        <w:pStyle w:val="Caption"/>
        <w:keepNext/>
      </w:pPr>
      <w:r>
        <w:t xml:space="preserve">Table </w:t>
      </w:r>
      <w:r>
        <w:fldChar w:fldCharType="begin"/>
      </w:r>
      <w:r>
        <w:instrText xml:space="preserve"> SEQ Table \* ARABIC </w:instrText>
      </w:r>
      <w:r>
        <w:fldChar w:fldCharType="separate"/>
      </w:r>
      <w:r w:rsidR="00A67B1E">
        <w:rPr>
          <w:noProof/>
        </w:rPr>
        <w:t>3</w:t>
      </w:r>
      <w:r>
        <w:fldChar w:fldCharType="end"/>
      </w:r>
      <w:r>
        <w:t xml:space="preserve">: </w:t>
      </w:r>
      <w:r w:rsidRPr="00412B09">
        <w:t>Areas for greater material circularity</w:t>
      </w:r>
    </w:p>
    <w:tbl>
      <w:tblPr>
        <w:tblStyle w:val="Style2"/>
        <w:tblW w:w="9776" w:type="dxa"/>
        <w:tblLayout w:type="fixed"/>
        <w:tblLook w:val="04A0" w:firstRow="1" w:lastRow="0" w:firstColumn="1" w:lastColumn="0" w:noHBand="0" w:noVBand="1"/>
        <w:tblCaption w:val="Table 3: Areas for greater material circularity"/>
        <w:tblDescription w:val="There are opportunities for all materials to have an improved circularity "/>
      </w:tblPr>
      <w:tblGrid>
        <w:gridCol w:w="1696"/>
        <w:gridCol w:w="1985"/>
        <w:gridCol w:w="1843"/>
        <w:gridCol w:w="4252"/>
      </w:tblGrid>
      <w:tr w:rsidR="00C2301E" w:rsidRPr="009F57D1" w14:paraId="6423CC77" w14:textId="77777777" w:rsidTr="005E7912">
        <w:trPr>
          <w:cnfStyle w:val="100000000000" w:firstRow="1" w:lastRow="0" w:firstColumn="0" w:lastColumn="0" w:oddVBand="0" w:evenVBand="0" w:oddHBand="0" w:evenHBand="0" w:firstRowFirstColumn="0" w:firstRowLastColumn="0" w:lastRowFirstColumn="0" w:lastRowLastColumn="0"/>
          <w:trHeight w:val="1019"/>
          <w:tblHeader/>
        </w:trPr>
        <w:tc>
          <w:tcPr>
            <w:tcW w:w="1696" w:type="dxa"/>
          </w:tcPr>
          <w:p w14:paraId="7D4F562D" w14:textId="39B0DB89" w:rsidR="00B138F6" w:rsidRPr="009F57D1" w:rsidRDefault="00B138F6" w:rsidP="0055238D">
            <w:pPr>
              <w:pStyle w:val="BodyText"/>
              <w:spacing w:line="276" w:lineRule="auto"/>
            </w:pPr>
            <w:r w:rsidRPr="009F57D1">
              <w:t>Material</w:t>
            </w:r>
          </w:p>
        </w:tc>
        <w:tc>
          <w:tcPr>
            <w:tcW w:w="1985" w:type="dxa"/>
          </w:tcPr>
          <w:p w14:paraId="67AA028B" w14:textId="77777777" w:rsidR="00B138F6" w:rsidRPr="009F57D1" w:rsidRDefault="00B138F6" w:rsidP="0055238D">
            <w:pPr>
              <w:pStyle w:val="BodyText"/>
              <w:spacing w:line="276" w:lineRule="auto"/>
            </w:pPr>
            <w:r w:rsidRPr="009F57D1">
              <w:t>Current resource recovery rate</w:t>
            </w:r>
          </w:p>
        </w:tc>
        <w:tc>
          <w:tcPr>
            <w:tcW w:w="1843" w:type="dxa"/>
          </w:tcPr>
          <w:p w14:paraId="003074A1" w14:textId="77777777" w:rsidR="00B138F6" w:rsidRPr="009F57D1" w:rsidRDefault="00B138F6" w:rsidP="0055238D">
            <w:pPr>
              <w:pStyle w:val="BodyText"/>
              <w:spacing w:line="276" w:lineRule="auto"/>
            </w:pPr>
            <w:r w:rsidRPr="009F57D1">
              <w:t>Circularity potential</w:t>
            </w:r>
          </w:p>
        </w:tc>
        <w:tc>
          <w:tcPr>
            <w:tcW w:w="4252" w:type="dxa"/>
          </w:tcPr>
          <w:p w14:paraId="5DF6E7B4" w14:textId="77777777" w:rsidR="00B138F6" w:rsidRPr="009F57D1" w:rsidRDefault="00B138F6" w:rsidP="0055238D">
            <w:pPr>
              <w:pStyle w:val="BodyText"/>
              <w:spacing w:line="276" w:lineRule="auto"/>
            </w:pPr>
            <w:r w:rsidRPr="009F57D1">
              <w:t>Areas for greater circularity;</w:t>
            </w:r>
          </w:p>
        </w:tc>
      </w:tr>
      <w:tr w:rsidR="00B138F6" w:rsidRPr="009F57D1" w14:paraId="1C8BDC2F" w14:textId="77777777" w:rsidTr="005E7912">
        <w:trPr>
          <w:trHeight w:val="1417"/>
        </w:trPr>
        <w:tc>
          <w:tcPr>
            <w:tcW w:w="1696" w:type="dxa"/>
          </w:tcPr>
          <w:p w14:paraId="48C5F698" w14:textId="77777777" w:rsidR="00B138F6" w:rsidRPr="009E52EF" w:rsidRDefault="00B138F6" w:rsidP="00A67B1E">
            <w:pPr>
              <w:pStyle w:val="Tabletext"/>
              <w:rPr>
                <w:b/>
                <w:bCs/>
              </w:rPr>
            </w:pPr>
            <w:r w:rsidRPr="009E52EF">
              <w:rPr>
                <w:b/>
                <w:bCs/>
              </w:rPr>
              <w:t xml:space="preserve">Aggregates, </w:t>
            </w:r>
            <w:proofErr w:type="gramStart"/>
            <w:r w:rsidRPr="009E52EF">
              <w:rPr>
                <w:b/>
                <w:bCs/>
              </w:rPr>
              <w:t>masonry</w:t>
            </w:r>
            <w:proofErr w:type="gramEnd"/>
            <w:r w:rsidRPr="009E52EF">
              <w:rPr>
                <w:b/>
                <w:bCs/>
              </w:rPr>
              <w:t xml:space="preserve"> and soil</w:t>
            </w:r>
          </w:p>
        </w:tc>
        <w:tc>
          <w:tcPr>
            <w:tcW w:w="1985" w:type="dxa"/>
          </w:tcPr>
          <w:p w14:paraId="6D91FC48" w14:textId="77777777" w:rsidR="00B138F6" w:rsidRPr="009F57D1" w:rsidRDefault="00B138F6" w:rsidP="00A67B1E">
            <w:pPr>
              <w:pStyle w:val="Tabletext"/>
            </w:pPr>
            <w:r w:rsidRPr="009F57D1">
              <w:t>Medium – High</w:t>
            </w:r>
          </w:p>
        </w:tc>
        <w:tc>
          <w:tcPr>
            <w:tcW w:w="1843" w:type="dxa"/>
          </w:tcPr>
          <w:p w14:paraId="148858E9" w14:textId="77777777" w:rsidR="00B138F6" w:rsidRPr="009F57D1" w:rsidRDefault="00B138F6" w:rsidP="00A67B1E">
            <w:pPr>
              <w:pStyle w:val="Tabletext"/>
            </w:pPr>
            <w:r w:rsidRPr="009F57D1">
              <w:t>Very High</w:t>
            </w:r>
          </w:p>
        </w:tc>
        <w:tc>
          <w:tcPr>
            <w:tcW w:w="4252" w:type="dxa"/>
          </w:tcPr>
          <w:p w14:paraId="4DC794C5" w14:textId="77777777" w:rsidR="00B138F6" w:rsidRPr="009F57D1" w:rsidRDefault="00B138F6" w:rsidP="00A67B1E">
            <w:pPr>
              <w:pStyle w:val="ListBullet"/>
            </w:pPr>
            <w:r w:rsidRPr="009F57D1">
              <w:t xml:space="preserve">soils banks to manage recovery and supply over project </w:t>
            </w:r>
            <w:proofErr w:type="gramStart"/>
            <w:r w:rsidRPr="009F57D1">
              <w:t>timelines</w:t>
            </w:r>
            <w:proofErr w:type="gramEnd"/>
          </w:p>
          <w:p w14:paraId="7CA33742" w14:textId="28C9105E" w:rsidR="00B138F6" w:rsidRPr="009F57D1" w:rsidRDefault="00B138F6" w:rsidP="00A67B1E">
            <w:pPr>
              <w:pStyle w:val="ListBullet"/>
            </w:pPr>
            <w:r w:rsidRPr="009F57D1">
              <w:t>construction materials highest and best use via initial design, modular construction, building for repair/reuse/refurbishment and end-of-life deconstruction</w:t>
            </w:r>
          </w:p>
        </w:tc>
      </w:tr>
      <w:tr w:rsidR="00B138F6" w:rsidRPr="009F57D1" w14:paraId="7A211F40" w14:textId="77777777" w:rsidTr="005E7912">
        <w:trPr>
          <w:trHeight w:val="1417"/>
        </w:trPr>
        <w:tc>
          <w:tcPr>
            <w:tcW w:w="1696" w:type="dxa"/>
          </w:tcPr>
          <w:p w14:paraId="31C0123D" w14:textId="77777777" w:rsidR="00B138F6" w:rsidRPr="009E52EF" w:rsidRDefault="00B138F6" w:rsidP="00A67B1E">
            <w:pPr>
              <w:pStyle w:val="Tabletext"/>
              <w:rPr>
                <w:b/>
                <w:bCs/>
              </w:rPr>
            </w:pPr>
            <w:r w:rsidRPr="009E52EF">
              <w:rPr>
                <w:b/>
                <w:bCs/>
              </w:rPr>
              <w:t>Glass</w:t>
            </w:r>
          </w:p>
        </w:tc>
        <w:tc>
          <w:tcPr>
            <w:tcW w:w="1985" w:type="dxa"/>
          </w:tcPr>
          <w:p w14:paraId="30886948" w14:textId="77777777" w:rsidR="00B138F6" w:rsidRPr="009F57D1" w:rsidRDefault="00B138F6" w:rsidP="00A67B1E">
            <w:pPr>
              <w:pStyle w:val="Tabletext"/>
            </w:pPr>
            <w:r w:rsidRPr="009F57D1">
              <w:t>Medium</w:t>
            </w:r>
          </w:p>
        </w:tc>
        <w:tc>
          <w:tcPr>
            <w:tcW w:w="1843" w:type="dxa"/>
          </w:tcPr>
          <w:p w14:paraId="7C3BAEB1" w14:textId="77777777" w:rsidR="00B138F6" w:rsidRPr="009F57D1" w:rsidRDefault="00B138F6" w:rsidP="00A67B1E">
            <w:pPr>
              <w:pStyle w:val="Tabletext"/>
            </w:pPr>
            <w:r w:rsidRPr="009F57D1">
              <w:t>High</w:t>
            </w:r>
          </w:p>
        </w:tc>
        <w:tc>
          <w:tcPr>
            <w:tcW w:w="4252" w:type="dxa"/>
          </w:tcPr>
          <w:p w14:paraId="18A9BDB4" w14:textId="77777777" w:rsidR="00B138F6" w:rsidRPr="009F57D1" w:rsidRDefault="00B138F6" w:rsidP="00A67B1E">
            <w:pPr>
              <w:pStyle w:val="ListBullet"/>
              <w:spacing w:after="120"/>
            </w:pPr>
            <w:r w:rsidRPr="009F57D1">
              <w:t>recovered packaging glass returned to glass </w:t>
            </w:r>
            <w:proofErr w:type="gramStart"/>
            <w:r w:rsidRPr="009F57D1">
              <w:t>packaging</w:t>
            </w:r>
            <w:proofErr w:type="gramEnd"/>
          </w:p>
          <w:p w14:paraId="42DF708A" w14:textId="77777777" w:rsidR="00B138F6" w:rsidRPr="009F57D1" w:rsidRDefault="00B138F6" w:rsidP="00A67B1E">
            <w:pPr>
              <w:pStyle w:val="ListBullet"/>
              <w:spacing w:after="120"/>
            </w:pPr>
            <w:r w:rsidRPr="009F57D1">
              <w:t xml:space="preserve">lower grade recovered glass to replace virgin construction </w:t>
            </w:r>
            <w:proofErr w:type="gramStart"/>
            <w:r w:rsidRPr="009F57D1">
              <w:t>materials</w:t>
            </w:r>
            <w:proofErr w:type="gramEnd"/>
          </w:p>
          <w:p w14:paraId="10ED4949" w14:textId="4A9DDAB7" w:rsidR="00B138F6" w:rsidRPr="009F57D1" w:rsidRDefault="00B138F6" w:rsidP="00A67B1E">
            <w:pPr>
              <w:pStyle w:val="ListBullet"/>
            </w:pPr>
            <w:r w:rsidRPr="009F57D1">
              <w:t>reusable glass packaging</w:t>
            </w:r>
          </w:p>
        </w:tc>
      </w:tr>
      <w:tr w:rsidR="00B138F6" w:rsidRPr="009F57D1" w14:paraId="0A50A512" w14:textId="77777777" w:rsidTr="00C2301E">
        <w:trPr>
          <w:trHeight w:val="625"/>
        </w:trPr>
        <w:tc>
          <w:tcPr>
            <w:tcW w:w="1696" w:type="dxa"/>
          </w:tcPr>
          <w:p w14:paraId="46A13A4D" w14:textId="77777777" w:rsidR="00B138F6" w:rsidRPr="009E52EF" w:rsidRDefault="00B138F6" w:rsidP="00A67B1E">
            <w:pPr>
              <w:pStyle w:val="Tabletext"/>
              <w:rPr>
                <w:b/>
                <w:bCs/>
              </w:rPr>
            </w:pPr>
            <w:r w:rsidRPr="009E52EF">
              <w:rPr>
                <w:b/>
                <w:bCs/>
              </w:rPr>
              <w:t>Metals</w:t>
            </w:r>
          </w:p>
        </w:tc>
        <w:tc>
          <w:tcPr>
            <w:tcW w:w="1985" w:type="dxa"/>
          </w:tcPr>
          <w:p w14:paraId="32468639" w14:textId="77777777" w:rsidR="00B138F6" w:rsidRPr="009F57D1" w:rsidRDefault="00B138F6" w:rsidP="00A67B1E">
            <w:pPr>
              <w:pStyle w:val="Tabletext"/>
            </w:pPr>
            <w:r w:rsidRPr="009F57D1">
              <w:t>High</w:t>
            </w:r>
          </w:p>
        </w:tc>
        <w:tc>
          <w:tcPr>
            <w:tcW w:w="1843" w:type="dxa"/>
          </w:tcPr>
          <w:p w14:paraId="569801E9" w14:textId="77777777" w:rsidR="00B138F6" w:rsidRPr="009F57D1" w:rsidRDefault="00B138F6" w:rsidP="00A67B1E">
            <w:pPr>
              <w:pStyle w:val="Tabletext"/>
            </w:pPr>
            <w:r w:rsidRPr="009F57D1">
              <w:t>High</w:t>
            </w:r>
          </w:p>
        </w:tc>
        <w:tc>
          <w:tcPr>
            <w:tcW w:w="4252" w:type="dxa"/>
          </w:tcPr>
          <w:p w14:paraId="208E333E" w14:textId="77777777" w:rsidR="00B138F6" w:rsidRPr="009F57D1" w:rsidRDefault="00B138F6" w:rsidP="00A67B1E">
            <w:pPr>
              <w:pStyle w:val="ListBullet"/>
            </w:pPr>
            <w:r w:rsidRPr="009F57D1">
              <w:t>precious metals recovery</w:t>
            </w:r>
          </w:p>
        </w:tc>
      </w:tr>
      <w:tr w:rsidR="00B138F6" w:rsidRPr="009F57D1" w14:paraId="7971475A" w14:textId="77777777" w:rsidTr="00C2301E">
        <w:trPr>
          <w:trHeight w:val="618"/>
        </w:trPr>
        <w:tc>
          <w:tcPr>
            <w:tcW w:w="1696" w:type="dxa"/>
          </w:tcPr>
          <w:p w14:paraId="79F70313" w14:textId="77777777" w:rsidR="00B138F6" w:rsidRPr="009E52EF" w:rsidRDefault="00B138F6" w:rsidP="00A67B1E">
            <w:pPr>
              <w:pStyle w:val="Tabletext"/>
              <w:rPr>
                <w:b/>
                <w:bCs/>
              </w:rPr>
            </w:pPr>
            <w:r w:rsidRPr="009E52EF">
              <w:rPr>
                <w:b/>
                <w:bCs/>
              </w:rPr>
              <w:lastRenderedPageBreak/>
              <w:t>Organics</w:t>
            </w:r>
          </w:p>
        </w:tc>
        <w:tc>
          <w:tcPr>
            <w:tcW w:w="1985" w:type="dxa"/>
          </w:tcPr>
          <w:p w14:paraId="143DEB63" w14:textId="77777777" w:rsidR="00B138F6" w:rsidRPr="009F57D1" w:rsidRDefault="00B138F6" w:rsidP="00A67B1E">
            <w:pPr>
              <w:pStyle w:val="Tabletext"/>
            </w:pPr>
            <w:r w:rsidRPr="009F57D1">
              <w:t>Low – Medium</w:t>
            </w:r>
          </w:p>
        </w:tc>
        <w:tc>
          <w:tcPr>
            <w:tcW w:w="1843" w:type="dxa"/>
          </w:tcPr>
          <w:p w14:paraId="267BF5A1" w14:textId="77777777" w:rsidR="00B138F6" w:rsidRPr="009F57D1" w:rsidRDefault="00B138F6" w:rsidP="00A67B1E">
            <w:pPr>
              <w:pStyle w:val="Tabletext"/>
            </w:pPr>
            <w:r w:rsidRPr="009F57D1">
              <w:t>High</w:t>
            </w:r>
          </w:p>
        </w:tc>
        <w:tc>
          <w:tcPr>
            <w:tcW w:w="4252" w:type="dxa"/>
          </w:tcPr>
          <w:p w14:paraId="7C8AF1F5" w14:textId="77777777" w:rsidR="00B138F6" w:rsidRPr="009F57D1" w:rsidRDefault="00B138F6" w:rsidP="00A67B1E">
            <w:pPr>
              <w:pStyle w:val="ListBullet"/>
            </w:pPr>
            <w:r w:rsidRPr="009F57D1">
              <w:t>food waste recovery from both MSW and C&amp;I sectors</w:t>
            </w:r>
          </w:p>
        </w:tc>
      </w:tr>
      <w:tr w:rsidR="00B138F6" w:rsidRPr="009F57D1" w14:paraId="3B45622F" w14:textId="77777777" w:rsidTr="00C2301E">
        <w:trPr>
          <w:trHeight w:val="740"/>
        </w:trPr>
        <w:tc>
          <w:tcPr>
            <w:tcW w:w="1696" w:type="dxa"/>
          </w:tcPr>
          <w:p w14:paraId="53397AD7" w14:textId="77777777" w:rsidR="00B138F6" w:rsidRPr="009E52EF" w:rsidRDefault="00B138F6" w:rsidP="00A67B1E">
            <w:pPr>
              <w:pStyle w:val="Tabletext"/>
              <w:rPr>
                <w:b/>
                <w:bCs/>
              </w:rPr>
            </w:pPr>
            <w:r w:rsidRPr="009E52EF">
              <w:rPr>
                <w:b/>
                <w:bCs/>
              </w:rPr>
              <w:t>Paper and cardboard</w:t>
            </w:r>
          </w:p>
        </w:tc>
        <w:tc>
          <w:tcPr>
            <w:tcW w:w="1985" w:type="dxa"/>
          </w:tcPr>
          <w:p w14:paraId="5F2A6AE9" w14:textId="77777777" w:rsidR="00B138F6" w:rsidRPr="009F57D1" w:rsidRDefault="00B138F6" w:rsidP="00A67B1E">
            <w:pPr>
              <w:pStyle w:val="Tabletext"/>
            </w:pPr>
            <w:r w:rsidRPr="009F57D1">
              <w:t>Medium</w:t>
            </w:r>
          </w:p>
        </w:tc>
        <w:tc>
          <w:tcPr>
            <w:tcW w:w="1843" w:type="dxa"/>
          </w:tcPr>
          <w:p w14:paraId="7954608E" w14:textId="77777777" w:rsidR="00B138F6" w:rsidRPr="009F57D1" w:rsidRDefault="00B138F6" w:rsidP="00A67B1E">
            <w:pPr>
              <w:pStyle w:val="Tabletext"/>
            </w:pPr>
            <w:r w:rsidRPr="009F57D1">
              <w:t>High</w:t>
            </w:r>
          </w:p>
        </w:tc>
        <w:tc>
          <w:tcPr>
            <w:tcW w:w="4252" w:type="dxa"/>
          </w:tcPr>
          <w:p w14:paraId="350927B7" w14:textId="77777777" w:rsidR="00B138F6" w:rsidRPr="009F57D1" w:rsidRDefault="00B138F6" w:rsidP="00A67B1E">
            <w:pPr>
              <w:pStyle w:val="ListBullet"/>
            </w:pPr>
            <w:r w:rsidRPr="009F57D1">
              <w:t>reusable packaging</w:t>
            </w:r>
          </w:p>
        </w:tc>
      </w:tr>
      <w:tr w:rsidR="00B138F6" w:rsidRPr="009F57D1" w14:paraId="2EEF28D1" w14:textId="77777777" w:rsidTr="005E7912">
        <w:trPr>
          <w:trHeight w:val="1417"/>
        </w:trPr>
        <w:tc>
          <w:tcPr>
            <w:tcW w:w="1696" w:type="dxa"/>
          </w:tcPr>
          <w:p w14:paraId="46A28258" w14:textId="77777777" w:rsidR="00B138F6" w:rsidRPr="009E52EF" w:rsidRDefault="00B138F6" w:rsidP="00A67B1E">
            <w:pPr>
              <w:pStyle w:val="Tabletext"/>
              <w:rPr>
                <w:b/>
                <w:bCs/>
              </w:rPr>
            </w:pPr>
            <w:r w:rsidRPr="009E52EF">
              <w:rPr>
                <w:b/>
                <w:bCs/>
              </w:rPr>
              <w:t>Plastics</w:t>
            </w:r>
          </w:p>
        </w:tc>
        <w:tc>
          <w:tcPr>
            <w:tcW w:w="1985" w:type="dxa"/>
          </w:tcPr>
          <w:p w14:paraId="636F3951" w14:textId="77777777" w:rsidR="00B138F6" w:rsidRPr="009F57D1" w:rsidRDefault="00B138F6" w:rsidP="00A67B1E">
            <w:pPr>
              <w:pStyle w:val="Tabletext"/>
            </w:pPr>
            <w:r w:rsidRPr="009F57D1">
              <w:t>Very Low</w:t>
            </w:r>
          </w:p>
        </w:tc>
        <w:tc>
          <w:tcPr>
            <w:tcW w:w="1843" w:type="dxa"/>
          </w:tcPr>
          <w:p w14:paraId="3CF6BFFA" w14:textId="77777777" w:rsidR="00B138F6" w:rsidRPr="009F57D1" w:rsidRDefault="00B138F6" w:rsidP="00A67B1E">
            <w:pPr>
              <w:pStyle w:val="Tabletext"/>
            </w:pPr>
            <w:r w:rsidRPr="009F57D1">
              <w:t>Medium</w:t>
            </w:r>
          </w:p>
        </w:tc>
        <w:tc>
          <w:tcPr>
            <w:tcW w:w="4252" w:type="dxa"/>
          </w:tcPr>
          <w:p w14:paraId="612FB4B5" w14:textId="77777777" w:rsidR="00B138F6" w:rsidRPr="009F57D1" w:rsidRDefault="00B138F6" w:rsidP="00A67B1E">
            <w:pPr>
              <w:pStyle w:val="ListBullet"/>
              <w:spacing w:after="120"/>
            </w:pPr>
            <w:r w:rsidRPr="009F57D1">
              <w:t>reduced packaging</w:t>
            </w:r>
          </w:p>
          <w:p w14:paraId="7E346A41" w14:textId="24DC73C0" w:rsidR="00B138F6" w:rsidRPr="009F57D1" w:rsidRDefault="00B138F6" w:rsidP="00A67B1E">
            <w:pPr>
              <w:pStyle w:val="ListBullet"/>
              <w:spacing w:after="120"/>
            </w:pPr>
            <w:r w:rsidRPr="009F57D1">
              <w:t>reusable packaging</w:t>
            </w:r>
          </w:p>
          <w:p w14:paraId="3BDD2C09" w14:textId="77777777" w:rsidR="00B138F6" w:rsidRPr="009F57D1" w:rsidRDefault="00B138F6" w:rsidP="00A67B1E">
            <w:pPr>
              <w:pStyle w:val="ListBullet"/>
            </w:pPr>
            <w:r w:rsidRPr="009F57D1">
              <w:t>energy recovery aggregated or mixed lower value plastic streams</w:t>
            </w:r>
          </w:p>
        </w:tc>
      </w:tr>
      <w:tr w:rsidR="00B138F6" w:rsidRPr="009F57D1" w14:paraId="6BF3F129" w14:textId="77777777" w:rsidTr="00A67B1E">
        <w:trPr>
          <w:trHeight w:val="772"/>
        </w:trPr>
        <w:tc>
          <w:tcPr>
            <w:tcW w:w="1696" w:type="dxa"/>
          </w:tcPr>
          <w:p w14:paraId="4831770B" w14:textId="77777777" w:rsidR="00B138F6" w:rsidRPr="009E52EF" w:rsidRDefault="00B138F6" w:rsidP="00A67B1E">
            <w:pPr>
              <w:pStyle w:val="Tabletext"/>
              <w:rPr>
                <w:b/>
                <w:bCs/>
              </w:rPr>
            </w:pPr>
            <w:r w:rsidRPr="009E52EF">
              <w:rPr>
                <w:b/>
                <w:bCs/>
              </w:rPr>
              <w:t>Tyres</w:t>
            </w:r>
          </w:p>
        </w:tc>
        <w:tc>
          <w:tcPr>
            <w:tcW w:w="1985" w:type="dxa"/>
          </w:tcPr>
          <w:p w14:paraId="2CB0B61E" w14:textId="77777777" w:rsidR="00B138F6" w:rsidRPr="009F57D1" w:rsidRDefault="00B138F6" w:rsidP="00A67B1E">
            <w:pPr>
              <w:pStyle w:val="Tabletext"/>
            </w:pPr>
            <w:r w:rsidRPr="009F57D1">
              <w:t>High</w:t>
            </w:r>
          </w:p>
        </w:tc>
        <w:tc>
          <w:tcPr>
            <w:tcW w:w="1843" w:type="dxa"/>
          </w:tcPr>
          <w:p w14:paraId="12475D91" w14:textId="77777777" w:rsidR="00B138F6" w:rsidRPr="009F57D1" w:rsidRDefault="00B138F6" w:rsidP="00A67B1E">
            <w:pPr>
              <w:pStyle w:val="Tabletext"/>
            </w:pPr>
            <w:r w:rsidRPr="009F57D1">
              <w:t>Medium</w:t>
            </w:r>
          </w:p>
        </w:tc>
        <w:tc>
          <w:tcPr>
            <w:tcW w:w="4252" w:type="dxa"/>
          </w:tcPr>
          <w:p w14:paraId="56DD2DC9" w14:textId="38515B5A" w:rsidR="00B138F6" w:rsidRPr="009F57D1" w:rsidRDefault="00B138F6" w:rsidP="00A67B1E">
            <w:pPr>
              <w:pStyle w:val="ListBullet"/>
              <w:spacing w:after="120"/>
            </w:pPr>
            <w:r w:rsidRPr="009F57D1">
              <w:t xml:space="preserve">increased safe re-treading for truck and passenger </w:t>
            </w:r>
            <w:proofErr w:type="gramStart"/>
            <w:r w:rsidRPr="009F57D1">
              <w:t>tyres</w:t>
            </w:r>
            <w:proofErr w:type="gramEnd"/>
          </w:p>
          <w:p w14:paraId="7E325501" w14:textId="77777777" w:rsidR="00B138F6" w:rsidRPr="009F57D1" w:rsidRDefault="00B138F6" w:rsidP="00A67B1E">
            <w:pPr>
              <w:pStyle w:val="ListBullet"/>
            </w:pPr>
            <w:r w:rsidRPr="009F57D1">
              <w:t>tyre derived fuel applications</w:t>
            </w:r>
          </w:p>
        </w:tc>
      </w:tr>
      <w:tr w:rsidR="00B138F6" w:rsidRPr="009F57D1" w14:paraId="21E1D647" w14:textId="77777777" w:rsidTr="005E7912">
        <w:trPr>
          <w:trHeight w:val="1417"/>
        </w:trPr>
        <w:tc>
          <w:tcPr>
            <w:tcW w:w="1696" w:type="dxa"/>
          </w:tcPr>
          <w:p w14:paraId="6FF5DD7C" w14:textId="77777777" w:rsidR="00B138F6" w:rsidRPr="009E52EF" w:rsidRDefault="00B138F6" w:rsidP="00A67B1E">
            <w:pPr>
              <w:pStyle w:val="Tabletext"/>
              <w:rPr>
                <w:b/>
                <w:bCs/>
              </w:rPr>
            </w:pPr>
            <w:r w:rsidRPr="009E52EF">
              <w:rPr>
                <w:b/>
                <w:bCs/>
              </w:rPr>
              <w:t>Textiles</w:t>
            </w:r>
          </w:p>
        </w:tc>
        <w:tc>
          <w:tcPr>
            <w:tcW w:w="1985" w:type="dxa"/>
          </w:tcPr>
          <w:p w14:paraId="463EDCAD" w14:textId="77777777" w:rsidR="00B138F6" w:rsidRPr="009F57D1" w:rsidRDefault="00B138F6" w:rsidP="00A67B1E">
            <w:pPr>
              <w:pStyle w:val="Tabletext"/>
            </w:pPr>
            <w:r w:rsidRPr="009F57D1">
              <w:t>Low</w:t>
            </w:r>
          </w:p>
        </w:tc>
        <w:tc>
          <w:tcPr>
            <w:tcW w:w="1843" w:type="dxa"/>
          </w:tcPr>
          <w:p w14:paraId="74A4B1A3" w14:textId="77777777" w:rsidR="00B138F6" w:rsidRPr="009F57D1" w:rsidRDefault="00B138F6" w:rsidP="00A67B1E">
            <w:pPr>
              <w:pStyle w:val="Tabletext"/>
            </w:pPr>
            <w:r w:rsidRPr="009F57D1">
              <w:t>Medium</w:t>
            </w:r>
          </w:p>
        </w:tc>
        <w:tc>
          <w:tcPr>
            <w:tcW w:w="4252" w:type="dxa"/>
          </w:tcPr>
          <w:p w14:paraId="6D3F9D6B" w14:textId="77777777" w:rsidR="00B138F6" w:rsidRPr="009F57D1" w:rsidRDefault="00B138F6" w:rsidP="00A67B1E">
            <w:pPr>
              <w:pStyle w:val="ListBullet"/>
              <w:spacing w:after="120"/>
            </w:pPr>
            <w:r w:rsidRPr="009F57D1">
              <w:t>designing for longer life and repair</w:t>
            </w:r>
          </w:p>
          <w:p w14:paraId="3C86FE98" w14:textId="77777777" w:rsidR="00B138F6" w:rsidRPr="009F57D1" w:rsidRDefault="00B138F6" w:rsidP="00A67B1E">
            <w:pPr>
              <w:pStyle w:val="ListBullet"/>
            </w:pPr>
            <w:r w:rsidRPr="009F57D1">
              <w:t>local reuse.</w:t>
            </w:r>
          </w:p>
        </w:tc>
      </w:tr>
    </w:tbl>
    <w:p w14:paraId="42642523" w14:textId="77777777" w:rsidR="009F57D1" w:rsidRPr="009F57D1" w:rsidRDefault="009F57D1" w:rsidP="00F5165D">
      <w:pPr>
        <w:pStyle w:val="Heading3"/>
        <w:spacing w:before="400"/>
      </w:pPr>
      <w:bookmarkStart w:id="15" w:name="_Toc161758519"/>
      <w:r w:rsidRPr="009F57D1">
        <w:t>Material reuse and repair</w:t>
      </w:r>
      <w:bookmarkEnd w:id="15"/>
    </w:p>
    <w:p w14:paraId="16F17806" w14:textId="242A53EE" w:rsidR="009F57D1" w:rsidRPr="009F57D1" w:rsidRDefault="009F57D1" w:rsidP="009F57D1">
      <w:pPr>
        <w:pStyle w:val="BodyText"/>
      </w:pPr>
      <w:r w:rsidRPr="009F57D1">
        <w:t>Material and product reuse is widely used to extend the life of many items within Victoria.</w:t>
      </w:r>
    </w:p>
    <w:p w14:paraId="48963C85" w14:textId="06E288D6" w:rsidR="009F57D1" w:rsidRPr="009F57D1" w:rsidRDefault="009F57D1" w:rsidP="009F57D1">
      <w:pPr>
        <w:pStyle w:val="BodyText"/>
      </w:pPr>
      <w:r w:rsidRPr="009F57D1">
        <w:t>Charitable recycling enterprises have spread across the state for over a century, enabling customers to purchase goods including clothes and household items, while allowing people to support not-for-profit organisations that help their local community.</w:t>
      </w:r>
    </w:p>
    <w:p w14:paraId="469C98F3" w14:textId="3BA83623" w:rsidR="009F57D1" w:rsidRPr="009F57D1" w:rsidRDefault="009F57D1" w:rsidP="009F57D1">
      <w:pPr>
        <w:pStyle w:val="BodyText"/>
      </w:pPr>
      <w:r w:rsidRPr="009F57D1">
        <w:t>Community leadership and state government funding has seen continued progress in the development of new repair and reuse projects. These programs include repairing and sharing of toys, clothes, nursery items and establishing repair cafes.</w:t>
      </w:r>
    </w:p>
    <w:p w14:paraId="00A48BEE" w14:textId="3F319FA0" w:rsidR="009F57D1" w:rsidRPr="009F57D1" w:rsidRDefault="009F57D1" w:rsidP="009F57D1">
      <w:pPr>
        <w:pStyle w:val="BodyText"/>
      </w:pPr>
      <w:r w:rsidRPr="009F57D1">
        <w:t>Many schools have established second-hand uniform and textbook shops, allowing families more affordable access to school supplies.</w:t>
      </w:r>
    </w:p>
    <w:p w14:paraId="4398E148" w14:textId="206BBA15" w:rsidR="0019451B" w:rsidRDefault="009F57D1" w:rsidP="009F57D1">
      <w:pPr>
        <w:pStyle w:val="BodyText"/>
      </w:pPr>
      <w:r w:rsidRPr="009F57D1">
        <w:lastRenderedPageBreak/>
        <w:t>The ability to measure and report how much material is reused and/or repaired is currently limited. There are emerging methods which will help to measure this in the future and will be explored in future reports.</w:t>
      </w:r>
    </w:p>
    <w:p w14:paraId="5FCE869A" w14:textId="77777777" w:rsidR="0019451B" w:rsidRDefault="0019451B">
      <w:pPr>
        <w:suppressAutoHyphens w:val="0"/>
        <w:spacing w:after="160"/>
        <w:rPr>
          <w:rFonts w:cs="Times New Roman (Body CS)"/>
          <w:kern w:val="24"/>
          <w:lang w:val="en-GB"/>
        </w:rPr>
      </w:pPr>
      <w:r>
        <w:br w:type="page"/>
      </w:r>
    </w:p>
    <w:p w14:paraId="4E106813" w14:textId="77777777" w:rsidR="00515EE5" w:rsidRDefault="00515EE5" w:rsidP="00D931BC">
      <w:pPr>
        <w:pStyle w:val="Heading1"/>
      </w:pPr>
      <w:bookmarkStart w:id="16" w:name="_Toc161758520"/>
      <w:r w:rsidRPr="00515EE5">
        <w:lastRenderedPageBreak/>
        <w:t>Material stream discussion</w:t>
      </w:r>
      <w:bookmarkEnd w:id="16"/>
    </w:p>
    <w:p w14:paraId="782D5FFA" w14:textId="77777777" w:rsidR="00515EE5" w:rsidRPr="00515EE5" w:rsidRDefault="00515EE5" w:rsidP="00D931BC">
      <w:pPr>
        <w:pStyle w:val="Heading2"/>
      </w:pPr>
      <w:bookmarkStart w:id="17" w:name="_Toc161758521"/>
      <w:r w:rsidRPr="00515EE5">
        <w:t xml:space="preserve">Aggregates, </w:t>
      </w:r>
      <w:proofErr w:type="gramStart"/>
      <w:r w:rsidRPr="00515EE5">
        <w:t>masonry</w:t>
      </w:r>
      <w:proofErr w:type="gramEnd"/>
      <w:r w:rsidRPr="00515EE5">
        <w:t> and soil</w:t>
      </w:r>
      <w:bookmarkEnd w:id="17"/>
    </w:p>
    <w:p w14:paraId="456680A0" w14:textId="6DC59ED4" w:rsidR="00515EE5" w:rsidRPr="00515EE5" w:rsidRDefault="00515EE5" w:rsidP="00515EE5">
      <w:pPr>
        <w:pStyle w:val="BodyText"/>
      </w:pPr>
      <w:r w:rsidRPr="00515EE5">
        <w:t>The overall recovery rate for aggregates, masonry and soil in Victoria is 85%, consistent with other high performing jurisdictions in Australia. This is largely driven by the C&amp;D sector, with the MSW and C&amp;I sectors generating a low volume of material.</w:t>
      </w:r>
    </w:p>
    <w:p w14:paraId="08615DB6" w14:textId="4F8FEB28" w:rsidR="00515EE5" w:rsidRPr="00515EE5" w:rsidRDefault="00515EE5" w:rsidP="00515EE5">
      <w:pPr>
        <w:pStyle w:val="BodyText"/>
      </w:pPr>
      <w:r w:rsidRPr="00515EE5">
        <w:t>Most individual materials within this category have a very high recovery rate. Soils and natural materials and plaster have a much lower recovery rate.</w:t>
      </w:r>
    </w:p>
    <w:p w14:paraId="1A54C298" w14:textId="516B25D3" w:rsidR="00515EE5" w:rsidRPr="00515EE5" w:rsidRDefault="00515EE5" w:rsidP="00D931BC">
      <w:pPr>
        <w:pStyle w:val="Heading3"/>
      </w:pPr>
      <w:bookmarkStart w:id="18" w:name="_Toc161758522"/>
      <w:r w:rsidRPr="00515EE5">
        <w:t>Developments and changes</w:t>
      </w:r>
      <w:bookmarkEnd w:id="18"/>
    </w:p>
    <w:p w14:paraId="40BA12E4" w14:textId="482E5765" w:rsidR="00515EE5" w:rsidRPr="00515EE5" w:rsidRDefault="00515EE5" w:rsidP="00515EE5">
      <w:pPr>
        <w:pStyle w:val="BodyText"/>
      </w:pPr>
      <w:r w:rsidRPr="00515EE5">
        <w:t xml:space="preserve">The major development for aggregates, masonry and soil is the Victorian Government’s </w:t>
      </w:r>
      <w:proofErr w:type="spellStart"/>
      <w:r w:rsidRPr="00515EE5">
        <w:t>ecologiQ</w:t>
      </w:r>
      <w:proofErr w:type="spellEnd"/>
      <w:r w:rsidRPr="00515EE5">
        <w:t xml:space="preserve"> initiative, supported by the </w:t>
      </w:r>
      <w:r w:rsidRPr="00515EE5">
        <w:rPr>
          <w:i/>
          <w:iCs/>
        </w:rPr>
        <w:t>Recycled First</w:t>
      </w:r>
      <w:r w:rsidRPr="00515EE5">
        <w:t xml:space="preserve"> policy, which has led to end-market pull-through of aggregates and masonry into large government infrastructure projects. </w:t>
      </w:r>
      <w:r w:rsidR="0096541E">
        <w:br/>
      </w:r>
      <w:r w:rsidRPr="00515EE5">
        <w:t xml:space="preserve">The </w:t>
      </w:r>
      <w:r w:rsidRPr="00515EE5">
        <w:rPr>
          <w:i/>
          <w:iCs/>
        </w:rPr>
        <w:t>Recycled First</w:t>
      </w:r>
      <w:r w:rsidRPr="00515EE5">
        <w:t xml:space="preserve"> policy is a first of its kind in Australia and has driven extra demand for recovered material in the building and construction sector through government procurement levers. Nationally this policy is seen as a very positive and influential government initiative.</w:t>
      </w:r>
    </w:p>
    <w:p w14:paraId="3D738E38" w14:textId="77777777" w:rsidR="00515EE5" w:rsidRPr="00515EE5" w:rsidRDefault="00515EE5" w:rsidP="00D931BC">
      <w:pPr>
        <w:pStyle w:val="Heading3"/>
      </w:pPr>
      <w:bookmarkStart w:id="19" w:name="_Toc161758523"/>
      <w:r w:rsidRPr="00515EE5">
        <w:t>Market performance</w:t>
      </w:r>
      <w:bookmarkEnd w:id="19"/>
    </w:p>
    <w:p w14:paraId="18D254CB" w14:textId="7C909A85" w:rsidR="00515EE5" w:rsidRPr="007E2A3D" w:rsidRDefault="00515EE5" w:rsidP="00515EE5">
      <w:pPr>
        <w:pStyle w:val="BodyText"/>
        <w:rPr>
          <w:u w:val="thick"/>
        </w:rPr>
      </w:pPr>
      <w:r w:rsidRPr="00515EE5">
        <w:t>The sector includes various commercial collectors (e.g., skip bins, larger bulk collections) and 48 C&amp;D waste recyclers</w:t>
      </w:r>
      <w:r w:rsidR="007E2A3D">
        <w:t xml:space="preserve"> (</w:t>
      </w:r>
      <w:r w:rsidR="007E2A3D" w:rsidRPr="007E2A3D">
        <w:t xml:space="preserve">Recycling Victoria (2023) Victoria’s waste and resource recovery infrastructure map available at </w:t>
      </w:r>
      <w:hyperlink r:id="rId24" w:history="1">
        <w:r w:rsidR="007E2A3D" w:rsidRPr="00396CE9">
          <w:rPr>
            <w:rStyle w:val="Hyperlink"/>
          </w:rPr>
          <w:t>https://www.vic.gov.au/victorias-waste-and-resource-recovery-infrastructure-map</w:t>
        </w:r>
      </w:hyperlink>
      <w:r w:rsidR="007E2A3D" w:rsidRPr="007E2A3D">
        <w:t>)</w:t>
      </w:r>
      <w:r w:rsidR="007E2A3D">
        <w:t xml:space="preserve">. </w:t>
      </w:r>
      <w:r w:rsidRPr="00515EE5">
        <w:t xml:space="preserve">All materials are processed within Victoria into end products like civil construction materials, road base, </w:t>
      </w:r>
      <w:proofErr w:type="gramStart"/>
      <w:r w:rsidRPr="00515EE5">
        <w:t>asphalt</w:t>
      </w:r>
      <w:proofErr w:type="gramEnd"/>
      <w:r w:rsidRPr="00515EE5">
        <w:t xml:space="preserve"> and concrete products. Building and demolition wastes are recovered from most large projects. In smaller projects mixed material loads are often sent directly to landfill which loses the embedded energy with many of these products and maintains reliance on virgin materials. Smaller construction projects often experience higher costs per unit to use recycled materials and face regulatory management barriers and market inertia/risk aversion in adopting recycled materials compared to large projects.</w:t>
      </w:r>
    </w:p>
    <w:p w14:paraId="580BBBB9" w14:textId="77777777" w:rsidR="00515EE5" w:rsidRPr="00515EE5" w:rsidRDefault="00515EE5" w:rsidP="00D931BC">
      <w:pPr>
        <w:pStyle w:val="Heading3"/>
      </w:pPr>
      <w:bookmarkStart w:id="20" w:name="_Toc161758524"/>
      <w:r w:rsidRPr="00515EE5">
        <w:lastRenderedPageBreak/>
        <w:t>Market issues and challenges</w:t>
      </w:r>
      <w:bookmarkEnd w:id="20"/>
    </w:p>
    <w:p w14:paraId="552D8917" w14:textId="1696DE68" w:rsidR="00515EE5" w:rsidRPr="00515EE5" w:rsidRDefault="00515EE5" w:rsidP="00515EE5">
      <w:pPr>
        <w:pStyle w:val="BodyText"/>
      </w:pPr>
      <w:r w:rsidRPr="00515EE5">
        <w:t xml:space="preserve">Resource recovery of aggregates, masonry and soils is well established and high performing across most material streams. There are low recovery rates in some streams that require improvements and the uptake of recovered materials in construction needs to further increase (refer </w:t>
      </w:r>
      <w:r w:rsidR="00F5165D">
        <w:rPr>
          <w:i/>
          <w:iCs/>
        </w:rPr>
        <w:fldChar w:fldCharType="begin"/>
      </w:r>
      <w:r w:rsidR="00F5165D">
        <w:instrText xml:space="preserve"> REF _Ref161754903 \h </w:instrText>
      </w:r>
      <w:r w:rsidR="00F5165D">
        <w:rPr>
          <w:i/>
          <w:iCs/>
        </w:rPr>
      </w:r>
      <w:r w:rsidR="00F5165D">
        <w:rPr>
          <w:i/>
          <w:iCs/>
        </w:rPr>
        <w:fldChar w:fldCharType="separate"/>
      </w:r>
      <w:r w:rsidR="00F5165D">
        <w:t xml:space="preserve">Table </w:t>
      </w:r>
      <w:r w:rsidR="00F5165D">
        <w:rPr>
          <w:noProof/>
        </w:rPr>
        <w:t>4</w:t>
      </w:r>
      <w:r w:rsidR="00F5165D">
        <w:t xml:space="preserve">: </w:t>
      </w:r>
      <w:r w:rsidR="00F5165D" w:rsidRPr="00A75D63">
        <w:t xml:space="preserve">Generation and recovery of aggregates, </w:t>
      </w:r>
      <w:proofErr w:type="gramStart"/>
      <w:r w:rsidR="00F5165D" w:rsidRPr="00A75D63">
        <w:t>masonry</w:t>
      </w:r>
      <w:proofErr w:type="gramEnd"/>
      <w:r w:rsidR="00F5165D" w:rsidRPr="00A75D63">
        <w:t xml:space="preserve"> and soil</w:t>
      </w:r>
      <w:r w:rsidR="00F5165D">
        <w:rPr>
          <w:i/>
          <w:iCs/>
        </w:rPr>
        <w:fldChar w:fldCharType="end"/>
      </w:r>
      <w:r w:rsidRPr="00515EE5">
        <w:t>).</w:t>
      </w:r>
    </w:p>
    <w:p w14:paraId="4EF10BE0" w14:textId="34DEEB96" w:rsidR="00515EE5" w:rsidRPr="00515EE5" w:rsidRDefault="00515EE5" w:rsidP="00515EE5">
      <w:pPr>
        <w:pStyle w:val="BodyText"/>
      </w:pPr>
      <w:r w:rsidRPr="00515EE5">
        <w:t>Planning and construction changes in the built environment can improve the circularity of this material stream, including embedding circularity at the design stage to value and facilitate refurbishment first, reuse of material in its current form to enable highest and best use of processed materials.</w:t>
      </w:r>
    </w:p>
    <w:p w14:paraId="10616605" w14:textId="32ED778D" w:rsidR="00515EE5" w:rsidRPr="00515EE5" w:rsidRDefault="00515EE5" w:rsidP="00515EE5">
      <w:pPr>
        <w:pStyle w:val="BodyText"/>
      </w:pPr>
      <w:r w:rsidRPr="00515EE5">
        <w:t>One of the limitations to circularity is the need to carefully manage contaminated material (soils), and the need for expanded understanding of applications and structural suitability of recycled products. Oversupply of soil due to insufficient capacity and geographical spread of end markets would need to be managed in the future.</w:t>
      </w:r>
    </w:p>
    <w:p w14:paraId="039398E6" w14:textId="77777777" w:rsidR="00515EE5" w:rsidRPr="00515EE5" w:rsidRDefault="00515EE5" w:rsidP="00D931BC">
      <w:pPr>
        <w:pStyle w:val="Heading3"/>
      </w:pPr>
      <w:bookmarkStart w:id="21" w:name="_Toc161758525"/>
      <w:r w:rsidRPr="00515EE5">
        <w:t xml:space="preserve">Areas for greater circularity – aggregates, </w:t>
      </w:r>
      <w:proofErr w:type="gramStart"/>
      <w:r w:rsidRPr="00515EE5">
        <w:t>masonry</w:t>
      </w:r>
      <w:proofErr w:type="gramEnd"/>
      <w:r w:rsidRPr="00515EE5">
        <w:t xml:space="preserve"> and soils</w:t>
      </w:r>
      <w:bookmarkEnd w:id="21"/>
    </w:p>
    <w:p w14:paraId="505D632E" w14:textId="6D620534" w:rsidR="00515EE5" w:rsidRPr="00515EE5" w:rsidRDefault="00515EE5" w:rsidP="00515EE5">
      <w:pPr>
        <w:pStyle w:val="BodyText"/>
      </w:pPr>
      <w:r w:rsidRPr="00515EE5">
        <w:t>The greatest areas for improved circularity for this material stream are:</w:t>
      </w:r>
    </w:p>
    <w:p w14:paraId="29B2BB52" w14:textId="77777777" w:rsidR="00515EE5" w:rsidRPr="00515EE5" w:rsidRDefault="00515EE5" w:rsidP="00D931BC">
      <w:pPr>
        <w:pStyle w:val="ListBullet"/>
      </w:pPr>
      <w:r w:rsidRPr="00515EE5">
        <w:t xml:space="preserve">end markets and increased uptake of recycled materials in construction </w:t>
      </w:r>
      <w:proofErr w:type="gramStart"/>
      <w:r w:rsidRPr="00515EE5">
        <w:t>projects</w:t>
      </w:r>
      <w:proofErr w:type="gramEnd"/>
    </w:p>
    <w:p w14:paraId="48C909F0" w14:textId="6700AEFC" w:rsidR="00515EE5" w:rsidRPr="00515EE5" w:rsidRDefault="00515EE5" w:rsidP="00D931BC">
      <w:pPr>
        <w:pStyle w:val="ListBullet"/>
      </w:pPr>
      <w:r w:rsidRPr="00515EE5">
        <w:t>specifications that promote end-markets with a focus on achieving the highest (environmental) order beneficial use of recovered materials</w:t>
      </w:r>
    </w:p>
    <w:p w14:paraId="638F0B29" w14:textId="646E84DD" w:rsidR="00515EE5" w:rsidRPr="00515EE5" w:rsidRDefault="00515EE5" w:rsidP="00D931BC">
      <w:pPr>
        <w:pStyle w:val="ListBullet"/>
      </w:pPr>
      <w:r w:rsidRPr="00515EE5">
        <w:t>soil bank options to cater for peaks and troughs of larger infrastructure projects.</w:t>
      </w:r>
    </w:p>
    <w:p w14:paraId="01AC0EF9" w14:textId="77777777" w:rsidR="00515EE5" w:rsidRPr="00515EE5" w:rsidRDefault="00515EE5" w:rsidP="00D931BC">
      <w:pPr>
        <w:pStyle w:val="ListBullet"/>
      </w:pPr>
      <w:r w:rsidRPr="00515EE5">
        <w:t>innovative and higher quality sorting capacity</w:t>
      </w:r>
    </w:p>
    <w:p w14:paraId="40C70939" w14:textId="77777777" w:rsidR="00515EE5" w:rsidRPr="00515EE5" w:rsidRDefault="00515EE5" w:rsidP="00D931BC">
      <w:pPr>
        <w:pStyle w:val="ListBullet"/>
      </w:pPr>
      <w:r w:rsidRPr="00515EE5">
        <w:t>treatment of contaminated soil</w:t>
      </w:r>
    </w:p>
    <w:p w14:paraId="2EB9B457" w14:textId="77777777" w:rsidR="00515EE5" w:rsidRPr="00515EE5" w:rsidRDefault="00515EE5" w:rsidP="00D931BC">
      <w:pPr>
        <w:pStyle w:val="ListBullet"/>
      </w:pPr>
      <w:r w:rsidRPr="00515EE5">
        <w:t>maintain construction materials at their highest and best use through design, modular construction, building for repair/reuse/refurbishment and deconstruction at end-of-</w:t>
      </w:r>
      <w:proofErr w:type="gramStart"/>
      <w:r w:rsidRPr="00515EE5">
        <w:t>life</w:t>
      </w:r>
      <w:proofErr w:type="gramEnd"/>
    </w:p>
    <w:p w14:paraId="254835EA" w14:textId="77777777" w:rsidR="00515EE5" w:rsidRDefault="00515EE5" w:rsidP="00D931BC">
      <w:pPr>
        <w:pStyle w:val="Bullet1last"/>
      </w:pPr>
      <w:r w:rsidRPr="00515EE5">
        <w:t>minimising waste, prioritizing building refurbishment options where possible.</w:t>
      </w:r>
    </w:p>
    <w:p w14:paraId="012F51DB" w14:textId="09C57A86" w:rsidR="001F1BBD" w:rsidRDefault="001F1BBD" w:rsidP="001F1BBD">
      <w:pPr>
        <w:pStyle w:val="Caption"/>
        <w:keepNext/>
      </w:pPr>
      <w:bookmarkStart w:id="22" w:name="_Ref161754903"/>
      <w:r>
        <w:lastRenderedPageBreak/>
        <w:t xml:space="preserve">Table </w:t>
      </w:r>
      <w:r>
        <w:fldChar w:fldCharType="begin"/>
      </w:r>
      <w:r>
        <w:instrText xml:space="preserve"> SEQ Table \* ARABIC </w:instrText>
      </w:r>
      <w:r>
        <w:fldChar w:fldCharType="separate"/>
      </w:r>
      <w:r w:rsidR="00A67B1E">
        <w:rPr>
          <w:noProof/>
        </w:rPr>
        <w:t>4</w:t>
      </w:r>
      <w:r>
        <w:fldChar w:fldCharType="end"/>
      </w:r>
      <w:r>
        <w:t xml:space="preserve">: </w:t>
      </w:r>
      <w:r w:rsidRPr="00A75D63">
        <w:t xml:space="preserve">Generation and recovery of aggregates, </w:t>
      </w:r>
      <w:proofErr w:type="gramStart"/>
      <w:r w:rsidRPr="00A75D63">
        <w:t>masonry</w:t>
      </w:r>
      <w:proofErr w:type="gramEnd"/>
      <w:r w:rsidRPr="00A75D63">
        <w:t xml:space="preserve"> and soil</w:t>
      </w:r>
      <w:bookmarkEnd w:id="22"/>
    </w:p>
    <w:tbl>
      <w:tblPr>
        <w:tblStyle w:val="Style2"/>
        <w:tblW w:w="9921" w:type="dxa"/>
        <w:tblLayout w:type="fixed"/>
        <w:tblLook w:val="0020" w:firstRow="1" w:lastRow="0" w:firstColumn="0" w:lastColumn="0" w:noHBand="0" w:noVBand="0"/>
        <w:tblCaption w:val="Table 4: Generation and recovery of aggregates, masonry and soil"/>
        <w:tblDescription w:val="Generation and Recovery data for different aggregate, masonry and soil materials and sources"/>
      </w:tblPr>
      <w:tblGrid>
        <w:gridCol w:w="1555"/>
        <w:gridCol w:w="2126"/>
        <w:gridCol w:w="2126"/>
        <w:gridCol w:w="2413"/>
        <w:gridCol w:w="1701"/>
      </w:tblGrid>
      <w:tr w:rsidR="00F15770" w:rsidRPr="00515EE5" w14:paraId="295F2393" w14:textId="77777777" w:rsidTr="009E52EF">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09C7B9FF" w14:textId="77777777" w:rsidR="00F15770" w:rsidRPr="00515EE5" w:rsidRDefault="00F15770" w:rsidP="00F15770">
            <w:pPr>
              <w:pStyle w:val="BodyText"/>
              <w:spacing w:line="276" w:lineRule="auto"/>
            </w:pPr>
            <w:r w:rsidRPr="00515EE5">
              <w:t>Stream</w:t>
            </w:r>
          </w:p>
        </w:tc>
        <w:tc>
          <w:tcPr>
            <w:tcW w:w="2126" w:type="dxa"/>
          </w:tcPr>
          <w:p w14:paraId="460CFF47" w14:textId="77777777" w:rsidR="00F15770" w:rsidRDefault="00F15770" w:rsidP="00F15770">
            <w:pPr>
              <w:pStyle w:val="BodyText"/>
              <w:spacing w:line="276" w:lineRule="auto"/>
              <w:rPr>
                <w:b w:val="0"/>
              </w:rPr>
            </w:pPr>
            <w:r w:rsidRPr="00515EE5">
              <w:t>Tonnes Generated</w:t>
            </w:r>
          </w:p>
          <w:p w14:paraId="0C824AA9" w14:textId="2974CAFD" w:rsidR="00F15770" w:rsidRPr="00515EE5" w:rsidRDefault="00F15770" w:rsidP="00F15770">
            <w:pPr>
              <w:pStyle w:val="BodyText"/>
              <w:spacing w:line="276" w:lineRule="auto"/>
              <w:rPr>
                <w:b w:val="0"/>
              </w:rPr>
            </w:pPr>
            <w:r>
              <w:t>(</w:t>
            </w:r>
            <w:r w:rsidRPr="00515EE5">
              <w:t>Tonnes</w:t>
            </w:r>
            <w:r>
              <w:t>)</w:t>
            </w:r>
          </w:p>
        </w:tc>
        <w:tc>
          <w:tcPr>
            <w:tcW w:w="2126" w:type="dxa"/>
          </w:tcPr>
          <w:p w14:paraId="44C82AD3" w14:textId="77777777" w:rsidR="00F15770" w:rsidRDefault="00F15770" w:rsidP="00F15770">
            <w:pPr>
              <w:pStyle w:val="BodyText"/>
              <w:spacing w:line="276" w:lineRule="auto"/>
              <w:rPr>
                <w:b w:val="0"/>
              </w:rPr>
            </w:pPr>
            <w:r w:rsidRPr="00515EE5">
              <w:t>Proportion Generated</w:t>
            </w:r>
          </w:p>
          <w:p w14:paraId="4E370F01" w14:textId="6AA49DA6" w:rsidR="00F15770" w:rsidRPr="00515EE5" w:rsidRDefault="00F15770" w:rsidP="00F15770">
            <w:pPr>
              <w:pStyle w:val="BodyText"/>
              <w:spacing w:line="276" w:lineRule="auto"/>
            </w:pPr>
            <w:r>
              <w:t>(</w:t>
            </w:r>
            <w:r w:rsidR="00A67B1E">
              <w:t>%</w:t>
            </w:r>
            <w:r>
              <w:t>)</w:t>
            </w:r>
          </w:p>
        </w:tc>
        <w:tc>
          <w:tcPr>
            <w:tcW w:w="2413" w:type="dxa"/>
          </w:tcPr>
          <w:p w14:paraId="29A64B72" w14:textId="77777777" w:rsidR="00F15770" w:rsidRDefault="00F15770" w:rsidP="00F15770">
            <w:pPr>
              <w:pStyle w:val="BodyText"/>
              <w:spacing w:line="276" w:lineRule="auto"/>
              <w:rPr>
                <w:b w:val="0"/>
              </w:rPr>
            </w:pPr>
            <w:r w:rsidRPr="00515EE5">
              <w:t xml:space="preserve">Recovered for </w:t>
            </w:r>
            <w:proofErr w:type="gramStart"/>
            <w:r w:rsidRPr="00515EE5">
              <w:t>reprocessing</w:t>
            </w:r>
            <w:proofErr w:type="gramEnd"/>
          </w:p>
          <w:p w14:paraId="31476903" w14:textId="7A97B7D8" w:rsidR="00F15770" w:rsidRPr="00F15770" w:rsidRDefault="00F15770" w:rsidP="00F15770">
            <w:pPr>
              <w:pStyle w:val="BodyText"/>
              <w:spacing w:line="276" w:lineRule="auto"/>
              <w:rPr>
                <w:b w:val="0"/>
              </w:rPr>
            </w:pPr>
            <w:r>
              <w:t>(</w:t>
            </w:r>
            <w:r w:rsidRPr="00515EE5">
              <w:t>Tonnes</w:t>
            </w:r>
            <w:r>
              <w:t>)</w:t>
            </w:r>
          </w:p>
        </w:tc>
        <w:tc>
          <w:tcPr>
            <w:tcW w:w="1701" w:type="dxa"/>
          </w:tcPr>
          <w:p w14:paraId="503533C1" w14:textId="77777777" w:rsidR="00F15770" w:rsidRDefault="00F15770" w:rsidP="00F15770">
            <w:pPr>
              <w:pStyle w:val="BodyText"/>
              <w:spacing w:line="276" w:lineRule="auto"/>
              <w:rPr>
                <w:b w:val="0"/>
              </w:rPr>
            </w:pPr>
            <w:r w:rsidRPr="00515EE5">
              <w:t>Recovery Rate</w:t>
            </w:r>
          </w:p>
          <w:p w14:paraId="1B947527" w14:textId="4E21CDC1" w:rsidR="00F15770" w:rsidRPr="00515EE5" w:rsidRDefault="00F15770" w:rsidP="00F15770">
            <w:pPr>
              <w:pStyle w:val="BodyText"/>
              <w:spacing w:line="276" w:lineRule="auto"/>
            </w:pPr>
            <w:r>
              <w:t>(</w:t>
            </w:r>
            <w:r w:rsidR="00A67B1E">
              <w:t>%</w:t>
            </w:r>
            <w:r>
              <w:t>)</w:t>
            </w:r>
          </w:p>
        </w:tc>
      </w:tr>
      <w:tr w:rsidR="00515EE5" w:rsidRPr="00515EE5" w14:paraId="2ED19566" w14:textId="77777777" w:rsidTr="009E52EF">
        <w:trPr>
          <w:trHeight w:val="60"/>
        </w:trPr>
        <w:tc>
          <w:tcPr>
            <w:tcW w:w="1555" w:type="dxa"/>
          </w:tcPr>
          <w:p w14:paraId="0E07BBA9" w14:textId="77777777" w:rsidR="00515EE5" w:rsidRPr="00515EE5" w:rsidRDefault="00515EE5" w:rsidP="00F15770">
            <w:pPr>
              <w:pStyle w:val="Tabletext"/>
            </w:pPr>
            <w:r w:rsidRPr="00515EE5">
              <w:t>MSW</w:t>
            </w:r>
          </w:p>
        </w:tc>
        <w:tc>
          <w:tcPr>
            <w:tcW w:w="2126" w:type="dxa"/>
          </w:tcPr>
          <w:p w14:paraId="59B6E935" w14:textId="77777777" w:rsidR="00515EE5" w:rsidRPr="00515EE5" w:rsidRDefault="00515EE5" w:rsidP="00F15770">
            <w:pPr>
              <w:pStyle w:val="Tabletext"/>
            </w:pPr>
            <w:r w:rsidRPr="00515EE5">
              <w:t>86,800</w:t>
            </w:r>
          </w:p>
        </w:tc>
        <w:tc>
          <w:tcPr>
            <w:tcW w:w="2126" w:type="dxa"/>
          </w:tcPr>
          <w:p w14:paraId="591D738A" w14:textId="77777777" w:rsidR="00515EE5" w:rsidRPr="00515EE5" w:rsidRDefault="00515EE5" w:rsidP="00F15770">
            <w:pPr>
              <w:pStyle w:val="Tabletext"/>
            </w:pPr>
            <w:r w:rsidRPr="00515EE5">
              <w:t>1%</w:t>
            </w:r>
          </w:p>
        </w:tc>
        <w:tc>
          <w:tcPr>
            <w:tcW w:w="2413" w:type="dxa"/>
          </w:tcPr>
          <w:p w14:paraId="59E65471" w14:textId="77777777" w:rsidR="00515EE5" w:rsidRPr="00515EE5" w:rsidRDefault="00515EE5" w:rsidP="00F15770">
            <w:pPr>
              <w:pStyle w:val="Tabletext"/>
            </w:pPr>
            <w:r w:rsidRPr="00515EE5">
              <w:t>11,600</w:t>
            </w:r>
          </w:p>
        </w:tc>
        <w:tc>
          <w:tcPr>
            <w:tcW w:w="1701" w:type="dxa"/>
          </w:tcPr>
          <w:p w14:paraId="74424EAF" w14:textId="77777777" w:rsidR="00515EE5" w:rsidRPr="00515EE5" w:rsidRDefault="00515EE5" w:rsidP="00F15770">
            <w:pPr>
              <w:pStyle w:val="Tabletext"/>
            </w:pPr>
            <w:r w:rsidRPr="00515EE5">
              <w:t>13%</w:t>
            </w:r>
          </w:p>
        </w:tc>
      </w:tr>
      <w:tr w:rsidR="00515EE5" w:rsidRPr="00515EE5" w14:paraId="58930E43" w14:textId="77777777" w:rsidTr="009E52EF">
        <w:trPr>
          <w:trHeight w:val="60"/>
        </w:trPr>
        <w:tc>
          <w:tcPr>
            <w:tcW w:w="1555" w:type="dxa"/>
          </w:tcPr>
          <w:p w14:paraId="395D2D44" w14:textId="77777777" w:rsidR="00515EE5" w:rsidRPr="00515EE5" w:rsidRDefault="00515EE5" w:rsidP="00F15770">
            <w:pPr>
              <w:pStyle w:val="Tabletext"/>
            </w:pPr>
            <w:r w:rsidRPr="00515EE5">
              <w:t>C&amp;I</w:t>
            </w:r>
          </w:p>
        </w:tc>
        <w:tc>
          <w:tcPr>
            <w:tcW w:w="2126" w:type="dxa"/>
          </w:tcPr>
          <w:p w14:paraId="469E60EB" w14:textId="77777777" w:rsidR="00515EE5" w:rsidRPr="00515EE5" w:rsidRDefault="00515EE5" w:rsidP="00F15770">
            <w:pPr>
              <w:pStyle w:val="Tabletext"/>
            </w:pPr>
            <w:r w:rsidRPr="00515EE5">
              <w:t>298,100</w:t>
            </w:r>
          </w:p>
        </w:tc>
        <w:tc>
          <w:tcPr>
            <w:tcW w:w="2126" w:type="dxa"/>
          </w:tcPr>
          <w:p w14:paraId="44F901B2" w14:textId="77777777" w:rsidR="00515EE5" w:rsidRPr="00515EE5" w:rsidRDefault="00515EE5" w:rsidP="00F15770">
            <w:pPr>
              <w:pStyle w:val="Tabletext"/>
            </w:pPr>
            <w:r w:rsidRPr="00515EE5">
              <w:t>4%</w:t>
            </w:r>
          </w:p>
        </w:tc>
        <w:tc>
          <w:tcPr>
            <w:tcW w:w="2413" w:type="dxa"/>
          </w:tcPr>
          <w:p w14:paraId="1FC2D9D7" w14:textId="77777777" w:rsidR="00515EE5" w:rsidRPr="00515EE5" w:rsidRDefault="00515EE5" w:rsidP="00F15770">
            <w:pPr>
              <w:pStyle w:val="Tabletext"/>
            </w:pPr>
            <w:r w:rsidRPr="00515EE5">
              <w:t>33,900</w:t>
            </w:r>
          </w:p>
        </w:tc>
        <w:tc>
          <w:tcPr>
            <w:tcW w:w="1701" w:type="dxa"/>
          </w:tcPr>
          <w:p w14:paraId="112BCE39" w14:textId="77777777" w:rsidR="00515EE5" w:rsidRPr="00515EE5" w:rsidRDefault="00515EE5" w:rsidP="00F15770">
            <w:pPr>
              <w:pStyle w:val="Tabletext"/>
            </w:pPr>
            <w:r w:rsidRPr="00515EE5">
              <w:t>11%</w:t>
            </w:r>
          </w:p>
        </w:tc>
      </w:tr>
      <w:tr w:rsidR="00515EE5" w:rsidRPr="00515EE5" w14:paraId="4799E4A2" w14:textId="77777777" w:rsidTr="009E52EF">
        <w:trPr>
          <w:trHeight w:val="60"/>
        </w:trPr>
        <w:tc>
          <w:tcPr>
            <w:tcW w:w="1555" w:type="dxa"/>
          </w:tcPr>
          <w:p w14:paraId="1C970AF7" w14:textId="77777777" w:rsidR="00515EE5" w:rsidRPr="00515EE5" w:rsidRDefault="00515EE5" w:rsidP="00F15770">
            <w:pPr>
              <w:pStyle w:val="Tabletext"/>
            </w:pPr>
            <w:r w:rsidRPr="00515EE5">
              <w:t>C&amp;D</w:t>
            </w:r>
          </w:p>
        </w:tc>
        <w:tc>
          <w:tcPr>
            <w:tcW w:w="2126" w:type="dxa"/>
          </w:tcPr>
          <w:p w14:paraId="698C6B69" w14:textId="77777777" w:rsidR="00515EE5" w:rsidRPr="00515EE5" w:rsidRDefault="00515EE5" w:rsidP="00F15770">
            <w:pPr>
              <w:pStyle w:val="Tabletext"/>
            </w:pPr>
            <w:r w:rsidRPr="00515EE5">
              <w:t>7,383,500</w:t>
            </w:r>
          </w:p>
        </w:tc>
        <w:tc>
          <w:tcPr>
            <w:tcW w:w="2126" w:type="dxa"/>
          </w:tcPr>
          <w:p w14:paraId="4B019880" w14:textId="77777777" w:rsidR="00515EE5" w:rsidRPr="00515EE5" w:rsidRDefault="00515EE5" w:rsidP="00F15770">
            <w:pPr>
              <w:pStyle w:val="Tabletext"/>
            </w:pPr>
            <w:r w:rsidRPr="00515EE5">
              <w:t>95%</w:t>
            </w:r>
          </w:p>
        </w:tc>
        <w:tc>
          <w:tcPr>
            <w:tcW w:w="2413" w:type="dxa"/>
          </w:tcPr>
          <w:p w14:paraId="17443BEC" w14:textId="77777777" w:rsidR="00515EE5" w:rsidRPr="00515EE5" w:rsidRDefault="00515EE5" w:rsidP="00F15770">
            <w:pPr>
              <w:pStyle w:val="Tabletext"/>
            </w:pPr>
            <w:r w:rsidRPr="00515EE5">
              <w:t>6,536,700</w:t>
            </w:r>
          </w:p>
        </w:tc>
        <w:tc>
          <w:tcPr>
            <w:tcW w:w="1701" w:type="dxa"/>
          </w:tcPr>
          <w:p w14:paraId="2FBB82E9" w14:textId="77777777" w:rsidR="00515EE5" w:rsidRPr="00515EE5" w:rsidRDefault="00515EE5" w:rsidP="00F15770">
            <w:pPr>
              <w:pStyle w:val="Tabletext"/>
            </w:pPr>
            <w:r w:rsidRPr="00515EE5">
              <w:t>89%</w:t>
            </w:r>
          </w:p>
        </w:tc>
      </w:tr>
      <w:tr w:rsidR="00F15770" w:rsidRPr="00515EE5" w14:paraId="5E5D16F5" w14:textId="77777777" w:rsidTr="009E52EF">
        <w:trPr>
          <w:trHeight w:val="60"/>
        </w:trPr>
        <w:tc>
          <w:tcPr>
            <w:tcW w:w="1555" w:type="dxa"/>
            <w:tcBorders>
              <w:bottom w:val="single" w:sz="4" w:space="0" w:color="auto"/>
            </w:tcBorders>
          </w:tcPr>
          <w:p w14:paraId="75E4F955" w14:textId="77777777" w:rsidR="00515EE5" w:rsidRPr="00F15770" w:rsidRDefault="00515EE5" w:rsidP="00F15770">
            <w:pPr>
              <w:pStyle w:val="Tabletext"/>
              <w:rPr>
                <w:b/>
                <w:bCs/>
              </w:rPr>
            </w:pPr>
            <w:r w:rsidRPr="00F15770">
              <w:rPr>
                <w:b/>
                <w:bCs/>
              </w:rPr>
              <w:t>Total</w:t>
            </w:r>
          </w:p>
        </w:tc>
        <w:tc>
          <w:tcPr>
            <w:tcW w:w="2126" w:type="dxa"/>
            <w:tcBorders>
              <w:bottom w:val="single" w:sz="4" w:space="0" w:color="auto"/>
            </w:tcBorders>
          </w:tcPr>
          <w:p w14:paraId="6C3E33F4" w14:textId="77777777" w:rsidR="00515EE5" w:rsidRPr="00F15770" w:rsidRDefault="00515EE5" w:rsidP="00F15770">
            <w:pPr>
              <w:pStyle w:val="Tabletext"/>
              <w:rPr>
                <w:b/>
                <w:bCs/>
              </w:rPr>
            </w:pPr>
            <w:r w:rsidRPr="00F15770">
              <w:rPr>
                <w:b/>
                <w:bCs/>
              </w:rPr>
              <w:t>7,768,400</w:t>
            </w:r>
          </w:p>
        </w:tc>
        <w:tc>
          <w:tcPr>
            <w:tcW w:w="2126" w:type="dxa"/>
            <w:tcBorders>
              <w:bottom w:val="single" w:sz="4" w:space="0" w:color="auto"/>
            </w:tcBorders>
          </w:tcPr>
          <w:p w14:paraId="295BFE12" w14:textId="77777777" w:rsidR="00515EE5" w:rsidRPr="00F15770" w:rsidRDefault="00515EE5" w:rsidP="00F15770">
            <w:pPr>
              <w:pStyle w:val="Tabletext"/>
              <w:rPr>
                <w:b/>
                <w:bCs/>
              </w:rPr>
            </w:pPr>
          </w:p>
        </w:tc>
        <w:tc>
          <w:tcPr>
            <w:tcW w:w="2413" w:type="dxa"/>
            <w:tcBorders>
              <w:bottom w:val="single" w:sz="4" w:space="0" w:color="auto"/>
            </w:tcBorders>
          </w:tcPr>
          <w:p w14:paraId="492EB7B4" w14:textId="77777777" w:rsidR="00515EE5" w:rsidRPr="00F15770" w:rsidRDefault="00515EE5" w:rsidP="00F15770">
            <w:pPr>
              <w:pStyle w:val="Tabletext"/>
              <w:rPr>
                <w:b/>
                <w:bCs/>
              </w:rPr>
            </w:pPr>
            <w:r w:rsidRPr="00F15770">
              <w:rPr>
                <w:b/>
                <w:bCs/>
              </w:rPr>
              <w:t>6,582,200</w:t>
            </w:r>
          </w:p>
        </w:tc>
        <w:tc>
          <w:tcPr>
            <w:tcW w:w="1701" w:type="dxa"/>
            <w:tcBorders>
              <w:bottom w:val="single" w:sz="4" w:space="0" w:color="auto"/>
            </w:tcBorders>
          </w:tcPr>
          <w:p w14:paraId="204A52F4" w14:textId="77777777" w:rsidR="00515EE5" w:rsidRPr="00F15770" w:rsidRDefault="00515EE5" w:rsidP="00F15770">
            <w:pPr>
              <w:pStyle w:val="Tabletext"/>
              <w:rPr>
                <w:b/>
                <w:bCs/>
              </w:rPr>
            </w:pPr>
            <w:r w:rsidRPr="00F15770">
              <w:rPr>
                <w:b/>
                <w:bCs/>
              </w:rPr>
              <w:t>85%</w:t>
            </w:r>
          </w:p>
        </w:tc>
      </w:tr>
      <w:tr w:rsidR="006B4C87" w:rsidRPr="00515EE5" w14:paraId="484D5745" w14:textId="77777777" w:rsidTr="009E52EF">
        <w:trPr>
          <w:trHeight w:val="60"/>
        </w:trPr>
        <w:tc>
          <w:tcPr>
            <w:tcW w:w="1555" w:type="dxa"/>
            <w:tcBorders>
              <w:left w:val="nil"/>
              <w:right w:val="nil"/>
            </w:tcBorders>
          </w:tcPr>
          <w:p w14:paraId="5AB8D218" w14:textId="77777777" w:rsidR="006B4C87" w:rsidRPr="00F15770" w:rsidRDefault="006B4C87" w:rsidP="00F15770">
            <w:pPr>
              <w:pStyle w:val="Tabletext"/>
              <w:rPr>
                <w:b/>
                <w:bCs/>
              </w:rPr>
            </w:pPr>
          </w:p>
        </w:tc>
        <w:tc>
          <w:tcPr>
            <w:tcW w:w="2126" w:type="dxa"/>
            <w:tcBorders>
              <w:left w:val="nil"/>
              <w:right w:val="nil"/>
            </w:tcBorders>
          </w:tcPr>
          <w:p w14:paraId="7F60C818" w14:textId="77777777" w:rsidR="006B4C87" w:rsidRPr="00F15770" w:rsidRDefault="006B4C87" w:rsidP="00F15770">
            <w:pPr>
              <w:pStyle w:val="Tabletext"/>
              <w:rPr>
                <w:b/>
                <w:bCs/>
              </w:rPr>
            </w:pPr>
          </w:p>
        </w:tc>
        <w:tc>
          <w:tcPr>
            <w:tcW w:w="2126" w:type="dxa"/>
            <w:tcBorders>
              <w:left w:val="nil"/>
              <w:right w:val="nil"/>
            </w:tcBorders>
          </w:tcPr>
          <w:p w14:paraId="3EE937B5" w14:textId="77777777" w:rsidR="006B4C87" w:rsidRPr="00F15770" w:rsidRDefault="006B4C87" w:rsidP="00F15770">
            <w:pPr>
              <w:pStyle w:val="Tabletext"/>
              <w:rPr>
                <w:b/>
                <w:bCs/>
              </w:rPr>
            </w:pPr>
          </w:p>
        </w:tc>
        <w:tc>
          <w:tcPr>
            <w:tcW w:w="2413" w:type="dxa"/>
            <w:tcBorders>
              <w:left w:val="nil"/>
              <w:right w:val="nil"/>
            </w:tcBorders>
          </w:tcPr>
          <w:p w14:paraId="140ADF51" w14:textId="77777777" w:rsidR="006B4C87" w:rsidRPr="00F15770" w:rsidRDefault="006B4C87" w:rsidP="00F15770">
            <w:pPr>
              <w:pStyle w:val="Tabletext"/>
              <w:rPr>
                <w:b/>
                <w:bCs/>
              </w:rPr>
            </w:pPr>
          </w:p>
        </w:tc>
        <w:tc>
          <w:tcPr>
            <w:tcW w:w="1701" w:type="dxa"/>
            <w:tcBorders>
              <w:left w:val="nil"/>
              <w:right w:val="nil"/>
            </w:tcBorders>
          </w:tcPr>
          <w:p w14:paraId="0025E1A0" w14:textId="77777777" w:rsidR="006B4C87" w:rsidRPr="00F15770" w:rsidRDefault="006B4C87" w:rsidP="00F15770">
            <w:pPr>
              <w:pStyle w:val="Tabletext"/>
              <w:rPr>
                <w:b/>
                <w:bCs/>
              </w:rPr>
            </w:pPr>
          </w:p>
        </w:tc>
      </w:tr>
      <w:tr w:rsidR="006B4C87" w:rsidRPr="00515EE5" w14:paraId="1EA0B130" w14:textId="77777777" w:rsidTr="009E52EF">
        <w:trPr>
          <w:trHeight w:val="60"/>
        </w:trPr>
        <w:tc>
          <w:tcPr>
            <w:tcW w:w="1555" w:type="dxa"/>
            <w:shd w:val="clear" w:color="auto" w:fill="F2F2F2" w:themeFill="background1" w:themeFillShade="F2"/>
          </w:tcPr>
          <w:p w14:paraId="29BC5027" w14:textId="72BCC3BB" w:rsidR="006B4C87" w:rsidRPr="006B4C87" w:rsidRDefault="006B4C87" w:rsidP="006B4C87">
            <w:pPr>
              <w:pStyle w:val="Tabletext"/>
              <w:rPr>
                <w:b/>
                <w:bCs/>
              </w:rPr>
            </w:pPr>
            <w:r w:rsidRPr="006B4C87">
              <w:rPr>
                <w:b/>
                <w:bCs/>
              </w:rPr>
              <w:t>Material</w:t>
            </w:r>
          </w:p>
        </w:tc>
        <w:tc>
          <w:tcPr>
            <w:tcW w:w="2126" w:type="dxa"/>
            <w:shd w:val="clear" w:color="auto" w:fill="F2F2F2" w:themeFill="background1" w:themeFillShade="F2"/>
          </w:tcPr>
          <w:p w14:paraId="4EADCDC6" w14:textId="77777777" w:rsidR="006B4C87" w:rsidRPr="006B4C87" w:rsidRDefault="006B4C87" w:rsidP="006B4C87">
            <w:pPr>
              <w:pStyle w:val="BodyText"/>
              <w:spacing w:line="276" w:lineRule="auto"/>
              <w:rPr>
                <w:b/>
                <w:bCs/>
              </w:rPr>
            </w:pPr>
            <w:r w:rsidRPr="006B4C87">
              <w:rPr>
                <w:b/>
                <w:bCs/>
              </w:rPr>
              <w:t>Tonnes Generated</w:t>
            </w:r>
          </w:p>
          <w:p w14:paraId="385BC3CE" w14:textId="7CBC13E5" w:rsidR="006B4C87" w:rsidRPr="006B4C87" w:rsidRDefault="006B4C87" w:rsidP="006B4C87">
            <w:pPr>
              <w:pStyle w:val="Tabletext"/>
              <w:rPr>
                <w:b/>
                <w:bCs/>
              </w:rPr>
            </w:pPr>
            <w:r w:rsidRPr="006B4C87">
              <w:rPr>
                <w:b/>
                <w:bCs/>
              </w:rPr>
              <w:t>(Tonnes)</w:t>
            </w:r>
          </w:p>
        </w:tc>
        <w:tc>
          <w:tcPr>
            <w:tcW w:w="2126" w:type="dxa"/>
            <w:shd w:val="clear" w:color="auto" w:fill="F2F2F2" w:themeFill="background1" w:themeFillShade="F2"/>
          </w:tcPr>
          <w:p w14:paraId="565438C4" w14:textId="77777777" w:rsidR="006B4C87" w:rsidRPr="006B4C87" w:rsidRDefault="006B4C87" w:rsidP="006B4C87">
            <w:pPr>
              <w:pStyle w:val="BodyText"/>
              <w:spacing w:line="276" w:lineRule="auto"/>
              <w:rPr>
                <w:b/>
                <w:bCs/>
              </w:rPr>
            </w:pPr>
            <w:r w:rsidRPr="006B4C87">
              <w:rPr>
                <w:b/>
                <w:bCs/>
              </w:rPr>
              <w:t>Proportion Generated</w:t>
            </w:r>
          </w:p>
          <w:p w14:paraId="3373954C" w14:textId="7BA47BE9" w:rsidR="006B4C87" w:rsidRPr="006B4C87" w:rsidRDefault="006B4C87" w:rsidP="006B4C87">
            <w:pPr>
              <w:pStyle w:val="Tabletext"/>
              <w:rPr>
                <w:b/>
                <w:bCs/>
              </w:rPr>
            </w:pPr>
            <w:r w:rsidRPr="006B4C87">
              <w:rPr>
                <w:b/>
                <w:bCs/>
              </w:rPr>
              <w:t>(</w:t>
            </w:r>
            <w:r w:rsidR="00A67B1E">
              <w:rPr>
                <w:b/>
                <w:bCs/>
              </w:rPr>
              <w:t>%</w:t>
            </w:r>
            <w:r w:rsidRPr="006B4C87">
              <w:rPr>
                <w:b/>
                <w:bCs/>
              </w:rPr>
              <w:t>)</w:t>
            </w:r>
          </w:p>
        </w:tc>
        <w:tc>
          <w:tcPr>
            <w:tcW w:w="2413" w:type="dxa"/>
            <w:shd w:val="clear" w:color="auto" w:fill="F2F2F2" w:themeFill="background1" w:themeFillShade="F2"/>
          </w:tcPr>
          <w:p w14:paraId="7F5276A0" w14:textId="77777777" w:rsidR="006B4C87" w:rsidRPr="006B4C87" w:rsidRDefault="006B4C87" w:rsidP="006B4C8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743347D1" w14:textId="199DCE97" w:rsidR="006B4C87" w:rsidRPr="006B4C87" w:rsidRDefault="006B4C87" w:rsidP="006B4C87">
            <w:pPr>
              <w:pStyle w:val="Tabletext"/>
              <w:rPr>
                <w:b/>
                <w:bCs/>
              </w:rPr>
            </w:pPr>
            <w:r w:rsidRPr="006B4C87">
              <w:rPr>
                <w:b/>
                <w:bCs/>
              </w:rPr>
              <w:t>(Tonnes)</w:t>
            </w:r>
          </w:p>
        </w:tc>
        <w:tc>
          <w:tcPr>
            <w:tcW w:w="1701" w:type="dxa"/>
            <w:shd w:val="clear" w:color="auto" w:fill="F2F2F2" w:themeFill="background1" w:themeFillShade="F2"/>
          </w:tcPr>
          <w:p w14:paraId="560B3113" w14:textId="77777777" w:rsidR="006B4C87" w:rsidRPr="006B4C87" w:rsidRDefault="006B4C87" w:rsidP="006B4C87">
            <w:pPr>
              <w:pStyle w:val="BodyText"/>
              <w:spacing w:line="276" w:lineRule="auto"/>
              <w:rPr>
                <w:b/>
                <w:bCs/>
              </w:rPr>
            </w:pPr>
            <w:r w:rsidRPr="006B4C87">
              <w:rPr>
                <w:b/>
                <w:bCs/>
              </w:rPr>
              <w:t>Recovery Rate</w:t>
            </w:r>
          </w:p>
          <w:p w14:paraId="6E571A81" w14:textId="5DA449D7" w:rsidR="006B4C87" w:rsidRPr="006B4C87" w:rsidRDefault="006B4C87" w:rsidP="006B4C87">
            <w:pPr>
              <w:pStyle w:val="Tabletext"/>
              <w:rPr>
                <w:b/>
                <w:bCs/>
              </w:rPr>
            </w:pPr>
            <w:r w:rsidRPr="006B4C87">
              <w:rPr>
                <w:b/>
                <w:bCs/>
              </w:rPr>
              <w:t>(</w:t>
            </w:r>
            <w:r w:rsidR="00A67B1E">
              <w:rPr>
                <w:b/>
                <w:bCs/>
              </w:rPr>
              <w:t>%</w:t>
            </w:r>
            <w:r w:rsidRPr="006B4C87">
              <w:rPr>
                <w:b/>
                <w:bCs/>
              </w:rPr>
              <w:t>)</w:t>
            </w:r>
          </w:p>
        </w:tc>
      </w:tr>
      <w:tr w:rsidR="006B4C87" w:rsidRPr="00515EE5" w14:paraId="3958642C" w14:textId="77777777" w:rsidTr="009E52EF">
        <w:trPr>
          <w:trHeight w:val="60"/>
        </w:trPr>
        <w:tc>
          <w:tcPr>
            <w:tcW w:w="1555" w:type="dxa"/>
          </w:tcPr>
          <w:p w14:paraId="27D45EB6" w14:textId="726634C8" w:rsidR="006B4C87" w:rsidRPr="00F15770" w:rsidRDefault="006B4C87" w:rsidP="006B4C87">
            <w:pPr>
              <w:pStyle w:val="Tabletext"/>
              <w:rPr>
                <w:b/>
                <w:bCs/>
              </w:rPr>
            </w:pPr>
            <w:r w:rsidRPr="00515EE5">
              <w:t>Asphalt</w:t>
            </w:r>
          </w:p>
        </w:tc>
        <w:tc>
          <w:tcPr>
            <w:tcW w:w="2126" w:type="dxa"/>
          </w:tcPr>
          <w:p w14:paraId="19424369" w14:textId="5603CD1F" w:rsidR="006B4C87" w:rsidRPr="00F15770" w:rsidRDefault="006B4C87" w:rsidP="006B4C87">
            <w:pPr>
              <w:pStyle w:val="Tabletext"/>
              <w:rPr>
                <w:b/>
                <w:bCs/>
              </w:rPr>
            </w:pPr>
            <w:r w:rsidRPr="00515EE5">
              <w:t>945,500</w:t>
            </w:r>
          </w:p>
        </w:tc>
        <w:tc>
          <w:tcPr>
            <w:tcW w:w="2126" w:type="dxa"/>
          </w:tcPr>
          <w:p w14:paraId="1E20DE13" w14:textId="6AE110D3" w:rsidR="006B4C87" w:rsidRPr="00F15770" w:rsidRDefault="006B4C87" w:rsidP="006B4C87">
            <w:pPr>
              <w:pStyle w:val="Tabletext"/>
              <w:rPr>
                <w:b/>
                <w:bCs/>
              </w:rPr>
            </w:pPr>
            <w:r w:rsidRPr="00515EE5">
              <w:t>12%</w:t>
            </w:r>
          </w:p>
        </w:tc>
        <w:tc>
          <w:tcPr>
            <w:tcW w:w="2413" w:type="dxa"/>
          </w:tcPr>
          <w:p w14:paraId="6DF44AF4" w14:textId="574F6470" w:rsidR="006B4C87" w:rsidRPr="00F15770" w:rsidRDefault="006B4C87" w:rsidP="006B4C87">
            <w:pPr>
              <w:pStyle w:val="Tabletext"/>
              <w:rPr>
                <w:b/>
                <w:bCs/>
              </w:rPr>
            </w:pPr>
            <w:r w:rsidRPr="00515EE5">
              <w:t>939,700</w:t>
            </w:r>
          </w:p>
        </w:tc>
        <w:tc>
          <w:tcPr>
            <w:tcW w:w="1701" w:type="dxa"/>
          </w:tcPr>
          <w:p w14:paraId="4FEC5A7E" w14:textId="1BCD0B36" w:rsidR="006B4C87" w:rsidRPr="00F15770" w:rsidRDefault="006B4C87" w:rsidP="006B4C87">
            <w:pPr>
              <w:pStyle w:val="Tabletext"/>
              <w:rPr>
                <w:b/>
                <w:bCs/>
              </w:rPr>
            </w:pPr>
            <w:r w:rsidRPr="00515EE5">
              <w:t>99%</w:t>
            </w:r>
          </w:p>
        </w:tc>
      </w:tr>
      <w:tr w:rsidR="006B4C87" w:rsidRPr="00515EE5" w14:paraId="62A7FC11" w14:textId="77777777" w:rsidTr="009E52EF">
        <w:trPr>
          <w:trHeight w:val="60"/>
        </w:trPr>
        <w:tc>
          <w:tcPr>
            <w:tcW w:w="1555" w:type="dxa"/>
          </w:tcPr>
          <w:p w14:paraId="18DFB91E" w14:textId="2433C706" w:rsidR="006B4C87" w:rsidRPr="00F15770" w:rsidRDefault="006B4C87" w:rsidP="006B4C87">
            <w:pPr>
              <w:pStyle w:val="Tabletext"/>
              <w:rPr>
                <w:b/>
                <w:bCs/>
              </w:rPr>
            </w:pPr>
            <w:r w:rsidRPr="00515EE5">
              <w:t>Bricks</w:t>
            </w:r>
          </w:p>
        </w:tc>
        <w:tc>
          <w:tcPr>
            <w:tcW w:w="2126" w:type="dxa"/>
          </w:tcPr>
          <w:p w14:paraId="59CD81F9" w14:textId="7166F1B1" w:rsidR="006B4C87" w:rsidRPr="00F15770" w:rsidRDefault="006B4C87" w:rsidP="006B4C87">
            <w:pPr>
              <w:pStyle w:val="Tabletext"/>
              <w:rPr>
                <w:b/>
                <w:bCs/>
              </w:rPr>
            </w:pPr>
            <w:r w:rsidRPr="00515EE5">
              <w:t>1,139,500</w:t>
            </w:r>
          </w:p>
        </w:tc>
        <w:tc>
          <w:tcPr>
            <w:tcW w:w="2126" w:type="dxa"/>
          </w:tcPr>
          <w:p w14:paraId="3C0011A3" w14:textId="1552FC34" w:rsidR="006B4C87" w:rsidRPr="00F15770" w:rsidRDefault="006B4C87" w:rsidP="006B4C87">
            <w:pPr>
              <w:pStyle w:val="Tabletext"/>
              <w:rPr>
                <w:b/>
                <w:bCs/>
              </w:rPr>
            </w:pPr>
            <w:r w:rsidRPr="00515EE5">
              <w:t>15%</w:t>
            </w:r>
          </w:p>
        </w:tc>
        <w:tc>
          <w:tcPr>
            <w:tcW w:w="2413" w:type="dxa"/>
          </w:tcPr>
          <w:p w14:paraId="69B16E6F" w14:textId="2BA215C2" w:rsidR="006B4C87" w:rsidRPr="00F15770" w:rsidRDefault="006B4C87" w:rsidP="006B4C87">
            <w:pPr>
              <w:pStyle w:val="Tabletext"/>
              <w:rPr>
                <w:b/>
                <w:bCs/>
              </w:rPr>
            </w:pPr>
            <w:r w:rsidRPr="00515EE5">
              <w:t>1,024,600</w:t>
            </w:r>
          </w:p>
        </w:tc>
        <w:tc>
          <w:tcPr>
            <w:tcW w:w="1701" w:type="dxa"/>
          </w:tcPr>
          <w:p w14:paraId="56E67875" w14:textId="0429762B" w:rsidR="006B4C87" w:rsidRPr="00F15770" w:rsidRDefault="006B4C87" w:rsidP="006B4C87">
            <w:pPr>
              <w:pStyle w:val="Tabletext"/>
              <w:rPr>
                <w:b/>
                <w:bCs/>
              </w:rPr>
            </w:pPr>
            <w:r w:rsidRPr="00515EE5">
              <w:t>90%</w:t>
            </w:r>
          </w:p>
        </w:tc>
      </w:tr>
      <w:tr w:rsidR="006B4C87" w:rsidRPr="00515EE5" w14:paraId="32C9185E" w14:textId="77777777" w:rsidTr="009E52EF">
        <w:trPr>
          <w:trHeight w:val="60"/>
        </w:trPr>
        <w:tc>
          <w:tcPr>
            <w:tcW w:w="1555" w:type="dxa"/>
          </w:tcPr>
          <w:p w14:paraId="08373E65" w14:textId="45A6F60F" w:rsidR="006B4C87" w:rsidRPr="00F15770" w:rsidRDefault="006B4C87" w:rsidP="006B4C87">
            <w:pPr>
              <w:pStyle w:val="Tabletext"/>
              <w:rPr>
                <w:b/>
                <w:bCs/>
              </w:rPr>
            </w:pPr>
            <w:r w:rsidRPr="00515EE5">
              <w:t>Concrete</w:t>
            </w:r>
          </w:p>
        </w:tc>
        <w:tc>
          <w:tcPr>
            <w:tcW w:w="2126" w:type="dxa"/>
          </w:tcPr>
          <w:p w14:paraId="4A6167DB" w14:textId="313A7E42" w:rsidR="006B4C87" w:rsidRPr="00F15770" w:rsidRDefault="006B4C87" w:rsidP="006B4C87">
            <w:pPr>
              <w:pStyle w:val="Tabletext"/>
              <w:rPr>
                <w:b/>
                <w:bCs/>
              </w:rPr>
            </w:pPr>
            <w:r w:rsidRPr="00515EE5">
              <w:t>2,741,900</w:t>
            </w:r>
          </w:p>
        </w:tc>
        <w:tc>
          <w:tcPr>
            <w:tcW w:w="2126" w:type="dxa"/>
          </w:tcPr>
          <w:p w14:paraId="15DA1B1F" w14:textId="2C0A7787" w:rsidR="006B4C87" w:rsidRPr="00F15770" w:rsidRDefault="006B4C87" w:rsidP="006B4C87">
            <w:pPr>
              <w:pStyle w:val="Tabletext"/>
              <w:rPr>
                <w:b/>
                <w:bCs/>
              </w:rPr>
            </w:pPr>
            <w:r w:rsidRPr="00515EE5">
              <w:t>35%</w:t>
            </w:r>
          </w:p>
        </w:tc>
        <w:tc>
          <w:tcPr>
            <w:tcW w:w="2413" w:type="dxa"/>
          </w:tcPr>
          <w:p w14:paraId="6B4F3094" w14:textId="28984FCF" w:rsidR="006B4C87" w:rsidRPr="00F15770" w:rsidRDefault="006B4C87" w:rsidP="006B4C87">
            <w:pPr>
              <w:pStyle w:val="Tabletext"/>
              <w:rPr>
                <w:b/>
                <w:bCs/>
              </w:rPr>
            </w:pPr>
            <w:r w:rsidRPr="00515EE5">
              <w:t>2,673,400</w:t>
            </w:r>
          </w:p>
        </w:tc>
        <w:tc>
          <w:tcPr>
            <w:tcW w:w="1701" w:type="dxa"/>
          </w:tcPr>
          <w:p w14:paraId="58078012" w14:textId="763A82E6" w:rsidR="006B4C87" w:rsidRPr="00F15770" w:rsidRDefault="006B4C87" w:rsidP="006B4C87">
            <w:pPr>
              <w:pStyle w:val="Tabletext"/>
              <w:rPr>
                <w:b/>
                <w:bCs/>
              </w:rPr>
            </w:pPr>
            <w:r w:rsidRPr="00515EE5">
              <w:t>98%</w:t>
            </w:r>
          </w:p>
        </w:tc>
      </w:tr>
      <w:tr w:rsidR="006B4C87" w:rsidRPr="00515EE5" w14:paraId="7D9B9321" w14:textId="77777777" w:rsidTr="009E52EF">
        <w:trPr>
          <w:trHeight w:val="60"/>
        </w:trPr>
        <w:tc>
          <w:tcPr>
            <w:tcW w:w="1555" w:type="dxa"/>
          </w:tcPr>
          <w:p w14:paraId="22E1266F" w14:textId="3DBCB56E" w:rsidR="006B4C87" w:rsidRPr="00F15770" w:rsidRDefault="006B4C87" w:rsidP="006B4C87">
            <w:pPr>
              <w:pStyle w:val="Tabletext"/>
              <w:rPr>
                <w:b/>
                <w:bCs/>
              </w:rPr>
            </w:pPr>
            <w:r w:rsidRPr="00515EE5">
              <w:t>Plaster</w:t>
            </w:r>
          </w:p>
        </w:tc>
        <w:tc>
          <w:tcPr>
            <w:tcW w:w="2126" w:type="dxa"/>
          </w:tcPr>
          <w:p w14:paraId="328C340F" w14:textId="0B890AD1" w:rsidR="006B4C87" w:rsidRPr="00F15770" w:rsidRDefault="006B4C87" w:rsidP="006B4C87">
            <w:pPr>
              <w:pStyle w:val="Tabletext"/>
              <w:rPr>
                <w:b/>
                <w:bCs/>
              </w:rPr>
            </w:pPr>
            <w:r w:rsidRPr="00515EE5">
              <w:t>81,900</w:t>
            </w:r>
          </w:p>
        </w:tc>
        <w:tc>
          <w:tcPr>
            <w:tcW w:w="2126" w:type="dxa"/>
          </w:tcPr>
          <w:p w14:paraId="47B60515" w14:textId="23709CD7" w:rsidR="006B4C87" w:rsidRPr="00F15770" w:rsidRDefault="006B4C87" w:rsidP="006B4C87">
            <w:pPr>
              <w:pStyle w:val="Tabletext"/>
              <w:rPr>
                <w:b/>
                <w:bCs/>
              </w:rPr>
            </w:pPr>
            <w:r w:rsidRPr="00515EE5">
              <w:t>1%</w:t>
            </w:r>
          </w:p>
        </w:tc>
        <w:tc>
          <w:tcPr>
            <w:tcW w:w="2413" w:type="dxa"/>
          </w:tcPr>
          <w:p w14:paraId="2CEDC41B" w14:textId="323D9E53" w:rsidR="006B4C87" w:rsidRPr="00F15770" w:rsidRDefault="006B4C87" w:rsidP="006B4C87">
            <w:pPr>
              <w:pStyle w:val="Tabletext"/>
              <w:rPr>
                <w:b/>
                <w:bCs/>
              </w:rPr>
            </w:pPr>
            <w:r w:rsidRPr="00515EE5">
              <w:t>32,600</w:t>
            </w:r>
          </w:p>
        </w:tc>
        <w:tc>
          <w:tcPr>
            <w:tcW w:w="1701" w:type="dxa"/>
          </w:tcPr>
          <w:p w14:paraId="3889129B" w14:textId="00EFB52A" w:rsidR="006B4C87" w:rsidRPr="00F15770" w:rsidRDefault="006B4C87" w:rsidP="006B4C87">
            <w:pPr>
              <w:pStyle w:val="Tabletext"/>
              <w:rPr>
                <w:b/>
                <w:bCs/>
              </w:rPr>
            </w:pPr>
            <w:r w:rsidRPr="00515EE5">
              <w:t>40%</w:t>
            </w:r>
          </w:p>
        </w:tc>
      </w:tr>
      <w:tr w:rsidR="006B4C87" w:rsidRPr="00515EE5" w14:paraId="5964A9EE" w14:textId="77777777" w:rsidTr="009E52EF">
        <w:trPr>
          <w:trHeight w:val="60"/>
        </w:trPr>
        <w:tc>
          <w:tcPr>
            <w:tcW w:w="1555" w:type="dxa"/>
          </w:tcPr>
          <w:p w14:paraId="2BF8DA9F" w14:textId="0705CC07" w:rsidR="006B4C87" w:rsidRPr="00F15770" w:rsidRDefault="006B4C87" w:rsidP="006B4C87">
            <w:pPr>
              <w:pStyle w:val="Tabletext"/>
              <w:rPr>
                <w:b/>
                <w:bCs/>
              </w:rPr>
            </w:pPr>
            <w:r w:rsidRPr="00515EE5">
              <w:t>Rubble</w:t>
            </w:r>
          </w:p>
        </w:tc>
        <w:tc>
          <w:tcPr>
            <w:tcW w:w="2126" w:type="dxa"/>
          </w:tcPr>
          <w:p w14:paraId="04E7D7BD" w14:textId="0470CBC4" w:rsidR="006B4C87" w:rsidRPr="00F15770" w:rsidRDefault="006B4C87" w:rsidP="006B4C87">
            <w:pPr>
              <w:pStyle w:val="Tabletext"/>
              <w:rPr>
                <w:b/>
                <w:bCs/>
              </w:rPr>
            </w:pPr>
            <w:r w:rsidRPr="00515EE5">
              <w:t>823,800</w:t>
            </w:r>
          </w:p>
        </w:tc>
        <w:tc>
          <w:tcPr>
            <w:tcW w:w="2126" w:type="dxa"/>
          </w:tcPr>
          <w:p w14:paraId="4D4C2D33" w14:textId="7645C50D" w:rsidR="006B4C87" w:rsidRPr="00F15770" w:rsidRDefault="006B4C87" w:rsidP="006B4C87">
            <w:pPr>
              <w:pStyle w:val="Tabletext"/>
              <w:rPr>
                <w:b/>
                <w:bCs/>
              </w:rPr>
            </w:pPr>
            <w:r w:rsidRPr="00515EE5">
              <w:t>11%</w:t>
            </w:r>
          </w:p>
        </w:tc>
        <w:tc>
          <w:tcPr>
            <w:tcW w:w="2413" w:type="dxa"/>
          </w:tcPr>
          <w:p w14:paraId="7E6ED890" w14:textId="6DA577AC" w:rsidR="006B4C87" w:rsidRPr="00F15770" w:rsidRDefault="006B4C87" w:rsidP="006B4C87">
            <w:pPr>
              <w:pStyle w:val="Tabletext"/>
              <w:rPr>
                <w:b/>
                <w:bCs/>
              </w:rPr>
            </w:pPr>
            <w:r w:rsidRPr="00515EE5">
              <w:t>792,300</w:t>
            </w:r>
          </w:p>
        </w:tc>
        <w:tc>
          <w:tcPr>
            <w:tcW w:w="1701" w:type="dxa"/>
          </w:tcPr>
          <w:p w14:paraId="7D7700BF" w14:textId="7FECF1F3" w:rsidR="006B4C87" w:rsidRPr="00F15770" w:rsidRDefault="006B4C87" w:rsidP="006B4C87">
            <w:pPr>
              <w:pStyle w:val="Tabletext"/>
              <w:rPr>
                <w:b/>
                <w:bCs/>
              </w:rPr>
            </w:pPr>
            <w:r w:rsidRPr="00515EE5">
              <w:t>96%</w:t>
            </w:r>
          </w:p>
        </w:tc>
      </w:tr>
      <w:tr w:rsidR="006B4C87" w:rsidRPr="00515EE5" w14:paraId="708657F6" w14:textId="77777777" w:rsidTr="009E52EF">
        <w:trPr>
          <w:trHeight w:val="60"/>
        </w:trPr>
        <w:tc>
          <w:tcPr>
            <w:tcW w:w="1555" w:type="dxa"/>
          </w:tcPr>
          <w:p w14:paraId="075A2638" w14:textId="400AE9D8" w:rsidR="006B4C87" w:rsidRPr="00F15770" w:rsidRDefault="006B4C87" w:rsidP="006B4C87">
            <w:pPr>
              <w:pStyle w:val="Tabletext"/>
              <w:rPr>
                <w:b/>
                <w:bCs/>
              </w:rPr>
            </w:pPr>
            <w:r w:rsidRPr="00515EE5">
              <w:t xml:space="preserve">Soils and </w:t>
            </w:r>
            <w:r>
              <w:br/>
            </w:r>
            <w:r w:rsidRPr="00515EE5">
              <w:t>natural materials</w:t>
            </w:r>
          </w:p>
        </w:tc>
        <w:tc>
          <w:tcPr>
            <w:tcW w:w="2126" w:type="dxa"/>
          </w:tcPr>
          <w:p w14:paraId="2878D556" w14:textId="7DB9D2F7" w:rsidR="006B4C87" w:rsidRPr="00F15770" w:rsidRDefault="006B4C87" w:rsidP="006B4C87">
            <w:pPr>
              <w:pStyle w:val="Tabletext"/>
              <w:rPr>
                <w:b/>
                <w:bCs/>
              </w:rPr>
            </w:pPr>
            <w:r w:rsidRPr="00515EE5">
              <w:t>2,035,900</w:t>
            </w:r>
          </w:p>
        </w:tc>
        <w:tc>
          <w:tcPr>
            <w:tcW w:w="2126" w:type="dxa"/>
          </w:tcPr>
          <w:p w14:paraId="3E9D176A" w14:textId="5CDF4337" w:rsidR="006B4C87" w:rsidRPr="00F15770" w:rsidRDefault="006B4C87" w:rsidP="006B4C87">
            <w:pPr>
              <w:pStyle w:val="Tabletext"/>
              <w:rPr>
                <w:b/>
                <w:bCs/>
              </w:rPr>
            </w:pPr>
            <w:r w:rsidRPr="00515EE5">
              <w:t>26%</w:t>
            </w:r>
          </w:p>
        </w:tc>
        <w:tc>
          <w:tcPr>
            <w:tcW w:w="2413" w:type="dxa"/>
          </w:tcPr>
          <w:p w14:paraId="2B9808D0" w14:textId="7C228DFC" w:rsidR="006B4C87" w:rsidRPr="00F15770" w:rsidRDefault="006B4C87" w:rsidP="006B4C87">
            <w:pPr>
              <w:pStyle w:val="Tabletext"/>
              <w:rPr>
                <w:b/>
                <w:bCs/>
              </w:rPr>
            </w:pPr>
            <w:r w:rsidRPr="00515EE5">
              <w:t>1,119,500</w:t>
            </w:r>
          </w:p>
        </w:tc>
        <w:tc>
          <w:tcPr>
            <w:tcW w:w="1701" w:type="dxa"/>
          </w:tcPr>
          <w:p w14:paraId="0296DC19" w14:textId="54AE0A29" w:rsidR="006B4C87" w:rsidRPr="00F15770" w:rsidRDefault="006B4C87" w:rsidP="006B4C87">
            <w:pPr>
              <w:pStyle w:val="Tabletext"/>
              <w:rPr>
                <w:b/>
                <w:bCs/>
              </w:rPr>
            </w:pPr>
            <w:r w:rsidRPr="00515EE5">
              <w:t>55%</w:t>
            </w:r>
          </w:p>
        </w:tc>
      </w:tr>
    </w:tbl>
    <w:p w14:paraId="3E91797C" w14:textId="58AF32DE" w:rsidR="00515EE5" w:rsidRDefault="001F1BBD" w:rsidP="001F1BBD">
      <w:pPr>
        <w:pStyle w:val="BodyText"/>
        <w:spacing w:before="360"/>
      </w:pPr>
      <w:r>
        <w:t>(</w:t>
      </w:r>
      <w:r w:rsidRPr="007E2A3D">
        <w:t>Recycling Victoria (2023) Waste projection model available at</w:t>
      </w:r>
      <w:r>
        <w:t xml:space="preserve"> </w:t>
      </w:r>
      <w:hyperlink r:id="rId25" w:history="1">
        <w:r w:rsidRPr="00396CE9">
          <w:rPr>
            <w:rStyle w:val="Hyperlink"/>
          </w:rPr>
          <w:t>https://www.vic.gov.au/</w:t>
        </w:r>
        <w:r w:rsidRPr="00396CE9">
          <w:rPr>
            <w:rStyle w:val="Hyperlink"/>
          </w:rPr>
          <w:br/>
        </w:r>
        <w:proofErr w:type="spellStart"/>
        <w:r w:rsidRPr="00396CE9">
          <w:rPr>
            <w:rStyle w:val="Hyperlink"/>
          </w:rPr>
          <w:t>victorias</w:t>
        </w:r>
        <w:proofErr w:type="spellEnd"/>
        <w:r w:rsidRPr="00396CE9">
          <w:rPr>
            <w:rStyle w:val="Hyperlink"/>
          </w:rPr>
          <w:t>-waste-projection-model-dashboard</w:t>
        </w:r>
      </w:hyperlink>
      <w:r w:rsidRPr="007E2A3D">
        <w:t xml:space="preserve"> The data in the table is</w:t>
      </w:r>
      <w:r>
        <w:t xml:space="preserve"> </w:t>
      </w:r>
      <w:r w:rsidRPr="007E2A3D">
        <w:t>based on actual data from 2020–21</w:t>
      </w:r>
      <w:r>
        <w:t>)</w:t>
      </w:r>
    </w:p>
    <w:p w14:paraId="1D818812" w14:textId="77777777" w:rsidR="00962DA1" w:rsidRDefault="00962DA1">
      <w:pPr>
        <w:suppressAutoHyphens w:val="0"/>
        <w:spacing w:after="160"/>
        <w:rPr>
          <w:rFonts w:cs="Times New Roman (Body CS)"/>
          <w:b/>
          <w:bCs/>
          <w:kern w:val="24"/>
          <w:sz w:val="32"/>
          <w:szCs w:val="32"/>
          <w:lang w:val="en-GB"/>
        </w:rPr>
      </w:pPr>
      <w:r>
        <w:rPr>
          <w:b/>
          <w:bCs/>
          <w:sz w:val="32"/>
          <w:szCs w:val="32"/>
        </w:rPr>
        <w:br w:type="page"/>
      </w:r>
    </w:p>
    <w:p w14:paraId="6299FA5F" w14:textId="29EA5311" w:rsidR="00515EE5" w:rsidRPr="00C2301E" w:rsidRDefault="00515EE5" w:rsidP="00DD342E">
      <w:pPr>
        <w:pStyle w:val="CaseStudyHeading"/>
      </w:pPr>
      <w:r w:rsidRPr="00C2301E">
        <w:lastRenderedPageBreak/>
        <w:t xml:space="preserve">Case study: </w:t>
      </w:r>
      <w:r w:rsidRPr="00C2301E">
        <w:rPr>
          <w:i/>
          <w:iCs/>
        </w:rPr>
        <w:t>Recycled First</w:t>
      </w:r>
      <w:r w:rsidRPr="00C2301E">
        <w:t xml:space="preserve"> policy (</w:t>
      </w:r>
      <w:proofErr w:type="spellStart"/>
      <w:r w:rsidRPr="00C2301E">
        <w:t>ecologiQ</w:t>
      </w:r>
      <w:proofErr w:type="spellEnd"/>
      <w:r w:rsidRPr="00C2301E">
        <w:t>)</w:t>
      </w:r>
    </w:p>
    <w:p w14:paraId="765B285C" w14:textId="2045DD0E" w:rsidR="00515EE5" w:rsidRPr="00515EE5" w:rsidRDefault="00515EE5" w:rsidP="00515EE5">
      <w:pPr>
        <w:pStyle w:val="BodyText"/>
      </w:pPr>
      <w:r w:rsidRPr="00515EE5">
        <w:t xml:space="preserve">Victoria’s Big Build is a suite of significant road and rail infrastructure projects across metropolitan Melbourne and regional Victoria. It encompasses major projects such as the North-East Link, Suburban Rail Loop, Level Crossing Removal, Metro </w:t>
      </w:r>
      <w:proofErr w:type="gramStart"/>
      <w:r w:rsidRPr="00515EE5">
        <w:t>Tunnel</w:t>
      </w:r>
      <w:proofErr w:type="gramEnd"/>
      <w:r w:rsidRPr="00515EE5">
        <w:t xml:space="preserve"> and others. The Big Build collectively has a budget of $100 billion and has led to the creation of more than 20,000 jobs across the state. The </w:t>
      </w:r>
      <w:proofErr w:type="spellStart"/>
      <w:r w:rsidRPr="00515EE5">
        <w:t>ecologiQ</w:t>
      </w:r>
      <w:proofErr w:type="spellEnd"/>
      <w:r w:rsidRPr="00515EE5">
        <w:t xml:space="preserve"> initiative was pioneered in 2019 when Major Road Projects Victoria drew a crucial connection between Victoria’s transport projects and the reform of Victoria’s recycling system. The aim of </w:t>
      </w:r>
      <w:proofErr w:type="spellStart"/>
      <w:r w:rsidRPr="00515EE5">
        <w:t>ecologiQ</w:t>
      </w:r>
      <w:proofErr w:type="spellEnd"/>
      <w:r w:rsidRPr="00515EE5">
        <w:t xml:space="preserve"> is to integrate recycled and reused content across Victoria’s transport infrastructure projects and making the use of greener materials business-as-usual.</w:t>
      </w:r>
    </w:p>
    <w:p w14:paraId="7C1303DC" w14:textId="333E1DF4" w:rsidR="00515EE5" w:rsidRPr="00515EE5" w:rsidRDefault="00515EE5" w:rsidP="00515EE5">
      <w:pPr>
        <w:pStyle w:val="BodyText"/>
      </w:pPr>
      <w:r w:rsidRPr="00515EE5">
        <w:t xml:space="preserve">A key driver for this change is the </w:t>
      </w:r>
      <w:r w:rsidRPr="00515EE5">
        <w:rPr>
          <w:i/>
          <w:iCs/>
        </w:rPr>
        <w:t>Recycled First</w:t>
      </w:r>
      <w:r w:rsidRPr="00515EE5">
        <w:t xml:space="preserve"> policy. This Australian-first policy requires tenderers and contractors delivering major projects to optimise and commit to the use of recycled materials. The </w:t>
      </w:r>
      <w:r w:rsidRPr="00515EE5">
        <w:rPr>
          <w:i/>
          <w:iCs/>
        </w:rPr>
        <w:t>Recycled First</w:t>
      </w:r>
      <w:r w:rsidRPr="00515EE5">
        <w:t xml:space="preserve"> policy encourages innovation and supports a vibrant and sustainable Victorian market for reused and recycled materials in transport infrastructure construction. This policy demonstrates that effective use of recycled materials can enhance circular economy outcomes and divert waste from landfill.</w:t>
      </w:r>
    </w:p>
    <w:p w14:paraId="008805EA" w14:textId="710FF87F" w:rsidR="00515EE5" w:rsidRPr="00515EE5" w:rsidRDefault="00515EE5" w:rsidP="00515EE5">
      <w:pPr>
        <w:pStyle w:val="BodyText"/>
      </w:pPr>
      <w:r w:rsidRPr="00515EE5">
        <w:t xml:space="preserve">The </w:t>
      </w:r>
      <w:proofErr w:type="spellStart"/>
      <w:r w:rsidRPr="00515EE5">
        <w:t>ecologiQ</w:t>
      </w:r>
      <w:proofErr w:type="spellEnd"/>
      <w:r w:rsidRPr="00515EE5">
        <w:t xml:space="preserve"> program delivers the policy and provides wrap around support to government, regulators, </w:t>
      </w:r>
      <w:proofErr w:type="gramStart"/>
      <w:r w:rsidRPr="00515EE5">
        <w:t>projects</w:t>
      </w:r>
      <w:proofErr w:type="gramEnd"/>
      <w:r w:rsidRPr="00515EE5">
        <w:t xml:space="preserve"> and industry to help them meet the requirements of the Policy. </w:t>
      </w:r>
      <w:proofErr w:type="spellStart"/>
      <w:r w:rsidRPr="00515EE5">
        <w:t>ecologiQ</w:t>
      </w:r>
      <w:proofErr w:type="spellEnd"/>
      <w:r w:rsidRPr="00515EE5">
        <w:t xml:space="preserve"> provides technical support and a range of resources including reference guides to support the use of recycled and reused materials. The guides provide an overview of industry standards for materials and construction type.</w:t>
      </w:r>
    </w:p>
    <w:p w14:paraId="7D578033" w14:textId="0CBD1EB2" w:rsidR="00515EE5" w:rsidRPr="00515EE5" w:rsidRDefault="00515EE5" w:rsidP="00515EE5">
      <w:pPr>
        <w:pStyle w:val="BodyText"/>
      </w:pPr>
      <w:r w:rsidRPr="00515EE5">
        <w:t xml:space="preserve">A successful </w:t>
      </w:r>
      <w:r w:rsidRPr="00515EE5">
        <w:rPr>
          <w:i/>
          <w:iCs/>
        </w:rPr>
        <w:t>Recycled First</w:t>
      </w:r>
      <w:r w:rsidRPr="00515EE5">
        <w:t xml:space="preserve"> project is the completion of the McGregor Road and </w:t>
      </w:r>
      <w:proofErr w:type="spellStart"/>
      <w:r w:rsidRPr="00515EE5">
        <w:t>Healesville</w:t>
      </w:r>
      <w:proofErr w:type="spellEnd"/>
      <w:r w:rsidRPr="00515EE5">
        <w:t xml:space="preserve">-Koo Wee Rup Road interchanges as part of the </w:t>
      </w:r>
      <w:hyperlink r:id="rId26" w:history="1">
        <w:r w:rsidRPr="00D66968">
          <w:rPr>
            <w:rStyle w:val="Hyperlink"/>
          </w:rPr>
          <w:t>Pakenham Roads Upgrade</w:t>
        </w:r>
      </w:hyperlink>
      <w:r w:rsidRPr="00515EE5">
        <w:t>. Approximately 100,000 tonnes of recycled dirt, rock and clay which was excavated from the Level Crossing Removal Project’s Mont Albert Road site in Surrey Hills was reused in this project. This material now forms part of the foundations of freeway ramps and embankments near Pakenham. This arrangement prevents usable material from going to landfill as well as reducing the need for new materials to be quarried.</w:t>
      </w:r>
    </w:p>
    <w:p w14:paraId="20DE2C73" w14:textId="77777777" w:rsidR="00515EE5" w:rsidRDefault="00515EE5" w:rsidP="00515EE5">
      <w:pPr>
        <w:pStyle w:val="BodyText"/>
      </w:pPr>
      <w:r w:rsidRPr="00515EE5">
        <w:t xml:space="preserve">Under the </w:t>
      </w:r>
      <w:r w:rsidRPr="00515EE5">
        <w:rPr>
          <w:i/>
          <w:iCs/>
        </w:rPr>
        <w:t>Recycled First</w:t>
      </w:r>
      <w:r w:rsidRPr="00515EE5">
        <w:t xml:space="preserve"> policy, 3.5 million tonnes of recycled and reused materials have been committed over the next few years across 52 projects. This is more than enough to fill the Melbourne Cricket Ground.</w:t>
      </w:r>
    </w:p>
    <w:p w14:paraId="1A9F40BA" w14:textId="77777777" w:rsidR="00246623" w:rsidRPr="00246623" w:rsidRDefault="00246623" w:rsidP="00D931BC">
      <w:pPr>
        <w:pStyle w:val="Heading2"/>
      </w:pPr>
      <w:bookmarkStart w:id="23" w:name="_Toc161758526"/>
      <w:r w:rsidRPr="00246623">
        <w:lastRenderedPageBreak/>
        <w:t>Glass</w:t>
      </w:r>
      <w:bookmarkEnd w:id="23"/>
    </w:p>
    <w:p w14:paraId="67DA7C5F" w14:textId="4E4F3E32" w:rsidR="00246623" w:rsidRPr="00246623" w:rsidRDefault="00246623" w:rsidP="00246623">
      <w:pPr>
        <w:pStyle w:val="BodyText"/>
      </w:pPr>
      <w:r w:rsidRPr="00246623">
        <w:t>Recycling of glass in Victoria is well established with positive transition to higher circularity. Generation and recovery are relatively similar between the MSW and C&amp;I sectors. Packaging glass recycles 81% of total volumes generated with the remaining ‘other glass’ not currently being recovered.</w:t>
      </w:r>
    </w:p>
    <w:p w14:paraId="43E2269F" w14:textId="77777777" w:rsidR="00246623" w:rsidRPr="00246623" w:rsidRDefault="00246623" w:rsidP="00D931BC">
      <w:pPr>
        <w:pStyle w:val="Heading3"/>
      </w:pPr>
      <w:bookmarkStart w:id="24" w:name="_Toc161758527"/>
      <w:r w:rsidRPr="00246623">
        <w:t>Developments and changes</w:t>
      </w:r>
      <w:bookmarkEnd w:id="24"/>
    </w:p>
    <w:p w14:paraId="55F080FF" w14:textId="77777777" w:rsidR="00246623" w:rsidRPr="00246623" w:rsidRDefault="00246623" w:rsidP="00246623">
      <w:pPr>
        <w:pStyle w:val="BodyText"/>
      </w:pPr>
      <w:r w:rsidRPr="00246623">
        <w:t>The introduction of the Victorian Container Deposit Scheme (CDS) in November 2023, and separation of glass at kerbside will further support glass-to-glass recycling and help recovered Victorian glass compete with high quality glass recovered in other jurisdictions. There is a strong market shift to increase the recycled glass content in glass container manufacture driven by emissions reduction and circularity benefits. Recovered glass may also improve in quality depending on how each Materials Recovery Facility (MRF) recovers CDS glass.</w:t>
      </w:r>
    </w:p>
    <w:p w14:paraId="06918B4F" w14:textId="77777777" w:rsidR="00246623" w:rsidRPr="00246623" w:rsidRDefault="00246623" w:rsidP="00246623">
      <w:pPr>
        <w:pStyle w:val="BodyText"/>
      </w:pPr>
      <w:r w:rsidRPr="00246623">
        <w:t>Sixteen local government areas have introduced a glass-only kerbside bin with a further 12 introducing a glass drop-off service. This is expected to increase as part of the standardisation of household recycling across Victoria.</w:t>
      </w:r>
    </w:p>
    <w:p w14:paraId="189A12EB" w14:textId="2BA8443F" w:rsidR="00246623" w:rsidRPr="00D00FF2" w:rsidRDefault="00246623" w:rsidP="00246623">
      <w:pPr>
        <w:pStyle w:val="BodyText"/>
        <w:rPr>
          <w:u w:val="thick"/>
        </w:rPr>
      </w:pPr>
      <w:r w:rsidRPr="00246623">
        <w:t xml:space="preserve">Industry has provided additional beneficiation (the process of sorting, </w:t>
      </w:r>
      <w:proofErr w:type="gramStart"/>
      <w:r w:rsidRPr="00246623">
        <w:t>cleaning</w:t>
      </w:r>
      <w:proofErr w:type="gramEnd"/>
      <w:r w:rsidRPr="00246623">
        <w:t xml:space="preserve"> and crushing glass) capacity within Victoria recently, through expansion of an existing facility to now process 200,000 tonnes per year</w:t>
      </w:r>
      <w:r w:rsidR="00D00FF2">
        <w:t>. (</w:t>
      </w:r>
      <w:r w:rsidR="00D00FF2" w:rsidRPr="00D00FF2">
        <w:t xml:space="preserve">Recycling Victoria (2023) Market insight report kerbside glass packaging available at </w:t>
      </w:r>
      <w:hyperlink r:id="rId27" w:history="1">
        <w:r w:rsidR="00D00FF2" w:rsidRPr="00D00FF2">
          <w:rPr>
            <w:rStyle w:val="Hyperlink"/>
          </w:rPr>
          <w:t>https://www.vic.gov.au/kerbside-glass-packaging</w:t>
        </w:r>
      </w:hyperlink>
      <w:r w:rsidR="00D00FF2" w:rsidRPr="00D00FF2">
        <w:t>)</w:t>
      </w:r>
      <w:r w:rsidRPr="00246623">
        <w:t>. Interstate capacity supports overall glass circularity and there has been expansion of a South Australian facility, with an annual capacity of 150,000 tonnes and a new facility commissioned in Sydney that will reduce glass coming to Victoria and free up local beneficiation capacity.</w:t>
      </w:r>
    </w:p>
    <w:p w14:paraId="69D48434" w14:textId="77777777" w:rsidR="00246623" w:rsidRPr="00246623" w:rsidRDefault="00246623" w:rsidP="00246623">
      <w:pPr>
        <w:pStyle w:val="BodyText"/>
      </w:pPr>
      <w:r w:rsidRPr="00246623">
        <w:t>It is expected that packaging recycled content will increase due to growing producer commitments, consumer expectations and the National Packaging Targets 2025.</w:t>
      </w:r>
    </w:p>
    <w:p w14:paraId="18E0BFFF" w14:textId="77777777" w:rsidR="00246623" w:rsidRPr="00246623" w:rsidRDefault="00246623" w:rsidP="00D931BC">
      <w:pPr>
        <w:pStyle w:val="Heading3"/>
      </w:pPr>
      <w:bookmarkStart w:id="25" w:name="_Toc161758528"/>
      <w:r w:rsidRPr="00246623">
        <w:t>Market performance</w:t>
      </w:r>
      <w:bookmarkEnd w:id="25"/>
    </w:p>
    <w:p w14:paraId="01324BD8" w14:textId="77777777" w:rsidR="00246623" w:rsidRPr="00246623" w:rsidRDefault="00246623" w:rsidP="00246623">
      <w:pPr>
        <w:pStyle w:val="BodyText"/>
      </w:pPr>
      <w:r w:rsidRPr="00246623">
        <w:t xml:space="preserve">The market demand for glass-based construction materials remains high. The glass recovery sector is serviced by two beneficiation plants, 6 glass crushing processors and one packaging manufacturing plant. </w:t>
      </w:r>
    </w:p>
    <w:p w14:paraId="30377981" w14:textId="5111F275" w:rsidR="00246623" w:rsidRPr="00246623" w:rsidRDefault="00246623" w:rsidP="00246623">
      <w:pPr>
        <w:pStyle w:val="BodyText"/>
      </w:pPr>
      <w:r w:rsidRPr="00246623">
        <w:lastRenderedPageBreak/>
        <w:t>All recovered glass is processed within Victoria into glass cullet back into glass packaging, or otherwise crushed glass/glass fines into construction materials. Recovered glass packaging markets in Victoria are stable and improving but current glass generation exceeds demand into new glass packaging. This is expected to improve over the next few years as the recycled content in glass manufacturing increases. A significant proportion of sorted glass, especially lower quality from MRFs, is processed into aggregate construction materials.</w:t>
      </w:r>
    </w:p>
    <w:p w14:paraId="5B3D1D38" w14:textId="77777777" w:rsidR="00246623" w:rsidRPr="00246623" w:rsidRDefault="00246623" w:rsidP="00D931BC">
      <w:pPr>
        <w:pStyle w:val="Heading3"/>
      </w:pPr>
      <w:bookmarkStart w:id="26" w:name="_Toc161758529"/>
      <w:r w:rsidRPr="00246623">
        <w:t>Market issues and challenges</w:t>
      </w:r>
      <w:bookmarkEnd w:id="26"/>
    </w:p>
    <w:p w14:paraId="5296C63F" w14:textId="388F5ABB" w:rsidR="00246623" w:rsidRPr="00246623" w:rsidRDefault="00246623" w:rsidP="00246623">
      <w:pPr>
        <w:pStyle w:val="BodyText"/>
      </w:pPr>
      <w:r w:rsidRPr="00246623">
        <w:t>Glass has a high circularity opportunity, with the ability to remanufacture glass packaging into new glass packaging, using around 20-30% less energy compared to glass from virgin silica sand.</w:t>
      </w:r>
    </w:p>
    <w:p w14:paraId="7D403966" w14:textId="77777777" w:rsidR="00246623" w:rsidRPr="00246623" w:rsidRDefault="00246623" w:rsidP="00246623">
      <w:pPr>
        <w:pStyle w:val="BodyText"/>
      </w:pPr>
      <w:r w:rsidRPr="00246623">
        <w:t>The implementation of the Container Deposit Scheme and glass-only bins in Victoria will result in an increase in the supply of clean glass to the sector, suitable for glass-to-glass remanufacture. This is an opportunity for higher uses of the glass material stream in Victoria.</w:t>
      </w:r>
    </w:p>
    <w:p w14:paraId="23E6E815" w14:textId="17D4570A" w:rsidR="00246623" w:rsidRPr="00510677" w:rsidRDefault="00246623" w:rsidP="00510677">
      <w:pPr>
        <w:pStyle w:val="BodyText"/>
        <w:rPr>
          <w:b/>
          <w:bCs/>
          <w:color w:val="FF0000"/>
          <w:u w:val="thick"/>
        </w:rPr>
      </w:pPr>
      <w:r w:rsidRPr="00246623">
        <w:t>Current maximum recycled content of glass packaging has been reported at approximately 30</w:t>
      </w:r>
      <w:r w:rsidR="00F5165D">
        <w:t>-</w:t>
      </w:r>
      <w:r w:rsidRPr="00246623">
        <w:t>40%, however with this new supply of clean glass, and new technology developments, there is the potential to achieve a 70% recycled content composition of new glass containers.</w:t>
      </w:r>
      <w:r w:rsidR="00510677" w:rsidRPr="003F26AC">
        <w:t xml:space="preserve"> </w:t>
      </w:r>
      <w:r w:rsidR="00510677" w:rsidRPr="00510677">
        <w:t xml:space="preserve">(Recycling Victoria (2023) Market insight report kerbside glass packaging </w:t>
      </w:r>
      <w:hyperlink r:id="rId28" w:history="1">
        <w:r w:rsidR="00510677" w:rsidRPr="00510677">
          <w:rPr>
            <w:rStyle w:val="Hyperlink"/>
          </w:rPr>
          <w:t>https://www.vic.gov.au/kerbside-glass-packaging</w:t>
        </w:r>
      </w:hyperlink>
      <w:r w:rsidR="00510677" w:rsidRPr="00510677">
        <w:t>)</w:t>
      </w:r>
      <w:r w:rsidR="00510677">
        <w:t>.</w:t>
      </w:r>
    </w:p>
    <w:p w14:paraId="6C622200" w14:textId="77777777" w:rsidR="00246623" w:rsidRPr="00246623" w:rsidRDefault="00246623" w:rsidP="00246623">
      <w:pPr>
        <w:pStyle w:val="BodyText"/>
      </w:pPr>
      <w:r w:rsidRPr="00246623">
        <w:t>Domestic glass-to-glass recycling is dependent on limited remanufacturers. Their scale provides some security, but there is a dependency and limited export potential. The processing of lower grade material into construction materials to replace virgin material also assists the construction sector to become more circular. Stronger circularity can be gained from shifting business models from single use packaging to re-use to reduce the overall consumption of glass.</w:t>
      </w:r>
    </w:p>
    <w:p w14:paraId="0BBF58EF" w14:textId="77777777" w:rsidR="00246623" w:rsidRPr="00246623" w:rsidRDefault="00246623" w:rsidP="00D931BC">
      <w:pPr>
        <w:pStyle w:val="Heading3"/>
      </w:pPr>
      <w:bookmarkStart w:id="27" w:name="_Toc161758530"/>
      <w:r w:rsidRPr="00246623">
        <w:t>Areas for greater circularity – glass</w:t>
      </w:r>
      <w:bookmarkEnd w:id="27"/>
    </w:p>
    <w:p w14:paraId="46C370C3" w14:textId="77777777" w:rsidR="00246623" w:rsidRPr="00246623" w:rsidRDefault="00246623" w:rsidP="00246623">
      <w:pPr>
        <w:pStyle w:val="BodyText"/>
      </w:pPr>
      <w:r w:rsidRPr="00246623">
        <w:t>The greatest areas for improved circularity for this material stream are:</w:t>
      </w:r>
    </w:p>
    <w:p w14:paraId="52C9BB8F" w14:textId="77777777" w:rsidR="00246623" w:rsidRPr="00246623" w:rsidRDefault="00246623" w:rsidP="00D931BC">
      <w:pPr>
        <w:pStyle w:val="ListBullet"/>
      </w:pPr>
      <w:r w:rsidRPr="00246623">
        <w:t xml:space="preserve">increased Victorian glass beneficiation </w:t>
      </w:r>
      <w:proofErr w:type="gramStart"/>
      <w:r w:rsidRPr="00246623">
        <w:t>capacity</w:t>
      </w:r>
      <w:proofErr w:type="gramEnd"/>
    </w:p>
    <w:p w14:paraId="202D4B2C" w14:textId="77777777" w:rsidR="00246623" w:rsidRPr="00246623" w:rsidRDefault="00246623" w:rsidP="00D931BC">
      <w:pPr>
        <w:pStyle w:val="ListBullet"/>
      </w:pPr>
      <w:r w:rsidRPr="00246623">
        <w:lastRenderedPageBreak/>
        <w:t xml:space="preserve">recovered glass into construction materials to support the market for lower grade glass that is not suitable for glass-to-glass </w:t>
      </w:r>
      <w:proofErr w:type="gramStart"/>
      <w:r w:rsidRPr="00246623">
        <w:t>recycling</w:t>
      </w:r>
      <w:proofErr w:type="gramEnd"/>
    </w:p>
    <w:p w14:paraId="04A991E2" w14:textId="77777777" w:rsidR="00246623" w:rsidRPr="00246623" w:rsidRDefault="00246623" w:rsidP="00D931BC">
      <w:pPr>
        <w:pStyle w:val="ListBullet"/>
      </w:pPr>
      <w:r w:rsidRPr="00246623">
        <w:t>exports of beneficiated glass may become a viable if high-quality beneficiated glass increases </w:t>
      </w:r>
      <w:proofErr w:type="gramStart"/>
      <w:r w:rsidRPr="00246623">
        <w:t>significantly</w:t>
      </w:r>
      <w:proofErr w:type="gramEnd"/>
    </w:p>
    <w:p w14:paraId="784E35BC" w14:textId="77777777" w:rsidR="00246623" w:rsidRDefault="00246623" w:rsidP="00D931BC">
      <w:pPr>
        <w:pStyle w:val="Bullet1last"/>
      </w:pPr>
      <w:r w:rsidRPr="00246623">
        <w:t>kerbside collection and processing contracts to support highest environmental end-use of this glass.</w:t>
      </w:r>
    </w:p>
    <w:p w14:paraId="38EE6E41" w14:textId="210677EF" w:rsidR="00962DA1" w:rsidRDefault="00962DA1" w:rsidP="00962DA1">
      <w:pPr>
        <w:pStyle w:val="Caption"/>
        <w:keepNext/>
      </w:pPr>
      <w:r>
        <w:t xml:space="preserve">Table </w:t>
      </w:r>
      <w:r>
        <w:fldChar w:fldCharType="begin"/>
      </w:r>
      <w:r>
        <w:instrText xml:space="preserve"> SEQ Table \* ARABIC </w:instrText>
      </w:r>
      <w:r>
        <w:fldChar w:fldCharType="separate"/>
      </w:r>
      <w:r w:rsidR="00A67B1E">
        <w:rPr>
          <w:noProof/>
        </w:rPr>
        <w:t>5</w:t>
      </w:r>
      <w:r>
        <w:fldChar w:fldCharType="end"/>
      </w:r>
      <w:r>
        <w:t xml:space="preserve">: </w:t>
      </w:r>
      <w:r w:rsidRPr="009D33DF">
        <w:t>Generation and recovery of glass</w:t>
      </w:r>
    </w:p>
    <w:tbl>
      <w:tblPr>
        <w:tblStyle w:val="Style2"/>
        <w:tblW w:w="9921" w:type="dxa"/>
        <w:tblLayout w:type="fixed"/>
        <w:tblLook w:val="0020" w:firstRow="1" w:lastRow="0" w:firstColumn="0" w:lastColumn="0" w:noHBand="0" w:noVBand="0"/>
        <w:tblCaption w:val="Table 5: Generation and recovery of glass"/>
        <w:tblDescription w:val="Generation and Recovery data for different glass materials and sources"/>
      </w:tblPr>
      <w:tblGrid>
        <w:gridCol w:w="1555"/>
        <w:gridCol w:w="2126"/>
        <w:gridCol w:w="2126"/>
        <w:gridCol w:w="2413"/>
        <w:gridCol w:w="1701"/>
      </w:tblGrid>
      <w:tr w:rsidR="00962DA1" w:rsidRPr="00515EE5" w14:paraId="68030CA4" w14:textId="77777777" w:rsidTr="009E52EF">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234DF273" w14:textId="77777777" w:rsidR="00962DA1" w:rsidRPr="00515EE5" w:rsidRDefault="00962DA1" w:rsidP="006D6167">
            <w:pPr>
              <w:pStyle w:val="BodyText"/>
              <w:spacing w:line="276" w:lineRule="auto"/>
            </w:pPr>
            <w:r w:rsidRPr="00515EE5">
              <w:t>Stream</w:t>
            </w:r>
          </w:p>
        </w:tc>
        <w:tc>
          <w:tcPr>
            <w:tcW w:w="2126" w:type="dxa"/>
          </w:tcPr>
          <w:p w14:paraId="005AF847" w14:textId="77777777" w:rsidR="00962DA1" w:rsidRDefault="00962DA1" w:rsidP="006D6167">
            <w:pPr>
              <w:pStyle w:val="BodyText"/>
              <w:spacing w:line="276" w:lineRule="auto"/>
              <w:rPr>
                <w:b w:val="0"/>
              </w:rPr>
            </w:pPr>
            <w:r w:rsidRPr="00515EE5">
              <w:t>Tonnes Generated</w:t>
            </w:r>
          </w:p>
          <w:p w14:paraId="3CF36EBF" w14:textId="77777777" w:rsidR="00962DA1" w:rsidRPr="00515EE5" w:rsidRDefault="00962DA1" w:rsidP="006D6167">
            <w:pPr>
              <w:pStyle w:val="BodyText"/>
              <w:spacing w:line="276" w:lineRule="auto"/>
              <w:rPr>
                <w:b w:val="0"/>
              </w:rPr>
            </w:pPr>
            <w:r>
              <w:t>(</w:t>
            </w:r>
            <w:r w:rsidRPr="00515EE5">
              <w:t>Tonnes</w:t>
            </w:r>
            <w:r>
              <w:t>)</w:t>
            </w:r>
          </w:p>
        </w:tc>
        <w:tc>
          <w:tcPr>
            <w:tcW w:w="2126" w:type="dxa"/>
          </w:tcPr>
          <w:p w14:paraId="61EC5CA5" w14:textId="77777777" w:rsidR="00962DA1" w:rsidRDefault="00962DA1" w:rsidP="006D6167">
            <w:pPr>
              <w:pStyle w:val="BodyText"/>
              <w:spacing w:line="276" w:lineRule="auto"/>
              <w:rPr>
                <w:b w:val="0"/>
              </w:rPr>
            </w:pPr>
            <w:r w:rsidRPr="00515EE5">
              <w:t>Proportion Generated</w:t>
            </w:r>
          </w:p>
          <w:p w14:paraId="43AB0434" w14:textId="77777777" w:rsidR="00962DA1" w:rsidRPr="00515EE5" w:rsidRDefault="00962DA1" w:rsidP="006D6167">
            <w:pPr>
              <w:pStyle w:val="BodyText"/>
              <w:spacing w:line="276" w:lineRule="auto"/>
            </w:pPr>
            <w:r>
              <w:t>(Per cent)</w:t>
            </w:r>
          </w:p>
        </w:tc>
        <w:tc>
          <w:tcPr>
            <w:tcW w:w="2413" w:type="dxa"/>
          </w:tcPr>
          <w:p w14:paraId="12CD05B3"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5E607074" w14:textId="77777777" w:rsidR="00962DA1" w:rsidRPr="00F15770" w:rsidRDefault="00962DA1" w:rsidP="006D6167">
            <w:pPr>
              <w:pStyle w:val="BodyText"/>
              <w:spacing w:line="276" w:lineRule="auto"/>
              <w:rPr>
                <w:b w:val="0"/>
              </w:rPr>
            </w:pPr>
            <w:r>
              <w:t>(</w:t>
            </w:r>
            <w:r w:rsidRPr="00515EE5">
              <w:t>Tonnes</w:t>
            </w:r>
            <w:r>
              <w:t>)</w:t>
            </w:r>
          </w:p>
        </w:tc>
        <w:tc>
          <w:tcPr>
            <w:tcW w:w="1701" w:type="dxa"/>
          </w:tcPr>
          <w:p w14:paraId="34C6F678" w14:textId="77777777" w:rsidR="00962DA1" w:rsidRDefault="00962DA1" w:rsidP="006D6167">
            <w:pPr>
              <w:pStyle w:val="BodyText"/>
              <w:spacing w:line="276" w:lineRule="auto"/>
              <w:rPr>
                <w:b w:val="0"/>
              </w:rPr>
            </w:pPr>
            <w:r w:rsidRPr="00515EE5">
              <w:t>Recovery Rate</w:t>
            </w:r>
          </w:p>
          <w:p w14:paraId="4FEA3BC0" w14:textId="77777777" w:rsidR="00962DA1" w:rsidRPr="00515EE5" w:rsidRDefault="00962DA1" w:rsidP="006D6167">
            <w:pPr>
              <w:pStyle w:val="BodyText"/>
              <w:spacing w:line="276" w:lineRule="auto"/>
            </w:pPr>
            <w:r>
              <w:t>(Per cent)</w:t>
            </w:r>
          </w:p>
        </w:tc>
      </w:tr>
      <w:tr w:rsidR="00962DA1" w:rsidRPr="00515EE5" w14:paraId="3851A0FA" w14:textId="77777777" w:rsidTr="009E52EF">
        <w:trPr>
          <w:trHeight w:val="60"/>
        </w:trPr>
        <w:tc>
          <w:tcPr>
            <w:tcW w:w="1555" w:type="dxa"/>
          </w:tcPr>
          <w:p w14:paraId="5808CBE3" w14:textId="77777777" w:rsidR="00962DA1" w:rsidRPr="00515EE5" w:rsidRDefault="00962DA1" w:rsidP="00962DA1">
            <w:pPr>
              <w:pStyle w:val="Tabletext"/>
            </w:pPr>
            <w:r w:rsidRPr="00515EE5">
              <w:t>MSW</w:t>
            </w:r>
          </w:p>
        </w:tc>
        <w:tc>
          <w:tcPr>
            <w:tcW w:w="2126" w:type="dxa"/>
          </w:tcPr>
          <w:p w14:paraId="6482BB46" w14:textId="24910792" w:rsidR="00962DA1" w:rsidRPr="00515EE5" w:rsidRDefault="00962DA1" w:rsidP="00962DA1">
            <w:pPr>
              <w:pStyle w:val="Tabletext"/>
            </w:pPr>
            <w:r w:rsidRPr="00246623">
              <w:t>254,800</w:t>
            </w:r>
          </w:p>
        </w:tc>
        <w:tc>
          <w:tcPr>
            <w:tcW w:w="2126" w:type="dxa"/>
          </w:tcPr>
          <w:p w14:paraId="06575748" w14:textId="1ECAE1EA" w:rsidR="00962DA1" w:rsidRPr="00515EE5" w:rsidRDefault="00962DA1" w:rsidP="00962DA1">
            <w:pPr>
              <w:pStyle w:val="Tabletext"/>
            </w:pPr>
            <w:r w:rsidRPr="00246623">
              <w:t>54%</w:t>
            </w:r>
          </w:p>
        </w:tc>
        <w:tc>
          <w:tcPr>
            <w:tcW w:w="2413" w:type="dxa"/>
          </w:tcPr>
          <w:p w14:paraId="5FBC1961" w14:textId="683B353B" w:rsidR="00962DA1" w:rsidRPr="00515EE5" w:rsidRDefault="00962DA1" w:rsidP="00962DA1">
            <w:pPr>
              <w:pStyle w:val="Tabletext"/>
            </w:pPr>
            <w:r w:rsidRPr="00246623">
              <w:t>174,800</w:t>
            </w:r>
          </w:p>
        </w:tc>
        <w:tc>
          <w:tcPr>
            <w:tcW w:w="1701" w:type="dxa"/>
          </w:tcPr>
          <w:p w14:paraId="4E268F3B" w14:textId="475CB9BB" w:rsidR="00962DA1" w:rsidRPr="00515EE5" w:rsidRDefault="00962DA1" w:rsidP="00962DA1">
            <w:pPr>
              <w:pStyle w:val="Tabletext"/>
            </w:pPr>
            <w:r w:rsidRPr="00246623">
              <w:t>69%</w:t>
            </w:r>
          </w:p>
        </w:tc>
      </w:tr>
      <w:tr w:rsidR="00962DA1" w:rsidRPr="00515EE5" w14:paraId="7A11EC48" w14:textId="77777777" w:rsidTr="009E52EF">
        <w:trPr>
          <w:trHeight w:val="60"/>
        </w:trPr>
        <w:tc>
          <w:tcPr>
            <w:tcW w:w="1555" w:type="dxa"/>
          </w:tcPr>
          <w:p w14:paraId="2E9968CB" w14:textId="77777777" w:rsidR="00962DA1" w:rsidRPr="00515EE5" w:rsidRDefault="00962DA1" w:rsidP="00962DA1">
            <w:pPr>
              <w:pStyle w:val="Tabletext"/>
            </w:pPr>
            <w:r w:rsidRPr="00515EE5">
              <w:t>C&amp;I</w:t>
            </w:r>
          </w:p>
        </w:tc>
        <w:tc>
          <w:tcPr>
            <w:tcW w:w="2126" w:type="dxa"/>
          </w:tcPr>
          <w:p w14:paraId="4E5602A5" w14:textId="0F852A53" w:rsidR="00962DA1" w:rsidRPr="00515EE5" w:rsidRDefault="00962DA1" w:rsidP="00962DA1">
            <w:pPr>
              <w:pStyle w:val="Tabletext"/>
            </w:pPr>
            <w:r w:rsidRPr="00246623">
              <w:t>213,800</w:t>
            </w:r>
          </w:p>
        </w:tc>
        <w:tc>
          <w:tcPr>
            <w:tcW w:w="2126" w:type="dxa"/>
          </w:tcPr>
          <w:p w14:paraId="54B0580B" w14:textId="07C8B7F8" w:rsidR="00962DA1" w:rsidRPr="00515EE5" w:rsidRDefault="00962DA1" w:rsidP="00962DA1">
            <w:pPr>
              <w:pStyle w:val="Tabletext"/>
            </w:pPr>
            <w:r w:rsidRPr="00246623">
              <w:t>45%</w:t>
            </w:r>
          </w:p>
        </w:tc>
        <w:tc>
          <w:tcPr>
            <w:tcW w:w="2413" w:type="dxa"/>
          </w:tcPr>
          <w:p w14:paraId="0C2E919D" w14:textId="3861BA77" w:rsidR="00962DA1" w:rsidRPr="00515EE5" w:rsidRDefault="00962DA1" w:rsidP="00962DA1">
            <w:pPr>
              <w:pStyle w:val="Tabletext"/>
            </w:pPr>
            <w:r w:rsidRPr="00246623">
              <w:t>159,900</w:t>
            </w:r>
          </w:p>
        </w:tc>
        <w:tc>
          <w:tcPr>
            <w:tcW w:w="1701" w:type="dxa"/>
          </w:tcPr>
          <w:p w14:paraId="7194F1EC" w14:textId="306DAD0E" w:rsidR="00962DA1" w:rsidRPr="00515EE5" w:rsidRDefault="00962DA1" w:rsidP="00962DA1">
            <w:pPr>
              <w:pStyle w:val="Tabletext"/>
            </w:pPr>
            <w:r w:rsidRPr="00246623">
              <w:t>75%</w:t>
            </w:r>
          </w:p>
        </w:tc>
      </w:tr>
      <w:tr w:rsidR="00962DA1" w:rsidRPr="00515EE5" w14:paraId="6BA296BD" w14:textId="77777777" w:rsidTr="009E52EF">
        <w:trPr>
          <w:trHeight w:val="60"/>
        </w:trPr>
        <w:tc>
          <w:tcPr>
            <w:tcW w:w="1555" w:type="dxa"/>
          </w:tcPr>
          <w:p w14:paraId="1CA2889C" w14:textId="77777777" w:rsidR="00962DA1" w:rsidRPr="00515EE5" w:rsidRDefault="00962DA1" w:rsidP="00962DA1">
            <w:pPr>
              <w:pStyle w:val="Tabletext"/>
            </w:pPr>
            <w:r w:rsidRPr="00515EE5">
              <w:t>C&amp;D</w:t>
            </w:r>
          </w:p>
        </w:tc>
        <w:tc>
          <w:tcPr>
            <w:tcW w:w="2126" w:type="dxa"/>
          </w:tcPr>
          <w:p w14:paraId="225F854A" w14:textId="35F35C37" w:rsidR="00962DA1" w:rsidRPr="00515EE5" w:rsidRDefault="00962DA1" w:rsidP="00962DA1">
            <w:pPr>
              <w:pStyle w:val="Tabletext"/>
            </w:pPr>
            <w:r w:rsidRPr="00246623">
              <w:t>4,200</w:t>
            </w:r>
          </w:p>
        </w:tc>
        <w:tc>
          <w:tcPr>
            <w:tcW w:w="2126" w:type="dxa"/>
          </w:tcPr>
          <w:p w14:paraId="45893FB3" w14:textId="3CD4B142" w:rsidR="00962DA1" w:rsidRPr="00515EE5" w:rsidRDefault="00962DA1" w:rsidP="00962DA1">
            <w:pPr>
              <w:pStyle w:val="Tabletext"/>
            </w:pPr>
            <w:r w:rsidRPr="00246623">
              <w:t>&lt;1%</w:t>
            </w:r>
          </w:p>
        </w:tc>
        <w:tc>
          <w:tcPr>
            <w:tcW w:w="2413" w:type="dxa"/>
          </w:tcPr>
          <w:p w14:paraId="3D5D8B5F" w14:textId="286B6528" w:rsidR="00962DA1" w:rsidRPr="00515EE5" w:rsidRDefault="00962DA1" w:rsidP="00962DA1">
            <w:pPr>
              <w:pStyle w:val="Tabletext"/>
            </w:pPr>
            <w:r w:rsidRPr="00246623">
              <w:t>–</w:t>
            </w:r>
          </w:p>
        </w:tc>
        <w:tc>
          <w:tcPr>
            <w:tcW w:w="1701" w:type="dxa"/>
          </w:tcPr>
          <w:p w14:paraId="48B89114" w14:textId="194C4836" w:rsidR="00962DA1" w:rsidRPr="00515EE5" w:rsidRDefault="00962DA1" w:rsidP="00962DA1">
            <w:pPr>
              <w:pStyle w:val="Tabletext"/>
            </w:pPr>
            <w:r w:rsidRPr="00246623">
              <w:t>0%</w:t>
            </w:r>
          </w:p>
        </w:tc>
      </w:tr>
      <w:tr w:rsidR="00962DA1" w:rsidRPr="00515EE5" w14:paraId="27ADB32C" w14:textId="77777777" w:rsidTr="009E52EF">
        <w:trPr>
          <w:trHeight w:val="60"/>
        </w:trPr>
        <w:tc>
          <w:tcPr>
            <w:tcW w:w="1555" w:type="dxa"/>
            <w:tcBorders>
              <w:bottom w:val="single" w:sz="4" w:space="0" w:color="auto"/>
            </w:tcBorders>
          </w:tcPr>
          <w:p w14:paraId="577DAEC5" w14:textId="77777777" w:rsidR="00962DA1" w:rsidRPr="00F15770" w:rsidRDefault="00962DA1" w:rsidP="00962DA1">
            <w:pPr>
              <w:pStyle w:val="Tabletext"/>
              <w:rPr>
                <w:b/>
                <w:bCs/>
              </w:rPr>
            </w:pPr>
            <w:r w:rsidRPr="00F15770">
              <w:rPr>
                <w:b/>
                <w:bCs/>
              </w:rPr>
              <w:t>Total</w:t>
            </w:r>
          </w:p>
        </w:tc>
        <w:tc>
          <w:tcPr>
            <w:tcW w:w="2126" w:type="dxa"/>
            <w:tcBorders>
              <w:bottom w:val="single" w:sz="4" w:space="0" w:color="auto"/>
            </w:tcBorders>
          </w:tcPr>
          <w:p w14:paraId="0BA69ACE" w14:textId="6DFAAF52" w:rsidR="00962DA1" w:rsidRPr="00F15770" w:rsidRDefault="00962DA1" w:rsidP="00962DA1">
            <w:pPr>
              <w:pStyle w:val="Tabletext"/>
              <w:rPr>
                <w:b/>
                <w:bCs/>
              </w:rPr>
            </w:pPr>
            <w:r w:rsidRPr="001F1BBD">
              <w:rPr>
                <w:b/>
                <w:bCs/>
              </w:rPr>
              <w:t>472,800</w:t>
            </w:r>
          </w:p>
        </w:tc>
        <w:tc>
          <w:tcPr>
            <w:tcW w:w="2126" w:type="dxa"/>
            <w:tcBorders>
              <w:bottom w:val="single" w:sz="4" w:space="0" w:color="auto"/>
            </w:tcBorders>
          </w:tcPr>
          <w:p w14:paraId="118D7F25" w14:textId="77777777" w:rsidR="00962DA1" w:rsidRPr="00F15770" w:rsidRDefault="00962DA1" w:rsidP="00962DA1">
            <w:pPr>
              <w:pStyle w:val="Tabletext"/>
              <w:rPr>
                <w:b/>
                <w:bCs/>
              </w:rPr>
            </w:pPr>
          </w:p>
        </w:tc>
        <w:tc>
          <w:tcPr>
            <w:tcW w:w="2413" w:type="dxa"/>
            <w:tcBorders>
              <w:bottom w:val="single" w:sz="4" w:space="0" w:color="auto"/>
            </w:tcBorders>
          </w:tcPr>
          <w:p w14:paraId="7C536BA8" w14:textId="2E0BBE64" w:rsidR="00962DA1" w:rsidRPr="00F15770" w:rsidRDefault="00962DA1" w:rsidP="00962DA1">
            <w:pPr>
              <w:pStyle w:val="Tabletext"/>
              <w:rPr>
                <w:b/>
                <w:bCs/>
              </w:rPr>
            </w:pPr>
            <w:r w:rsidRPr="001F1BBD">
              <w:rPr>
                <w:b/>
                <w:bCs/>
              </w:rPr>
              <w:t>334,700</w:t>
            </w:r>
          </w:p>
        </w:tc>
        <w:tc>
          <w:tcPr>
            <w:tcW w:w="1701" w:type="dxa"/>
            <w:tcBorders>
              <w:bottom w:val="single" w:sz="4" w:space="0" w:color="auto"/>
            </w:tcBorders>
          </w:tcPr>
          <w:p w14:paraId="2755F53B" w14:textId="26AF3A9E" w:rsidR="00962DA1" w:rsidRPr="00F15770" w:rsidRDefault="00962DA1" w:rsidP="00962DA1">
            <w:pPr>
              <w:pStyle w:val="Tabletext"/>
              <w:rPr>
                <w:b/>
                <w:bCs/>
              </w:rPr>
            </w:pPr>
            <w:r w:rsidRPr="001F1BBD">
              <w:rPr>
                <w:b/>
                <w:bCs/>
              </w:rPr>
              <w:t>71%</w:t>
            </w:r>
          </w:p>
        </w:tc>
      </w:tr>
      <w:tr w:rsidR="00962DA1" w:rsidRPr="00515EE5" w14:paraId="57F952EF" w14:textId="77777777" w:rsidTr="009E52EF">
        <w:trPr>
          <w:trHeight w:val="60"/>
        </w:trPr>
        <w:tc>
          <w:tcPr>
            <w:tcW w:w="1555" w:type="dxa"/>
            <w:tcBorders>
              <w:left w:val="nil"/>
              <w:right w:val="nil"/>
            </w:tcBorders>
          </w:tcPr>
          <w:p w14:paraId="4DBF778D" w14:textId="77777777" w:rsidR="00962DA1" w:rsidRPr="00F15770" w:rsidRDefault="00962DA1" w:rsidP="006D6167">
            <w:pPr>
              <w:pStyle w:val="Tabletext"/>
              <w:rPr>
                <w:b/>
                <w:bCs/>
              </w:rPr>
            </w:pPr>
          </w:p>
        </w:tc>
        <w:tc>
          <w:tcPr>
            <w:tcW w:w="2126" w:type="dxa"/>
            <w:tcBorders>
              <w:left w:val="nil"/>
              <w:right w:val="nil"/>
            </w:tcBorders>
          </w:tcPr>
          <w:p w14:paraId="455A2A86" w14:textId="77777777" w:rsidR="00962DA1" w:rsidRPr="00F15770" w:rsidRDefault="00962DA1" w:rsidP="006D6167">
            <w:pPr>
              <w:pStyle w:val="Tabletext"/>
              <w:rPr>
                <w:b/>
                <w:bCs/>
              </w:rPr>
            </w:pPr>
          </w:p>
        </w:tc>
        <w:tc>
          <w:tcPr>
            <w:tcW w:w="2126" w:type="dxa"/>
            <w:tcBorders>
              <w:left w:val="nil"/>
              <w:right w:val="nil"/>
            </w:tcBorders>
          </w:tcPr>
          <w:p w14:paraId="2F1E2967" w14:textId="77777777" w:rsidR="00962DA1" w:rsidRPr="00F15770" w:rsidRDefault="00962DA1" w:rsidP="006D6167">
            <w:pPr>
              <w:pStyle w:val="Tabletext"/>
              <w:rPr>
                <w:b/>
                <w:bCs/>
              </w:rPr>
            </w:pPr>
          </w:p>
        </w:tc>
        <w:tc>
          <w:tcPr>
            <w:tcW w:w="2413" w:type="dxa"/>
            <w:tcBorders>
              <w:left w:val="nil"/>
              <w:right w:val="nil"/>
            </w:tcBorders>
          </w:tcPr>
          <w:p w14:paraId="33271C46" w14:textId="77777777" w:rsidR="00962DA1" w:rsidRPr="00F15770" w:rsidRDefault="00962DA1" w:rsidP="006D6167">
            <w:pPr>
              <w:pStyle w:val="Tabletext"/>
              <w:rPr>
                <w:b/>
                <w:bCs/>
              </w:rPr>
            </w:pPr>
          </w:p>
        </w:tc>
        <w:tc>
          <w:tcPr>
            <w:tcW w:w="1701" w:type="dxa"/>
            <w:tcBorders>
              <w:left w:val="nil"/>
              <w:right w:val="nil"/>
            </w:tcBorders>
          </w:tcPr>
          <w:p w14:paraId="7E748AAF" w14:textId="77777777" w:rsidR="00962DA1" w:rsidRPr="00F15770" w:rsidRDefault="00962DA1" w:rsidP="006D6167">
            <w:pPr>
              <w:pStyle w:val="Tabletext"/>
              <w:rPr>
                <w:b/>
                <w:bCs/>
              </w:rPr>
            </w:pPr>
          </w:p>
        </w:tc>
      </w:tr>
      <w:tr w:rsidR="00962DA1" w:rsidRPr="00515EE5" w14:paraId="75609A35" w14:textId="77777777" w:rsidTr="009E52EF">
        <w:trPr>
          <w:trHeight w:val="60"/>
        </w:trPr>
        <w:tc>
          <w:tcPr>
            <w:tcW w:w="1555" w:type="dxa"/>
            <w:shd w:val="clear" w:color="auto" w:fill="F2F2F2" w:themeFill="background1" w:themeFillShade="F2"/>
          </w:tcPr>
          <w:p w14:paraId="12EF824E" w14:textId="77777777" w:rsidR="00962DA1" w:rsidRPr="006B4C87" w:rsidRDefault="00962DA1" w:rsidP="006D6167">
            <w:pPr>
              <w:pStyle w:val="Tabletext"/>
              <w:rPr>
                <w:b/>
                <w:bCs/>
              </w:rPr>
            </w:pPr>
            <w:r w:rsidRPr="006B4C87">
              <w:rPr>
                <w:b/>
                <w:bCs/>
              </w:rPr>
              <w:t>Material</w:t>
            </w:r>
          </w:p>
        </w:tc>
        <w:tc>
          <w:tcPr>
            <w:tcW w:w="2126" w:type="dxa"/>
            <w:shd w:val="clear" w:color="auto" w:fill="F2F2F2" w:themeFill="background1" w:themeFillShade="F2"/>
          </w:tcPr>
          <w:p w14:paraId="096697E5" w14:textId="77777777" w:rsidR="00962DA1" w:rsidRPr="006B4C87" w:rsidRDefault="00962DA1" w:rsidP="006D6167">
            <w:pPr>
              <w:pStyle w:val="BodyText"/>
              <w:spacing w:line="276" w:lineRule="auto"/>
              <w:rPr>
                <w:b/>
                <w:bCs/>
              </w:rPr>
            </w:pPr>
            <w:r w:rsidRPr="006B4C87">
              <w:rPr>
                <w:b/>
                <w:bCs/>
              </w:rPr>
              <w:t>Tonnes Generated</w:t>
            </w:r>
          </w:p>
          <w:p w14:paraId="3FDDF074" w14:textId="77777777" w:rsidR="00962DA1" w:rsidRPr="006B4C87" w:rsidRDefault="00962DA1" w:rsidP="006D6167">
            <w:pPr>
              <w:pStyle w:val="Tabletext"/>
              <w:rPr>
                <w:b/>
                <w:bCs/>
              </w:rPr>
            </w:pPr>
            <w:r w:rsidRPr="006B4C87">
              <w:rPr>
                <w:b/>
                <w:bCs/>
              </w:rPr>
              <w:t>(Tonnes)</w:t>
            </w:r>
          </w:p>
        </w:tc>
        <w:tc>
          <w:tcPr>
            <w:tcW w:w="2126" w:type="dxa"/>
            <w:shd w:val="clear" w:color="auto" w:fill="F2F2F2" w:themeFill="background1" w:themeFillShade="F2"/>
          </w:tcPr>
          <w:p w14:paraId="405E57D3" w14:textId="77777777" w:rsidR="00962DA1" w:rsidRPr="006B4C87" w:rsidRDefault="00962DA1" w:rsidP="006D6167">
            <w:pPr>
              <w:pStyle w:val="BodyText"/>
              <w:spacing w:line="276" w:lineRule="auto"/>
              <w:rPr>
                <w:b/>
                <w:bCs/>
              </w:rPr>
            </w:pPr>
            <w:r w:rsidRPr="006B4C87">
              <w:rPr>
                <w:b/>
                <w:bCs/>
              </w:rPr>
              <w:t>Proportion Generated</w:t>
            </w:r>
          </w:p>
          <w:p w14:paraId="7E5C10A4" w14:textId="77777777" w:rsidR="00962DA1" w:rsidRPr="006B4C87" w:rsidRDefault="00962DA1" w:rsidP="006D6167">
            <w:pPr>
              <w:pStyle w:val="Tabletext"/>
              <w:rPr>
                <w:b/>
                <w:bCs/>
              </w:rPr>
            </w:pPr>
            <w:r w:rsidRPr="006B4C87">
              <w:rPr>
                <w:b/>
                <w:bCs/>
              </w:rPr>
              <w:t>(Per cent)</w:t>
            </w:r>
          </w:p>
        </w:tc>
        <w:tc>
          <w:tcPr>
            <w:tcW w:w="2413" w:type="dxa"/>
            <w:shd w:val="clear" w:color="auto" w:fill="F2F2F2" w:themeFill="background1" w:themeFillShade="F2"/>
          </w:tcPr>
          <w:p w14:paraId="2CF75F5C"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291228F6" w14:textId="77777777" w:rsidR="00962DA1" w:rsidRPr="006B4C87" w:rsidRDefault="00962DA1" w:rsidP="006D6167">
            <w:pPr>
              <w:pStyle w:val="Tabletext"/>
              <w:rPr>
                <w:b/>
                <w:bCs/>
              </w:rPr>
            </w:pPr>
            <w:r w:rsidRPr="006B4C87">
              <w:rPr>
                <w:b/>
                <w:bCs/>
              </w:rPr>
              <w:t>(Tonnes)</w:t>
            </w:r>
          </w:p>
        </w:tc>
        <w:tc>
          <w:tcPr>
            <w:tcW w:w="1701" w:type="dxa"/>
            <w:shd w:val="clear" w:color="auto" w:fill="F2F2F2" w:themeFill="background1" w:themeFillShade="F2"/>
          </w:tcPr>
          <w:p w14:paraId="38BA255B" w14:textId="77777777" w:rsidR="00962DA1" w:rsidRPr="006B4C87" w:rsidRDefault="00962DA1" w:rsidP="006D6167">
            <w:pPr>
              <w:pStyle w:val="BodyText"/>
              <w:spacing w:line="276" w:lineRule="auto"/>
              <w:rPr>
                <w:b/>
                <w:bCs/>
              </w:rPr>
            </w:pPr>
            <w:r w:rsidRPr="006B4C87">
              <w:rPr>
                <w:b/>
                <w:bCs/>
              </w:rPr>
              <w:t>Recovery Rate</w:t>
            </w:r>
          </w:p>
          <w:p w14:paraId="5837F28B" w14:textId="77777777" w:rsidR="00962DA1" w:rsidRPr="006B4C87" w:rsidRDefault="00962DA1" w:rsidP="006D6167">
            <w:pPr>
              <w:pStyle w:val="Tabletext"/>
              <w:rPr>
                <w:b/>
                <w:bCs/>
              </w:rPr>
            </w:pPr>
            <w:r w:rsidRPr="006B4C87">
              <w:rPr>
                <w:b/>
                <w:bCs/>
              </w:rPr>
              <w:t>(Per cent)</w:t>
            </w:r>
          </w:p>
        </w:tc>
      </w:tr>
      <w:tr w:rsidR="00962DA1" w:rsidRPr="00515EE5" w14:paraId="565D6F60" w14:textId="77777777" w:rsidTr="009E52EF">
        <w:trPr>
          <w:trHeight w:val="60"/>
        </w:trPr>
        <w:tc>
          <w:tcPr>
            <w:tcW w:w="1555" w:type="dxa"/>
          </w:tcPr>
          <w:p w14:paraId="1608C9AF" w14:textId="51519AAD" w:rsidR="00962DA1" w:rsidRPr="00F15770" w:rsidRDefault="00962DA1" w:rsidP="00962DA1">
            <w:pPr>
              <w:pStyle w:val="Tabletext"/>
              <w:rPr>
                <w:b/>
                <w:bCs/>
              </w:rPr>
            </w:pPr>
            <w:r w:rsidRPr="00246623">
              <w:t>Packaging glass</w:t>
            </w:r>
          </w:p>
        </w:tc>
        <w:tc>
          <w:tcPr>
            <w:tcW w:w="2126" w:type="dxa"/>
          </w:tcPr>
          <w:p w14:paraId="6A2DFDBD" w14:textId="3A9564E2" w:rsidR="00962DA1" w:rsidRPr="00F15770" w:rsidRDefault="00962DA1" w:rsidP="00962DA1">
            <w:pPr>
              <w:pStyle w:val="Tabletext"/>
              <w:rPr>
                <w:b/>
                <w:bCs/>
              </w:rPr>
            </w:pPr>
            <w:r w:rsidRPr="00246623">
              <w:t>411,700</w:t>
            </w:r>
          </w:p>
        </w:tc>
        <w:tc>
          <w:tcPr>
            <w:tcW w:w="2126" w:type="dxa"/>
          </w:tcPr>
          <w:p w14:paraId="016C1A39" w14:textId="4D76509F" w:rsidR="00962DA1" w:rsidRPr="00F15770" w:rsidRDefault="00962DA1" w:rsidP="00962DA1">
            <w:pPr>
              <w:pStyle w:val="Tabletext"/>
              <w:rPr>
                <w:b/>
                <w:bCs/>
              </w:rPr>
            </w:pPr>
            <w:r w:rsidRPr="00246623">
              <w:t>87%</w:t>
            </w:r>
          </w:p>
        </w:tc>
        <w:tc>
          <w:tcPr>
            <w:tcW w:w="2413" w:type="dxa"/>
          </w:tcPr>
          <w:p w14:paraId="2B36B907" w14:textId="4755695F" w:rsidR="00962DA1" w:rsidRPr="00F15770" w:rsidRDefault="00962DA1" w:rsidP="00962DA1">
            <w:pPr>
              <w:pStyle w:val="Tabletext"/>
              <w:rPr>
                <w:b/>
                <w:bCs/>
              </w:rPr>
            </w:pPr>
            <w:r w:rsidRPr="00246623">
              <w:t>334,600</w:t>
            </w:r>
          </w:p>
        </w:tc>
        <w:tc>
          <w:tcPr>
            <w:tcW w:w="1701" w:type="dxa"/>
          </w:tcPr>
          <w:p w14:paraId="6D64FD7C" w14:textId="61147A01" w:rsidR="00962DA1" w:rsidRPr="00F15770" w:rsidRDefault="00962DA1" w:rsidP="00962DA1">
            <w:pPr>
              <w:pStyle w:val="Tabletext"/>
              <w:rPr>
                <w:b/>
                <w:bCs/>
              </w:rPr>
            </w:pPr>
            <w:r w:rsidRPr="00246623">
              <w:t>81%</w:t>
            </w:r>
          </w:p>
        </w:tc>
      </w:tr>
      <w:tr w:rsidR="00962DA1" w:rsidRPr="00515EE5" w14:paraId="14FE3C63" w14:textId="77777777" w:rsidTr="009E52EF">
        <w:trPr>
          <w:trHeight w:val="60"/>
        </w:trPr>
        <w:tc>
          <w:tcPr>
            <w:tcW w:w="1555" w:type="dxa"/>
          </w:tcPr>
          <w:p w14:paraId="5986988E" w14:textId="3B12D9A1" w:rsidR="00962DA1" w:rsidRPr="00F15770" w:rsidRDefault="00962DA1" w:rsidP="00962DA1">
            <w:pPr>
              <w:pStyle w:val="Tabletext"/>
              <w:rPr>
                <w:b/>
                <w:bCs/>
              </w:rPr>
            </w:pPr>
            <w:r w:rsidRPr="00246623">
              <w:t>Other glass</w:t>
            </w:r>
          </w:p>
        </w:tc>
        <w:tc>
          <w:tcPr>
            <w:tcW w:w="2126" w:type="dxa"/>
          </w:tcPr>
          <w:p w14:paraId="1B9761E5" w14:textId="290FCAE5" w:rsidR="00962DA1" w:rsidRPr="00F15770" w:rsidRDefault="00962DA1" w:rsidP="00962DA1">
            <w:pPr>
              <w:pStyle w:val="Tabletext"/>
              <w:rPr>
                <w:b/>
                <w:bCs/>
              </w:rPr>
            </w:pPr>
            <w:r w:rsidRPr="00246623">
              <w:t>61,000</w:t>
            </w:r>
          </w:p>
        </w:tc>
        <w:tc>
          <w:tcPr>
            <w:tcW w:w="2126" w:type="dxa"/>
          </w:tcPr>
          <w:p w14:paraId="19934DA9" w14:textId="13F561CB" w:rsidR="00962DA1" w:rsidRPr="00F15770" w:rsidRDefault="00962DA1" w:rsidP="00962DA1">
            <w:pPr>
              <w:pStyle w:val="Tabletext"/>
              <w:rPr>
                <w:b/>
                <w:bCs/>
              </w:rPr>
            </w:pPr>
            <w:r w:rsidRPr="00246623">
              <w:t>13%</w:t>
            </w:r>
          </w:p>
        </w:tc>
        <w:tc>
          <w:tcPr>
            <w:tcW w:w="2413" w:type="dxa"/>
          </w:tcPr>
          <w:p w14:paraId="4316FA1A" w14:textId="140183FC" w:rsidR="00962DA1" w:rsidRPr="00F15770" w:rsidRDefault="00962DA1" w:rsidP="00962DA1">
            <w:pPr>
              <w:pStyle w:val="Tabletext"/>
              <w:rPr>
                <w:b/>
                <w:bCs/>
              </w:rPr>
            </w:pPr>
            <w:r w:rsidRPr="00246623">
              <w:t>–</w:t>
            </w:r>
          </w:p>
        </w:tc>
        <w:tc>
          <w:tcPr>
            <w:tcW w:w="1701" w:type="dxa"/>
          </w:tcPr>
          <w:p w14:paraId="638589A4" w14:textId="0BE2379C" w:rsidR="00962DA1" w:rsidRPr="00F15770" w:rsidRDefault="00962DA1" w:rsidP="00962DA1">
            <w:pPr>
              <w:pStyle w:val="Tabletext"/>
              <w:rPr>
                <w:b/>
                <w:bCs/>
              </w:rPr>
            </w:pPr>
            <w:r w:rsidRPr="00246623">
              <w:t>0%</w:t>
            </w:r>
          </w:p>
        </w:tc>
      </w:tr>
    </w:tbl>
    <w:p w14:paraId="48041CAE" w14:textId="6E9884CF" w:rsidR="00246623" w:rsidRPr="000378C7" w:rsidRDefault="0061249E" w:rsidP="000378C7">
      <w:pPr>
        <w:pStyle w:val="BodyText"/>
        <w:spacing w:before="240"/>
        <w:rPr>
          <w:b/>
          <w:bCs/>
        </w:rPr>
      </w:pPr>
      <w:r>
        <w:t>(</w:t>
      </w:r>
      <w:r w:rsidRPr="007E2A3D">
        <w:t>Recycling Victoria (2023) Waste projection model available at</w:t>
      </w:r>
      <w:r>
        <w:t xml:space="preserve"> </w:t>
      </w:r>
      <w:hyperlink r:id="rId29" w:history="1">
        <w:r w:rsidRPr="00396CE9">
          <w:rPr>
            <w:rStyle w:val="Hyperlink"/>
          </w:rPr>
          <w:t>https://www.vic.gov.au/</w:t>
        </w:r>
        <w:r w:rsidRPr="00396CE9">
          <w:rPr>
            <w:rStyle w:val="Hyperlink"/>
          </w:rPr>
          <w:br/>
        </w:r>
        <w:proofErr w:type="spellStart"/>
        <w:r w:rsidRPr="00396CE9">
          <w:rPr>
            <w:rStyle w:val="Hyperlink"/>
          </w:rPr>
          <w:t>victorias</w:t>
        </w:r>
        <w:proofErr w:type="spellEnd"/>
        <w:r w:rsidRPr="00396CE9">
          <w:rPr>
            <w:rStyle w:val="Hyperlink"/>
          </w:rPr>
          <w:t>-waste-projection-model-dashboard</w:t>
        </w:r>
      </w:hyperlink>
      <w:r w:rsidRPr="007E2A3D">
        <w:t xml:space="preserve"> The data in the table is</w:t>
      </w:r>
      <w:r>
        <w:t xml:space="preserve"> </w:t>
      </w:r>
      <w:r w:rsidRPr="007E2A3D">
        <w:t>based on actual data from 2020–21</w:t>
      </w:r>
      <w:r>
        <w:t>)</w:t>
      </w:r>
    </w:p>
    <w:p w14:paraId="44A62FE8" w14:textId="77777777" w:rsidR="00246623" w:rsidRPr="00246623" w:rsidRDefault="00246623" w:rsidP="00D931BC">
      <w:pPr>
        <w:pStyle w:val="Heading2"/>
      </w:pPr>
      <w:bookmarkStart w:id="28" w:name="_Toc161758531"/>
      <w:r w:rsidRPr="00246623">
        <w:lastRenderedPageBreak/>
        <w:t>Metals</w:t>
      </w:r>
      <w:bookmarkEnd w:id="28"/>
    </w:p>
    <w:p w14:paraId="45DA4C3D" w14:textId="6C2BE0F9" w:rsidR="00246623" w:rsidRPr="00246623" w:rsidRDefault="00246623" w:rsidP="00246623">
      <w:pPr>
        <w:pStyle w:val="BodyText"/>
      </w:pPr>
      <w:r w:rsidRPr="00246623">
        <w:t>Victoria is the second largest waste metal generator in Australia and has a high recovery rate at 90%, but there remains a large residual stream of ‘shredder floc’ to landfill. The C&amp;I sector contributes significantly to this material stream, supplying 79% of total metals generated, while recovering 93%. The unrecovered volumes from the MSW and C&amp;D sector are relatively low (5% of total material stream generated) but could help to increase recovery even higher and establish Victoria at the forefront of the nation.</w:t>
      </w:r>
    </w:p>
    <w:p w14:paraId="62ABAB4E" w14:textId="6A62A053" w:rsidR="00246623" w:rsidRPr="00246623" w:rsidRDefault="00246623" w:rsidP="00246623">
      <w:pPr>
        <w:pStyle w:val="BodyText"/>
      </w:pPr>
      <w:r w:rsidRPr="00246623">
        <w:t>Recovered metals are predominantly non-packaging (e.g. structural steel) and only a very small amount of packaging, which is largely sold into export markets.</w:t>
      </w:r>
    </w:p>
    <w:p w14:paraId="6ED7C5CC" w14:textId="77777777" w:rsidR="00246623" w:rsidRPr="00246623" w:rsidRDefault="00246623" w:rsidP="00D931BC">
      <w:pPr>
        <w:pStyle w:val="Heading3"/>
      </w:pPr>
      <w:bookmarkStart w:id="29" w:name="_Toc161758532"/>
      <w:r w:rsidRPr="00246623">
        <w:t>Developments and changes</w:t>
      </w:r>
      <w:bookmarkEnd w:id="29"/>
    </w:p>
    <w:p w14:paraId="66CC039D" w14:textId="64AD7155" w:rsidR="00246623" w:rsidRPr="00246623" w:rsidRDefault="00246623" w:rsidP="00246623">
      <w:pPr>
        <w:pStyle w:val="BodyText"/>
      </w:pPr>
      <w:r w:rsidRPr="00246623">
        <w:t>Commodity prices, industry revenue and export viability have been impacted by fluctuations in the exchange rate, base metals price index and the world steel price. There has been increased investment in domestic recycling capabilities to lift the industry’s output and increased demand from downstream industries, particularly the manufacturing and construction sectors.</w:t>
      </w:r>
    </w:p>
    <w:p w14:paraId="3BB39C71" w14:textId="6CE1BA45" w:rsidR="00246623" w:rsidRPr="00246623" w:rsidRDefault="00246623" w:rsidP="00246623">
      <w:pPr>
        <w:pStyle w:val="BodyText"/>
      </w:pPr>
      <w:r w:rsidRPr="00246623">
        <w:t>Steel and aluminium cans are only a small fraction of overall metals recovery. These separated materials are a valuable source of revenue for MRFs. It is expected that the CDS will increase recovery and collection of aluminium cans.</w:t>
      </w:r>
    </w:p>
    <w:p w14:paraId="74855EEF" w14:textId="2AB3D497" w:rsidR="00246623" w:rsidRPr="00246623" w:rsidRDefault="00246623" w:rsidP="00246623">
      <w:pPr>
        <w:pStyle w:val="BodyText"/>
      </w:pPr>
      <w:r w:rsidRPr="00246623">
        <w:t>Interstate movements have an overall impact on metal circularity and investigators at aluminium smelters in Tasmania and Queensland are examining possible upgrades to take aluminium beverage cans. A Queensland site will trial plasma gasification of automotive shredder residue to reduce the amount of shredder floc going to landfill.</w:t>
      </w:r>
    </w:p>
    <w:p w14:paraId="3B97E665" w14:textId="77777777" w:rsidR="00246623" w:rsidRPr="00246623" w:rsidRDefault="00246623" w:rsidP="00246623">
      <w:pPr>
        <w:pStyle w:val="BodyText"/>
      </w:pPr>
      <w:r w:rsidRPr="00246623">
        <w:t>Future onshore processing of scrap steel may emerge with green electric arc production at steelworks being implemented at some sites.</w:t>
      </w:r>
    </w:p>
    <w:p w14:paraId="4D6E7600" w14:textId="77777777" w:rsidR="00246623" w:rsidRPr="00246623" w:rsidRDefault="00246623" w:rsidP="00D931BC">
      <w:pPr>
        <w:pStyle w:val="Heading3"/>
      </w:pPr>
      <w:bookmarkStart w:id="30" w:name="_Toc161758533"/>
      <w:r w:rsidRPr="00246623">
        <w:t>Market performance</w:t>
      </w:r>
      <w:bookmarkEnd w:id="30"/>
    </w:p>
    <w:p w14:paraId="3A00639D" w14:textId="4FEF7182" w:rsidR="00246623" w:rsidRPr="00246623" w:rsidRDefault="00246623" w:rsidP="00246623">
      <w:pPr>
        <w:pStyle w:val="BodyText"/>
      </w:pPr>
      <w:r w:rsidRPr="00246623">
        <w:t>Recovery takes place at around 450 collection facilities across the state and 9 metals recovery facilities. This includes packaging from households, commercial businesses and hospitality, components from furniture, appliances and e-waste, industrial manufacturing, end-of-life vehicles and construction and demolition activity.</w:t>
      </w:r>
    </w:p>
    <w:p w14:paraId="3BFA58B3" w14:textId="77777777" w:rsidR="00246623" w:rsidRPr="00246623" w:rsidRDefault="00246623" w:rsidP="00246623">
      <w:pPr>
        <w:pStyle w:val="BodyText"/>
      </w:pPr>
      <w:r w:rsidRPr="00246623">
        <w:lastRenderedPageBreak/>
        <w:t>There are two metals reprocessing/remanufacturing plants and around 65% of the total metals generated are reprocessed within Victoria. Metals are vulnerable to international commodity prices but generally the market remains strong. Two dominant Victorian metal recyclers provide resilience for the sector and there is a range of smaller collectors and aggregators that have established supplier/offtake relationships with the major processors or smaller direct export arrangements.</w:t>
      </w:r>
    </w:p>
    <w:p w14:paraId="0E299CA1" w14:textId="499A3C84" w:rsidR="00246623" w:rsidRPr="0061249E" w:rsidRDefault="00246623" w:rsidP="00246623">
      <w:pPr>
        <w:pStyle w:val="BodyText"/>
        <w:rPr>
          <w:u w:val="thick"/>
        </w:rPr>
      </w:pPr>
      <w:r w:rsidRPr="00246623">
        <w:t>Global steel and aluminium markets have readily and consistently absorbed metal packaging from Australian kerbside systems</w:t>
      </w:r>
      <w:r w:rsidR="0061249E">
        <w:t>. (</w:t>
      </w:r>
      <w:r w:rsidR="0061249E" w:rsidRPr="0061249E">
        <w:t xml:space="preserve">Recycling Victoria (2023) Market insight report kerbside metal packaging available at </w:t>
      </w:r>
      <w:hyperlink r:id="rId30" w:history="1">
        <w:r w:rsidR="0061249E" w:rsidRPr="0061249E">
          <w:rPr>
            <w:rStyle w:val="Hyperlink"/>
          </w:rPr>
          <w:t>https://www.vic.gov.au/kerbside-metal-packaging</w:t>
        </w:r>
      </w:hyperlink>
      <w:r w:rsidR="0061249E" w:rsidRPr="0061249E">
        <w:t>).</w:t>
      </w:r>
    </w:p>
    <w:p w14:paraId="6D6A788B" w14:textId="77777777" w:rsidR="00246623" w:rsidRPr="00246623" w:rsidRDefault="00246623" w:rsidP="0061249E">
      <w:pPr>
        <w:pStyle w:val="Heading3"/>
      </w:pPr>
      <w:bookmarkStart w:id="31" w:name="_Toc161758534"/>
      <w:r w:rsidRPr="00246623">
        <w:t>Market issues and challenges</w:t>
      </w:r>
      <w:bookmarkEnd w:id="31"/>
    </w:p>
    <w:p w14:paraId="289F6535" w14:textId="2FE25B19" w:rsidR="00246623" w:rsidRPr="00246623" w:rsidRDefault="00246623" w:rsidP="00246623">
      <w:pPr>
        <w:pStyle w:val="BodyText"/>
      </w:pPr>
      <w:r w:rsidRPr="00246623">
        <w:t>Metals recovery and reprocessing is well established, and the industry is mature and has high capital investment. Increasing local metal processing using renewable energy (e.g. electric arc furnace) is an opportunity to increase the circularity and reduce embodied emissions.</w:t>
      </w:r>
    </w:p>
    <w:p w14:paraId="05FA6DB6" w14:textId="5A3EC7F9" w:rsidR="00246623" w:rsidRPr="00246623" w:rsidRDefault="00246623" w:rsidP="00246623">
      <w:pPr>
        <w:pStyle w:val="BodyText"/>
      </w:pPr>
      <w:r w:rsidRPr="00246623">
        <w:t>There remains a dependence on export, with minimal local processing of baled steel. This is an opportunity for local innovation.</w:t>
      </w:r>
      <w:r w:rsidR="00B1742F">
        <w:t xml:space="preserve"> </w:t>
      </w:r>
      <w:r w:rsidR="0061249E">
        <w:t>(</w:t>
      </w:r>
      <w:r w:rsidR="0061249E" w:rsidRPr="0061249E">
        <w:t xml:space="preserve">Recycling Victoria (2023) Market insight report kerbside metal packaging available at </w:t>
      </w:r>
      <w:hyperlink r:id="rId31" w:history="1">
        <w:r w:rsidR="0061249E" w:rsidRPr="0061249E">
          <w:rPr>
            <w:rStyle w:val="Hyperlink"/>
          </w:rPr>
          <w:t>https://www.vic.gov.au/kerbside-metal-packaging</w:t>
        </w:r>
      </w:hyperlink>
      <w:r w:rsidR="0061249E" w:rsidRPr="0061249E">
        <w:t>).</w:t>
      </w:r>
    </w:p>
    <w:p w14:paraId="734F8F38" w14:textId="77777777" w:rsidR="00246623" w:rsidRPr="00246623" w:rsidRDefault="00246623" w:rsidP="00246623">
      <w:pPr>
        <w:pStyle w:val="BodyText"/>
      </w:pPr>
      <w:r w:rsidRPr="00246623">
        <w:t>Prioritising recovery of precious metals from electronic waste and batteries is challenging but would support the transition to a low carbon future.</w:t>
      </w:r>
    </w:p>
    <w:p w14:paraId="4E3648B6" w14:textId="77777777" w:rsidR="00246623" w:rsidRPr="00246623" w:rsidRDefault="00246623" w:rsidP="00246623">
      <w:pPr>
        <w:pStyle w:val="BodyText"/>
      </w:pPr>
      <w:r w:rsidRPr="00246623">
        <w:t xml:space="preserve">The Australian Steel Institute has called for an export regulation of unprocessed steel </w:t>
      </w:r>
      <w:proofErr w:type="gramStart"/>
      <w:r w:rsidRPr="00246623">
        <w:t>similar to</w:t>
      </w:r>
      <w:proofErr w:type="gramEnd"/>
      <w:r w:rsidRPr="00246623">
        <w:t xml:space="preserve"> recent waste exports. The impact on local processing capacity is unclear but in 2020–21 about half of recovered metals were exported.</w:t>
      </w:r>
    </w:p>
    <w:p w14:paraId="13904137" w14:textId="19CDA3E1" w:rsidR="00246623" w:rsidRPr="00246623" w:rsidRDefault="00246623" w:rsidP="00246623">
      <w:pPr>
        <w:pStyle w:val="BodyText"/>
      </w:pPr>
      <w:r w:rsidRPr="00246623">
        <w:t>Lithium-ion batteries can be hidden in recovered metals and cause fires.</w:t>
      </w:r>
    </w:p>
    <w:p w14:paraId="20229F51" w14:textId="77777777" w:rsidR="00246623" w:rsidRPr="00246623" w:rsidRDefault="00246623" w:rsidP="00246623">
      <w:pPr>
        <w:pStyle w:val="BodyText"/>
      </w:pPr>
      <w:r w:rsidRPr="00246623">
        <w:t>Metals may be considered 'low priority' relative to other materials because of high recovery rates. However, large volumes of metals are still sent to landfill and increasing recovery can reduce energy and resource intensity.</w:t>
      </w:r>
    </w:p>
    <w:p w14:paraId="6B46B313" w14:textId="77777777" w:rsidR="00246623" w:rsidRPr="00246623" w:rsidRDefault="00246623" w:rsidP="00D931BC">
      <w:pPr>
        <w:pStyle w:val="Heading3"/>
      </w:pPr>
      <w:bookmarkStart w:id="32" w:name="_Toc161758535"/>
      <w:r w:rsidRPr="00246623">
        <w:t>Areas for greater circularity – metals</w:t>
      </w:r>
      <w:bookmarkEnd w:id="32"/>
    </w:p>
    <w:p w14:paraId="1250D924" w14:textId="77777777" w:rsidR="00246623" w:rsidRPr="00246623" w:rsidRDefault="00246623" w:rsidP="00246623">
      <w:pPr>
        <w:pStyle w:val="BodyText"/>
      </w:pPr>
      <w:r w:rsidRPr="00246623">
        <w:t>The greatest areas for improved circularity for this material stream are:</w:t>
      </w:r>
    </w:p>
    <w:p w14:paraId="42A6E982" w14:textId="0114A165" w:rsidR="00246623" w:rsidRPr="00246623" w:rsidRDefault="00246623" w:rsidP="00D931BC">
      <w:pPr>
        <w:pStyle w:val="ListBullet"/>
      </w:pPr>
      <w:r w:rsidRPr="00246623">
        <w:lastRenderedPageBreak/>
        <w:t>Victorian reprocessing options for steel and aluminium packaging could be explored to increase local end-</w:t>
      </w:r>
      <w:proofErr w:type="gramStart"/>
      <w:r w:rsidRPr="00246623">
        <w:t>markets</w:t>
      </w:r>
      <w:proofErr w:type="gramEnd"/>
    </w:p>
    <w:p w14:paraId="1858F93E" w14:textId="0F804B14" w:rsidR="00246623" w:rsidRPr="00246623" w:rsidRDefault="00246623" w:rsidP="00D931BC">
      <w:pPr>
        <w:pStyle w:val="ListBullet"/>
      </w:pPr>
      <w:r w:rsidRPr="00246623">
        <w:t>Victorian manufacturing ventures with metal re-processors (for items such as lithium-ion batteries)</w:t>
      </w:r>
    </w:p>
    <w:p w14:paraId="285E9146" w14:textId="47CCF843" w:rsidR="00246623" w:rsidRPr="00246623" w:rsidRDefault="00246623" w:rsidP="00D931BC">
      <w:pPr>
        <w:pStyle w:val="ListBullet"/>
      </w:pPr>
      <w:r w:rsidRPr="00246623">
        <w:t>recovery of precious and rare earth metals in e-waste</w:t>
      </w:r>
    </w:p>
    <w:p w14:paraId="4EF7E46C" w14:textId="1D5CF7F3" w:rsidR="00246623" w:rsidRDefault="00246623" w:rsidP="00D931BC">
      <w:pPr>
        <w:pStyle w:val="Bullet1last"/>
      </w:pPr>
      <w:r w:rsidRPr="00246623">
        <w:t>processing of residual streams to recover remaining metals.</w:t>
      </w:r>
    </w:p>
    <w:p w14:paraId="58530515" w14:textId="4D3DC6FF" w:rsidR="00962DA1" w:rsidRDefault="00962DA1" w:rsidP="00962DA1">
      <w:pPr>
        <w:pStyle w:val="Caption"/>
        <w:keepNext/>
      </w:pPr>
      <w:r>
        <w:t xml:space="preserve">Table </w:t>
      </w:r>
      <w:r>
        <w:fldChar w:fldCharType="begin"/>
      </w:r>
      <w:r>
        <w:instrText xml:space="preserve"> SEQ Table \* ARABIC </w:instrText>
      </w:r>
      <w:r>
        <w:fldChar w:fldCharType="separate"/>
      </w:r>
      <w:r w:rsidR="00A67B1E">
        <w:rPr>
          <w:noProof/>
        </w:rPr>
        <w:t>6</w:t>
      </w:r>
      <w:r>
        <w:fldChar w:fldCharType="end"/>
      </w:r>
      <w:r>
        <w:t xml:space="preserve">: </w:t>
      </w:r>
      <w:r w:rsidRPr="00C44F03">
        <w:t>Generation and recovery of metals</w:t>
      </w:r>
    </w:p>
    <w:tbl>
      <w:tblPr>
        <w:tblStyle w:val="Style2"/>
        <w:tblW w:w="9921" w:type="dxa"/>
        <w:tblLayout w:type="fixed"/>
        <w:tblLook w:val="0020" w:firstRow="1" w:lastRow="0" w:firstColumn="0" w:lastColumn="0" w:noHBand="0" w:noVBand="0"/>
        <w:tblCaption w:val="Table 6: Generation and recovery of metals"/>
        <w:tblDescription w:val="Generation and Recovery data for different metal materials and sources"/>
      </w:tblPr>
      <w:tblGrid>
        <w:gridCol w:w="1555"/>
        <w:gridCol w:w="2126"/>
        <w:gridCol w:w="2126"/>
        <w:gridCol w:w="2413"/>
        <w:gridCol w:w="1701"/>
      </w:tblGrid>
      <w:tr w:rsidR="00962DA1" w:rsidRPr="00515EE5" w14:paraId="17CB850C"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09A13750" w14:textId="77777777" w:rsidR="00962DA1" w:rsidRPr="00515EE5" w:rsidRDefault="00962DA1" w:rsidP="006D6167">
            <w:pPr>
              <w:pStyle w:val="BodyText"/>
              <w:spacing w:line="276" w:lineRule="auto"/>
            </w:pPr>
            <w:r w:rsidRPr="00515EE5">
              <w:t>Stream</w:t>
            </w:r>
          </w:p>
        </w:tc>
        <w:tc>
          <w:tcPr>
            <w:tcW w:w="2126" w:type="dxa"/>
          </w:tcPr>
          <w:p w14:paraId="08D3AA7E" w14:textId="77777777" w:rsidR="00962DA1" w:rsidRDefault="00962DA1" w:rsidP="006D6167">
            <w:pPr>
              <w:pStyle w:val="BodyText"/>
              <w:spacing w:line="276" w:lineRule="auto"/>
              <w:rPr>
                <w:b w:val="0"/>
              </w:rPr>
            </w:pPr>
            <w:r w:rsidRPr="00515EE5">
              <w:t>Tonnes Generated</w:t>
            </w:r>
          </w:p>
          <w:p w14:paraId="3B40609E" w14:textId="77777777" w:rsidR="00962DA1" w:rsidRPr="00515EE5" w:rsidRDefault="00962DA1" w:rsidP="006D6167">
            <w:pPr>
              <w:pStyle w:val="BodyText"/>
              <w:spacing w:line="276" w:lineRule="auto"/>
              <w:rPr>
                <w:b w:val="0"/>
              </w:rPr>
            </w:pPr>
            <w:r>
              <w:t>(</w:t>
            </w:r>
            <w:r w:rsidRPr="00515EE5">
              <w:t>Tonnes</w:t>
            </w:r>
            <w:r>
              <w:t>)</w:t>
            </w:r>
          </w:p>
        </w:tc>
        <w:tc>
          <w:tcPr>
            <w:tcW w:w="2126" w:type="dxa"/>
          </w:tcPr>
          <w:p w14:paraId="2FC753C2" w14:textId="77777777" w:rsidR="00962DA1" w:rsidRDefault="00962DA1" w:rsidP="006D6167">
            <w:pPr>
              <w:pStyle w:val="BodyText"/>
              <w:spacing w:line="276" w:lineRule="auto"/>
              <w:rPr>
                <w:b w:val="0"/>
              </w:rPr>
            </w:pPr>
            <w:r w:rsidRPr="00515EE5">
              <w:t>Proportion Generated</w:t>
            </w:r>
          </w:p>
          <w:p w14:paraId="0CE50276" w14:textId="72AC307D" w:rsidR="00962DA1" w:rsidRPr="00515EE5" w:rsidRDefault="00962DA1" w:rsidP="006D6167">
            <w:pPr>
              <w:pStyle w:val="BodyText"/>
              <w:spacing w:line="276" w:lineRule="auto"/>
            </w:pPr>
            <w:r>
              <w:t>(%)</w:t>
            </w:r>
          </w:p>
        </w:tc>
        <w:tc>
          <w:tcPr>
            <w:tcW w:w="2413" w:type="dxa"/>
          </w:tcPr>
          <w:p w14:paraId="489C1932"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277F7313" w14:textId="77777777" w:rsidR="00962DA1" w:rsidRPr="00F15770" w:rsidRDefault="00962DA1" w:rsidP="006D6167">
            <w:pPr>
              <w:pStyle w:val="BodyText"/>
              <w:spacing w:line="276" w:lineRule="auto"/>
              <w:rPr>
                <w:b w:val="0"/>
              </w:rPr>
            </w:pPr>
            <w:r>
              <w:t>(</w:t>
            </w:r>
            <w:r w:rsidRPr="00515EE5">
              <w:t>Tonnes</w:t>
            </w:r>
            <w:r>
              <w:t>)</w:t>
            </w:r>
          </w:p>
        </w:tc>
        <w:tc>
          <w:tcPr>
            <w:tcW w:w="1701" w:type="dxa"/>
          </w:tcPr>
          <w:p w14:paraId="5F6E668F" w14:textId="77777777" w:rsidR="00962DA1" w:rsidRDefault="00962DA1" w:rsidP="006D6167">
            <w:pPr>
              <w:pStyle w:val="BodyText"/>
              <w:spacing w:line="276" w:lineRule="auto"/>
              <w:rPr>
                <w:b w:val="0"/>
              </w:rPr>
            </w:pPr>
            <w:r w:rsidRPr="00515EE5">
              <w:t>Recovery Rate</w:t>
            </w:r>
          </w:p>
          <w:p w14:paraId="296160CE" w14:textId="23A77C71" w:rsidR="00962DA1" w:rsidRPr="00515EE5" w:rsidRDefault="00962DA1" w:rsidP="006D6167">
            <w:pPr>
              <w:pStyle w:val="BodyText"/>
              <w:spacing w:line="276" w:lineRule="auto"/>
            </w:pPr>
            <w:r>
              <w:t>(%)</w:t>
            </w:r>
          </w:p>
        </w:tc>
      </w:tr>
      <w:tr w:rsidR="00962DA1" w:rsidRPr="00515EE5" w14:paraId="24B228E1" w14:textId="77777777" w:rsidTr="00C43336">
        <w:trPr>
          <w:trHeight w:val="60"/>
        </w:trPr>
        <w:tc>
          <w:tcPr>
            <w:tcW w:w="1555" w:type="dxa"/>
          </w:tcPr>
          <w:p w14:paraId="75BBD866" w14:textId="77777777" w:rsidR="00962DA1" w:rsidRPr="00515EE5" w:rsidRDefault="00962DA1" w:rsidP="00962DA1">
            <w:pPr>
              <w:pStyle w:val="Tabletext"/>
            </w:pPr>
            <w:r w:rsidRPr="00515EE5">
              <w:t>MSW</w:t>
            </w:r>
          </w:p>
        </w:tc>
        <w:tc>
          <w:tcPr>
            <w:tcW w:w="2126" w:type="dxa"/>
          </w:tcPr>
          <w:p w14:paraId="4269C65A" w14:textId="4A329C2F" w:rsidR="00962DA1" w:rsidRPr="00515EE5" w:rsidRDefault="00962DA1" w:rsidP="00962DA1">
            <w:pPr>
              <w:pStyle w:val="Tabletext"/>
            </w:pPr>
            <w:r w:rsidRPr="00246623">
              <w:t>279,600</w:t>
            </w:r>
          </w:p>
        </w:tc>
        <w:tc>
          <w:tcPr>
            <w:tcW w:w="2126" w:type="dxa"/>
          </w:tcPr>
          <w:p w14:paraId="6EEB49ED" w14:textId="674FBC82" w:rsidR="00962DA1" w:rsidRPr="00515EE5" w:rsidRDefault="00962DA1" w:rsidP="00962DA1">
            <w:pPr>
              <w:pStyle w:val="Tabletext"/>
            </w:pPr>
            <w:r w:rsidRPr="00246623">
              <w:t>18%</w:t>
            </w:r>
          </w:p>
        </w:tc>
        <w:tc>
          <w:tcPr>
            <w:tcW w:w="2413" w:type="dxa"/>
          </w:tcPr>
          <w:p w14:paraId="53800421" w14:textId="02B310C4" w:rsidR="00962DA1" w:rsidRPr="00515EE5" w:rsidRDefault="00962DA1" w:rsidP="00962DA1">
            <w:pPr>
              <w:pStyle w:val="Tabletext"/>
            </w:pPr>
            <w:r w:rsidRPr="00246623">
              <w:t>221,400</w:t>
            </w:r>
          </w:p>
        </w:tc>
        <w:tc>
          <w:tcPr>
            <w:tcW w:w="1701" w:type="dxa"/>
          </w:tcPr>
          <w:p w14:paraId="712B4991" w14:textId="774418BF" w:rsidR="00962DA1" w:rsidRPr="00515EE5" w:rsidRDefault="00962DA1" w:rsidP="00962DA1">
            <w:pPr>
              <w:pStyle w:val="Tabletext"/>
            </w:pPr>
            <w:r w:rsidRPr="00246623">
              <w:t>79%</w:t>
            </w:r>
          </w:p>
        </w:tc>
      </w:tr>
      <w:tr w:rsidR="00962DA1" w:rsidRPr="00515EE5" w14:paraId="7724A5CC" w14:textId="77777777" w:rsidTr="00C43336">
        <w:trPr>
          <w:trHeight w:val="60"/>
        </w:trPr>
        <w:tc>
          <w:tcPr>
            <w:tcW w:w="1555" w:type="dxa"/>
          </w:tcPr>
          <w:p w14:paraId="61D6F41D" w14:textId="77777777" w:rsidR="00962DA1" w:rsidRPr="00515EE5" w:rsidRDefault="00962DA1" w:rsidP="00962DA1">
            <w:pPr>
              <w:pStyle w:val="Tabletext"/>
            </w:pPr>
            <w:r w:rsidRPr="00515EE5">
              <w:t>C&amp;I</w:t>
            </w:r>
          </w:p>
        </w:tc>
        <w:tc>
          <w:tcPr>
            <w:tcW w:w="2126" w:type="dxa"/>
          </w:tcPr>
          <w:p w14:paraId="0E5FD51B" w14:textId="797568BD" w:rsidR="00962DA1" w:rsidRPr="00515EE5" w:rsidRDefault="00962DA1" w:rsidP="00962DA1">
            <w:pPr>
              <w:pStyle w:val="Tabletext"/>
            </w:pPr>
            <w:r w:rsidRPr="00246623">
              <w:t>1,200,100</w:t>
            </w:r>
          </w:p>
        </w:tc>
        <w:tc>
          <w:tcPr>
            <w:tcW w:w="2126" w:type="dxa"/>
          </w:tcPr>
          <w:p w14:paraId="0D7F14C0" w14:textId="3E67810D" w:rsidR="00962DA1" w:rsidRPr="00515EE5" w:rsidRDefault="00962DA1" w:rsidP="00962DA1">
            <w:pPr>
              <w:pStyle w:val="Tabletext"/>
            </w:pPr>
            <w:r w:rsidRPr="00246623">
              <w:t>77%</w:t>
            </w:r>
          </w:p>
        </w:tc>
        <w:tc>
          <w:tcPr>
            <w:tcW w:w="2413" w:type="dxa"/>
          </w:tcPr>
          <w:p w14:paraId="5F4BB61B" w14:textId="4BA79B56" w:rsidR="00962DA1" w:rsidRPr="00515EE5" w:rsidRDefault="00962DA1" w:rsidP="00962DA1">
            <w:pPr>
              <w:pStyle w:val="Tabletext"/>
            </w:pPr>
            <w:r w:rsidRPr="00246623">
              <w:t>1,104,700</w:t>
            </w:r>
          </w:p>
        </w:tc>
        <w:tc>
          <w:tcPr>
            <w:tcW w:w="1701" w:type="dxa"/>
          </w:tcPr>
          <w:p w14:paraId="76961806" w14:textId="0E70F3F3" w:rsidR="00962DA1" w:rsidRPr="00515EE5" w:rsidRDefault="00962DA1" w:rsidP="00962DA1">
            <w:pPr>
              <w:pStyle w:val="Tabletext"/>
            </w:pPr>
            <w:r w:rsidRPr="00246623">
              <w:t>92%</w:t>
            </w:r>
          </w:p>
        </w:tc>
      </w:tr>
      <w:tr w:rsidR="00962DA1" w:rsidRPr="00515EE5" w14:paraId="0FA7467B" w14:textId="77777777" w:rsidTr="00C43336">
        <w:trPr>
          <w:trHeight w:val="60"/>
        </w:trPr>
        <w:tc>
          <w:tcPr>
            <w:tcW w:w="1555" w:type="dxa"/>
          </w:tcPr>
          <w:p w14:paraId="53F97A78" w14:textId="77777777" w:rsidR="00962DA1" w:rsidRPr="00515EE5" w:rsidRDefault="00962DA1" w:rsidP="00962DA1">
            <w:pPr>
              <w:pStyle w:val="Tabletext"/>
            </w:pPr>
            <w:r w:rsidRPr="00515EE5">
              <w:t>C&amp;D</w:t>
            </w:r>
          </w:p>
        </w:tc>
        <w:tc>
          <w:tcPr>
            <w:tcW w:w="2126" w:type="dxa"/>
          </w:tcPr>
          <w:p w14:paraId="24DC3512" w14:textId="506D2EDE" w:rsidR="00962DA1" w:rsidRPr="00515EE5" w:rsidRDefault="00962DA1" w:rsidP="00962DA1">
            <w:pPr>
              <w:pStyle w:val="Tabletext"/>
            </w:pPr>
            <w:r w:rsidRPr="00246623">
              <w:t>76,100</w:t>
            </w:r>
          </w:p>
        </w:tc>
        <w:tc>
          <w:tcPr>
            <w:tcW w:w="2126" w:type="dxa"/>
          </w:tcPr>
          <w:p w14:paraId="2EECC776" w14:textId="65EC921D" w:rsidR="00962DA1" w:rsidRPr="00515EE5" w:rsidRDefault="00962DA1" w:rsidP="00962DA1">
            <w:pPr>
              <w:pStyle w:val="Tabletext"/>
            </w:pPr>
            <w:r w:rsidRPr="00246623">
              <w:t>5%</w:t>
            </w:r>
          </w:p>
        </w:tc>
        <w:tc>
          <w:tcPr>
            <w:tcW w:w="2413" w:type="dxa"/>
          </w:tcPr>
          <w:p w14:paraId="4CACBE20" w14:textId="1F2E886C" w:rsidR="00962DA1" w:rsidRPr="00515EE5" w:rsidRDefault="00962DA1" w:rsidP="00962DA1">
            <w:pPr>
              <w:pStyle w:val="Tabletext"/>
            </w:pPr>
            <w:r w:rsidRPr="00246623">
              <w:t>54,600</w:t>
            </w:r>
          </w:p>
        </w:tc>
        <w:tc>
          <w:tcPr>
            <w:tcW w:w="1701" w:type="dxa"/>
          </w:tcPr>
          <w:p w14:paraId="1A06BDAD" w14:textId="0E3F617B" w:rsidR="00962DA1" w:rsidRPr="00515EE5" w:rsidRDefault="00962DA1" w:rsidP="00962DA1">
            <w:pPr>
              <w:pStyle w:val="Tabletext"/>
            </w:pPr>
            <w:r w:rsidRPr="00246623">
              <w:t>72%</w:t>
            </w:r>
          </w:p>
        </w:tc>
      </w:tr>
      <w:tr w:rsidR="00962DA1" w:rsidRPr="00515EE5" w14:paraId="15C71B7C" w14:textId="77777777" w:rsidTr="00C43336">
        <w:trPr>
          <w:trHeight w:val="60"/>
        </w:trPr>
        <w:tc>
          <w:tcPr>
            <w:tcW w:w="1555" w:type="dxa"/>
            <w:tcBorders>
              <w:bottom w:val="single" w:sz="4" w:space="0" w:color="auto"/>
            </w:tcBorders>
          </w:tcPr>
          <w:p w14:paraId="1F478BBE" w14:textId="77777777" w:rsidR="00962DA1" w:rsidRPr="00F15770" w:rsidRDefault="00962DA1" w:rsidP="00962DA1">
            <w:pPr>
              <w:pStyle w:val="Tabletext"/>
              <w:rPr>
                <w:b/>
                <w:bCs/>
              </w:rPr>
            </w:pPr>
            <w:r w:rsidRPr="00F15770">
              <w:rPr>
                <w:b/>
                <w:bCs/>
              </w:rPr>
              <w:t>Total</w:t>
            </w:r>
          </w:p>
        </w:tc>
        <w:tc>
          <w:tcPr>
            <w:tcW w:w="2126" w:type="dxa"/>
            <w:tcBorders>
              <w:bottom w:val="single" w:sz="4" w:space="0" w:color="auto"/>
            </w:tcBorders>
          </w:tcPr>
          <w:p w14:paraId="16C8AE33" w14:textId="6C9DC746" w:rsidR="00962DA1" w:rsidRPr="00A80EB7" w:rsidRDefault="00962DA1" w:rsidP="00962DA1">
            <w:pPr>
              <w:pStyle w:val="Tabletext"/>
              <w:rPr>
                <w:b/>
                <w:bCs/>
              </w:rPr>
            </w:pPr>
            <w:r w:rsidRPr="00A80EB7">
              <w:rPr>
                <w:b/>
                <w:bCs/>
              </w:rPr>
              <w:t>1,555,800</w:t>
            </w:r>
          </w:p>
        </w:tc>
        <w:tc>
          <w:tcPr>
            <w:tcW w:w="2126" w:type="dxa"/>
            <w:tcBorders>
              <w:bottom w:val="single" w:sz="4" w:space="0" w:color="auto"/>
            </w:tcBorders>
          </w:tcPr>
          <w:p w14:paraId="2BCF9A85" w14:textId="77777777" w:rsidR="00962DA1" w:rsidRPr="00A80EB7" w:rsidRDefault="00962DA1" w:rsidP="00962DA1">
            <w:pPr>
              <w:pStyle w:val="Tabletext"/>
              <w:rPr>
                <w:b/>
                <w:bCs/>
              </w:rPr>
            </w:pPr>
          </w:p>
        </w:tc>
        <w:tc>
          <w:tcPr>
            <w:tcW w:w="2413" w:type="dxa"/>
            <w:tcBorders>
              <w:bottom w:val="single" w:sz="4" w:space="0" w:color="auto"/>
            </w:tcBorders>
          </w:tcPr>
          <w:p w14:paraId="56679870" w14:textId="286FE9FC" w:rsidR="00962DA1" w:rsidRPr="00A80EB7" w:rsidRDefault="00962DA1" w:rsidP="00962DA1">
            <w:pPr>
              <w:pStyle w:val="Tabletext"/>
              <w:rPr>
                <w:b/>
                <w:bCs/>
              </w:rPr>
            </w:pPr>
            <w:r w:rsidRPr="00A80EB7">
              <w:rPr>
                <w:b/>
                <w:bCs/>
              </w:rPr>
              <w:t>1,380,700</w:t>
            </w:r>
          </w:p>
        </w:tc>
        <w:tc>
          <w:tcPr>
            <w:tcW w:w="1701" w:type="dxa"/>
            <w:tcBorders>
              <w:bottom w:val="single" w:sz="4" w:space="0" w:color="auto"/>
            </w:tcBorders>
          </w:tcPr>
          <w:p w14:paraId="5F4FDC66" w14:textId="3314BFA4" w:rsidR="00962DA1" w:rsidRPr="00A80EB7" w:rsidRDefault="00962DA1" w:rsidP="00962DA1">
            <w:pPr>
              <w:pStyle w:val="Tabletext"/>
              <w:rPr>
                <w:b/>
                <w:bCs/>
              </w:rPr>
            </w:pPr>
            <w:r w:rsidRPr="00A80EB7">
              <w:rPr>
                <w:b/>
                <w:bCs/>
              </w:rPr>
              <w:t>89%</w:t>
            </w:r>
          </w:p>
        </w:tc>
      </w:tr>
      <w:tr w:rsidR="00962DA1" w:rsidRPr="00515EE5" w14:paraId="06F7866F" w14:textId="77777777" w:rsidTr="00C43336">
        <w:trPr>
          <w:trHeight w:val="60"/>
        </w:trPr>
        <w:tc>
          <w:tcPr>
            <w:tcW w:w="1555" w:type="dxa"/>
            <w:tcBorders>
              <w:left w:val="nil"/>
              <w:right w:val="nil"/>
            </w:tcBorders>
          </w:tcPr>
          <w:p w14:paraId="12762324" w14:textId="77777777" w:rsidR="00962DA1" w:rsidRPr="00F15770" w:rsidRDefault="00962DA1" w:rsidP="006D6167">
            <w:pPr>
              <w:pStyle w:val="Tabletext"/>
              <w:rPr>
                <w:b/>
                <w:bCs/>
              </w:rPr>
            </w:pPr>
          </w:p>
        </w:tc>
        <w:tc>
          <w:tcPr>
            <w:tcW w:w="2126" w:type="dxa"/>
            <w:tcBorders>
              <w:left w:val="nil"/>
              <w:right w:val="nil"/>
            </w:tcBorders>
          </w:tcPr>
          <w:p w14:paraId="592ECD4E" w14:textId="77777777" w:rsidR="00962DA1" w:rsidRPr="00F15770" w:rsidRDefault="00962DA1" w:rsidP="006D6167">
            <w:pPr>
              <w:pStyle w:val="Tabletext"/>
              <w:rPr>
                <w:b/>
                <w:bCs/>
              </w:rPr>
            </w:pPr>
          </w:p>
        </w:tc>
        <w:tc>
          <w:tcPr>
            <w:tcW w:w="2126" w:type="dxa"/>
            <w:tcBorders>
              <w:left w:val="nil"/>
              <w:right w:val="nil"/>
            </w:tcBorders>
          </w:tcPr>
          <w:p w14:paraId="73871022" w14:textId="77777777" w:rsidR="00962DA1" w:rsidRPr="00F15770" w:rsidRDefault="00962DA1" w:rsidP="006D6167">
            <w:pPr>
              <w:pStyle w:val="Tabletext"/>
              <w:rPr>
                <w:b/>
                <w:bCs/>
              </w:rPr>
            </w:pPr>
          </w:p>
        </w:tc>
        <w:tc>
          <w:tcPr>
            <w:tcW w:w="2413" w:type="dxa"/>
            <w:tcBorders>
              <w:left w:val="nil"/>
              <w:right w:val="nil"/>
            </w:tcBorders>
          </w:tcPr>
          <w:p w14:paraId="1F82F0A6" w14:textId="77777777" w:rsidR="00962DA1" w:rsidRPr="00F15770" w:rsidRDefault="00962DA1" w:rsidP="006D6167">
            <w:pPr>
              <w:pStyle w:val="Tabletext"/>
              <w:rPr>
                <w:b/>
                <w:bCs/>
              </w:rPr>
            </w:pPr>
          </w:p>
        </w:tc>
        <w:tc>
          <w:tcPr>
            <w:tcW w:w="1701" w:type="dxa"/>
            <w:tcBorders>
              <w:left w:val="nil"/>
              <w:right w:val="nil"/>
            </w:tcBorders>
          </w:tcPr>
          <w:p w14:paraId="7D56D35D" w14:textId="77777777" w:rsidR="00962DA1" w:rsidRPr="00F15770" w:rsidRDefault="00962DA1" w:rsidP="006D6167">
            <w:pPr>
              <w:pStyle w:val="Tabletext"/>
              <w:rPr>
                <w:b/>
                <w:bCs/>
              </w:rPr>
            </w:pPr>
          </w:p>
        </w:tc>
      </w:tr>
      <w:tr w:rsidR="00962DA1" w:rsidRPr="00515EE5" w14:paraId="164AB46A" w14:textId="77777777" w:rsidTr="00C43336">
        <w:trPr>
          <w:trHeight w:val="60"/>
        </w:trPr>
        <w:tc>
          <w:tcPr>
            <w:tcW w:w="1555" w:type="dxa"/>
            <w:shd w:val="clear" w:color="auto" w:fill="F2F2F2" w:themeFill="background1" w:themeFillShade="F2"/>
          </w:tcPr>
          <w:p w14:paraId="60ECF629" w14:textId="77777777" w:rsidR="00962DA1" w:rsidRPr="006B4C87" w:rsidRDefault="00962DA1" w:rsidP="006D6167">
            <w:pPr>
              <w:pStyle w:val="Tabletext"/>
              <w:rPr>
                <w:b/>
                <w:bCs/>
              </w:rPr>
            </w:pPr>
            <w:r w:rsidRPr="006B4C87">
              <w:rPr>
                <w:b/>
                <w:bCs/>
              </w:rPr>
              <w:t>Material</w:t>
            </w:r>
          </w:p>
        </w:tc>
        <w:tc>
          <w:tcPr>
            <w:tcW w:w="2126" w:type="dxa"/>
            <w:shd w:val="clear" w:color="auto" w:fill="F2F2F2" w:themeFill="background1" w:themeFillShade="F2"/>
          </w:tcPr>
          <w:p w14:paraId="7DAC78AE" w14:textId="77777777" w:rsidR="00962DA1" w:rsidRPr="006B4C87" w:rsidRDefault="00962DA1" w:rsidP="006D6167">
            <w:pPr>
              <w:pStyle w:val="BodyText"/>
              <w:spacing w:line="276" w:lineRule="auto"/>
              <w:rPr>
                <w:b/>
                <w:bCs/>
              </w:rPr>
            </w:pPr>
            <w:r w:rsidRPr="006B4C87">
              <w:rPr>
                <w:b/>
                <w:bCs/>
              </w:rPr>
              <w:t>Tonnes Generated</w:t>
            </w:r>
          </w:p>
          <w:p w14:paraId="5C9E99BB" w14:textId="77777777" w:rsidR="00962DA1" w:rsidRPr="006B4C87" w:rsidRDefault="00962DA1" w:rsidP="006D6167">
            <w:pPr>
              <w:pStyle w:val="Tabletext"/>
              <w:rPr>
                <w:b/>
                <w:bCs/>
              </w:rPr>
            </w:pPr>
            <w:r w:rsidRPr="006B4C87">
              <w:rPr>
                <w:b/>
                <w:bCs/>
              </w:rPr>
              <w:t>(Tonnes)</w:t>
            </w:r>
          </w:p>
        </w:tc>
        <w:tc>
          <w:tcPr>
            <w:tcW w:w="2126" w:type="dxa"/>
            <w:shd w:val="clear" w:color="auto" w:fill="F2F2F2" w:themeFill="background1" w:themeFillShade="F2"/>
          </w:tcPr>
          <w:p w14:paraId="4B7C71C6" w14:textId="77777777" w:rsidR="00962DA1" w:rsidRPr="006B4C87" w:rsidRDefault="00962DA1" w:rsidP="006D6167">
            <w:pPr>
              <w:pStyle w:val="BodyText"/>
              <w:spacing w:line="276" w:lineRule="auto"/>
              <w:rPr>
                <w:b/>
                <w:bCs/>
              </w:rPr>
            </w:pPr>
            <w:r w:rsidRPr="006B4C87">
              <w:rPr>
                <w:b/>
                <w:bCs/>
              </w:rPr>
              <w:t>Proportion Generated</w:t>
            </w:r>
          </w:p>
          <w:p w14:paraId="0025A6C7" w14:textId="0B4CEFF7" w:rsidR="00962DA1" w:rsidRPr="006B4C87" w:rsidRDefault="00962DA1" w:rsidP="006D6167">
            <w:pPr>
              <w:pStyle w:val="Tabletext"/>
              <w:rPr>
                <w:b/>
                <w:bCs/>
              </w:rPr>
            </w:pPr>
            <w:r w:rsidRPr="006B4C87">
              <w:rPr>
                <w:b/>
                <w:bCs/>
              </w:rPr>
              <w:t>(</w:t>
            </w:r>
            <w:r>
              <w:rPr>
                <w:b/>
                <w:bCs/>
              </w:rPr>
              <w:t>%</w:t>
            </w:r>
            <w:r w:rsidRPr="006B4C87">
              <w:rPr>
                <w:b/>
                <w:bCs/>
              </w:rPr>
              <w:t>)</w:t>
            </w:r>
          </w:p>
        </w:tc>
        <w:tc>
          <w:tcPr>
            <w:tcW w:w="2413" w:type="dxa"/>
            <w:shd w:val="clear" w:color="auto" w:fill="F2F2F2" w:themeFill="background1" w:themeFillShade="F2"/>
          </w:tcPr>
          <w:p w14:paraId="3F7BDEB5"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0E1BAB5D" w14:textId="77777777" w:rsidR="00962DA1" w:rsidRPr="006B4C87" w:rsidRDefault="00962DA1" w:rsidP="006D6167">
            <w:pPr>
              <w:pStyle w:val="Tabletext"/>
              <w:rPr>
                <w:b/>
                <w:bCs/>
              </w:rPr>
            </w:pPr>
            <w:r w:rsidRPr="006B4C87">
              <w:rPr>
                <w:b/>
                <w:bCs/>
              </w:rPr>
              <w:t>(Tonnes)</w:t>
            </w:r>
          </w:p>
        </w:tc>
        <w:tc>
          <w:tcPr>
            <w:tcW w:w="1701" w:type="dxa"/>
            <w:shd w:val="clear" w:color="auto" w:fill="F2F2F2" w:themeFill="background1" w:themeFillShade="F2"/>
          </w:tcPr>
          <w:p w14:paraId="5689B5F9" w14:textId="77777777" w:rsidR="00962DA1" w:rsidRPr="006B4C87" w:rsidRDefault="00962DA1" w:rsidP="006D6167">
            <w:pPr>
              <w:pStyle w:val="BodyText"/>
              <w:spacing w:line="276" w:lineRule="auto"/>
              <w:rPr>
                <w:b/>
                <w:bCs/>
              </w:rPr>
            </w:pPr>
            <w:r w:rsidRPr="006B4C87">
              <w:rPr>
                <w:b/>
                <w:bCs/>
              </w:rPr>
              <w:t>Recovery Rate</w:t>
            </w:r>
          </w:p>
          <w:p w14:paraId="7C16EB38" w14:textId="0433E043" w:rsidR="00962DA1" w:rsidRPr="006B4C87" w:rsidRDefault="00962DA1" w:rsidP="006D6167">
            <w:pPr>
              <w:pStyle w:val="Tabletext"/>
              <w:rPr>
                <w:b/>
                <w:bCs/>
              </w:rPr>
            </w:pPr>
            <w:r w:rsidRPr="006B4C87">
              <w:rPr>
                <w:b/>
                <w:bCs/>
              </w:rPr>
              <w:t>(</w:t>
            </w:r>
            <w:r>
              <w:rPr>
                <w:b/>
                <w:bCs/>
              </w:rPr>
              <w:t>%</w:t>
            </w:r>
            <w:r w:rsidRPr="006B4C87">
              <w:rPr>
                <w:b/>
                <w:bCs/>
              </w:rPr>
              <w:t>)</w:t>
            </w:r>
          </w:p>
        </w:tc>
      </w:tr>
      <w:tr w:rsidR="00A80EB7" w:rsidRPr="00515EE5" w14:paraId="69C4849F" w14:textId="77777777" w:rsidTr="00C43336">
        <w:trPr>
          <w:trHeight w:val="60"/>
        </w:trPr>
        <w:tc>
          <w:tcPr>
            <w:tcW w:w="1555" w:type="dxa"/>
          </w:tcPr>
          <w:p w14:paraId="4AF7FDBB" w14:textId="26C88E94" w:rsidR="00A80EB7" w:rsidRPr="00F15770" w:rsidRDefault="00A80EB7" w:rsidP="00A80EB7">
            <w:pPr>
              <w:pStyle w:val="Tabletext"/>
              <w:rPr>
                <w:b/>
                <w:bCs/>
              </w:rPr>
            </w:pPr>
            <w:r w:rsidRPr="00246623">
              <w:t>Aluminium</w:t>
            </w:r>
          </w:p>
        </w:tc>
        <w:tc>
          <w:tcPr>
            <w:tcW w:w="2126" w:type="dxa"/>
          </w:tcPr>
          <w:p w14:paraId="26CDC3C1" w14:textId="77129D87" w:rsidR="00A80EB7" w:rsidRPr="00F15770" w:rsidRDefault="00A80EB7" w:rsidP="00A80EB7">
            <w:pPr>
              <w:pStyle w:val="Tabletext"/>
              <w:rPr>
                <w:b/>
                <w:bCs/>
              </w:rPr>
            </w:pPr>
            <w:r w:rsidRPr="00246623">
              <w:t>191,500</w:t>
            </w:r>
          </w:p>
        </w:tc>
        <w:tc>
          <w:tcPr>
            <w:tcW w:w="2126" w:type="dxa"/>
          </w:tcPr>
          <w:p w14:paraId="3EDB8E44" w14:textId="2032351D" w:rsidR="00A80EB7" w:rsidRPr="00F15770" w:rsidRDefault="00A80EB7" w:rsidP="00A80EB7">
            <w:pPr>
              <w:pStyle w:val="Tabletext"/>
              <w:rPr>
                <w:b/>
                <w:bCs/>
              </w:rPr>
            </w:pPr>
            <w:r w:rsidRPr="00246623">
              <w:t>12%</w:t>
            </w:r>
          </w:p>
        </w:tc>
        <w:tc>
          <w:tcPr>
            <w:tcW w:w="2413" w:type="dxa"/>
          </w:tcPr>
          <w:p w14:paraId="07EDA7AA" w14:textId="412C50C2" w:rsidR="00A80EB7" w:rsidRPr="00F15770" w:rsidRDefault="00A80EB7" w:rsidP="00A80EB7">
            <w:pPr>
              <w:pStyle w:val="Tabletext"/>
              <w:rPr>
                <w:b/>
                <w:bCs/>
              </w:rPr>
            </w:pPr>
            <w:r w:rsidRPr="00246623">
              <w:t>143,300</w:t>
            </w:r>
          </w:p>
        </w:tc>
        <w:tc>
          <w:tcPr>
            <w:tcW w:w="1701" w:type="dxa"/>
          </w:tcPr>
          <w:p w14:paraId="4345D9E2" w14:textId="5C22F74B" w:rsidR="00A80EB7" w:rsidRPr="00F15770" w:rsidRDefault="00A80EB7" w:rsidP="00A80EB7">
            <w:pPr>
              <w:pStyle w:val="Tabletext"/>
              <w:rPr>
                <w:b/>
                <w:bCs/>
              </w:rPr>
            </w:pPr>
            <w:r w:rsidRPr="00246623">
              <w:t>75%</w:t>
            </w:r>
          </w:p>
        </w:tc>
      </w:tr>
      <w:tr w:rsidR="00A80EB7" w:rsidRPr="00515EE5" w14:paraId="19BE4AA3" w14:textId="77777777" w:rsidTr="00C43336">
        <w:trPr>
          <w:trHeight w:val="60"/>
        </w:trPr>
        <w:tc>
          <w:tcPr>
            <w:tcW w:w="1555" w:type="dxa"/>
          </w:tcPr>
          <w:p w14:paraId="3320B994" w14:textId="4475E9C3" w:rsidR="00A80EB7" w:rsidRPr="00F15770" w:rsidRDefault="00A80EB7" w:rsidP="00A80EB7">
            <w:pPr>
              <w:pStyle w:val="Tabletext"/>
              <w:rPr>
                <w:b/>
                <w:bCs/>
              </w:rPr>
            </w:pPr>
            <w:r w:rsidRPr="00246623">
              <w:t>Ferrous</w:t>
            </w:r>
          </w:p>
        </w:tc>
        <w:tc>
          <w:tcPr>
            <w:tcW w:w="2126" w:type="dxa"/>
          </w:tcPr>
          <w:p w14:paraId="097C393D" w14:textId="7A95BECB" w:rsidR="00A80EB7" w:rsidRPr="00F15770" w:rsidRDefault="00A80EB7" w:rsidP="00A80EB7">
            <w:pPr>
              <w:pStyle w:val="Tabletext"/>
              <w:rPr>
                <w:b/>
                <w:bCs/>
              </w:rPr>
            </w:pPr>
            <w:r w:rsidRPr="00246623">
              <w:t>1,284,600</w:t>
            </w:r>
          </w:p>
        </w:tc>
        <w:tc>
          <w:tcPr>
            <w:tcW w:w="2126" w:type="dxa"/>
          </w:tcPr>
          <w:p w14:paraId="7DAC7DCC" w14:textId="5DC57398" w:rsidR="00A80EB7" w:rsidRPr="00F15770" w:rsidRDefault="00A80EB7" w:rsidP="00A80EB7">
            <w:pPr>
              <w:pStyle w:val="Tabletext"/>
              <w:rPr>
                <w:b/>
                <w:bCs/>
              </w:rPr>
            </w:pPr>
            <w:r w:rsidRPr="00246623">
              <w:t>83%</w:t>
            </w:r>
          </w:p>
        </w:tc>
        <w:tc>
          <w:tcPr>
            <w:tcW w:w="2413" w:type="dxa"/>
          </w:tcPr>
          <w:p w14:paraId="5D62F47E" w14:textId="7AF0862D" w:rsidR="00A80EB7" w:rsidRPr="00F15770" w:rsidRDefault="00A80EB7" w:rsidP="00A80EB7">
            <w:pPr>
              <w:pStyle w:val="Tabletext"/>
              <w:rPr>
                <w:b/>
                <w:bCs/>
              </w:rPr>
            </w:pPr>
            <w:r w:rsidRPr="00246623">
              <w:t>1,157,700</w:t>
            </w:r>
          </w:p>
        </w:tc>
        <w:tc>
          <w:tcPr>
            <w:tcW w:w="1701" w:type="dxa"/>
          </w:tcPr>
          <w:p w14:paraId="384A6981" w14:textId="78586521" w:rsidR="00A80EB7" w:rsidRPr="00F15770" w:rsidRDefault="00A80EB7" w:rsidP="00A80EB7">
            <w:pPr>
              <w:pStyle w:val="Tabletext"/>
              <w:rPr>
                <w:b/>
                <w:bCs/>
              </w:rPr>
            </w:pPr>
            <w:r w:rsidRPr="00246623">
              <w:t>90%</w:t>
            </w:r>
          </w:p>
        </w:tc>
      </w:tr>
      <w:tr w:rsidR="00A80EB7" w:rsidRPr="00515EE5" w14:paraId="1320A223" w14:textId="77777777" w:rsidTr="00C43336">
        <w:trPr>
          <w:trHeight w:val="60"/>
        </w:trPr>
        <w:tc>
          <w:tcPr>
            <w:tcW w:w="1555" w:type="dxa"/>
          </w:tcPr>
          <w:p w14:paraId="344221B6" w14:textId="722C9BB2" w:rsidR="00A80EB7" w:rsidRPr="00F15770" w:rsidRDefault="00A80EB7" w:rsidP="00A80EB7">
            <w:pPr>
              <w:pStyle w:val="Tabletext"/>
              <w:rPr>
                <w:b/>
                <w:bCs/>
              </w:rPr>
            </w:pPr>
            <w:r w:rsidRPr="00246623">
              <w:t>Other metal</w:t>
            </w:r>
          </w:p>
        </w:tc>
        <w:tc>
          <w:tcPr>
            <w:tcW w:w="2126" w:type="dxa"/>
          </w:tcPr>
          <w:p w14:paraId="68141C6E" w14:textId="345DED7B" w:rsidR="00A80EB7" w:rsidRPr="00F15770" w:rsidRDefault="00A80EB7" w:rsidP="00A80EB7">
            <w:pPr>
              <w:pStyle w:val="Tabletext"/>
              <w:rPr>
                <w:b/>
                <w:bCs/>
              </w:rPr>
            </w:pPr>
            <w:r w:rsidRPr="00246623">
              <w:t>79,700</w:t>
            </w:r>
          </w:p>
        </w:tc>
        <w:tc>
          <w:tcPr>
            <w:tcW w:w="2126" w:type="dxa"/>
          </w:tcPr>
          <w:p w14:paraId="66939594" w14:textId="126C5E3B" w:rsidR="00A80EB7" w:rsidRPr="00F15770" w:rsidRDefault="00A80EB7" w:rsidP="00A80EB7">
            <w:pPr>
              <w:pStyle w:val="Tabletext"/>
              <w:rPr>
                <w:b/>
                <w:bCs/>
              </w:rPr>
            </w:pPr>
            <w:r w:rsidRPr="00246623">
              <w:t>5%</w:t>
            </w:r>
          </w:p>
        </w:tc>
        <w:tc>
          <w:tcPr>
            <w:tcW w:w="2413" w:type="dxa"/>
          </w:tcPr>
          <w:p w14:paraId="46DE4501" w14:textId="6267A90A" w:rsidR="00A80EB7" w:rsidRPr="00F15770" w:rsidRDefault="00A80EB7" w:rsidP="00A80EB7">
            <w:pPr>
              <w:pStyle w:val="Tabletext"/>
              <w:rPr>
                <w:b/>
                <w:bCs/>
              </w:rPr>
            </w:pPr>
            <w:r w:rsidRPr="00246623">
              <w:t>79,700</w:t>
            </w:r>
          </w:p>
        </w:tc>
        <w:tc>
          <w:tcPr>
            <w:tcW w:w="1701" w:type="dxa"/>
          </w:tcPr>
          <w:p w14:paraId="580A02F7" w14:textId="3DCCD9E5" w:rsidR="00A80EB7" w:rsidRPr="00F15770" w:rsidRDefault="00A80EB7" w:rsidP="00A80EB7">
            <w:pPr>
              <w:pStyle w:val="Tabletext"/>
              <w:rPr>
                <w:b/>
                <w:bCs/>
              </w:rPr>
            </w:pPr>
            <w:r w:rsidRPr="00246623">
              <w:t>100%</w:t>
            </w:r>
          </w:p>
        </w:tc>
      </w:tr>
    </w:tbl>
    <w:p w14:paraId="715E7090" w14:textId="4F1136CD" w:rsidR="0061249E" w:rsidRPr="00246623" w:rsidRDefault="0061249E" w:rsidP="00A80EB7">
      <w:pPr>
        <w:pStyle w:val="BodyText"/>
        <w:spacing w:before="360"/>
        <w:rPr>
          <w:b/>
          <w:bCs/>
        </w:rPr>
      </w:pPr>
      <w:r>
        <w:t>(</w:t>
      </w:r>
      <w:r w:rsidRPr="007E2A3D">
        <w:t>Recycling Victoria (2023) Waste projection model available at</w:t>
      </w:r>
      <w:r>
        <w:t xml:space="preserve"> </w:t>
      </w:r>
      <w:hyperlink r:id="rId32" w:history="1">
        <w:r w:rsidRPr="00396CE9">
          <w:rPr>
            <w:rStyle w:val="Hyperlink"/>
          </w:rPr>
          <w:t>https://www.vic.gov.au/</w:t>
        </w:r>
        <w:r w:rsidRPr="00396CE9">
          <w:rPr>
            <w:rStyle w:val="Hyperlink"/>
          </w:rPr>
          <w:br/>
        </w:r>
        <w:proofErr w:type="spellStart"/>
        <w:r w:rsidRPr="00396CE9">
          <w:rPr>
            <w:rStyle w:val="Hyperlink"/>
          </w:rPr>
          <w:t>victorias</w:t>
        </w:r>
        <w:proofErr w:type="spellEnd"/>
        <w:r w:rsidRPr="00396CE9">
          <w:rPr>
            <w:rStyle w:val="Hyperlink"/>
          </w:rPr>
          <w:t>-waste-projection-model-dashboard</w:t>
        </w:r>
      </w:hyperlink>
      <w:r w:rsidRPr="007E2A3D">
        <w:t xml:space="preserve"> The data in the table is</w:t>
      </w:r>
      <w:r>
        <w:t xml:space="preserve"> </w:t>
      </w:r>
      <w:r w:rsidRPr="007E2A3D">
        <w:t>based on actual data from 2020–21</w:t>
      </w:r>
      <w:r>
        <w:t>)</w:t>
      </w:r>
    </w:p>
    <w:p w14:paraId="728FCDEE" w14:textId="77777777" w:rsidR="00473A1E" w:rsidRPr="00473A1E" w:rsidRDefault="00473A1E" w:rsidP="00D931BC">
      <w:pPr>
        <w:pStyle w:val="Heading2"/>
      </w:pPr>
      <w:bookmarkStart w:id="33" w:name="_Toc161758536"/>
      <w:r w:rsidRPr="00473A1E">
        <w:lastRenderedPageBreak/>
        <w:t>Organics</w:t>
      </w:r>
      <w:bookmarkEnd w:id="33"/>
    </w:p>
    <w:p w14:paraId="19D61768" w14:textId="12A0D9BB" w:rsidR="00473A1E" w:rsidRPr="00473A1E" w:rsidRDefault="00473A1E" w:rsidP="00473A1E">
      <w:pPr>
        <w:pStyle w:val="BodyText"/>
      </w:pPr>
      <w:r w:rsidRPr="00473A1E">
        <w:t>The organics sector continues to develop in Victoria to address both municipal Food Organics and Garden Organics (FOGO) and commercial/industrial food recycling streams.</w:t>
      </w:r>
    </w:p>
    <w:p w14:paraId="454CB3B1" w14:textId="77777777" w:rsidR="00473A1E" w:rsidRPr="00473A1E" w:rsidRDefault="00473A1E" w:rsidP="00473A1E">
      <w:pPr>
        <w:pStyle w:val="BodyText"/>
      </w:pPr>
      <w:r w:rsidRPr="00473A1E">
        <w:t>Overall recovery in Victoria is low (48%) compared to other Australian jurisdictions. This is largely due to low recovery of food waste (12%) and wood/timber (39%). Recovery of garden organics (77%) and other organics (74%) is significantly higher, but still relatively low compared to high performing jurisdictions. Increasing the market and circularity of organics remain major opportunities. Organics recovery and reuse has significant climate change benefits for the state.</w:t>
      </w:r>
    </w:p>
    <w:p w14:paraId="2A966F02" w14:textId="77777777" w:rsidR="00473A1E" w:rsidRPr="00473A1E" w:rsidRDefault="00473A1E" w:rsidP="00D931BC">
      <w:pPr>
        <w:pStyle w:val="Heading3"/>
      </w:pPr>
      <w:bookmarkStart w:id="34" w:name="_Toc161758537"/>
      <w:r w:rsidRPr="00473A1E">
        <w:t>Developments and changes</w:t>
      </w:r>
      <w:bookmarkEnd w:id="34"/>
    </w:p>
    <w:p w14:paraId="682D742B" w14:textId="77777777" w:rsidR="00473A1E" w:rsidRPr="00473A1E" w:rsidRDefault="00473A1E" w:rsidP="00473A1E">
      <w:pPr>
        <w:pStyle w:val="BodyText"/>
      </w:pPr>
      <w:r w:rsidRPr="00473A1E">
        <w:t>Increases in population and services have meant a steady rise in organics recovery since 2010.</w:t>
      </w:r>
    </w:p>
    <w:p w14:paraId="32CE8AA9" w14:textId="77777777" w:rsidR="00473A1E" w:rsidRPr="00473A1E" w:rsidRDefault="00473A1E" w:rsidP="00473A1E">
      <w:pPr>
        <w:pStyle w:val="BodyText"/>
      </w:pPr>
      <w:r w:rsidRPr="00473A1E">
        <w:t>Recovered FOGO volumes are expected to increase as local government areas introduce FOGO services with industry support through Victorian Government grants. There are a few new facilities being developed that have received government support and funding.</w:t>
      </w:r>
    </w:p>
    <w:p w14:paraId="38AA4498" w14:textId="77777777" w:rsidR="00473A1E" w:rsidRPr="00473A1E" w:rsidRDefault="00473A1E" w:rsidP="00473A1E">
      <w:pPr>
        <w:pStyle w:val="BodyText"/>
      </w:pPr>
      <w:r w:rsidRPr="00473A1E">
        <w:t>Market drivers include government strategy/policy, emissions reduction benefits, soil health benefits and increased public interest.</w:t>
      </w:r>
    </w:p>
    <w:p w14:paraId="771654D4" w14:textId="77777777" w:rsidR="00473A1E" w:rsidRPr="00473A1E" w:rsidRDefault="00473A1E" w:rsidP="00D931BC">
      <w:pPr>
        <w:pStyle w:val="Heading3"/>
      </w:pPr>
      <w:bookmarkStart w:id="35" w:name="_Toc161758538"/>
      <w:r w:rsidRPr="00473A1E">
        <w:t>Market performance</w:t>
      </w:r>
      <w:bookmarkEnd w:id="35"/>
    </w:p>
    <w:p w14:paraId="2EC15283" w14:textId="3FCD941B" w:rsidR="00473A1E" w:rsidRPr="00473A1E" w:rsidRDefault="00473A1E" w:rsidP="00473A1E">
      <w:pPr>
        <w:pStyle w:val="BodyText"/>
      </w:pPr>
      <w:r w:rsidRPr="00473A1E">
        <w:t>The sector continues to develop and is becoming more mature with a growing number and diversity of urban and regional processors. There are 80 organics pre-processors and 8 anaerobic digestion (AD) facilities in Victoria.</w:t>
      </w:r>
    </w:p>
    <w:p w14:paraId="49872B0E" w14:textId="77777777" w:rsidR="00473A1E" w:rsidRPr="00473A1E" w:rsidRDefault="00473A1E" w:rsidP="00473A1E">
      <w:pPr>
        <w:pStyle w:val="BodyText"/>
      </w:pPr>
      <w:r w:rsidRPr="00473A1E">
        <w:t>Current end markets include agriculture/horticulture, land rehabilitation, retail products, landscaping, biofilter material, energy generation.</w:t>
      </w:r>
    </w:p>
    <w:p w14:paraId="618B8C27" w14:textId="4CB799FD" w:rsidR="00473A1E" w:rsidRPr="00473A1E" w:rsidRDefault="00473A1E" w:rsidP="00473A1E">
      <w:pPr>
        <w:pStyle w:val="BodyText"/>
      </w:pPr>
      <w:r w:rsidRPr="00473A1E">
        <w:t>Local reprocessing (99% of materials) produces pasteurised products (soil conditioners, soil blends, mulches), composted products (compost, soil blends, soil conditioners), ‘raw’ mulches, potting mixes, ‘overs’ (by-product from the screening process) and biochar.</w:t>
      </w:r>
    </w:p>
    <w:p w14:paraId="418CACBA" w14:textId="77777777" w:rsidR="00473A1E" w:rsidRPr="00473A1E" w:rsidRDefault="00473A1E" w:rsidP="00473A1E">
      <w:pPr>
        <w:pStyle w:val="BodyText"/>
      </w:pPr>
      <w:r w:rsidRPr="00473A1E">
        <w:t>Formal (Australian Organics Recycling Association) and informal networks (business to business) are mature.</w:t>
      </w:r>
    </w:p>
    <w:p w14:paraId="2C4B1D9E" w14:textId="21D001CE" w:rsidR="00473A1E" w:rsidRPr="00473A1E" w:rsidRDefault="00473A1E" w:rsidP="00473A1E">
      <w:pPr>
        <w:pStyle w:val="BodyText"/>
      </w:pPr>
      <w:r w:rsidRPr="00473A1E">
        <w:lastRenderedPageBreak/>
        <w:t>Additional processing capacity and end market demand will be needed to achieve greater than 70% diversion in the future. Producing end products suitable for broad end market use will increase overall demand and improve circularity.</w:t>
      </w:r>
    </w:p>
    <w:p w14:paraId="58BC04C6" w14:textId="77777777" w:rsidR="00473A1E" w:rsidRPr="00473A1E" w:rsidRDefault="00473A1E" w:rsidP="00D931BC">
      <w:pPr>
        <w:pStyle w:val="Heading3"/>
      </w:pPr>
      <w:bookmarkStart w:id="36" w:name="_Toc161758539"/>
      <w:r w:rsidRPr="00473A1E">
        <w:t>Market issues and challenges</w:t>
      </w:r>
      <w:bookmarkEnd w:id="36"/>
    </w:p>
    <w:p w14:paraId="400FF99F" w14:textId="287F85AA" w:rsidR="00473A1E" w:rsidRPr="00473A1E" w:rsidRDefault="00473A1E" w:rsidP="00473A1E">
      <w:pPr>
        <w:pStyle w:val="BodyText"/>
      </w:pPr>
      <w:r w:rsidRPr="00473A1E">
        <w:t>There is limited source separation and recovery from both the MSW and C&amp;I sectors development of processing infrastructure and more diverse end markets. Reducing contamination in incoming materials will also improve recovery.</w:t>
      </w:r>
    </w:p>
    <w:p w14:paraId="3FE80C7F" w14:textId="3A9B5202" w:rsidR="00473A1E" w:rsidRPr="00473A1E" w:rsidRDefault="00473A1E" w:rsidP="00473A1E">
      <w:pPr>
        <w:pStyle w:val="BodyText"/>
      </w:pPr>
      <w:r w:rsidRPr="00473A1E">
        <w:t>Continued efforts to reduce the generation of food waste (on farm, food manufacturing, retailers, and households) is important.</w:t>
      </w:r>
    </w:p>
    <w:p w14:paraId="443445C5" w14:textId="77777777" w:rsidR="00473A1E" w:rsidRPr="00473A1E" w:rsidRDefault="00473A1E" w:rsidP="00D931BC">
      <w:pPr>
        <w:pStyle w:val="Heading3"/>
      </w:pPr>
      <w:bookmarkStart w:id="37" w:name="_Toc161758540"/>
      <w:r w:rsidRPr="00473A1E">
        <w:t>Areas for greater circularity – organics</w:t>
      </w:r>
      <w:bookmarkEnd w:id="37"/>
    </w:p>
    <w:p w14:paraId="2465640B" w14:textId="3F378F05" w:rsidR="00473A1E" w:rsidRPr="00473A1E" w:rsidRDefault="00473A1E" w:rsidP="00473A1E">
      <w:pPr>
        <w:pStyle w:val="BodyText"/>
      </w:pPr>
      <w:r w:rsidRPr="00473A1E">
        <w:t>The greatest areas for improved circularity for this material stream are:</w:t>
      </w:r>
    </w:p>
    <w:p w14:paraId="60BBCCCA" w14:textId="77777777" w:rsidR="00473A1E" w:rsidRPr="00473A1E" w:rsidRDefault="00473A1E" w:rsidP="00D931BC">
      <w:pPr>
        <w:pStyle w:val="ListBullet"/>
      </w:pPr>
      <w:r w:rsidRPr="00473A1E">
        <w:t>end market specifications enabling quality compost for Victorian agriculture/</w:t>
      </w:r>
      <w:proofErr w:type="gramStart"/>
      <w:r w:rsidRPr="00473A1E">
        <w:t>soils</w:t>
      </w:r>
      <w:proofErr w:type="gramEnd"/>
    </w:p>
    <w:p w14:paraId="1FAC5693" w14:textId="77777777" w:rsidR="00473A1E" w:rsidRPr="00473A1E" w:rsidRDefault="00473A1E" w:rsidP="00D931BC">
      <w:pPr>
        <w:pStyle w:val="ListBullet"/>
      </w:pPr>
      <w:r w:rsidRPr="00473A1E">
        <w:t xml:space="preserve">product terminology, product specifications, market research and networks (including field trials) with potential end </w:t>
      </w:r>
      <w:proofErr w:type="gramStart"/>
      <w:r w:rsidRPr="00473A1E">
        <w:t>users</w:t>
      </w:r>
      <w:proofErr w:type="gramEnd"/>
    </w:p>
    <w:p w14:paraId="3181FC2D" w14:textId="77777777" w:rsidR="00473A1E" w:rsidRPr="00473A1E" w:rsidRDefault="00473A1E" w:rsidP="00D931BC">
      <w:pPr>
        <w:pStyle w:val="ListBullet"/>
      </w:pPr>
      <w:r w:rsidRPr="00473A1E">
        <w:t>alignment between feedstock processing capacity/location and end market demand/growth</w:t>
      </w:r>
    </w:p>
    <w:p w14:paraId="62B41BB8" w14:textId="77777777" w:rsidR="00473A1E" w:rsidRPr="00473A1E" w:rsidRDefault="00473A1E" w:rsidP="00D931BC">
      <w:pPr>
        <w:pStyle w:val="ListBullet"/>
      </w:pPr>
      <w:r w:rsidRPr="00473A1E">
        <w:t>food waste recovery from C&amp;I sector</w:t>
      </w:r>
    </w:p>
    <w:p w14:paraId="329845B9" w14:textId="77777777" w:rsidR="00473A1E" w:rsidRPr="00473A1E" w:rsidRDefault="00473A1E" w:rsidP="00D931BC">
      <w:pPr>
        <w:pStyle w:val="ListBullet"/>
      </w:pPr>
      <w:r w:rsidRPr="00473A1E">
        <w:t xml:space="preserve">best practice tools, processes, education and exclusion systems to reduce kerbside </w:t>
      </w:r>
      <w:proofErr w:type="gramStart"/>
      <w:r w:rsidRPr="00473A1E">
        <w:t>contamination</w:t>
      </w:r>
      <w:proofErr w:type="gramEnd"/>
    </w:p>
    <w:p w14:paraId="16B7A8EB" w14:textId="77777777" w:rsidR="00473A1E" w:rsidRPr="00473A1E" w:rsidRDefault="00473A1E" w:rsidP="00D931BC">
      <w:pPr>
        <w:pStyle w:val="ListBullet"/>
      </w:pPr>
      <w:r w:rsidRPr="00473A1E">
        <w:t>contamination management guidelines and continual improvement of AS 4454 (the Australian Standard for composts, soil conditioners and mulches)</w:t>
      </w:r>
    </w:p>
    <w:p w14:paraId="1ED809A1" w14:textId="77777777" w:rsidR="00473A1E" w:rsidRDefault="00473A1E" w:rsidP="00D931BC">
      <w:pPr>
        <w:pStyle w:val="Bullet1last"/>
      </w:pPr>
      <w:r w:rsidRPr="00473A1E">
        <w:t>specifications for uses for lower quality outputs that may be applied to less sensitive but beneficial uses.</w:t>
      </w:r>
    </w:p>
    <w:p w14:paraId="51432C43" w14:textId="19CC991C" w:rsidR="00A80EB7" w:rsidRDefault="00A80EB7" w:rsidP="00A80EB7">
      <w:pPr>
        <w:pStyle w:val="Caption"/>
        <w:keepNext/>
      </w:pPr>
      <w:r>
        <w:lastRenderedPageBreak/>
        <w:t xml:space="preserve">Table </w:t>
      </w:r>
      <w:r>
        <w:fldChar w:fldCharType="begin"/>
      </w:r>
      <w:r>
        <w:instrText xml:space="preserve"> SEQ Table \* ARABIC </w:instrText>
      </w:r>
      <w:r>
        <w:fldChar w:fldCharType="separate"/>
      </w:r>
      <w:r w:rsidR="00A67B1E">
        <w:rPr>
          <w:noProof/>
        </w:rPr>
        <w:t>7</w:t>
      </w:r>
      <w:r>
        <w:fldChar w:fldCharType="end"/>
      </w:r>
      <w:r>
        <w:t xml:space="preserve">: </w:t>
      </w:r>
      <w:r w:rsidRPr="00E07F24">
        <w:t>Generation and recovery of organics</w:t>
      </w:r>
    </w:p>
    <w:tbl>
      <w:tblPr>
        <w:tblStyle w:val="Style2"/>
        <w:tblW w:w="9921" w:type="dxa"/>
        <w:tblLayout w:type="fixed"/>
        <w:tblLook w:val="0020" w:firstRow="1" w:lastRow="0" w:firstColumn="0" w:lastColumn="0" w:noHBand="0" w:noVBand="0"/>
        <w:tblCaption w:val="Table 7: Generation and recovery of organics"/>
        <w:tblDescription w:val="Generation and Recovery data for different organic materials and sources"/>
      </w:tblPr>
      <w:tblGrid>
        <w:gridCol w:w="1555"/>
        <w:gridCol w:w="2126"/>
        <w:gridCol w:w="2126"/>
        <w:gridCol w:w="2413"/>
        <w:gridCol w:w="1701"/>
      </w:tblGrid>
      <w:tr w:rsidR="00962DA1" w:rsidRPr="00515EE5" w14:paraId="27ED82C5"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6E241C3C" w14:textId="77777777" w:rsidR="00962DA1" w:rsidRPr="00515EE5" w:rsidRDefault="00962DA1" w:rsidP="006D6167">
            <w:pPr>
              <w:pStyle w:val="BodyText"/>
              <w:spacing w:line="276" w:lineRule="auto"/>
            </w:pPr>
            <w:r w:rsidRPr="00515EE5">
              <w:t>Stream</w:t>
            </w:r>
          </w:p>
        </w:tc>
        <w:tc>
          <w:tcPr>
            <w:tcW w:w="2126" w:type="dxa"/>
          </w:tcPr>
          <w:p w14:paraId="7A5C19F6" w14:textId="77777777" w:rsidR="00962DA1" w:rsidRDefault="00962DA1" w:rsidP="006D6167">
            <w:pPr>
              <w:pStyle w:val="BodyText"/>
              <w:spacing w:line="276" w:lineRule="auto"/>
              <w:rPr>
                <w:b w:val="0"/>
              </w:rPr>
            </w:pPr>
            <w:r w:rsidRPr="00515EE5">
              <w:t>Tonnes Generated</w:t>
            </w:r>
          </w:p>
          <w:p w14:paraId="3A5CEF6C" w14:textId="77777777" w:rsidR="00962DA1" w:rsidRPr="00515EE5" w:rsidRDefault="00962DA1" w:rsidP="006D6167">
            <w:pPr>
              <w:pStyle w:val="BodyText"/>
              <w:spacing w:line="276" w:lineRule="auto"/>
              <w:rPr>
                <w:b w:val="0"/>
              </w:rPr>
            </w:pPr>
            <w:r>
              <w:t>(</w:t>
            </w:r>
            <w:r w:rsidRPr="00515EE5">
              <w:t>Tonnes</w:t>
            </w:r>
            <w:r>
              <w:t>)</w:t>
            </w:r>
          </w:p>
        </w:tc>
        <w:tc>
          <w:tcPr>
            <w:tcW w:w="2126" w:type="dxa"/>
          </w:tcPr>
          <w:p w14:paraId="1A59E238" w14:textId="77777777" w:rsidR="00962DA1" w:rsidRDefault="00962DA1" w:rsidP="006D6167">
            <w:pPr>
              <w:pStyle w:val="BodyText"/>
              <w:spacing w:line="276" w:lineRule="auto"/>
              <w:rPr>
                <w:b w:val="0"/>
              </w:rPr>
            </w:pPr>
            <w:r w:rsidRPr="00515EE5">
              <w:t>Proportion Generated</w:t>
            </w:r>
          </w:p>
          <w:p w14:paraId="05484BF9" w14:textId="77777777" w:rsidR="00962DA1" w:rsidRPr="00515EE5" w:rsidRDefault="00962DA1" w:rsidP="006D6167">
            <w:pPr>
              <w:pStyle w:val="BodyText"/>
              <w:spacing w:line="276" w:lineRule="auto"/>
            </w:pPr>
            <w:r>
              <w:t>(%)</w:t>
            </w:r>
          </w:p>
        </w:tc>
        <w:tc>
          <w:tcPr>
            <w:tcW w:w="2413" w:type="dxa"/>
          </w:tcPr>
          <w:p w14:paraId="419749D4"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63F81099" w14:textId="77777777" w:rsidR="00962DA1" w:rsidRPr="00F15770" w:rsidRDefault="00962DA1" w:rsidP="006D6167">
            <w:pPr>
              <w:pStyle w:val="BodyText"/>
              <w:spacing w:line="276" w:lineRule="auto"/>
              <w:rPr>
                <w:b w:val="0"/>
              </w:rPr>
            </w:pPr>
            <w:r>
              <w:t>(</w:t>
            </w:r>
            <w:r w:rsidRPr="00515EE5">
              <w:t>Tonnes</w:t>
            </w:r>
            <w:r>
              <w:t>)</w:t>
            </w:r>
          </w:p>
        </w:tc>
        <w:tc>
          <w:tcPr>
            <w:tcW w:w="1701" w:type="dxa"/>
          </w:tcPr>
          <w:p w14:paraId="3EA19B78" w14:textId="77777777" w:rsidR="00962DA1" w:rsidRDefault="00962DA1" w:rsidP="006D6167">
            <w:pPr>
              <w:pStyle w:val="BodyText"/>
              <w:spacing w:line="276" w:lineRule="auto"/>
              <w:rPr>
                <w:b w:val="0"/>
              </w:rPr>
            </w:pPr>
            <w:r w:rsidRPr="00515EE5">
              <w:t>Recovery Rate</w:t>
            </w:r>
          </w:p>
          <w:p w14:paraId="58D614EC" w14:textId="77777777" w:rsidR="00962DA1" w:rsidRPr="00515EE5" w:rsidRDefault="00962DA1" w:rsidP="006D6167">
            <w:pPr>
              <w:pStyle w:val="BodyText"/>
              <w:spacing w:line="276" w:lineRule="auto"/>
            </w:pPr>
            <w:r>
              <w:t>(%)</w:t>
            </w:r>
          </w:p>
        </w:tc>
      </w:tr>
      <w:tr w:rsidR="00A80EB7" w:rsidRPr="00515EE5" w14:paraId="0592986F" w14:textId="77777777" w:rsidTr="00C43336">
        <w:trPr>
          <w:trHeight w:val="60"/>
        </w:trPr>
        <w:tc>
          <w:tcPr>
            <w:tcW w:w="1555" w:type="dxa"/>
          </w:tcPr>
          <w:p w14:paraId="5DBE7BA8" w14:textId="4BAFC153" w:rsidR="00A80EB7" w:rsidRPr="00515EE5" w:rsidRDefault="00A80EB7" w:rsidP="00A80EB7">
            <w:pPr>
              <w:pStyle w:val="Tabletext"/>
            </w:pPr>
            <w:r w:rsidRPr="00473A1E">
              <w:t>MSW</w:t>
            </w:r>
          </w:p>
        </w:tc>
        <w:tc>
          <w:tcPr>
            <w:tcW w:w="2126" w:type="dxa"/>
          </w:tcPr>
          <w:p w14:paraId="6F9ACFCB" w14:textId="623829FF" w:rsidR="00A80EB7" w:rsidRPr="00515EE5" w:rsidRDefault="00A80EB7" w:rsidP="00A80EB7">
            <w:pPr>
              <w:pStyle w:val="Tabletext"/>
            </w:pPr>
            <w:r w:rsidRPr="00473A1E">
              <w:t>1,428,000</w:t>
            </w:r>
          </w:p>
        </w:tc>
        <w:tc>
          <w:tcPr>
            <w:tcW w:w="2126" w:type="dxa"/>
          </w:tcPr>
          <w:p w14:paraId="212290F0" w14:textId="3CAE17E4" w:rsidR="00A80EB7" w:rsidRPr="00515EE5" w:rsidRDefault="00A80EB7" w:rsidP="00A80EB7">
            <w:pPr>
              <w:pStyle w:val="Tabletext"/>
            </w:pPr>
            <w:r w:rsidRPr="00473A1E">
              <w:t>45%</w:t>
            </w:r>
          </w:p>
        </w:tc>
        <w:tc>
          <w:tcPr>
            <w:tcW w:w="2413" w:type="dxa"/>
          </w:tcPr>
          <w:p w14:paraId="461F1A22" w14:textId="4719DBD9" w:rsidR="00A80EB7" w:rsidRPr="00515EE5" w:rsidRDefault="00A80EB7" w:rsidP="00A80EB7">
            <w:pPr>
              <w:pStyle w:val="Tabletext"/>
            </w:pPr>
            <w:r w:rsidRPr="00473A1E">
              <w:t>667,400</w:t>
            </w:r>
          </w:p>
        </w:tc>
        <w:tc>
          <w:tcPr>
            <w:tcW w:w="1701" w:type="dxa"/>
          </w:tcPr>
          <w:p w14:paraId="323A671D" w14:textId="080A14B5" w:rsidR="00A80EB7" w:rsidRPr="00515EE5" w:rsidRDefault="00A80EB7" w:rsidP="00A80EB7">
            <w:pPr>
              <w:pStyle w:val="Tabletext"/>
            </w:pPr>
            <w:r w:rsidRPr="00473A1E">
              <w:t>47%</w:t>
            </w:r>
          </w:p>
        </w:tc>
      </w:tr>
      <w:tr w:rsidR="00A80EB7" w:rsidRPr="00515EE5" w14:paraId="5E88DC6D" w14:textId="77777777" w:rsidTr="00C43336">
        <w:trPr>
          <w:trHeight w:val="60"/>
        </w:trPr>
        <w:tc>
          <w:tcPr>
            <w:tcW w:w="1555" w:type="dxa"/>
          </w:tcPr>
          <w:p w14:paraId="63EE8615" w14:textId="05C924DF" w:rsidR="00A80EB7" w:rsidRPr="00515EE5" w:rsidRDefault="00A80EB7" w:rsidP="00A80EB7">
            <w:pPr>
              <w:pStyle w:val="Tabletext"/>
            </w:pPr>
            <w:r w:rsidRPr="00473A1E">
              <w:t>C&amp;I</w:t>
            </w:r>
          </w:p>
        </w:tc>
        <w:tc>
          <w:tcPr>
            <w:tcW w:w="2126" w:type="dxa"/>
          </w:tcPr>
          <w:p w14:paraId="509AB077" w14:textId="38F2A14D" w:rsidR="00A80EB7" w:rsidRPr="00515EE5" w:rsidRDefault="00A80EB7" w:rsidP="00A80EB7">
            <w:pPr>
              <w:pStyle w:val="Tabletext"/>
            </w:pPr>
            <w:r w:rsidRPr="00473A1E">
              <w:t>1,591,200</w:t>
            </w:r>
          </w:p>
        </w:tc>
        <w:tc>
          <w:tcPr>
            <w:tcW w:w="2126" w:type="dxa"/>
          </w:tcPr>
          <w:p w14:paraId="5970A117" w14:textId="05122007" w:rsidR="00A80EB7" w:rsidRPr="00515EE5" w:rsidRDefault="00A80EB7" w:rsidP="00A80EB7">
            <w:pPr>
              <w:pStyle w:val="Tabletext"/>
            </w:pPr>
            <w:r w:rsidRPr="00473A1E">
              <w:t>50%</w:t>
            </w:r>
          </w:p>
        </w:tc>
        <w:tc>
          <w:tcPr>
            <w:tcW w:w="2413" w:type="dxa"/>
          </w:tcPr>
          <w:p w14:paraId="50E0E3B8" w14:textId="35BDD91F" w:rsidR="00A80EB7" w:rsidRPr="00515EE5" w:rsidRDefault="00A80EB7" w:rsidP="00A80EB7">
            <w:pPr>
              <w:pStyle w:val="Tabletext"/>
            </w:pPr>
            <w:r w:rsidRPr="00473A1E">
              <w:t>843,400</w:t>
            </w:r>
          </w:p>
        </w:tc>
        <w:tc>
          <w:tcPr>
            <w:tcW w:w="1701" w:type="dxa"/>
          </w:tcPr>
          <w:p w14:paraId="5E8CE70E" w14:textId="47AA87BC" w:rsidR="00A80EB7" w:rsidRPr="00515EE5" w:rsidRDefault="00A80EB7" w:rsidP="00A80EB7">
            <w:pPr>
              <w:pStyle w:val="Tabletext"/>
            </w:pPr>
            <w:r w:rsidRPr="00473A1E">
              <w:t>53%</w:t>
            </w:r>
          </w:p>
        </w:tc>
      </w:tr>
      <w:tr w:rsidR="00A80EB7" w:rsidRPr="00515EE5" w14:paraId="2603414E" w14:textId="77777777" w:rsidTr="00C43336">
        <w:trPr>
          <w:trHeight w:val="60"/>
        </w:trPr>
        <w:tc>
          <w:tcPr>
            <w:tcW w:w="1555" w:type="dxa"/>
          </w:tcPr>
          <w:p w14:paraId="437D215B" w14:textId="74261302" w:rsidR="00A80EB7" w:rsidRPr="00515EE5" w:rsidRDefault="00A80EB7" w:rsidP="00A80EB7">
            <w:pPr>
              <w:pStyle w:val="Tabletext"/>
            </w:pPr>
            <w:r w:rsidRPr="00473A1E">
              <w:t>C&amp;D</w:t>
            </w:r>
          </w:p>
        </w:tc>
        <w:tc>
          <w:tcPr>
            <w:tcW w:w="2126" w:type="dxa"/>
          </w:tcPr>
          <w:p w14:paraId="32757F25" w14:textId="5F5C2FB2" w:rsidR="00A80EB7" w:rsidRPr="00515EE5" w:rsidRDefault="00A80EB7" w:rsidP="00A80EB7">
            <w:pPr>
              <w:pStyle w:val="Tabletext"/>
            </w:pPr>
            <w:r w:rsidRPr="00473A1E">
              <w:t>150,300</w:t>
            </w:r>
          </w:p>
        </w:tc>
        <w:tc>
          <w:tcPr>
            <w:tcW w:w="2126" w:type="dxa"/>
          </w:tcPr>
          <w:p w14:paraId="609B752C" w14:textId="562BB342" w:rsidR="00A80EB7" w:rsidRPr="00515EE5" w:rsidRDefault="00A80EB7" w:rsidP="00A80EB7">
            <w:pPr>
              <w:pStyle w:val="Tabletext"/>
            </w:pPr>
            <w:r w:rsidRPr="00473A1E">
              <w:t>5%</w:t>
            </w:r>
          </w:p>
        </w:tc>
        <w:tc>
          <w:tcPr>
            <w:tcW w:w="2413" w:type="dxa"/>
          </w:tcPr>
          <w:p w14:paraId="46EB04CE" w14:textId="4B9A1019" w:rsidR="00A80EB7" w:rsidRPr="00515EE5" w:rsidRDefault="00A80EB7" w:rsidP="00A80EB7">
            <w:pPr>
              <w:pStyle w:val="Tabletext"/>
            </w:pPr>
            <w:r w:rsidRPr="00473A1E">
              <w:t>100</w:t>
            </w:r>
          </w:p>
        </w:tc>
        <w:tc>
          <w:tcPr>
            <w:tcW w:w="1701" w:type="dxa"/>
          </w:tcPr>
          <w:p w14:paraId="41243B49" w14:textId="6F298771" w:rsidR="00A80EB7" w:rsidRPr="00515EE5" w:rsidRDefault="00A80EB7" w:rsidP="00A80EB7">
            <w:pPr>
              <w:pStyle w:val="Tabletext"/>
            </w:pPr>
            <w:r w:rsidRPr="00473A1E">
              <w:t>&lt;1%</w:t>
            </w:r>
          </w:p>
        </w:tc>
      </w:tr>
      <w:tr w:rsidR="00A80EB7" w:rsidRPr="00515EE5" w14:paraId="1421F29B" w14:textId="77777777" w:rsidTr="00C43336">
        <w:trPr>
          <w:trHeight w:val="60"/>
        </w:trPr>
        <w:tc>
          <w:tcPr>
            <w:tcW w:w="1555" w:type="dxa"/>
            <w:tcBorders>
              <w:bottom w:val="single" w:sz="4" w:space="0" w:color="auto"/>
            </w:tcBorders>
          </w:tcPr>
          <w:p w14:paraId="65ED0262" w14:textId="273DDFBB" w:rsidR="00A80EB7" w:rsidRPr="00A80EB7" w:rsidRDefault="00A80EB7" w:rsidP="00A80EB7">
            <w:pPr>
              <w:pStyle w:val="Tabletext"/>
              <w:rPr>
                <w:b/>
                <w:bCs/>
              </w:rPr>
            </w:pPr>
            <w:r w:rsidRPr="00A80EB7">
              <w:rPr>
                <w:b/>
                <w:bCs/>
              </w:rPr>
              <w:t>Total</w:t>
            </w:r>
          </w:p>
        </w:tc>
        <w:tc>
          <w:tcPr>
            <w:tcW w:w="2126" w:type="dxa"/>
            <w:tcBorders>
              <w:bottom w:val="single" w:sz="4" w:space="0" w:color="auto"/>
            </w:tcBorders>
          </w:tcPr>
          <w:p w14:paraId="50815A85" w14:textId="6563797C" w:rsidR="00A80EB7" w:rsidRPr="00A80EB7" w:rsidRDefault="00A80EB7" w:rsidP="00A80EB7">
            <w:pPr>
              <w:pStyle w:val="Tabletext"/>
              <w:rPr>
                <w:b/>
                <w:bCs/>
              </w:rPr>
            </w:pPr>
            <w:r w:rsidRPr="00A80EB7">
              <w:rPr>
                <w:b/>
                <w:bCs/>
              </w:rPr>
              <w:t>3,169,500</w:t>
            </w:r>
          </w:p>
        </w:tc>
        <w:tc>
          <w:tcPr>
            <w:tcW w:w="2126" w:type="dxa"/>
            <w:tcBorders>
              <w:bottom w:val="single" w:sz="4" w:space="0" w:color="auto"/>
            </w:tcBorders>
          </w:tcPr>
          <w:p w14:paraId="0D7A6FE5" w14:textId="77777777" w:rsidR="00A80EB7" w:rsidRPr="00A80EB7" w:rsidRDefault="00A80EB7" w:rsidP="00A80EB7">
            <w:pPr>
              <w:pStyle w:val="Tabletext"/>
              <w:rPr>
                <w:b/>
                <w:bCs/>
              </w:rPr>
            </w:pPr>
          </w:p>
        </w:tc>
        <w:tc>
          <w:tcPr>
            <w:tcW w:w="2413" w:type="dxa"/>
            <w:tcBorders>
              <w:bottom w:val="single" w:sz="4" w:space="0" w:color="auto"/>
            </w:tcBorders>
          </w:tcPr>
          <w:p w14:paraId="2D2353EC" w14:textId="73204457" w:rsidR="00A80EB7" w:rsidRPr="00A80EB7" w:rsidRDefault="00A80EB7" w:rsidP="00A80EB7">
            <w:pPr>
              <w:pStyle w:val="Tabletext"/>
              <w:rPr>
                <w:b/>
                <w:bCs/>
              </w:rPr>
            </w:pPr>
            <w:r w:rsidRPr="00A80EB7">
              <w:rPr>
                <w:b/>
                <w:bCs/>
              </w:rPr>
              <w:t>1,510,900</w:t>
            </w:r>
          </w:p>
        </w:tc>
        <w:tc>
          <w:tcPr>
            <w:tcW w:w="1701" w:type="dxa"/>
            <w:tcBorders>
              <w:bottom w:val="single" w:sz="4" w:space="0" w:color="auto"/>
            </w:tcBorders>
          </w:tcPr>
          <w:p w14:paraId="3F575342" w14:textId="41AED4E6" w:rsidR="00A80EB7" w:rsidRPr="00A80EB7" w:rsidRDefault="00A80EB7" w:rsidP="00A80EB7">
            <w:pPr>
              <w:pStyle w:val="Tabletext"/>
              <w:rPr>
                <w:b/>
                <w:bCs/>
              </w:rPr>
            </w:pPr>
            <w:r w:rsidRPr="00A80EB7">
              <w:rPr>
                <w:b/>
                <w:bCs/>
              </w:rPr>
              <w:t>48%</w:t>
            </w:r>
          </w:p>
        </w:tc>
      </w:tr>
      <w:tr w:rsidR="00962DA1" w:rsidRPr="00515EE5" w14:paraId="13D79D48" w14:textId="77777777" w:rsidTr="00C43336">
        <w:trPr>
          <w:trHeight w:val="60"/>
        </w:trPr>
        <w:tc>
          <w:tcPr>
            <w:tcW w:w="1555" w:type="dxa"/>
            <w:tcBorders>
              <w:left w:val="nil"/>
              <w:right w:val="nil"/>
            </w:tcBorders>
          </w:tcPr>
          <w:p w14:paraId="7564DFCC" w14:textId="77777777" w:rsidR="00962DA1" w:rsidRPr="00F15770" w:rsidRDefault="00962DA1" w:rsidP="006D6167">
            <w:pPr>
              <w:pStyle w:val="Tabletext"/>
              <w:rPr>
                <w:b/>
                <w:bCs/>
              </w:rPr>
            </w:pPr>
          </w:p>
        </w:tc>
        <w:tc>
          <w:tcPr>
            <w:tcW w:w="2126" w:type="dxa"/>
            <w:tcBorders>
              <w:left w:val="nil"/>
              <w:right w:val="nil"/>
            </w:tcBorders>
          </w:tcPr>
          <w:p w14:paraId="39EA9DDB" w14:textId="77777777" w:rsidR="00962DA1" w:rsidRPr="00F15770" w:rsidRDefault="00962DA1" w:rsidP="006D6167">
            <w:pPr>
              <w:pStyle w:val="Tabletext"/>
              <w:rPr>
                <w:b/>
                <w:bCs/>
              </w:rPr>
            </w:pPr>
          </w:p>
        </w:tc>
        <w:tc>
          <w:tcPr>
            <w:tcW w:w="2126" w:type="dxa"/>
            <w:tcBorders>
              <w:left w:val="nil"/>
              <w:right w:val="nil"/>
            </w:tcBorders>
          </w:tcPr>
          <w:p w14:paraId="78B6A110" w14:textId="77777777" w:rsidR="00962DA1" w:rsidRPr="00F15770" w:rsidRDefault="00962DA1" w:rsidP="006D6167">
            <w:pPr>
              <w:pStyle w:val="Tabletext"/>
              <w:rPr>
                <w:b/>
                <w:bCs/>
              </w:rPr>
            </w:pPr>
          </w:p>
        </w:tc>
        <w:tc>
          <w:tcPr>
            <w:tcW w:w="2413" w:type="dxa"/>
            <w:tcBorders>
              <w:left w:val="nil"/>
              <w:right w:val="nil"/>
            </w:tcBorders>
          </w:tcPr>
          <w:p w14:paraId="114DE019" w14:textId="77777777" w:rsidR="00962DA1" w:rsidRPr="00F15770" w:rsidRDefault="00962DA1" w:rsidP="006D6167">
            <w:pPr>
              <w:pStyle w:val="Tabletext"/>
              <w:rPr>
                <w:b/>
                <w:bCs/>
              </w:rPr>
            </w:pPr>
          </w:p>
        </w:tc>
        <w:tc>
          <w:tcPr>
            <w:tcW w:w="1701" w:type="dxa"/>
            <w:tcBorders>
              <w:left w:val="nil"/>
              <w:right w:val="nil"/>
            </w:tcBorders>
          </w:tcPr>
          <w:p w14:paraId="739AC72A" w14:textId="77777777" w:rsidR="00962DA1" w:rsidRPr="00F15770" w:rsidRDefault="00962DA1" w:rsidP="006D6167">
            <w:pPr>
              <w:pStyle w:val="Tabletext"/>
              <w:rPr>
                <w:b/>
                <w:bCs/>
              </w:rPr>
            </w:pPr>
          </w:p>
        </w:tc>
      </w:tr>
      <w:tr w:rsidR="00962DA1" w:rsidRPr="00515EE5" w14:paraId="4332A6CB" w14:textId="77777777" w:rsidTr="00C43336">
        <w:trPr>
          <w:trHeight w:val="60"/>
        </w:trPr>
        <w:tc>
          <w:tcPr>
            <w:tcW w:w="1555" w:type="dxa"/>
            <w:shd w:val="clear" w:color="auto" w:fill="F2F2F2" w:themeFill="background1" w:themeFillShade="F2"/>
          </w:tcPr>
          <w:p w14:paraId="51B992C5" w14:textId="77777777" w:rsidR="00962DA1" w:rsidRPr="006B4C87" w:rsidRDefault="00962DA1" w:rsidP="006D6167">
            <w:pPr>
              <w:pStyle w:val="Tabletext"/>
              <w:rPr>
                <w:b/>
                <w:bCs/>
              </w:rPr>
            </w:pPr>
            <w:r w:rsidRPr="006B4C87">
              <w:rPr>
                <w:b/>
                <w:bCs/>
              </w:rPr>
              <w:t>Material</w:t>
            </w:r>
          </w:p>
        </w:tc>
        <w:tc>
          <w:tcPr>
            <w:tcW w:w="2126" w:type="dxa"/>
            <w:shd w:val="clear" w:color="auto" w:fill="F2F2F2" w:themeFill="background1" w:themeFillShade="F2"/>
          </w:tcPr>
          <w:p w14:paraId="57407192" w14:textId="77777777" w:rsidR="00962DA1" w:rsidRPr="006B4C87" w:rsidRDefault="00962DA1" w:rsidP="006D6167">
            <w:pPr>
              <w:pStyle w:val="BodyText"/>
              <w:spacing w:line="276" w:lineRule="auto"/>
              <w:rPr>
                <w:b/>
                <w:bCs/>
              </w:rPr>
            </w:pPr>
            <w:r w:rsidRPr="006B4C87">
              <w:rPr>
                <w:b/>
                <w:bCs/>
              </w:rPr>
              <w:t>Tonnes Generated</w:t>
            </w:r>
          </w:p>
          <w:p w14:paraId="5E51DE5B" w14:textId="77777777" w:rsidR="00962DA1" w:rsidRPr="006B4C87" w:rsidRDefault="00962DA1" w:rsidP="006D6167">
            <w:pPr>
              <w:pStyle w:val="Tabletext"/>
              <w:rPr>
                <w:b/>
                <w:bCs/>
              </w:rPr>
            </w:pPr>
            <w:r w:rsidRPr="006B4C87">
              <w:rPr>
                <w:b/>
                <w:bCs/>
              </w:rPr>
              <w:t>(Tonnes)</w:t>
            </w:r>
          </w:p>
        </w:tc>
        <w:tc>
          <w:tcPr>
            <w:tcW w:w="2126" w:type="dxa"/>
            <w:shd w:val="clear" w:color="auto" w:fill="F2F2F2" w:themeFill="background1" w:themeFillShade="F2"/>
          </w:tcPr>
          <w:p w14:paraId="05CC2D9E" w14:textId="77777777" w:rsidR="00962DA1" w:rsidRPr="006B4C87" w:rsidRDefault="00962DA1" w:rsidP="006D6167">
            <w:pPr>
              <w:pStyle w:val="BodyText"/>
              <w:spacing w:line="276" w:lineRule="auto"/>
              <w:rPr>
                <w:b/>
                <w:bCs/>
              </w:rPr>
            </w:pPr>
            <w:r w:rsidRPr="006B4C87">
              <w:rPr>
                <w:b/>
                <w:bCs/>
              </w:rPr>
              <w:t>Proportion Generated</w:t>
            </w:r>
          </w:p>
          <w:p w14:paraId="04FEB0BD" w14:textId="77777777" w:rsidR="00962DA1" w:rsidRPr="006B4C87" w:rsidRDefault="00962DA1" w:rsidP="006D6167">
            <w:pPr>
              <w:pStyle w:val="Tabletext"/>
              <w:rPr>
                <w:b/>
                <w:bCs/>
              </w:rPr>
            </w:pPr>
            <w:r w:rsidRPr="006B4C87">
              <w:rPr>
                <w:b/>
                <w:bCs/>
              </w:rPr>
              <w:t>(</w:t>
            </w:r>
            <w:r>
              <w:rPr>
                <w:b/>
                <w:bCs/>
              </w:rPr>
              <w:t>%</w:t>
            </w:r>
            <w:r w:rsidRPr="006B4C87">
              <w:rPr>
                <w:b/>
                <w:bCs/>
              </w:rPr>
              <w:t>)</w:t>
            </w:r>
          </w:p>
        </w:tc>
        <w:tc>
          <w:tcPr>
            <w:tcW w:w="2413" w:type="dxa"/>
            <w:shd w:val="clear" w:color="auto" w:fill="F2F2F2" w:themeFill="background1" w:themeFillShade="F2"/>
          </w:tcPr>
          <w:p w14:paraId="39CEE7D3"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51A06716" w14:textId="77777777" w:rsidR="00962DA1" w:rsidRPr="006B4C87" w:rsidRDefault="00962DA1" w:rsidP="006D6167">
            <w:pPr>
              <w:pStyle w:val="Tabletext"/>
              <w:rPr>
                <w:b/>
                <w:bCs/>
              </w:rPr>
            </w:pPr>
            <w:r w:rsidRPr="006B4C87">
              <w:rPr>
                <w:b/>
                <w:bCs/>
              </w:rPr>
              <w:t>(Tonnes)</w:t>
            </w:r>
          </w:p>
        </w:tc>
        <w:tc>
          <w:tcPr>
            <w:tcW w:w="1701" w:type="dxa"/>
            <w:shd w:val="clear" w:color="auto" w:fill="F2F2F2" w:themeFill="background1" w:themeFillShade="F2"/>
          </w:tcPr>
          <w:p w14:paraId="119FA43E" w14:textId="77777777" w:rsidR="00962DA1" w:rsidRPr="006B4C87" w:rsidRDefault="00962DA1" w:rsidP="006D6167">
            <w:pPr>
              <w:pStyle w:val="BodyText"/>
              <w:spacing w:line="276" w:lineRule="auto"/>
              <w:rPr>
                <w:b/>
                <w:bCs/>
              </w:rPr>
            </w:pPr>
            <w:r w:rsidRPr="006B4C87">
              <w:rPr>
                <w:b/>
                <w:bCs/>
              </w:rPr>
              <w:t>Recovery Rate</w:t>
            </w:r>
          </w:p>
          <w:p w14:paraId="346C8B8E" w14:textId="77777777" w:rsidR="00962DA1" w:rsidRPr="006B4C87" w:rsidRDefault="00962DA1" w:rsidP="006D6167">
            <w:pPr>
              <w:pStyle w:val="Tabletext"/>
              <w:rPr>
                <w:b/>
                <w:bCs/>
              </w:rPr>
            </w:pPr>
            <w:r w:rsidRPr="006B4C87">
              <w:rPr>
                <w:b/>
                <w:bCs/>
              </w:rPr>
              <w:t>(</w:t>
            </w:r>
            <w:r>
              <w:rPr>
                <w:b/>
                <w:bCs/>
              </w:rPr>
              <w:t>%</w:t>
            </w:r>
            <w:r w:rsidRPr="006B4C87">
              <w:rPr>
                <w:b/>
                <w:bCs/>
              </w:rPr>
              <w:t>)</w:t>
            </w:r>
          </w:p>
        </w:tc>
      </w:tr>
      <w:tr w:rsidR="00A80EB7" w:rsidRPr="00515EE5" w14:paraId="70A21004" w14:textId="77777777" w:rsidTr="00C43336">
        <w:trPr>
          <w:trHeight w:val="60"/>
        </w:trPr>
        <w:tc>
          <w:tcPr>
            <w:tcW w:w="1555" w:type="dxa"/>
          </w:tcPr>
          <w:p w14:paraId="09359C48" w14:textId="17AA15E8" w:rsidR="00A80EB7" w:rsidRPr="00F15770" w:rsidRDefault="00A80EB7" w:rsidP="00A80EB7">
            <w:pPr>
              <w:pStyle w:val="Tabletext"/>
              <w:rPr>
                <w:b/>
                <w:bCs/>
              </w:rPr>
            </w:pPr>
            <w:r w:rsidRPr="00473A1E">
              <w:t>Food organics</w:t>
            </w:r>
          </w:p>
        </w:tc>
        <w:tc>
          <w:tcPr>
            <w:tcW w:w="2126" w:type="dxa"/>
          </w:tcPr>
          <w:p w14:paraId="68B92429" w14:textId="73172D5C" w:rsidR="00A80EB7" w:rsidRPr="00F15770" w:rsidRDefault="00A80EB7" w:rsidP="00A80EB7">
            <w:pPr>
              <w:pStyle w:val="Tabletext"/>
              <w:rPr>
                <w:b/>
                <w:bCs/>
              </w:rPr>
            </w:pPr>
            <w:r w:rsidRPr="00473A1E">
              <w:t>960,400</w:t>
            </w:r>
          </w:p>
        </w:tc>
        <w:tc>
          <w:tcPr>
            <w:tcW w:w="2126" w:type="dxa"/>
          </w:tcPr>
          <w:p w14:paraId="21AD26F7" w14:textId="5B341895" w:rsidR="00A80EB7" w:rsidRPr="00F15770" w:rsidRDefault="00A80EB7" w:rsidP="00A80EB7">
            <w:pPr>
              <w:pStyle w:val="Tabletext"/>
              <w:rPr>
                <w:b/>
                <w:bCs/>
              </w:rPr>
            </w:pPr>
            <w:r w:rsidRPr="00473A1E">
              <w:t>30%</w:t>
            </w:r>
          </w:p>
        </w:tc>
        <w:tc>
          <w:tcPr>
            <w:tcW w:w="2413" w:type="dxa"/>
          </w:tcPr>
          <w:p w14:paraId="0ABCA50E" w14:textId="789FF733" w:rsidR="00A80EB7" w:rsidRPr="00F15770" w:rsidRDefault="00A80EB7" w:rsidP="00A80EB7">
            <w:pPr>
              <w:pStyle w:val="Tabletext"/>
              <w:rPr>
                <w:b/>
                <w:bCs/>
              </w:rPr>
            </w:pPr>
            <w:r w:rsidRPr="00473A1E">
              <w:t>116,200</w:t>
            </w:r>
          </w:p>
        </w:tc>
        <w:tc>
          <w:tcPr>
            <w:tcW w:w="1701" w:type="dxa"/>
          </w:tcPr>
          <w:p w14:paraId="0214BCF7" w14:textId="2BDB4F06" w:rsidR="00A80EB7" w:rsidRPr="00F15770" w:rsidRDefault="00A80EB7" w:rsidP="00A80EB7">
            <w:pPr>
              <w:pStyle w:val="Tabletext"/>
              <w:rPr>
                <w:b/>
                <w:bCs/>
              </w:rPr>
            </w:pPr>
            <w:r w:rsidRPr="00473A1E">
              <w:t>12%</w:t>
            </w:r>
          </w:p>
        </w:tc>
      </w:tr>
      <w:tr w:rsidR="00A80EB7" w:rsidRPr="00515EE5" w14:paraId="5E8AE8FC" w14:textId="77777777" w:rsidTr="00C43336">
        <w:trPr>
          <w:trHeight w:val="60"/>
        </w:trPr>
        <w:tc>
          <w:tcPr>
            <w:tcW w:w="1555" w:type="dxa"/>
          </w:tcPr>
          <w:p w14:paraId="144D63D1" w14:textId="17735773" w:rsidR="00A80EB7" w:rsidRPr="00F15770" w:rsidRDefault="00A80EB7" w:rsidP="00A80EB7">
            <w:pPr>
              <w:pStyle w:val="Tabletext"/>
              <w:rPr>
                <w:b/>
                <w:bCs/>
              </w:rPr>
            </w:pPr>
            <w:r w:rsidRPr="00473A1E">
              <w:t>Garden organics</w:t>
            </w:r>
          </w:p>
        </w:tc>
        <w:tc>
          <w:tcPr>
            <w:tcW w:w="2126" w:type="dxa"/>
          </w:tcPr>
          <w:p w14:paraId="77FB04CA" w14:textId="3EEE8815" w:rsidR="00A80EB7" w:rsidRPr="00F15770" w:rsidRDefault="00A80EB7" w:rsidP="00A80EB7">
            <w:pPr>
              <w:pStyle w:val="Tabletext"/>
              <w:rPr>
                <w:b/>
                <w:bCs/>
              </w:rPr>
            </w:pPr>
            <w:r w:rsidRPr="00473A1E">
              <w:t>899,300</w:t>
            </w:r>
          </w:p>
        </w:tc>
        <w:tc>
          <w:tcPr>
            <w:tcW w:w="2126" w:type="dxa"/>
          </w:tcPr>
          <w:p w14:paraId="73F3BE9A" w14:textId="5FE75509" w:rsidR="00A80EB7" w:rsidRPr="00F15770" w:rsidRDefault="00A80EB7" w:rsidP="00A80EB7">
            <w:pPr>
              <w:pStyle w:val="Tabletext"/>
              <w:rPr>
                <w:b/>
                <w:bCs/>
              </w:rPr>
            </w:pPr>
            <w:r w:rsidRPr="00473A1E">
              <w:t>28%</w:t>
            </w:r>
          </w:p>
        </w:tc>
        <w:tc>
          <w:tcPr>
            <w:tcW w:w="2413" w:type="dxa"/>
          </w:tcPr>
          <w:p w14:paraId="68E4187F" w14:textId="48B61814" w:rsidR="00A80EB7" w:rsidRPr="00F15770" w:rsidRDefault="00A80EB7" w:rsidP="00A80EB7">
            <w:pPr>
              <w:pStyle w:val="Tabletext"/>
              <w:rPr>
                <w:b/>
                <w:bCs/>
              </w:rPr>
            </w:pPr>
            <w:r w:rsidRPr="00473A1E">
              <w:t>691,800</w:t>
            </w:r>
          </w:p>
        </w:tc>
        <w:tc>
          <w:tcPr>
            <w:tcW w:w="1701" w:type="dxa"/>
          </w:tcPr>
          <w:p w14:paraId="118CB866" w14:textId="0CC6A0FE" w:rsidR="00A80EB7" w:rsidRPr="00F15770" w:rsidRDefault="00A80EB7" w:rsidP="00A80EB7">
            <w:pPr>
              <w:pStyle w:val="Tabletext"/>
              <w:rPr>
                <w:b/>
                <w:bCs/>
              </w:rPr>
            </w:pPr>
            <w:r w:rsidRPr="00473A1E">
              <w:t>77%</w:t>
            </w:r>
          </w:p>
        </w:tc>
      </w:tr>
      <w:tr w:rsidR="00A80EB7" w:rsidRPr="00515EE5" w14:paraId="6BFFFF8F" w14:textId="77777777" w:rsidTr="00C43336">
        <w:trPr>
          <w:trHeight w:val="60"/>
        </w:trPr>
        <w:tc>
          <w:tcPr>
            <w:tcW w:w="1555" w:type="dxa"/>
          </w:tcPr>
          <w:p w14:paraId="0B697301" w14:textId="3B1AEF10" w:rsidR="00A80EB7" w:rsidRPr="00F15770" w:rsidRDefault="00A80EB7" w:rsidP="00A80EB7">
            <w:pPr>
              <w:pStyle w:val="Tabletext"/>
              <w:rPr>
                <w:b/>
                <w:bCs/>
              </w:rPr>
            </w:pPr>
            <w:r w:rsidRPr="00473A1E">
              <w:t>Other organics</w:t>
            </w:r>
          </w:p>
        </w:tc>
        <w:tc>
          <w:tcPr>
            <w:tcW w:w="2126" w:type="dxa"/>
          </w:tcPr>
          <w:p w14:paraId="676DB0F2" w14:textId="13521AE6" w:rsidR="00A80EB7" w:rsidRPr="00F15770" w:rsidRDefault="00A80EB7" w:rsidP="00A80EB7">
            <w:pPr>
              <w:pStyle w:val="Tabletext"/>
              <w:rPr>
                <w:b/>
                <w:bCs/>
              </w:rPr>
            </w:pPr>
            <w:r w:rsidRPr="00473A1E">
              <w:t>558,000</w:t>
            </w:r>
          </w:p>
        </w:tc>
        <w:tc>
          <w:tcPr>
            <w:tcW w:w="2126" w:type="dxa"/>
          </w:tcPr>
          <w:p w14:paraId="762A2DF8" w14:textId="4FDE941D" w:rsidR="00A80EB7" w:rsidRPr="00F15770" w:rsidRDefault="00A80EB7" w:rsidP="00A80EB7">
            <w:pPr>
              <w:pStyle w:val="Tabletext"/>
              <w:rPr>
                <w:b/>
                <w:bCs/>
              </w:rPr>
            </w:pPr>
            <w:r w:rsidRPr="00473A1E">
              <w:t>18%</w:t>
            </w:r>
          </w:p>
        </w:tc>
        <w:tc>
          <w:tcPr>
            <w:tcW w:w="2413" w:type="dxa"/>
          </w:tcPr>
          <w:p w14:paraId="4B327F2D" w14:textId="28E4FCF8" w:rsidR="00A80EB7" w:rsidRPr="00F15770" w:rsidRDefault="00A80EB7" w:rsidP="00A80EB7">
            <w:pPr>
              <w:pStyle w:val="Tabletext"/>
              <w:rPr>
                <w:b/>
                <w:bCs/>
              </w:rPr>
            </w:pPr>
            <w:r w:rsidRPr="00473A1E">
              <w:t>413,600</w:t>
            </w:r>
          </w:p>
        </w:tc>
        <w:tc>
          <w:tcPr>
            <w:tcW w:w="1701" w:type="dxa"/>
          </w:tcPr>
          <w:p w14:paraId="6B45B364" w14:textId="73C9872A" w:rsidR="00A80EB7" w:rsidRPr="00F15770" w:rsidRDefault="00A80EB7" w:rsidP="00A80EB7">
            <w:pPr>
              <w:pStyle w:val="Tabletext"/>
              <w:rPr>
                <w:b/>
                <w:bCs/>
              </w:rPr>
            </w:pPr>
            <w:r w:rsidRPr="00473A1E">
              <w:t>74%</w:t>
            </w:r>
          </w:p>
        </w:tc>
      </w:tr>
      <w:tr w:rsidR="00A80EB7" w:rsidRPr="00515EE5" w14:paraId="2BCD50C1" w14:textId="77777777" w:rsidTr="00C43336">
        <w:trPr>
          <w:trHeight w:val="60"/>
        </w:trPr>
        <w:tc>
          <w:tcPr>
            <w:tcW w:w="1555" w:type="dxa"/>
          </w:tcPr>
          <w:p w14:paraId="7BAEEFB5" w14:textId="6EC6433B" w:rsidR="00A80EB7" w:rsidRPr="00F15770" w:rsidRDefault="00A80EB7" w:rsidP="00A80EB7">
            <w:pPr>
              <w:pStyle w:val="Tabletext"/>
              <w:rPr>
                <w:b/>
                <w:bCs/>
              </w:rPr>
            </w:pPr>
            <w:r w:rsidRPr="00473A1E">
              <w:t>Wood/</w:t>
            </w:r>
            <w:r w:rsidR="002020A7">
              <w:br/>
            </w:r>
            <w:r w:rsidRPr="00473A1E">
              <w:t>timber</w:t>
            </w:r>
          </w:p>
        </w:tc>
        <w:tc>
          <w:tcPr>
            <w:tcW w:w="2126" w:type="dxa"/>
          </w:tcPr>
          <w:p w14:paraId="012EE58C" w14:textId="367C9D65" w:rsidR="00A80EB7" w:rsidRPr="00F15770" w:rsidRDefault="00A80EB7" w:rsidP="00A80EB7">
            <w:pPr>
              <w:pStyle w:val="Tabletext"/>
              <w:rPr>
                <w:b/>
                <w:bCs/>
              </w:rPr>
            </w:pPr>
            <w:r w:rsidRPr="00473A1E">
              <w:t>751,900</w:t>
            </w:r>
          </w:p>
        </w:tc>
        <w:tc>
          <w:tcPr>
            <w:tcW w:w="2126" w:type="dxa"/>
          </w:tcPr>
          <w:p w14:paraId="7F28E9D2" w14:textId="65AEFB6A" w:rsidR="00A80EB7" w:rsidRPr="00F15770" w:rsidRDefault="00A80EB7" w:rsidP="00A80EB7">
            <w:pPr>
              <w:pStyle w:val="Tabletext"/>
              <w:rPr>
                <w:b/>
                <w:bCs/>
              </w:rPr>
            </w:pPr>
            <w:r w:rsidRPr="00473A1E">
              <w:t>24%</w:t>
            </w:r>
          </w:p>
        </w:tc>
        <w:tc>
          <w:tcPr>
            <w:tcW w:w="2413" w:type="dxa"/>
          </w:tcPr>
          <w:p w14:paraId="5F9F25CF" w14:textId="04EFF58A" w:rsidR="00A80EB7" w:rsidRPr="00F15770" w:rsidRDefault="00A80EB7" w:rsidP="00A80EB7">
            <w:pPr>
              <w:pStyle w:val="Tabletext"/>
              <w:rPr>
                <w:b/>
                <w:bCs/>
              </w:rPr>
            </w:pPr>
            <w:r w:rsidRPr="00473A1E">
              <w:t>289,400</w:t>
            </w:r>
          </w:p>
        </w:tc>
        <w:tc>
          <w:tcPr>
            <w:tcW w:w="1701" w:type="dxa"/>
          </w:tcPr>
          <w:p w14:paraId="777A59A0" w14:textId="04AB756B" w:rsidR="00A80EB7" w:rsidRPr="00F15770" w:rsidRDefault="00A80EB7" w:rsidP="00A80EB7">
            <w:pPr>
              <w:pStyle w:val="Tabletext"/>
              <w:rPr>
                <w:b/>
                <w:bCs/>
              </w:rPr>
            </w:pPr>
            <w:r w:rsidRPr="00473A1E">
              <w:t>38%</w:t>
            </w:r>
          </w:p>
        </w:tc>
      </w:tr>
    </w:tbl>
    <w:p w14:paraId="13183278" w14:textId="553140F4" w:rsidR="00F5165D" w:rsidRDefault="00823811" w:rsidP="00A80EB7">
      <w:pPr>
        <w:pStyle w:val="BodyText"/>
        <w:spacing w:before="360"/>
      </w:pPr>
      <w:r>
        <w:t>(</w:t>
      </w:r>
      <w:r w:rsidRPr="007E2A3D">
        <w:t>Recycling Victoria (2023) Waste projection model available at</w:t>
      </w:r>
      <w:r>
        <w:t xml:space="preserve"> </w:t>
      </w:r>
      <w:hyperlink r:id="rId33" w:history="1">
        <w:r w:rsidRPr="00396CE9">
          <w:rPr>
            <w:rStyle w:val="Hyperlink"/>
          </w:rPr>
          <w:t>https://www.vic.gov.au/</w:t>
        </w:r>
        <w:r w:rsidRPr="00396CE9">
          <w:rPr>
            <w:rStyle w:val="Hyperlink"/>
          </w:rPr>
          <w:br/>
        </w:r>
        <w:proofErr w:type="spellStart"/>
        <w:r w:rsidRPr="00396CE9">
          <w:rPr>
            <w:rStyle w:val="Hyperlink"/>
          </w:rPr>
          <w:t>victorias</w:t>
        </w:r>
        <w:proofErr w:type="spellEnd"/>
        <w:r w:rsidRPr="00396CE9">
          <w:rPr>
            <w:rStyle w:val="Hyperlink"/>
          </w:rPr>
          <w:t>-waste-projection-model-dashboard</w:t>
        </w:r>
      </w:hyperlink>
      <w:r w:rsidRPr="007E2A3D">
        <w:t xml:space="preserve"> The data in the table is</w:t>
      </w:r>
      <w:r>
        <w:t xml:space="preserve"> </w:t>
      </w:r>
      <w:r w:rsidRPr="007E2A3D">
        <w:t>based on actual data from 2020–21</w:t>
      </w:r>
      <w:r>
        <w:t>)</w:t>
      </w:r>
    </w:p>
    <w:p w14:paraId="5D95BDE2" w14:textId="77777777" w:rsidR="00F5165D" w:rsidRDefault="00F5165D">
      <w:pPr>
        <w:suppressAutoHyphens w:val="0"/>
        <w:spacing w:after="160"/>
        <w:rPr>
          <w:rFonts w:cs="Times New Roman (Body CS)"/>
          <w:kern w:val="24"/>
          <w:lang w:val="en-GB"/>
        </w:rPr>
      </w:pPr>
      <w:r>
        <w:br w:type="page"/>
      </w:r>
    </w:p>
    <w:p w14:paraId="1A2D9FF5" w14:textId="60F69C62" w:rsidR="00EF5E0B" w:rsidRPr="00EF5E0B" w:rsidRDefault="00EF5E0B" w:rsidP="00C2301E">
      <w:pPr>
        <w:pStyle w:val="CaseStudyHeading"/>
      </w:pPr>
      <w:r w:rsidRPr="00EF5E0B">
        <w:lastRenderedPageBreak/>
        <w:t xml:space="preserve">Case study: Procuring composting infrastructure for the City of Greater Bendigo region to improve </w:t>
      </w:r>
      <w:proofErr w:type="gramStart"/>
      <w:r w:rsidRPr="00EF5E0B">
        <w:t>circularity</w:t>
      </w:r>
      <w:proofErr w:type="gramEnd"/>
    </w:p>
    <w:p w14:paraId="635E3B57" w14:textId="73A5DB0F" w:rsidR="00EF5E0B" w:rsidRPr="00EF5E0B" w:rsidRDefault="00EF5E0B" w:rsidP="00EF5E0B">
      <w:pPr>
        <w:pStyle w:val="BodyText"/>
      </w:pPr>
      <w:r w:rsidRPr="00EF5E0B">
        <w:t xml:space="preserve">With the </w:t>
      </w:r>
      <w:proofErr w:type="spellStart"/>
      <w:r w:rsidRPr="00EF5E0B">
        <w:t>Eaglehawk</w:t>
      </w:r>
      <w:proofErr w:type="spellEnd"/>
      <w:r w:rsidRPr="00EF5E0B">
        <w:t xml:space="preserve"> Landfill site estimated to reach its full capacity by early 2024, the City of Greater Bendigo brought its circular economy thinking to the fore to provide new ways of handling recyclable materials. To divert recyclable materials from going to landfill, council has identified food and garden organics (FOGO) as one of the key material streams that will require an alternative service for the </w:t>
      </w:r>
      <w:proofErr w:type="gramStart"/>
      <w:r w:rsidRPr="00EF5E0B">
        <w:t>local residents</w:t>
      </w:r>
      <w:proofErr w:type="gramEnd"/>
      <w:r w:rsidRPr="00EF5E0B">
        <w:t>.</w:t>
      </w:r>
    </w:p>
    <w:p w14:paraId="3117616E" w14:textId="3CD1C177" w:rsidR="00EF5E0B" w:rsidRPr="00EF5E0B" w:rsidRDefault="00EF5E0B" w:rsidP="00EF5E0B">
      <w:pPr>
        <w:pStyle w:val="BodyText"/>
      </w:pPr>
      <w:r w:rsidRPr="00EF5E0B">
        <w:t>The City of Greater Bendigo manages about 20,000 tonnes of FOGO annually and there is a need to develop an improved composting service that is close to the municipality, to minimise transport costs and emissions.</w:t>
      </w:r>
    </w:p>
    <w:p w14:paraId="7D132C83" w14:textId="55F7C52D" w:rsidR="00EF5E0B" w:rsidRPr="00EF5E0B" w:rsidRDefault="00EF5E0B" w:rsidP="00EF5E0B">
      <w:pPr>
        <w:pStyle w:val="BodyText"/>
      </w:pPr>
      <w:r w:rsidRPr="00EF5E0B">
        <w:t>One such solution was the establishment of a privately owned local composting site within 25km of Bendigo. A 6-hectare City of Greater Bendigo owned site was selected after the completion of a co-design infrastructure solution procurement process, as the site for a new in-vessel composting facility</w:t>
      </w:r>
    </w:p>
    <w:p w14:paraId="639F9061" w14:textId="77777777" w:rsidR="00EF5E0B" w:rsidRPr="00EF5E0B" w:rsidRDefault="00EF5E0B" w:rsidP="00EF5E0B">
      <w:pPr>
        <w:pStyle w:val="BodyText"/>
      </w:pPr>
      <w:r w:rsidRPr="00EF5E0B">
        <w:t xml:space="preserve">The site has several features that made it an attractive proposition for the city. It is located about 12 kilometres away from central Bendigo, well within the targeted region, and is adjacent to the Bendigo Livestock Exchange with adequate buffer zones already in place to minimise impact on </w:t>
      </w:r>
      <w:proofErr w:type="gramStart"/>
      <w:r w:rsidRPr="00EF5E0B">
        <w:t>local residents</w:t>
      </w:r>
      <w:proofErr w:type="gramEnd"/>
      <w:r w:rsidRPr="00EF5E0B">
        <w:t>.</w:t>
      </w:r>
    </w:p>
    <w:p w14:paraId="7B72BD90" w14:textId="1D542C1C" w:rsidR="00EF5E0B" w:rsidRPr="00EF5E0B" w:rsidRDefault="00EF5E0B" w:rsidP="00EF5E0B">
      <w:pPr>
        <w:pStyle w:val="BodyText"/>
      </w:pPr>
      <w:r w:rsidRPr="00EF5E0B">
        <w:t>The City of Greater Bendigo entered into a 20-year service agreement and lease with Western Composting Technology (WCT) to establish a circular economy in the region through a new FOGO processing and recirculation facility. With the guaranteed supply of FOGO material, this arrangement provides investment confidence to WCT to deliver sufficient capacity and capability to manage the FOGO waste collected from the City as well as from smaller (by population) councils adjacent to Bendigo.</w:t>
      </w:r>
    </w:p>
    <w:p w14:paraId="17C9DF54" w14:textId="36895529" w:rsidR="00F5165D" w:rsidRDefault="00EF5E0B" w:rsidP="00F5165D">
      <w:pPr>
        <w:pStyle w:val="BodyText"/>
      </w:pPr>
      <w:r w:rsidRPr="00EF5E0B">
        <w:t>The facility is scheduled for commissioning by October 2024 and is expected to reduce emissions by 16% in comparison to the current kerbside organics disposal system.</w:t>
      </w:r>
      <w:r w:rsidR="00F5165D">
        <w:br/>
      </w:r>
      <w:r w:rsidR="00F5165D">
        <w:br w:type="page"/>
      </w:r>
    </w:p>
    <w:p w14:paraId="6ED40C0B" w14:textId="0655772E" w:rsidR="00EF5E0B" w:rsidRPr="00EF5E0B" w:rsidRDefault="00EF5E0B" w:rsidP="00F5165D">
      <w:pPr>
        <w:pStyle w:val="Heading2"/>
      </w:pPr>
      <w:bookmarkStart w:id="38" w:name="_Toc161758541"/>
      <w:r w:rsidRPr="00EF5E0B">
        <w:lastRenderedPageBreak/>
        <w:t>Paper and cardboard</w:t>
      </w:r>
      <w:bookmarkEnd w:id="38"/>
    </w:p>
    <w:p w14:paraId="5E8FBF28" w14:textId="412D0311" w:rsidR="00EF5E0B" w:rsidRPr="00EF5E0B" w:rsidRDefault="00EF5E0B" w:rsidP="00EF5E0B">
      <w:pPr>
        <w:pStyle w:val="BodyText"/>
      </w:pPr>
      <w:r w:rsidRPr="00EF5E0B">
        <w:t>Victoria’s recovered paper and cardboard market and supply chain is mature; however, there is opportunity to improve the current overall recovery rate (57%). Whilst this current Victorian performance is consistent with other well performing jurisdictions, there is a particular opportunity to increase cardboard recovery in the C&amp;I sector.</w:t>
      </w:r>
    </w:p>
    <w:p w14:paraId="4BA55A77" w14:textId="76DB754B" w:rsidR="00EF5E0B" w:rsidRPr="00EF5E0B" w:rsidRDefault="00EF5E0B" w:rsidP="00EF5E0B">
      <w:pPr>
        <w:pStyle w:val="BodyText"/>
      </w:pPr>
      <w:r w:rsidRPr="00EF5E0B">
        <w:t>The circularity potential of paper and cardboard is highest when most grades of material are recycled back into their original product, but the net import of cardboard doesn’t match the domestic consumption of recovered materials. This remains a national challenge that results in export of the surplus material.</w:t>
      </w:r>
    </w:p>
    <w:p w14:paraId="218C6784" w14:textId="77777777" w:rsidR="00EF5E0B" w:rsidRPr="00EF5E0B" w:rsidRDefault="00EF5E0B" w:rsidP="00231129">
      <w:pPr>
        <w:pStyle w:val="Heading3"/>
      </w:pPr>
      <w:bookmarkStart w:id="39" w:name="_Toc161758542"/>
      <w:r w:rsidRPr="00EF5E0B">
        <w:t>Developments and changes</w:t>
      </w:r>
      <w:bookmarkEnd w:id="39"/>
    </w:p>
    <w:p w14:paraId="226BF617" w14:textId="539C3B24" w:rsidR="00EF5E0B" w:rsidRPr="00823811" w:rsidRDefault="00EF5E0B" w:rsidP="00EF5E0B">
      <w:pPr>
        <w:pStyle w:val="BodyText"/>
        <w:rPr>
          <w:u w:val="thick"/>
        </w:rPr>
      </w:pPr>
      <w:r w:rsidRPr="00EF5E0B">
        <w:t>The balance between C&amp;I and MSW collections has changed due to e-commerce and home deliveries. This means less source separated collections and potential issues with contamination</w:t>
      </w:r>
      <w:r w:rsidR="00823811">
        <w:t>. (</w:t>
      </w:r>
      <w:r w:rsidR="00823811" w:rsidRPr="00823811">
        <w:t xml:space="preserve">Recycling Victoria (2023) Market insight report kerbside paper and paperboard packaging available at </w:t>
      </w:r>
      <w:hyperlink r:id="rId34" w:history="1">
        <w:r w:rsidR="00823811" w:rsidRPr="00823811">
          <w:rPr>
            <w:rStyle w:val="Hyperlink"/>
          </w:rPr>
          <w:t>https://www.vic.gov.au/kerbside-paper-and-paperboard</w:t>
        </w:r>
      </w:hyperlink>
      <w:r w:rsidR="00823811" w:rsidRPr="00823811">
        <w:t>)</w:t>
      </w:r>
      <w:r w:rsidRPr="00EF5E0B">
        <w:t>.</w:t>
      </w:r>
    </w:p>
    <w:p w14:paraId="22CCA09B" w14:textId="295CF7F3" w:rsidR="00EF5E0B" w:rsidRPr="00EF5E0B" w:rsidRDefault="00EF5E0B" w:rsidP="00EF5E0B">
      <w:pPr>
        <w:pStyle w:val="BodyText"/>
      </w:pPr>
      <w:r w:rsidRPr="00EF5E0B">
        <w:t>Other consumption patterns continue to change. Local market conditions and cost-of-living issues are limiting consumption of paper and corrugated packaging. Consumption of newsprint is declining, and supply is becoming less reliable and there are fewer opportunities to reprocess.</w:t>
      </w:r>
      <w:r w:rsidR="001164EC">
        <w:t xml:space="preserve"> </w:t>
      </w:r>
      <w:r w:rsidR="0027313B">
        <w:t>(</w:t>
      </w:r>
      <w:r w:rsidR="0027313B" w:rsidRPr="00823811">
        <w:t xml:space="preserve">Recycling Victoria (2023) Market insight report kerbside paper and paperboard packaging available at </w:t>
      </w:r>
      <w:hyperlink r:id="rId35" w:history="1">
        <w:r w:rsidR="0027313B" w:rsidRPr="00823811">
          <w:rPr>
            <w:rStyle w:val="Hyperlink"/>
          </w:rPr>
          <w:t>https://www.vic.gov.au/kerbside-paper-and-paperboard</w:t>
        </w:r>
      </w:hyperlink>
      <w:r w:rsidR="0027313B" w:rsidRPr="00823811">
        <w:t>)</w:t>
      </w:r>
      <w:r w:rsidR="0027313B" w:rsidRPr="00EF5E0B">
        <w:t>.</w:t>
      </w:r>
    </w:p>
    <w:p w14:paraId="1F3A2264" w14:textId="0B7F19C1" w:rsidR="00EF5E0B" w:rsidRPr="0027313B" w:rsidRDefault="00EF5E0B" w:rsidP="00EF5E0B">
      <w:pPr>
        <w:pStyle w:val="BodyText"/>
        <w:rPr>
          <w:u w:val="thick"/>
        </w:rPr>
      </w:pPr>
      <w:r w:rsidRPr="00EF5E0B">
        <w:t>Exports have reduced due to improvements in local recycling into established products and overseas restrictions, and Australia’s final ‘white paper’ plant closed in 2023, due to unreliable supply</w:t>
      </w:r>
      <w:r w:rsidR="0027313B">
        <w:t>. (</w:t>
      </w:r>
      <w:r w:rsidR="0027313B" w:rsidRPr="0027313B">
        <w:t xml:space="preserve">Opal Press (2023) News Release: Opal Australian Paper Maryvale Mill supply update retrieved from </w:t>
      </w:r>
      <w:hyperlink r:id="rId36" w:history="1">
        <w:r w:rsidR="0027313B" w:rsidRPr="0027313B">
          <w:rPr>
            <w:rStyle w:val="Hyperlink"/>
          </w:rPr>
          <w:t>https://opalanz.com/news/opal-australian-paper-maryvale-mill-supply-update/</w:t>
        </w:r>
      </w:hyperlink>
      <w:r w:rsidR="0027313B" w:rsidRPr="0027313B">
        <w:t>)</w:t>
      </w:r>
      <w:r w:rsidRPr="0027313B">
        <w:t>.</w:t>
      </w:r>
    </w:p>
    <w:p w14:paraId="14462621" w14:textId="77777777" w:rsidR="00EF5E0B" w:rsidRPr="00EF5E0B" w:rsidRDefault="00EF5E0B" w:rsidP="00EF5E0B">
      <w:pPr>
        <w:pStyle w:val="BodyText"/>
      </w:pPr>
      <w:r w:rsidRPr="00EF5E0B">
        <w:t>Growth in demand for sustainable fibre-based solutions to replace other forms of packaging is anticipated over the coming decade.</w:t>
      </w:r>
    </w:p>
    <w:p w14:paraId="6231849F" w14:textId="77777777" w:rsidR="00EF5E0B" w:rsidRPr="00EF5E0B" w:rsidRDefault="00EF5E0B" w:rsidP="00231129">
      <w:pPr>
        <w:pStyle w:val="Heading3"/>
      </w:pPr>
      <w:bookmarkStart w:id="40" w:name="_Toc161758543"/>
      <w:r w:rsidRPr="00EF5E0B">
        <w:lastRenderedPageBreak/>
        <w:t>Market performance</w:t>
      </w:r>
      <w:bookmarkEnd w:id="40"/>
    </w:p>
    <w:p w14:paraId="20B9B04A" w14:textId="77777777" w:rsidR="00EF5E0B" w:rsidRPr="00EF5E0B" w:rsidRDefault="00EF5E0B" w:rsidP="00EF5E0B">
      <w:pPr>
        <w:pStyle w:val="BodyText"/>
      </w:pPr>
      <w:r w:rsidRPr="00EF5E0B">
        <w:t xml:space="preserve">Victoria has 10 paper and cardboard recovery facilities and 6 paper and cardboard </w:t>
      </w:r>
      <w:proofErr w:type="spellStart"/>
      <w:r w:rsidRPr="00EF5E0B">
        <w:t>reprocessors</w:t>
      </w:r>
      <w:proofErr w:type="spellEnd"/>
      <w:r w:rsidRPr="00EF5E0B">
        <w:t>.</w:t>
      </w:r>
    </w:p>
    <w:p w14:paraId="15B2335C" w14:textId="5EA9FD69" w:rsidR="00EF5E0B" w:rsidRPr="00EF5E0B" w:rsidRDefault="00EF5E0B" w:rsidP="00EF5E0B">
      <w:pPr>
        <w:pStyle w:val="BodyText"/>
      </w:pPr>
      <w:r w:rsidRPr="00EF5E0B">
        <w:t>Materials are reprocessed locally in Victoria with 65% of the recovered total. Material is turned into newsprint, printing and communication products, tissue products, packaging and industrial products and other products like kitty litter, compost insulation and building products.</w:t>
      </w:r>
    </w:p>
    <w:p w14:paraId="70691B59" w14:textId="3545EE00" w:rsidR="00EF5E0B" w:rsidRPr="00170B1E" w:rsidRDefault="00EF5E0B" w:rsidP="00EF5E0B">
      <w:pPr>
        <w:pStyle w:val="BodyText"/>
        <w:rPr>
          <w:u w:val="thick"/>
        </w:rPr>
      </w:pPr>
      <w:r w:rsidRPr="00EF5E0B">
        <w:t>Australia-wide volume of paper and paperboard available for recovery is significantly greater than total consumption, largely due to product imports arriving in corrugated boxes</w:t>
      </w:r>
      <w:r w:rsidR="00170B1E">
        <w:t>. (</w:t>
      </w:r>
      <w:r w:rsidR="00170B1E" w:rsidRPr="00170B1E">
        <w:t xml:space="preserve">Blue Environment (2023) National Waste Report 2022. Prepared for the Department of Climate Change, Energy, the Environment and Water. Available at </w:t>
      </w:r>
      <w:hyperlink r:id="rId37" w:history="1">
        <w:r w:rsidR="00170B1E" w:rsidRPr="00170B1E">
          <w:rPr>
            <w:rStyle w:val="Hyperlink"/>
          </w:rPr>
          <w:t>https://www.dcceew.gov.au/environment/protection/waste/national-waste-reports/2022</w:t>
        </w:r>
      </w:hyperlink>
      <w:r w:rsidR="00170B1E">
        <w:t>)</w:t>
      </w:r>
      <w:r w:rsidRPr="00EF5E0B">
        <w:t>.</w:t>
      </w:r>
    </w:p>
    <w:p w14:paraId="0B4B17C0" w14:textId="551053E8" w:rsidR="00EF5E0B" w:rsidRPr="00EF5E0B" w:rsidRDefault="00EF5E0B" w:rsidP="00EF5E0B">
      <w:pPr>
        <w:pStyle w:val="BodyText"/>
      </w:pPr>
      <w:r w:rsidRPr="00EF5E0B">
        <w:t>Domestic manufacturers of paper and cardboard drive recovery (collection, sorting, handling, and re-supply) of paper and cardboard. Increases in material from MSW collections may increase difficulty to collect and separate the resource for recovery by these manufacturers</w:t>
      </w:r>
      <w:r w:rsidR="00170B1E">
        <w:t>. (</w:t>
      </w:r>
      <w:r w:rsidR="00170B1E" w:rsidRPr="00170B1E">
        <w:t xml:space="preserve">Blue Environment (2023) National Waste Report 2022. Prepared for the Department of Climate Change, Energy, the Environment and Water. Available at </w:t>
      </w:r>
      <w:hyperlink r:id="rId38" w:history="1">
        <w:r w:rsidR="00170B1E" w:rsidRPr="00170B1E">
          <w:rPr>
            <w:rStyle w:val="Hyperlink"/>
          </w:rPr>
          <w:t>https://www.dcceew.gov.au/environment/protection/waste/national-waste-reports/2022</w:t>
        </w:r>
      </w:hyperlink>
      <w:r w:rsidR="00170B1E">
        <w:t>)</w:t>
      </w:r>
      <w:r w:rsidRPr="00EF5E0B">
        <w:t>.</w:t>
      </w:r>
    </w:p>
    <w:p w14:paraId="5ADAE250" w14:textId="5C2FC172" w:rsidR="00EF5E0B" w:rsidRPr="00EF5E0B" w:rsidRDefault="00EF5E0B" w:rsidP="00231129">
      <w:pPr>
        <w:pStyle w:val="Heading3"/>
      </w:pPr>
      <w:bookmarkStart w:id="41" w:name="_Toc161758544"/>
      <w:r w:rsidRPr="00EF5E0B">
        <w:t>Market issues and challenges</w:t>
      </w:r>
      <w:bookmarkEnd w:id="41"/>
    </w:p>
    <w:p w14:paraId="1A28EE6E" w14:textId="77777777" w:rsidR="00EF5E0B" w:rsidRPr="00EF5E0B" w:rsidRDefault="00EF5E0B" w:rsidP="00EF5E0B">
      <w:pPr>
        <w:pStyle w:val="BodyText"/>
      </w:pPr>
      <w:r w:rsidRPr="00EF5E0B">
        <w:t xml:space="preserve">The </w:t>
      </w:r>
      <w:r w:rsidRPr="00EF5E0B">
        <w:rPr>
          <w:i/>
          <w:iCs/>
        </w:rPr>
        <w:t>National Recycling and Waste Reduction</w:t>
      </w:r>
      <w:r w:rsidRPr="00EF5E0B">
        <w:t xml:space="preserve"> (</w:t>
      </w:r>
      <w:r w:rsidRPr="00EF5E0B">
        <w:rPr>
          <w:i/>
          <w:iCs/>
        </w:rPr>
        <w:t>Export – Paper and Cardboard</w:t>
      </w:r>
      <w:r w:rsidRPr="00EF5E0B">
        <w:t xml:space="preserve">) </w:t>
      </w:r>
      <w:r w:rsidRPr="00EF5E0B">
        <w:rPr>
          <w:i/>
          <w:iCs/>
        </w:rPr>
        <w:t>Rules 2020</w:t>
      </w:r>
      <w:r w:rsidRPr="00EF5E0B">
        <w:t xml:space="preserve"> take effect in 2024. Mixed or unsorted recovered paper, most of which is collected at kerbside, is proposed for export regulation.</w:t>
      </w:r>
    </w:p>
    <w:p w14:paraId="2F4FC3DC" w14:textId="056B6275" w:rsidR="00EF5E0B" w:rsidRPr="00170B1E" w:rsidRDefault="00EF5E0B" w:rsidP="00170B1E">
      <w:pPr>
        <w:pStyle w:val="BodyText"/>
      </w:pPr>
      <w:r w:rsidRPr="00EF5E0B">
        <w:t>Increased circularity of paper and cardboard depends on reducing consumption (including imports of material) and transitioning to reusable models (especially for packaging). Transport distances associated with an over-reliance on the ‘hub and spoke’ model can also reduce recovery and recycling. MSW material (mixed paper) has limited value but continuous supply. This mixed paper stream is significant in volume, however, has limited end markets locally</w:t>
      </w:r>
      <w:r w:rsidR="00170B1E">
        <w:t>. (</w:t>
      </w:r>
      <w:r w:rsidR="00170B1E" w:rsidRPr="00170B1E">
        <w:t xml:space="preserve">Recycling Victoria (2023) Market insight report kerbside paper and paperboard packaging available at </w:t>
      </w:r>
      <w:hyperlink r:id="rId39" w:history="1">
        <w:r w:rsidR="00170B1E" w:rsidRPr="00170B1E">
          <w:rPr>
            <w:rStyle w:val="Hyperlink"/>
          </w:rPr>
          <w:t>https://www.vic.gov.au/kerbside-paper-and-paperboard</w:t>
        </w:r>
      </w:hyperlink>
      <w:r w:rsidR="00170B1E">
        <w:t>).</w:t>
      </w:r>
    </w:p>
    <w:p w14:paraId="221996DB" w14:textId="77777777" w:rsidR="00EF5E0B" w:rsidRPr="00EF5E0B" w:rsidRDefault="00EF5E0B" w:rsidP="00231129">
      <w:pPr>
        <w:pStyle w:val="Heading3"/>
      </w:pPr>
      <w:bookmarkStart w:id="42" w:name="_Toc161758545"/>
      <w:r w:rsidRPr="00EF5E0B">
        <w:lastRenderedPageBreak/>
        <w:t>Areas for greater circularity – paper and cardboard</w:t>
      </w:r>
      <w:bookmarkEnd w:id="42"/>
    </w:p>
    <w:p w14:paraId="4ABD116C" w14:textId="77777777" w:rsidR="00EF5E0B" w:rsidRPr="00EF5E0B" w:rsidRDefault="00EF5E0B" w:rsidP="00EF5E0B">
      <w:pPr>
        <w:pStyle w:val="BodyText"/>
      </w:pPr>
      <w:r w:rsidRPr="00EF5E0B">
        <w:t>The greatest areas for improved circularity for this material stream are:</w:t>
      </w:r>
    </w:p>
    <w:p w14:paraId="5252291C" w14:textId="77777777" w:rsidR="00EF5E0B" w:rsidRPr="00EF5E0B" w:rsidRDefault="00EF5E0B" w:rsidP="00231129">
      <w:pPr>
        <w:pStyle w:val="ListBullet"/>
      </w:pPr>
      <w:r w:rsidRPr="00EF5E0B">
        <w:t>sorting and strategic diversion of specific grades</w:t>
      </w:r>
    </w:p>
    <w:p w14:paraId="34FFFEF3" w14:textId="0E7E801A" w:rsidR="00EF5E0B" w:rsidRPr="00DE76BB" w:rsidRDefault="00EF5E0B" w:rsidP="00DE76BB">
      <w:pPr>
        <w:pStyle w:val="ListBullet"/>
        <w:rPr>
          <w:u w:val="thick"/>
        </w:rPr>
      </w:pPr>
      <w:r w:rsidRPr="00EF5E0B">
        <w:t>improved sorting capability to meet export regulation</w:t>
      </w:r>
      <w:r w:rsidR="00DE76BB">
        <w:t xml:space="preserve"> (</w:t>
      </w:r>
      <w:r w:rsidR="00DE76BB" w:rsidRPr="00DE76BB">
        <w:t xml:space="preserve">Sustainability Victoria (2023) Invest in paper and cardboard available from </w:t>
      </w:r>
      <w:hyperlink r:id="rId40" w:history="1">
        <w:r w:rsidR="00DE76BB" w:rsidRPr="00DE76BB">
          <w:rPr>
            <w:rStyle w:val="Hyperlink"/>
          </w:rPr>
          <w:t>https://www.sustainability.vic.gov.au/grants-funding-and-investment/invest-in-victorias-circular-economy/invest-in-materials-and-infrastructure/invest-in-paper-cardboard</w:t>
        </w:r>
      </w:hyperlink>
      <w:r w:rsidR="00DE76BB">
        <w:t>).</w:t>
      </w:r>
    </w:p>
    <w:p w14:paraId="5BE479B5" w14:textId="0526D2D6" w:rsidR="00EF5E0B" w:rsidRPr="00EF5E0B" w:rsidRDefault="00EF5E0B" w:rsidP="00231129">
      <w:pPr>
        <w:pStyle w:val="ListBullet"/>
      </w:pPr>
      <w:r w:rsidRPr="00EF5E0B">
        <w:t xml:space="preserve">specifications for paper/cardboard materials to be appropriately </w:t>
      </w:r>
      <w:proofErr w:type="gramStart"/>
      <w:r w:rsidRPr="00EF5E0B">
        <w:t>exported</w:t>
      </w:r>
      <w:proofErr w:type="gramEnd"/>
    </w:p>
    <w:p w14:paraId="671DEEE4" w14:textId="77777777" w:rsidR="00EF5E0B" w:rsidRPr="00EF5E0B" w:rsidRDefault="00EF5E0B" w:rsidP="00231129">
      <w:pPr>
        <w:pStyle w:val="ListBullet"/>
      </w:pPr>
      <w:r w:rsidRPr="00EF5E0B">
        <w:t xml:space="preserve">alternate packaging product to replace packaging with a low recovery </w:t>
      </w:r>
      <w:proofErr w:type="gramStart"/>
      <w:r w:rsidRPr="00EF5E0B">
        <w:t>rate</w:t>
      </w:r>
      <w:proofErr w:type="gramEnd"/>
    </w:p>
    <w:p w14:paraId="02628E61" w14:textId="77777777" w:rsidR="00EF5E0B" w:rsidRPr="00EF5E0B" w:rsidRDefault="00EF5E0B" w:rsidP="00231129">
      <w:pPr>
        <w:pStyle w:val="ListBullet"/>
      </w:pPr>
      <w:r w:rsidRPr="00EF5E0B">
        <w:t>targeted community education</w:t>
      </w:r>
    </w:p>
    <w:p w14:paraId="19FCC1C8" w14:textId="77777777" w:rsidR="00EF5E0B" w:rsidRPr="00EF5E0B" w:rsidRDefault="00EF5E0B" w:rsidP="00231129">
      <w:pPr>
        <w:pStyle w:val="ListBullet"/>
      </w:pPr>
      <w:r w:rsidRPr="00EF5E0B">
        <w:t>high quality cardboard recovery from C&amp;I sector</w:t>
      </w:r>
    </w:p>
    <w:p w14:paraId="10A2E563" w14:textId="77777777" w:rsidR="00EF5E0B" w:rsidRDefault="00EF5E0B" w:rsidP="00231129">
      <w:pPr>
        <w:pStyle w:val="Bullet1last"/>
      </w:pPr>
      <w:r w:rsidRPr="00EF5E0B">
        <w:t xml:space="preserve">local processing of the MSW stream. </w:t>
      </w:r>
    </w:p>
    <w:p w14:paraId="4B28C1AF" w14:textId="77777777" w:rsidR="009E52EF" w:rsidRDefault="009E52EF">
      <w:pPr>
        <w:suppressAutoHyphens w:val="0"/>
        <w:spacing w:after="160"/>
        <w:rPr>
          <w:rFonts w:cs="Times New Roman (Body CS)"/>
          <w:b/>
          <w:bCs/>
          <w:kern w:val="24"/>
          <w:lang w:val="en-GB"/>
        </w:rPr>
      </w:pPr>
      <w:r>
        <w:rPr>
          <w:b/>
          <w:bCs/>
        </w:rPr>
        <w:br w:type="page"/>
      </w:r>
    </w:p>
    <w:p w14:paraId="573A3CEC" w14:textId="5F3D3BB7" w:rsidR="00EF5E0B" w:rsidRDefault="00EF5E0B" w:rsidP="00EF5E0B">
      <w:pPr>
        <w:pStyle w:val="BodyText"/>
        <w:rPr>
          <w:b/>
          <w:bCs/>
        </w:rPr>
      </w:pPr>
      <w:r w:rsidRPr="00EF5E0B">
        <w:rPr>
          <w:b/>
          <w:bCs/>
        </w:rPr>
        <w:lastRenderedPageBreak/>
        <w:t>Table 8: Generation and recovery of paper and cardboard</w:t>
      </w:r>
    </w:p>
    <w:tbl>
      <w:tblPr>
        <w:tblStyle w:val="Style2"/>
        <w:tblW w:w="9921" w:type="dxa"/>
        <w:tblLayout w:type="fixed"/>
        <w:tblLook w:val="0020" w:firstRow="1" w:lastRow="0" w:firstColumn="0" w:lastColumn="0" w:noHBand="0" w:noVBand="0"/>
        <w:tblCaption w:val="Table 8: Generation and recovery of paper and cardboard"/>
        <w:tblDescription w:val="Generation and Recovery data for different paper and cardboard materials and sources"/>
      </w:tblPr>
      <w:tblGrid>
        <w:gridCol w:w="1980"/>
        <w:gridCol w:w="1985"/>
        <w:gridCol w:w="1985"/>
        <w:gridCol w:w="1985"/>
        <w:gridCol w:w="1986"/>
      </w:tblGrid>
      <w:tr w:rsidR="00962DA1" w:rsidRPr="00515EE5" w14:paraId="49784372"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1980" w:type="dxa"/>
          </w:tcPr>
          <w:p w14:paraId="5D0902A6" w14:textId="77777777" w:rsidR="00962DA1" w:rsidRPr="00515EE5" w:rsidRDefault="00962DA1" w:rsidP="006D6167">
            <w:pPr>
              <w:pStyle w:val="BodyText"/>
              <w:spacing w:line="276" w:lineRule="auto"/>
            </w:pPr>
            <w:r w:rsidRPr="00515EE5">
              <w:t>Stream</w:t>
            </w:r>
          </w:p>
        </w:tc>
        <w:tc>
          <w:tcPr>
            <w:tcW w:w="1985" w:type="dxa"/>
          </w:tcPr>
          <w:p w14:paraId="3DB774D2" w14:textId="77777777" w:rsidR="00962DA1" w:rsidRDefault="00962DA1" w:rsidP="006D6167">
            <w:pPr>
              <w:pStyle w:val="BodyText"/>
              <w:spacing w:line="276" w:lineRule="auto"/>
              <w:rPr>
                <w:b w:val="0"/>
              </w:rPr>
            </w:pPr>
            <w:r w:rsidRPr="00515EE5">
              <w:t>Tonnes Generated</w:t>
            </w:r>
          </w:p>
          <w:p w14:paraId="42095FF3" w14:textId="77777777" w:rsidR="00962DA1" w:rsidRPr="00515EE5" w:rsidRDefault="00962DA1" w:rsidP="006D6167">
            <w:pPr>
              <w:pStyle w:val="BodyText"/>
              <w:spacing w:line="276" w:lineRule="auto"/>
              <w:rPr>
                <w:b w:val="0"/>
              </w:rPr>
            </w:pPr>
            <w:r>
              <w:t>(</w:t>
            </w:r>
            <w:r w:rsidRPr="00515EE5">
              <w:t>Tonnes</w:t>
            </w:r>
            <w:r>
              <w:t>)</w:t>
            </w:r>
          </w:p>
        </w:tc>
        <w:tc>
          <w:tcPr>
            <w:tcW w:w="1985" w:type="dxa"/>
          </w:tcPr>
          <w:p w14:paraId="7CB2C7F0" w14:textId="77777777" w:rsidR="00962DA1" w:rsidRDefault="00962DA1" w:rsidP="006D6167">
            <w:pPr>
              <w:pStyle w:val="BodyText"/>
              <w:spacing w:line="276" w:lineRule="auto"/>
              <w:rPr>
                <w:b w:val="0"/>
              </w:rPr>
            </w:pPr>
            <w:r w:rsidRPr="00515EE5">
              <w:t>Proportion Generated</w:t>
            </w:r>
          </w:p>
          <w:p w14:paraId="71AD3A25" w14:textId="77777777" w:rsidR="00962DA1" w:rsidRPr="00515EE5" w:rsidRDefault="00962DA1" w:rsidP="006D6167">
            <w:pPr>
              <w:pStyle w:val="BodyText"/>
              <w:spacing w:line="276" w:lineRule="auto"/>
            </w:pPr>
            <w:r>
              <w:t>(%)</w:t>
            </w:r>
          </w:p>
        </w:tc>
        <w:tc>
          <w:tcPr>
            <w:tcW w:w="1985" w:type="dxa"/>
          </w:tcPr>
          <w:p w14:paraId="1D9C964E"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1B3EE15D" w14:textId="77777777" w:rsidR="00962DA1" w:rsidRPr="00F15770" w:rsidRDefault="00962DA1" w:rsidP="006D6167">
            <w:pPr>
              <w:pStyle w:val="BodyText"/>
              <w:spacing w:line="276" w:lineRule="auto"/>
              <w:rPr>
                <w:b w:val="0"/>
              </w:rPr>
            </w:pPr>
            <w:r>
              <w:t>(</w:t>
            </w:r>
            <w:r w:rsidRPr="00515EE5">
              <w:t>Tonnes</w:t>
            </w:r>
            <w:r>
              <w:t>)</w:t>
            </w:r>
          </w:p>
        </w:tc>
        <w:tc>
          <w:tcPr>
            <w:tcW w:w="1986" w:type="dxa"/>
          </w:tcPr>
          <w:p w14:paraId="56587B02" w14:textId="5ABBBD14" w:rsidR="00962DA1" w:rsidRDefault="00962DA1" w:rsidP="006D6167">
            <w:pPr>
              <w:pStyle w:val="BodyText"/>
              <w:spacing w:line="276" w:lineRule="auto"/>
              <w:rPr>
                <w:b w:val="0"/>
              </w:rPr>
            </w:pPr>
            <w:r w:rsidRPr="00515EE5">
              <w:t xml:space="preserve">Recovery </w:t>
            </w:r>
            <w:r w:rsidR="002F0A22">
              <w:br/>
            </w:r>
            <w:r w:rsidRPr="00515EE5">
              <w:t>Rate</w:t>
            </w:r>
          </w:p>
          <w:p w14:paraId="1B73EDD8" w14:textId="77777777" w:rsidR="00962DA1" w:rsidRPr="00515EE5" w:rsidRDefault="00962DA1" w:rsidP="006D6167">
            <w:pPr>
              <w:pStyle w:val="BodyText"/>
              <w:spacing w:line="276" w:lineRule="auto"/>
            </w:pPr>
            <w:r>
              <w:t>(%)</w:t>
            </w:r>
          </w:p>
        </w:tc>
      </w:tr>
      <w:tr w:rsidR="002F0A22" w:rsidRPr="00515EE5" w14:paraId="5AAF4C76" w14:textId="77777777" w:rsidTr="00C43336">
        <w:trPr>
          <w:trHeight w:val="60"/>
        </w:trPr>
        <w:tc>
          <w:tcPr>
            <w:tcW w:w="1980" w:type="dxa"/>
          </w:tcPr>
          <w:p w14:paraId="25C04D4C" w14:textId="3E193F39" w:rsidR="002F0A22" w:rsidRPr="00515EE5" w:rsidRDefault="002F0A22" w:rsidP="002F0A22">
            <w:pPr>
              <w:pStyle w:val="Tabletext"/>
            </w:pPr>
            <w:r w:rsidRPr="00EF5E0B">
              <w:t>MSW</w:t>
            </w:r>
          </w:p>
        </w:tc>
        <w:tc>
          <w:tcPr>
            <w:tcW w:w="1985" w:type="dxa"/>
          </w:tcPr>
          <w:p w14:paraId="5D623121" w14:textId="699B3FC0" w:rsidR="002F0A22" w:rsidRPr="00515EE5" w:rsidRDefault="002F0A22" w:rsidP="002F0A22">
            <w:pPr>
              <w:pStyle w:val="Tabletext"/>
            </w:pPr>
            <w:r w:rsidRPr="00EF5E0B">
              <w:t>515,900</w:t>
            </w:r>
          </w:p>
        </w:tc>
        <w:tc>
          <w:tcPr>
            <w:tcW w:w="1985" w:type="dxa"/>
          </w:tcPr>
          <w:p w14:paraId="1B0394A2" w14:textId="03E9A4FC" w:rsidR="002F0A22" w:rsidRPr="00515EE5" w:rsidRDefault="002F0A22" w:rsidP="002F0A22">
            <w:pPr>
              <w:pStyle w:val="Tabletext"/>
            </w:pPr>
            <w:r w:rsidRPr="00EF5E0B">
              <w:t>34%</w:t>
            </w:r>
          </w:p>
        </w:tc>
        <w:tc>
          <w:tcPr>
            <w:tcW w:w="1985" w:type="dxa"/>
          </w:tcPr>
          <w:p w14:paraId="7369D5ED" w14:textId="356B112B" w:rsidR="002F0A22" w:rsidRPr="00515EE5" w:rsidRDefault="002F0A22" w:rsidP="002F0A22">
            <w:pPr>
              <w:pStyle w:val="Tabletext"/>
            </w:pPr>
            <w:r w:rsidRPr="00EF5E0B">
              <w:t>230,100</w:t>
            </w:r>
          </w:p>
        </w:tc>
        <w:tc>
          <w:tcPr>
            <w:tcW w:w="1986" w:type="dxa"/>
          </w:tcPr>
          <w:p w14:paraId="3E40E573" w14:textId="677E6C3F" w:rsidR="002F0A22" w:rsidRPr="00515EE5" w:rsidRDefault="002F0A22" w:rsidP="002F0A22">
            <w:pPr>
              <w:pStyle w:val="Tabletext"/>
            </w:pPr>
            <w:r w:rsidRPr="00EF5E0B">
              <w:t>45%</w:t>
            </w:r>
          </w:p>
        </w:tc>
      </w:tr>
      <w:tr w:rsidR="002F0A22" w:rsidRPr="00515EE5" w14:paraId="08B9D9BA" w14:textId="77777777" w:rsidTr="00C43336">
        <w:trPr>
          <w:trHeight w:val="60"/>
        </w:trPr>
        <w:tc>
          <w:tcPr>
            <w:tcW w:w="1980" w:type="dxa"/>
          </w:tcPr>
          <w:p w14:paraId="121522FC" w14:textId="780B8D9E" w:rsidR="002F0A22" w:rsidRPr="00515EE5" w:rsidRDefault="002F0A22" w:rsidP="002F0A22">
            <w:pPr>
              <w:pStyle w:val="Tabletext"/>
            </w:pPr>
            <w:r w:rsidRPr="00EF5E0B">
              <w:t>C&amp;I</w:t>
            </w:r>
          </w:p>
        </w:tc>
        <w:tc>
          <w:tcPr>
            <w:tcW w:w="1985" w:type="dxa"/>
          </w:tcPr>
          <w:p w14:paraId="4FEBE866" w14:textId="6E44D357" w:rsidR="002F0A22" w:rsidRPr="00515EE5" w:rsidRDefault="002F0A22" w:rsidP="002F0A22">
            <w:pPr>
              <w:pStyle w:val="Tabletext"/>
            </w:pPr>
            <w:r w:rsidRPr="00EF5E0B">
              <w:t>975,100</w:t>
            </w:r>
          </w:p>
        </w:tc>
        <w:tc>
          <w:tcPr>
            <w:tcW w:w="1985" w:type="dxa"/>
          </w:tcPr>
          <w:p w14:paraId="283F7C81" w14:textId="616CB4DA" w:rsidR="002F0A22" w:rsidRPr="00515EE5" w:rsidRDefault="002F0A22" w:rsidP="002F0A22">
            <w:pPr>
              <w:pStyle w:val="Tabletext"/>
            </w:pPr>
            <w:r w:rsidRPr="00EF5E0B">
              <w:t>65%</w:t>
            </w:r>
          </w:p>
        </w:tc>
        <w:tc>
          <w:tcPr>
            <w:tcW w:w="1985" w:type="dxa"/>
          </w:tcPr>
          <w:p w14:paraId="26982679" w14:textId="2262FFF7" w:rsidR="002F0A22" w:rsidRPr="00515EE5" w:rsidRDefault="002F0A22" w:rsidP="002F0A22">
            <w:pPr>
              <w:pStyle w:val="Tabletext"/>
            </w:pPr>
            <w:r w:rsidRPr="00EF5E0B">
              <w:t>616,300</w:t>
            </w:r>
          </w:p>
        </w:tc>
        <w:tc>
          <w:tcPr>
            <w:tcW w:w="1986" w:type="dxa"/>
          </w:tcPr>
          <w:p w14:paraId="3608BFFB" w14:textId="4B02685E" w:rsidR="002F0A22" w:rsidRPr="00515EE5" w:rsidRDefault="002F0A22" w:rsidP="002F0A22">
            <w:pPr>
              <w:pStyle w:val="Tabletext"/>
            </w:pPr>
            <w:r w:rsidRPr="00EF5E0B">
              <w:t>63%</w:t>
            </w:r>
          </w:p>
        </w:tc>
      </w:tr>
      <w:tr w:rsidR="002F0A22" w:rsidRPr="00515EE5" w14:paraId="27E93237" w14:textId="77777777" w:rsidTr="00C43336">
        <w:trPr>
          <w:trHeight w:val="60"/>
        </w:trPr>
        <w:tc>
          <w:tcPr>
            <w:tcW w:w="1980" w:type="dxa"/>
          </w:tcPr>
          <w:p w14:paraId="5CE26A5E" w14:textId="366ABC7C" w:rsidR="002F0A22" w:rsidRPr="00515EE5" w:rsidRDefault="002F0A22" w:rsidP="002F0A22">
            <w:pPr>
              <w:pStyle w:val="Tabletext"/>
            </w:pPr>
            <w:r w:rsidRPr="00EF5E0B">
              <w:t>C&amp;D</w:t>
            </w:r>
          </w:p>
        </w:tc>
        <w:tc>
          <w:tcPr>
            <w:tcW w:w="1985" w:type="dxa"/>
          </w:tcPr>
          <w:p w14:paraId="75178205" w14:textId="37CDAED3" w:rsidR="002F0A22" w:rsidRPr="00515EE5" w:rsidRDefault="002F0A22" w:rsidP="002F0A22">
            <w:pPr>
              <w:pStyle w:val="Tabletext"/>
            </w:pPr>
            <w:r w:rsidRPr="00EF5E0B">
              <w:t>19,300</w:t>
            </w:r>
          </w:p>
        </w:tc>
        <w:tc>
          <w:tcPr>
            <w:tcW w:w="1985" w:type="dxa"/>
          </w:tcPr>
          <w:p w14:paraId="21E3ECE9" w14:textId="68B89CF5" w:rsidR="002F0A22" w:rsidRPr="00515EE5" w:rsidRDefault="002F0A22" w:rsidP="002F0A22">
            <w:pPr>
              <w:pStyle w:val="Tabletext"/>
            </w:pPr>
            <w:r w:rsidRPr="00EF5E0B">
              <w:t>1%</w:t>
            </w:r>
          </w:p>
        </w:tc>
        <w:tc>
          <w:tcPr>
            <w:tcW w:w="1985" w:type="dxa"/>
          </w:tcPr>
          <w:p w14:paraId="40045A1F" w14:textId="0D6A47B6" w:rsidR="002F0A22" w:rsidRPr="00515EE5" w:rsidRDefault="002F0A22" w:rsidP="002F0A22">
            <w:pPr>
              <w:pStyle w:val="Tabletext"/>
            </w:pPr>
            <w:r w:rsidRPr="00EF5E0B">
              <w:t>10,800</w:t>
            </w:r>
          </w:p>
        </w:tc>
        <w:tc>
          <w:tcPr>
            <w:tcW w:w="1986" w:type="dxa"/>
          </w:tcPr>
          <w:p w14:paraId="020228F0" w14:textId="414DC963" w:rsidR="002F0A22" w:rsidRPr="00515EE5" w:rsidRDefault="002F0A22" w:rsidP="002F0A22">
            <w:pPr>
              <w:pStyle w:val="Tabletext"/>
            </w:pPr>
            <w:r w:rsidRPr="00EF5E0B">
              <w:t>56%</w:t>
            </w:r>
          </w:p>
        </w:tc>
      </w:tr>
      <w:tr w:rsidR="002F0A22" w:rsidRPr="00515EE5" w14:paraId="657AE033" w14:textId="77777777" w:rsidTr="00C43336">
        <w:trPr>
          <w:trHeight w:val="60"/>
        </w:trPr>
        <w:tc>
          <w:tcPr>
            <w:tcW w:w="1980" w:type="dxa"/>
            <w:tcBorders>
              <w:bottom w:val="single" w:sz="4" w:space="0" w:color="auto"/>
            </w:tcBorders>
          </w:tcPr>
          <w:p w14:paraId="38383635" w14:textId="6033C49D" w:rsidR="002F0A22" w:rsidRPr="002F0A22" w:rsidRDefault="002F0A22" w:rsidP="002F0A22">
            <w:pPr>
              <w:pStyle w:val="Tabletext"/>
              <w:rPr>
                <w:b/>
                <w:bCs/>
              </w:rPr>
            </w:pPr>
            <w:r w:rsidRPr="002F0A22">
              <w:rPr>
                <w:b/>
                <w:bCs/>
              </w:rPr>
              <w:t>Total</w:t>
            </w:r>
          </w:p>
        </w:tc>
        <w:tc>
          <w:tcPr>
            <w:tcW w:w="1985" w:type="dxa"/>
            <w:tcBorders>
              <w:bottom w:val="single" w:sz="4" w:space="0" w:color="auto"/>
            </w:tcBorders>
          </w:tcPr>
          <w:p w14:paraId="5F847202" w14:textId="3D0A9938" w:rsidR="002F0A22" w:rsidRPr="002F0A22" w:rsidRDefault="002F0A22" w:rsidP="002F0A22">
            <w:pPr>
              <w:pStyle w:val="Tabletext"/>
              <w:rPr>
                <w:b/>
                <w:bCs/>
              </w:rPr>
            </w:pPr>
            <w:r w:rsidRPr="002F0A22">
              <w:rPr>
                <w:b/>
                <w:bCs/>
              </w:rPr>
              <w:t>1,510,300</w:t>
            </w:r>
          </w:p>
        </w:tc>
        <w:tc>
          <w:tcPr>
            <w:tcW w:w="1985" w:type="dxa"/>
            <w:tcBorders>
              <w:bottom w:val="single" w:sz="4" w:space="0" w:color="auto"/>
            </w:tcBorders>
          </w:tcPr>
          <w:p w14:paraId="77169FFF" w14:textId="614057C2" w:rsidR="002F0A22" w:rsidRPr="002F0A22" w:rsidRDefault="002F0A22" w:rsidP="002F0A22">
            <w:pPr>
              <w:pStyle w:val="Tabletext"/>
              <w:rPr>
                <w:b/>
                <w:bCs/>
              </w:rPr>
            </w:pPr>
          </w:p>
        </w:tc>
        <w:tc>
          <w:tcPr>
            <w:tcW w:w="1985" w:type="dxa"/>
            <w:tcBorders>
              <w:bottom w:val="single" w:sz="4" w:space="0" w:color="auto"/>
            </w:tcBorders>
          </w:tcPr>
          <w:p w14:paraId="3A0501B5" w14:textId="5AA4DF8B" w:rsidR="002F0A22" w:rsidRPr="002F0A22" w:rsidRDefault="002F0A22" w:rsidP="002F0A22">
            <w:pPr>
              <w:pStyle w:val="Tabletext"/>
              <w:rPr>
                <w:b/>
                <w:bCs/>
              </w:rPr>
            </w:pPr>
            <w:r w:rsidRPr="002F0A22">
              <w:rPr>
                <w:b/>
                <w:bCs/>
              </w:rPr>
              <w:t>857,200</w:t>
            </w:r>
          </w:p>
        </w:tc>
        <w:tc>
          <w:tcPr>
            <w:tcW w:w="1986" w:type="dxa"/>
            <w:tcBorders>
              <w:bottom w:val="single" w:sz="4" w:space="0" w:color="auto"/>
            </w:tcBorders>
          </w:tcPr>
          <w:p w14:paraId="6D1F5132" w14:textId="0220CE69" w:rsidR="002F0A22" w:rsidRPr="002F0A22" w:rsidRDefault="002F0A22" w:rsidP="002F0A22">
            <w:pPr>
              <w:pStyle w:val="Tabletext"/>
              <w:rPr>
                <w:b/>
                <w:bCs/>
              </w:rPr>
            </w:pPr>
            <w:r w:rsidRPr="002F0A22">
              <w:rPr>
                <w:b/>
                <w:bCs/>
              </w:rPr>
              <w:t>57%</w:t>
            </w:r>
          </w:p>
        </w:tc>
      </w:tr>
      <w:tr w:rsidR="00962DA1" w:rsidRPr="00515EE5" w14:paraId="00D28D7E" w14:textId="77777777" w:rsidTr="00C43336">
        <w:trPr>
          <w:trHeight w:val="60"/>
        </w:trPr>
        <w:tc>
          <w:tcPr>
            <w:tcW w:w="1980" w:type="dxa"/>
            <w:tcBorders>
              <w:left w:val="nil"/>
              <w:right w:val="nil"/>
            </w:tcBorders>
          </w:tcPr>
          <w:p w14:paraId="35F7FA17" w14:textId="77777777" w:rsidR="00962DA1" w:rsidRPr="00F15770" w:rsidRDefault="00962DA1" w:rsidP="006D6167">
            <w:pPr>
              <w:pStyle w:val="Tabletext"/>
              <w:rPr>
                <w:b/>
                <w:bCs/>
              </w:rPr>
            </w:pPr>
          </w:p>
        </w:tc>
        <w:tc>
          <w:tcPr>
            <w:tcW w:w="1985" w:type="dxa"/>
            <w:tcBorders>
              <w:left w:val="nil"/>
              <w:right w:val="nil"/>
            </w:tcBorders>
          </w:tcPr>
          <w:p w14:paraId="05421DF9" w14:textId="77777777" w:rsidR="00962DA1" w:rsidRPr="00F15770" w:rsidRDefault="00962DA1" w:rsidP="006D6167">
            <w:pPr>
              <w:pStyle w:val="Tabletext"/>
              <w:rPr>
                <w:b/>
                <w:bCs/>
              </w:rPr>
            </w:pPr>
          </w:p>
        </w:tc>
        <w:tc>
          <w:tcPr>
            <w:tcW w:w="1985" w:type="dxa"/>
            <w:tcBorders>
              <w:left w:val="nil"/>
              <w:right w:val="nil"/>
            </w:tcBorders>
          </w:tcPr>
          <w:p w14:paraId="54849639" w14:textId="77777777" w:rsidR="00962DA1" w:rsidRPr="00F15770" w:rsidRDefault="00962DA1" w:rsidP="006D6167">
            <w:pPr>
              <w:pStyle w:val="Tabletext"/>
              <w:rPr>
                <w:b/>
                <w:bCs/>
              </w:rPr>
            </w:pPr>
          </w:p>
        </w:tc>
        <w:tc>
          <w:tcPr>
            <w:tcW w:w="1985" w:type="dxa"/>
            <w:tcBorders>
              <w:left w:val="nil"/>
              <w:right w:val="nil"/>
            </w:tcBorders>
          </w:tcPr>
          <w:p w14:paraId="7D83EE75" w14:textId="77777777" w:rsidR="00962DA1" w:rsidRPr="00F15770" w:rsidRDefault="00962DA1" w:rsidP="006D6167">
            <w:pPr>
              <w:pStyle w:val="Tabletext"/>
              <w:rPr>
                <w:b/>
                <w:bCs/>
              </w:rPr>
            </w:pPr>
          </w:p>
        </w:tc>
        <w:tc>
          <w:tcPr>
            <w:tcW w:w="1986" w:type="dxa"/>
            <w:tcBorders>
              <w:left w:val="nil"/>
              <w:right w:val="nil"/>
            </w:tcBorders>
          </w:tcPr>
          <w:p w14:paraId="495FF1F8" w14:textId="77777777" w:rsidR="00962DA1" w:rsidRPr="00F15770" w:rsidRDefault="00962DA1" w:rsidP="006D6167">
            <w:pPr>
              <w:pStyle w:val="Tabletext"/>
              <w:rPr>
                <w:b/>
                <w:bCs/>
              </w:rPr>
            </w:pPr>
          </w:p>
        </w:tc>
      </w:tr>
      <w:tr w:rsidR="00962DA1" w:rsidRPr="00515EE5" w14:paraId="36186E44" w14:textId="77777777" w:rsidTr="00C43336">
        <w:trPr>
          <w:trHeight w:val="60"/>
        </w:trPr>
        <w:tc>
          <w:tcPr>
            <w:tcW w:w="1980" w:type="dxa"/>
            <w:shd w:val="clear" w:color="auto" w:fill="F2F2F2" w:themeFill="background1" w:themeFillShade="F2"/>
          </w:tcPr>
          <w:p w14:paraId="288AB872" w14:textId="77777777" w:rsidR="00962DA1" w:rsidRPr="006B4C87" w:rsidRDefault="00962DA1" w:rsidP="006D6167">
            <w:pPr>
              <w:pStyle w:val="Tabletext"/>
              <w:rPr>
                <w:b/>
                <w:bCs/>
              </w:rPr>
            </w:pPr>
            <w:r w:rsidRPr="006B4C87">
              <w:rPr>
                <w:b/>
                <w:bCs/>
              </w:rPr>
              <w:t>Material</w:t>
            </w:r>
          </w:p>
        </w:tc>
        <w:tc>
          <w:tcPr>
            <w:tcW w:w="1985" w:type="dxa"/>
            <w:shd w:val="clear" w:color="auto" w:fill="F2F2F2" w:themeFill="background1" w:themeFillShade="F2"/>
          </w:tcPr>
          <w:p w14:paraId="6CD2C48E" w14:textId="77777777" w:rsidR="00962DA1" w:rsidRPr="006B4C87" w:rsidRDefault="00962DA1" w:rsidP="006D6167">
            <w:pPr>
              <w:pStyle w:val="BodyText"/>
              <w:spacing w:line="276" w:lineRule="auto"/>
              <w:rPr>
                <w:b/>
                <w:bCs/>
              </w:rPr>
            </w:pPr>
            <w:r w:rsidRPr="006B4C87">
              <w:rPr>
                <w:b/>
                <w:bCs/>
              </w:rPr>
              <w:t>Tonnes Generated</w:t>
            </w:r>
          </w:p>
          <w:p w14:paraId="6CCB6A71" w14:textId="77777777" w:rsidR="00962DA1" w:rsidRPr="006B4C87" w:rsidRDefault="00962DA1" w:rsidP="006D6167">
            <w:pPr>
              <w:pStyle w:val="Tabletext"/>
              <w:rPr>
                <w:b/>
                <w:bCs/>
              </w:rPr>
            </w:pPr>
            <w:r w:rsidRPr="006B4C87">
              <w:rPr>
                <w:b/>
                <w:bCs/>
              </w:rPr>
              <w:t>(Tonnes)</w:t>
            </w:r>
          </w:p>
        </w:tc>
        <w:tc>
          <w:tcPr>
            <w:tcW w:w="1985" w:type="dxa"/>
            <w:shd w:val="clear" w:color="auto" w:fill="F2F2F2" w:themeFill="background1" w:themeFillShade="F2"/>
          </w:tcPr>
          <w:p w14:paraId="52BF5408" w14:textId="77777777" w:rsidR="00962DA1" w:rsidRPr="006B4C87" w:rsidRDefault="00962DA1" w:rsidP="006D6167">
            <w:pPr>
              <w:pStyle w:val="BodyText"/>
              <w:spacing w:line="276" w:lineRule="auto"/>
              <w:rPr>
                <w:b/>
                <w:bCs/>
              </w:rPr>
            </w:pPr>
            <w:r w:rsidRPr="006B4C87">
              <w:rPr>
                <w:b/>
                <w:bCs/>
              </w:rPr>
              <w:t>Proportion Generated</w:t>
            </w:r>
          </w:p>
          <w:p w14:paraId="11078ECD" w14:textId="77777777" w:rsidR="00962DA1" w:rsidRPr="006B4C87" w:rsidRDefault="00962DA1" w:rsidP="006D6167">
            <w:pPr>
              <w:pStyle w:val="Tabletext"/>
              <w:rPr>
                <w:b/>
                <w:bCs/>
              </w:rPr>
            </w:pPr>
            <w:r w:rsidRPr="006B4C87">
              <w:rPr>
                <w:b/>
                <w:bCs/>
              </w:rPr>
              <w:t>(</w:t>
            </w:r>
            <w:r>
              <w:rPr>
                <w:b/>
                <w:bCs/>
              </w:rPr>
              <w:t>%</w:t>
            </w:r>
            <w:r w:rsidRPr="006B4C87">
              <w:rPr>
                <w:b/>
                <w:bCs/>
              </w:rPr>
              <w:t>)</w:t>
            </w:r>
          </w:p>
        </w:tc>
        <w:tc>
          <w:tcPr>
            <w:tcW w:w="1985" w:type="dxa"/>
            <w:shd w:val="clear" w:color="auto" w:fill="F2F2F2" w:themeFill="background1" w:themeFillShade="F2"/>
          </w:tcPr>
          <w:p w14:paraId="69FE046B"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50FC74AE" w14:textId="77777777" w:rsidR="00962DA1" w:rsidRPr="006B4C87" w:rsidRDefault="00962DA1" w:rsidP="006D6167">
            <w:pPr>
              <w:pStyle w:val="Tabletext"/>
              <w:rPr>
                <w:b/>
                <w:bCs/>
              </w:rPr>
            </w:pPr>
            <w:r w:rsidRPr="006B4C87">
              <w:rPr>
                <w:b/>
                <w:bCs/>
              </w:rPr>
              <w:t>(Tonnes)</w:t>
            </w:r>
          </w:p>
        </w:tc>
        <w:tc>
          <w:tcPr>
            <w:tcW w:w="1986" w:type="dxa"/>
            <w:shd w:val="clear" w:color="auto" w:fill="F2F2F2" w:themeFill="background1" w:themeFillShade="F2"/>
          </w:tcPr>
          <w:p w14:paraId="00152210" w14:textId="5700F4CA" w:rsidR="00962DA1" w:rsidRPr="006B4C87" w:rsidRDefault="00962DA1" w:rsidP="006D6167">
            <w:pPr>
              <w:pStyle w:val="BodyText"/>
              <w:spacing w:line="276" w:lineRule="auto"/>
              <w:rPr>
                <w:b/>
                <w:bCs/>
              </w:rPr>
            </w:pPr>
            <w:r w:rsidRPr="006B4C87">
              <w:rPr>
                <w:b/>
                <w:bCs/>
              </w:rPr>
              <w:t xml:space="preserve">Recovery </w:t>
            </w:r>
            <w:r w:rsidR="002F0A22">
              <w:rPr>
                <w:b/>
                <w:bCs/>
              </w:rPr>
              <w:br/>
            </w:r>
            <w:r w:rsidRPr="006B4C87">
              <w:rPr>
                <w:b/>
                <w:bCs/>
              </w:rPr>
              <w:t>Rate</w:t>
            </w:r>
          </w:p>
          <w:p w14:paraId="45C8740A" w14:textId="77777777" w:rsidR="00962DA1" w:rsidRPr="006B4C87" w:rsidRDefault="00962DA1" w:rsidP="006D6167">
            <w:pPr>
              <w:pStyle w:val="Tabletext"/>
              <w:rPr>
                <w:b/>
                <w:bCs/>
              </w:rPr>
            </w:pPr>
            <w:r w:rsidRPr="006B4C87">
              <w:rPr>
                <w:b/>
                <w:bCs/>
              </w:rPr>
              <w:t>(</w:t>
            </w:r>
            <w:r>
              <w:rPr>
                <w:b/>
                <w:bCs/>
              </w:rPr>
              <w:t>%</w:t>
            </w:r>
            <w:r w:rsidRPr="006B4C87">
              <w:rPr>
                <w:b/>
                <w:bCs/>
              </w:rPr>
              <w:t>)</w:t>
            </w:r>
          </w:p>
        </w:tc>
      </w:tr>
      <w:tr w:rsidR="002F0A22" w:rsidRPr="00515EE5" w14:paraId="438C3492" w14:textId="77777777" w:rsidTr="00C43336">
        <w:trPr>
          <w:trHeight w:val="60"/>
        </w:trPr>
        <w:tc>
          <w:tcPr>
            <w:tcW w:w="1980" w:type="dxa"/>
          </w:tcPr>
          <w:p w14:paraId="624AE484" w14:textId="5C003992" w:rsidR="002F0A22" w:rsidRPr="00F15770" w:rsidRDefault="002F0A22" w:rsidP="002F0A22">
            <w:pPr>
              <w:pStyle w:val="Tabletext"/>
              <w:rPr>
                <w:b/>
                <w:bCs/>
              </w:rPr>
            </w:pPr>
            <w:r w:rsidRPr="00EF5E0B">
              <w:t>Cardboard</w:t>
            </w:r>
          </w:p>
        </w:tc>
        <w:tc>
          <w:tcPr>
            <w:tcW w:w="1985" w:type="dxa"/>
          </w:tcPr>
          <w:p w14:paraId="6E2D9689" w14:textId="0FAD841D" w:rsidR="002F0A22" w:rsidRPr="00F15770" w:rsidRDefault="002F0A22" w:rsidP="002F0A22">
            <w:pPr>
              <w:pStyle w:val="Tabletext"/>
              <w:rPr>
                <w:b/>
                <w:bCs/>
              </w:rPr>
            </w:pPr>
            <w:r w:rsidRPr="00EF5E0B">
              <w:t>660,800</w:t>
            </w:r>
          </w:p>
        </w:tc>
        <w:tc>
          <w:tcPr>
            <w:tcW w:w="1985" w:type="dxa"/>
          </w:tcPr>
          <w:p w14:paraId="65F4E5E7" w14:textId="0EB1F97F" w:rsidR="002F0A22" w:rsidRPr="00F15770" w:rsidRDefault="002F0A22" w:rsidP="002F0A22">
            <w:pPr>
              <w:pStyle w:val="Tabletext"/>
              <w:rPr>
                <w:b/>
                <w:bCs/>
              </w:rPr>
            </w:pPr>
            <w:r w:rsidRPr="00EF5E0B">
              <w:t>44%</w:t>
            </w:r>
          </w:p>
        </w:tc>
        <w:tc>
          <w:tcPr>
            <w:tcW w:w="1985" w:type="dxa"/>
          </w:tcPr>
          <w:p w14:paraId="7F24AA8D" w14:textId="5CBD3003" w:rsidR="002F0A22" w:rsidRPr="00F15770" w:rsidRDefault="002F0A22" w:rsidP="002F0A22">
            <w:pPr>
              <w:pStyle w:val="Tabletext"/>
              <w:rPr>
                <w:b/>
                <w:bCs/>
              </w:rPr>
            </w:pPr>
            <w:r w:rsidRPr="00EF5E0B">
              <w:t>514,700</w:t>
            </w:r>
          </w:p>
        </w:tc>
        <w:tc>
          <w:tcPr>
            <w:tcW w:w="1986" w:type="dxa"/>
          </w:tcPr>
          <w:p w14:paraId="3CAFE90C" w14:textId="60E7C9BD" w:rsidR="002F0A22" w:rsidRPr="00F15770" w:rsidRDefault="002F0A22" w:rsidP="002F0A22">
            <w:pPr>
              <w:pStyle w:val="Tabletext"/>
              <w:rPr>
                <w:b/>
                <w:bCs/>
              </w:rPr>
            </w:pPr>
            <w:r w:rsidRPr="00EF5E0B">
              <w:t>78%</w:t>
            </w:r>
          </w:p>
        </w:tc>
      </w:tr>
      <w:tr w:rsidR="002F0A22" w:rsidRPr="00515EE5" w14:paraId="3636DBAD" w14:textId="77777777" w:rsidTr="00C43336">
        <w:trPr>
          <w:trHeight w:val="60"/>
        </w:trPr>
        <w:tc>
          <w:tcPr>
            <w:tcW w:w="1980" w:type="dxa"/>
          </w:tcPr>
          <w:p w14:paraId="74C99C41" w14:textId="37335205" w:rsidR="002F0A22" w:rsidRPr="00F15770" w:rsidRDefault="002F0A22" w:rsidP="002F0A22">
            <w:pPr>
              <w:pStyle w:val="Tabletext"/>
              <w:rPr>
                <w:b/>
                <w:bCs/>
              </w:rPr>
            </w:pPr>
            <w:r w:rsidRPr="00EF5E0B">
              <w:t>Liquid paperboard</w:t>
            </w:r>
          </w:p>
        </w:tc>
        <w:tc>
          <w:tcPr>
            <w:tcW w:w="1985" w:type="dxa"/>
          </w:tcPr>
          <w:p w14:paraId="757C53EF" w14:textId="46DE550B" w:rsidR="002F0A22" w:rsidRPr="00F15770" w:rsidRDefault="002F0A22" w:rsidP="002F0A22">
            <w:pPr>
              <w:pStyle w:val="Tabletext"/>
              <w:rPr>
                <w:b/>
                <w:bCs/>
              </w:rPr>
            </w:pPr>
            <w:r w:rsidRPr="00EF5E0B">
              <w:t>67,000</w:t>
            </w:r>
          </w:p>
        </w:tc>
        <w:tc>
          <w:tcPr>
            <w:tcW w:w="1985" w:type="dxa"/>
          </w:tcPr>
          <w:p w14:paraId="3DACEE70" w14:textId="5A716EEC" w:rsidR="002F0A22" w:rsidRPr="00F15770" w:rsidRDefault="002F0A22" w:rsidP="002F0A22">
            <w:pPr>
              <w:pStyle w:val="Tabletext"/>
              <w:rPr>
                <w:b/>
                <w:bCs/>
              </w:rPr>
            </w:pPr>
            <w:r w:rsidRPr="00EF5E0B">
              <w:t>4%</w:t>
            </w:r>
          </w:p>
        </w:tc>
        <w:tc>
          <w:tcPr>
            <w:tcW w:w="1985" w:type="dxa"/>
          </w:tcPr>
          <w:p w14:paraId="2E4406D8" w14:textId="4CB92B1A" w:rsidR="002F0A22" w:rsidRPr="00F15770" w:rsidRDefault="002F0A22" w:rsidP="002F0A22">
            <w:pPr>
              <w:pStyle w:val="Tabletext"/>
              <w:rPr>
                <w:b/>
                <w:bCs/>
              </w:rPr>
            </w:pPr>
            <w:r w:rsidRPr="00EF5E0B">
              <w:t>–</w:t>
            </w:r>
          </w:p>
        </w:tc>
        <w:tc>
          <w:tcPr>
            <w:tcW w:w="1986" w:type="dxa"/>
          </w:tcPr>
          <w:p w14:paraId="02C7633D" w14:textId="76B75657" w:rsidR="002F0A22" w:rsidRPr="00F15770" w:rsidRDefault="002F0A22" w:rsidP="002F0A22">
            <w:pPr>
              <w:pStyle w:val="Tabletext"/>
              <w:rPr>
                <w:b/>
                <w:bCs/>
              </w:rPr>
            </w:pPr>
            <w:r w:rsidRPr="00EF5E0B">
              <w:t>0%</w:t>
            </w:r>
          </w:p>
        </w:tc>
      </w:tr>
      <w:tr w:rsidR="002F0A22" w:rsidRPr="00515EE5" w14:paraId="58BD8752" w14:textId="77777777" w:rsidTr="00C43336">
        <w:trPr>
          <w:trHeight w:val="60"/>
        </w:trPr>
        <w:tc>
          <w:tcPr>
            <w:tcW w:w="1980" w:type="dxa"/>
          </w:tcPr>
          <w:p w14:paraId="71963E62" w14:textId="727835E6" w:rsidR="002F0A22" w:rsidRPr="00F15770" w:rsidRDefault="002F0A22" w:rsidP="002F0A22">
            <w:pPr>
              <w:pStyle w:val="Tabletext"/>
              <w:rPr>
                <w:b/>
                <w:bCs/>
              </w:rPr>
            </w:pPr>
            <w:r w:rsidRPr="00EF5E0B">
              <w:t>Newsprint and magazines</w:t>
            </w:r>
          </w:p>
        </w:tc>
        <w:tc>
          <w:tcPr>
            <w:tcW w:w="1985" w:type="dxa"/>
          </w:tcPr>
          <w:p w14:paraId="2BE431D6" w14:textId="08B8A0C9" w:rsidR="002F0A22" w:rsidRPr="00F15770" w:rsidRDefault="002F0A22" w:rsidP="002F0A22">
            <w:pPr>
              <w:pStyle w:val="Tabletext"/>
              <w:rPr>
                <w:b/>
                <w:bCs/>
              </w:rPr>
            </w:pPr>
            <w:r w:rsidRPr="00EF5E0B">
              <w:t>14,600</w:t>
            </w:r>
          </w:p>
        </w:tc>
        <w:tc>
          <w:tcPr>
            <w:tcW w:w="1985" w:type="dxa"/>
          </w:tcPr>
          <w:p w14:paraId="6C58985C" w14:textId="2DFCE59C" w:rsidR="002F0A22" w:rsidRPr="00F15770" w:rsidRDefault="002F0A22" w:rsidP="002F0A22">
            <w:pPr>
              <w:pStyle w:val="Tabletext"/>
              <w:rPr>
                <w:b/>
                <w:bCs/>
              </w:rPr>
            </w:pPr>
            <w:r w:rsidRPr="00EF5E0B">
              <w:t>1%</w:t>
            </w:r>
          </w:p>
        </w:tc>
        <w:tc>
          <w:tcPr>
            <w:tcW w:w="1985" w:type="dxa"/>
          </w:tcPr>
          <w:p w14:paraId="1DD9F56A" w14:textId="5A015A0D" w:rsidR="002F0A22" w:rsidRPr="00F15770" w:rsidRDefault="002F0A22" w:rsidP="002F0A22">
            <w:pPr>
              <w:pStyle w:val="Tabletext"/>
              <w:rPr>
                <w:b/>
                <w:bCs/>
              </w:rPr>
            </w:pPr>
            <w:r w:rsidRPr="00EF5E0B">
              <w:t>14,600</w:t>
            </w:r>
          </w:p>
        </w:tc>
        <w:tc>
          <w:tcPr>
            <w:tcW w:w="1986" w:type="dxa"/>
          </w:tcPr>
          <w:p w14:paraId="4DA89DE0" w14:textId="00E89066" w:rsidR="002F0A22" w:rsidRPr="00F15770" w:rsidRDefault="002F0A22" w:rsidP="002F0A22">
            <w:pPr>
              <w:pStyle w:val="Tabletext"/>
              <w:rPr>
                <w:b/>
                <w:bCs/>
              </w:rPr>
            </w:pPr>
            <w:r w:rsidRPr="00EF5E0B">
              <w:t>100%</w:t>
            </w:r>
          </w:p>
        </w:tc>
      </w:tr>
      <w:tr w:rsidR="002F0A22" w:rsidRPr="00515EE5" w14:paraId="39CD5845" w14:textId="77777777" w:rsidTr="00C43336">
        <w:trPr>
          <w:trHeight w:val="60"/>
        </w:trPr>
        <w:tc>
          <w:tcPr>
            <w:tcW w:w="1980" w:type="dxa"/>
          </w:tcPr>
          <w:p w14:paraId="44FF7FC7" w14:textId="74F84D34" w:rsidR="002F0A22" w:rsidRPr="00F15770" w:rsidRDefault="002F0A22" w:rsidP="002F0A22">
            <w:pPr>
              <w:pStyle w:val="Tabletext"/>
              <w:rPr>
                <w:b/>
                <w:bCs/>
              </w:rPr>
            </w:pPr>
            <w:r w:rsidRPr="00EF5E0B">
              <w:t>Other paper (mixed)</w:t>
            </w:r>
          </w:p>
        </w:tc>
        <w:tc>
          <w:tcPr>
            <w:tcW w:w="1985" w:type="dxa"/>
          </w:tcPr>
          <w:p w14:paraId="18D5CB3D" w14:textId="74B6ADEA" w:rsidR="002F0A22" w:rsidRPr="00F15770" w:rsidRDefault="002F0A22" w:rsidP="002F0A22">
            <w:pPr>
              <w:pStyle w:val="Tabletext"/>
              <w:rPr>
                <w:b/>
                <w:bCs/>
              </w:rPr>
            </w:pPr>
            <w:r w:rsidRPr="00EF5E0B">
              <w:t>560,800</w:t>
            </w:r>
          </w:p>
        </w:tc>
        <w:tc>
          <w:tcPr>
            <w:tcW w:w="1985" w:type="dxa"/>
          </w:tcPr>
          <w:p w14:paraId="5CE2A3BF" w14:textId="1F3AD023" w:rsidR="002F0A22" w:rsidRPr="00F15770" w:rsidRDefault="002F0A22" w:rsidP="002F0A22">
            <w:pPr>
              <w:pStyle w:val="Tabletext"/>
              <w:rPr>
                <w:b/>
                <w:bCs/>
              </w:rPr>
            </w:pPr>
            <w:r w:rsidRPr="00EF5E0B">
              <w:t>37%</w:t>
            </w:r>
          </w:p>
        </w:tc>
        <w:tc>
          <w:tcPr>
            <w:tcW w:w="1985" w:type="dxa"/>
          </w:tcPr>
          <w:p w14:paraId="7DB0C640" w14:textId="2E4F985F" w:rsidR="002F0A22" w:rsidRPr="00F15770" w:rsidRDefault="002F0A22" w:rsidP="002F0A22">
            <w:pPr>
              <w:pStyle w:val="Tabletext"/>
              <w:rPr>
                <w:b/>
                <w:bCs/>
              </w:rPr>
            </w:pPr>
            <w:r w:rsidRPr="00EF5E0B">
              <w:t>316,900</w:t>
            </w:r>
          </w:p>
        </w:tc>
        <w:tc>
          <w:tcPr>
            <w:tcW w:w="1986" w:type="dxa"/>
          </w:tcPr>
          <w:p w14:paraId="01B28CB9" w14:textId="3E953D31" w:rsidR="002F0A22" w:rsidRPr="00F15770" w:rsidRDefault="002F0A22" w:rsidP="002F0A22">
            <w:pPr>
              <w:pStyle w:val="Tabletext"/>
              <w:rPr>
                <w:b/>
                <w:bCs/>
              </w:rPr>
            </w:pPr>
            <w:r w:rsidRPr="00EF5E0B">
              <w:t>57%</w:t>
            </w:r>
          </w:p>
        </w:tc>
      </w:tr>
      <w:tr w:rsidR="002F0A22" w:rsidRPr="00515EE5" w14:paraId="7A4AA995" w14:textId="77777777" w:rsidTr="00C43336">
        <w:trPr>
          <w:trHeight w:val="60"/>
        </w:trPr>
        <w:tc>
          <w:tcPr>
            <w:tcW w:w="1980" w:type="dxa"/>
          </w:tcPr>
          <w:p w14:paraId="4696B7BE" w14:textId="7E5961FB" w:rsidR="002F0A22" w:rsidRPr="00F15770" w:rsidRDefault="002F0A22" w:rsidP="002F0A22">
            <w:pPr>
              <w:pStyle w:val="Tabletext"/>
              <w:rPr>
                <w:b/>
                <w:bCs/>
              </w:rPr>
            </w:pPr>
            <w:r w:rsidRPr="00EF5E0B">
              <w:t>Printing and writing paper</w:t>
            </w:r>
          </w:p>
        </w:tc>
        <w:tc>
          <w:tcPr>
            <w:tcW w:w="1985" w:type="dxa"/>
          </w:tcPr>
          <w:p w14:paraId="1F13E10C" w14:textId="4610CA93" w:rsidR="002F0A22" w:rsidRPr="00F15770" w:rsidRDefault="002F0A22" w:rsidP="002F0A22">
            <w:pPr>
              <w:pStyle w:val="Tabletext"/>
              <w:rPr>
                <w:b/>
                <w:bCs/>
              </w:rPr>
            </w:pPr>
            <w:r w:rsidRPr="00EF5E0B">
              <w:t>207,100</w:t>
            </w:r>
          </w:p>
        </w:tc>
        <w:tc>
          <w:tcPr>
            <w:tcW w:w="1985" w:type="dxa"/>
          </w:tcPr>
          <w:p w14:paraId="58AD47D9" w14:textId="0D3854EE" w:rsidR="002F0A22" w:rsidRPr="00F15770" w:rsidRDefault="002F0A22" w:rsidP="002F0A22">
            <w:pPr>
              <w:pStyle w:val="Tabletext"/>
              <w:rPr>
                <w:b/>
                <w:bCs/>
              </w:rPr>
            </w:pPr>
            <w:r w:rsidRPr="00EF5E0B">
              <w:t>14%</w:t>
            </w:r>
          </w:p>
        </w:tc>
        <w:tc>
          <w:tcPr>
            <w:tcW w:w="1985" w:type="dxa"/>
          </w:tcPr>
          <w:p w14:paraId="0AAA3C68" w14:textId="451ED4AD" w:rsidR="002F0A22" w:rsidRPr="00F15770" w:rsidRDefault="002F0A22" w:rsidP="002F0A22">
            <w:pPr>
              <w:pStyle w:val="Tabletext"/>
              <w:rPr>
                <w:b/>
                <w:bCs/>
              </w:rPr>
            </w:pPr>
            <w:r w:rsidRPr="00EF5E0B">
              <w:t>10,900</w:t>
            </w:r>
          </w:p>
        </w:tc>
        <w:tc>
          <w:tcPr>
            <w:tcW w:w="1986" w:type="dxa"/>
          </w:tcPr>
          <w:p w14:paraId="3FDC1CD3" w14:textId="4AD1BCC0" w:rsidR="002F0A22" w:rsidRPr="00F15770" w:rsidRDefault="002F0A22" w:rsidP="002F0A22">
            <w:pPr>
              <w:pStyle w:val="Tabletext"/>
              <w:rPr>
                <w:b/>
                <w:bCs/>
              </w:rPr>
            </w:pPr>
            <w:r w:rsidRPr="00EF5E0B">
              <w:t>5%</w:t>
            </w:r>
          </w:p>
        </w:tc>
      </w:tr>
    </w:tbl>
    <w:p w14:paraId="09B5F55D" w14:textId="3900AC2F" w:rsidR="00DE76BB" w:rsidRPr="00EF5E0B" w:rsidRDefault="00DE76BB" w:rsidP="002F0A22">
      <w:pPr>
        <w:pStyle w:val="BodyText"/>
        <w:spacing w:before="360"/>
        <w:rPr>
          <w:b/>
          <w:bCs/>
        </w:rPr>
      </w:pPr>
      <w:r>
        <w:t>(</w:t>
      </w:r>
      <w:r w:rsidRPr="007E2A3D">
        <w:t>Recycling Victoria (2023) Waste projection model available at</w:t>
      </w:r>
      <w:r>
        <w:t xml:space="preserve"> </w:t>
      </w:r>
      <w:hyperlink r:id="rId41" w:history="1">
        <w:r w:rsidRPr="00396CE9">
          <w:rPr>
            <w:rStyle w:val="Hyperlink"/>
          </w:rPr>
          <w:t>https://www.vic.gov.au/</w:t>
        </w:r>
        <w:r w:rsidRPr="00396CE9">
          <w:rPr>
            <w:rStyle w:val="Hyperlink"/>
          </w:rPr>
          <w:br/>
        </w:r>
        <w:proofErr w:type="spellStart"/>
        <w:r w:rsidRPr="00396CE9">
          <w:rPr>
            <w:rStyle w:val="Hyperlink"/>
          </w:rPr>
          <w:t>victorias</w:t>
        </w:r>
        <w:proofErr w:type="spellEnd"/>
        <w:r w:rsidRPr="00396CE9">
          <w:rPr>
            <w:rStyle w:val="Hyperlink"/>
          </w:rPr>
          <w:t>-waste-projection-model-dashboard</w:t>
        </w:r>
      </w:hyperlink>
      <w:r w:rsidRPr="007E2A3D">
        <w:t xml:space="preserve"> The data in the table is</w:t>
      </w:r>
      <w:r>
        <w:t xml:space="preserve"> </w:t>
      </w:r>
      <w:r w:rsidRPr="007E2A3D">
        <w:t>based on actual data from 2020–21</w:t>
      </w:r>
      <w:r>
        <w:t>)</w:t>
      </w:r>
    </w:p>
    <w:p w14:paraId="260EFE96" w14:textId="77777777" w:rsidR="00EF5E0B" w:rsidRDefault="00EF5E0B" w:rsidP="00231129">
      <w:pPr>
        <w:pStyle w:val="Heading2"/>
      </w:pPr>
      <w:bookmarkStart w:id="43" w:name="_Toc161758546"/>
      <w:r w:rsidRPr="00EF5E0B">
        <w:lastRenderedPageBreak/>
        <w:t>Plastics</w:t>
      </w:r>
      <w:bookmarkEnd w:id="43"/>
    </w:p>
    <w:p w14:paraId="763341F3" w14:textId="2F1D0E5A" w:rsidR="00EF5E0B" w:rsidRPr="00EF5E0B" w:rsidRDefault="00EF5E0B" w:rsidP="00EF5E0B">
      <w:pPr>
        <w:pStyle w:val="BodyText"/>
      </w:pPr>
      <w:r w:rsidRPr="00EF5E0B">
        <w:t>Overall recovery rate in Victoria is low (19%), consistent with that seen in other Australian jurisdictions.</w:t>
      </w:r>
    </w:p>
    <w:p w14:paraId="2AEF21F9" w14:textId="4A3073E2" w:rsidR="00DE76BB" w:rsidRDefault="00EF5E0B" w:rsidP="00DE76BB">
      <w:pPr>
        <w:pStyle w:val="BodyText"/>
        <w:rPr>
          <w:u w:val="thick"/>
        </w:rPr>
      </w:pPr>
      <w:r w:rsidRPr="00EF5E0B">
        <w:t>Victoria’s plastics are largely generated within the MSW and C&amp;I sectors (97%). The source of this plastic is 66% non-packaging and 34% packaging. Around 28% of consumed plastics remains in use within the plastics sector (adding to stocks). Almost half of all plastics sent to landfill originate from packaging</w:t>
      </w:r>
      <w:r w:rsidR="00DE76BB">
        <w:t xml:space="preserve"> (</w:t>
      </w:r>
      <w:r w:rsidR="00DE76BB" w:rsidRPr="00DE76BB">
        <w:t xml:space="preserve">Blue Environment (2022) Australian Plastics Flows and Fates Study 2020-21 National Report available at </w:t>
      </w:r>
      <w:hyperlink r:id="rId42" w:history="1">
        <w:r w:rsidR="00DE76BB" w:rsidRPr="00DE76BB">
          <w:rPr>
            <w:rStyle w:val="Hyperlink"/>
          </w:rPr>
          <w:t>https://www.dcceew.gov.au/environment/protection/waste/publications/australian-plastic-flows-and-fates-report-2020-21</w:t>
        </w:r>
      </w:hyperlink>
      <w:r w:rsidR="00DE76BB">
        <w:t>).</w:t>
      </w:r>
    </w:p>
    <w:p w14:paraId="7315CD5E" w14:textId="08BC67AB" w:rsidR="00EF5E0B" w:rsidRPr="00DE76BB" w:rsidRDefault="00EF5E0B" w:rsidP="00EF5E0B">
      <w:pPr>
        <w:pStyle w:val="BodyText"/>
        <w:rPr>
          <w:u w:val="thick"/>
        </w:rPr>
      </w:pPr>
      <w:r w:rsidRPr="00EF5E0B">
        <w:t>Improvements in the recovery rate of plastics related packaging have slowly progressed since the implementation of China’s National Sword Policy, noting the complexities with this material stream.</w:t>
      </w:r>
    </w:p>
    <w:p w14:paraId="26747235" w14:textId="77777777" w:rsidR="00EF5E0B" w:rsidRPr="00EF5E0B" w:rsidRDefault="00EF5E0B" w:rsidP="00EF5E0B">
      <w:pPr>
        <w:pStyle w:val="BodyText"/>
      </w:pPr>
      <w:r w:rsidRPr="00EF5E0B">
        <w:t xml:space="preserve">Therefore, recovery rate of the main packaging polymer </w:t>
      </w:r>
      <w:proofErr w:type="gramStart"/>
      <w:r w:rsidRPr="00EF5E0B">
        <w:t>types</w:t>
      </w:r>
      <w:proofErr w:type="gramEnd"/>
      <w:r w:rsidRPr="00EF5E0B">
        <w:t xml:space="preserve"> ranges between 19-30%. Problematic plastic polymers, including PVC and other plastics (mixed plastics) are recovered at a significantly lower rate at 4% and 8% respectively. </w:t>
      </w:r>
    </w:p>
    <w:p w14:paraId="5C4E13AC" w14:textId="3EE1BDD9" w:rsidR="00EF5E0B" w:rsidRPr="00EF5E0B" w:rsidRDefault="00EF5E0B" w:rsidP="00EF5E0B">
      <w:pPr>
        <w:pStyle w:val="BodyText"/>
      </w:pPr>
      <w:r w:rsidRPr="00EF5E0B">
        <w:t>There is a decline in the use of PVC and other problematic polymer types that are difficult to recover, however overall plastics material recovery is likely to remain low in the short to medium term.</w:t>
      </w:r>
    </w:p>
    <w:p w14:paraId="3A55A512" w14:textId="77777777" w:rsidR="00EF5E0B" w:rsidRPr="00EF5E0B" w:rsidRDefault="00EF5E0B" w:rsidP="00231129">
      <w:pPr>
        <w:pStyle w:val="Heading3"/>
      </w:pPr>
      <w:bookmarkStart w:id="44" w:name="_Toc161758547"/>
      <w:r w:rsidRPr="00EF5E0B">
        <w:t>Developments and changes</w:t>
      </w:r>
      <w:bookmarkEnd w:id="44"/>
    </w:p>
    <w:p w14:paraId="02AA797C" w14:textId="753D068B" w:rsidR="00EF5E0B" w:rsidRPr="00EF5E0B" w:rsidRDefault="00EF5E0B" w:rsidP="00EF5E0B">
      <w:pPr>
        <w:pStyle w:val="BodyText"/>
      </w:pPr>
      <w:r w:rsidRPr="00EF5E0B">
        <w:t>Export restriction of unprocessed single polymer plastics was introduced July 2022. There remains insufficient capacity and capability within Victoria, as well as most other Australian jurisdictions to process PET packaging, flexible LDPE packaging and plastics recovered from e-waste which highlights the importance of reducing packaging from entering the system.</w:t>
      </w:r>
    </w:p>
    <w:p w14:paraId="61034AA2" w14:textId="41310519" w:rsidR="00EF5E0B" w:rsidRPr="00EF5E0B" w:rsidRDefault="00EF5E0B" w:rsidP="00EF5E0B">
      <w:pPr>
        <w:pStyle w:val="BodyText"/>
      </w:pPr>
      <w:r w:rsidRPr="00EF5E0B">
        <w:t xml:space="preserve">In November 2022, </w:t>
      </w:r>
      <w:proofErr w:type="spellStart"/>
      <w:r w:rsidRPr="00EF5E0B">
        <w:t>REDcycle</w:t>
      </w:r>
      <w:proofErr w:type="spellEnd"/>
      <w:r w:rsidRPr="00EF5E0B">
        <w:t xml:space="preserve"> announced that collections of soft plastics from major supermarkets would cease following challenges with recycling of the material and end market demand. The Australian Government is leading the design of a new scheme that will mandate obligations for packaging design based on international best practice and </w:t>
      </w:r>
      <w:r w:rsidRPr="00EF5E0B">
        <w:lastRenderedPageBreak/>
        <w:t>make industry responsible for the packaging, including soft plastics, they place on the market.</w:t>
      </w:r>
    </w:p>
    <w:p w14:paraId="4CE842F4" w14:textId="109D5AA4" w:rsidR="00EF5E0B" w:rsidRPr="00EF5E0B" w:rsidRDefault="00EF5E0B" w:rsidP="00EF5E0B">
      <w:pPr>
        <w:pStyle w:val="BodyText"/>
      </w:pPr>
      <w:r w:rsidRPr="00EF5E0B">
        <w:t>There is increasing national agreement through the national Environment Minister’s Meeting (EMM) forum on the need for mandatory product stewardship for packaging, including how packaging is designed, establishing minimum recycled content requirements, and prohibiting the use of harmful chemicals. Product stewardship in this sector is a critical driver for more circular outcomes by creating certainty and demand for recovered materials.</w:t>
      </w:r>
    </w:p>
    <w:p w14:paraId="055D6B01" w14:textId="77777777" w:rsidR="00EF5E0B" w:rsidRPr="00EF5E0B" w:rsidRDefault="00EF5E0B" w:rsidP="00EF5E0B">
      <w:pPr>
        <w:pStyle w:val="BodyText"/>
      </w:pPr>
      <w:r w:rsidRPr="00EF5E0B">
        <w:t>The Victorian Government, in conjunction with the Australian Government has been investing in new recycling capability and capacity for plastics to support the transition to the national export ban of all unsorted and un-reprocessed plastic, which commenced on 1 July 2022. Until new investments come online, there will remain a processing shortfall in Victoria.</w:t>
      </w:r>
    </w:p>
    <w:p w14:paraId="6BDEA91A" w14:textId="7FAAEEC9" w:rsidR="00EF5E0B" w:rsidRPr="00EF5E0B" w:rsidRDefault="00EF5E0B" w:rsidP="00EF5E0B">
      <w:pPr>
        <w:pStyle w:val="BodyText"/>
      </w:pPr>
      <w:r w:rsidRPr="00EF5E0B">
        <w:t>There are also efforts through this EMM forum to establish a national traceability framework for recovered materials. The framework is key to increasing reuse of recycled plastics and other materials, and to create certainty within the sector that when Australian businesses want to use recycled materials or buy products made from recycled materials, they can have confidence about what they are buying.</w:t>
      </w:r>
    </w:p>
    <w:p w14:paraId="580A3CEF" w14:textId="5B979179" w:rsidR="00EF5E0B" w:rsidRPr="00EF5E0B" w:rsidRDefault="00EF5E0B" w:rsidP="00EF5E0B">
      <w:pPr>
        <w:pStyle w:val="BodyText"/>
      </w:pPr>
      <w:r w:rsidRPr="00EF5E0B">
        <w:t>Victoria’s single use plastic bags, including plastic bags and a range of single-use food service items, plus cotton bud sticks, came into effect in February 2023.</w:t>
      </w:r>
    </w:p>
    <w:p w14:paraId="1BD08BA5" w14:textId="60B4C3EB" w:rsidR="00EF5E0B" w:rsidRPr="00EF5E0B" w:rsidRDefault="00EF5E0B" w:rsidP="00EF5E0B">
      <w:pPr>
        <w:pStyle w:val="BodyText"/>
      </w:pPr>
      <w:r w:rsidRPr="00EF5E0B">
        <w:t>Industry voluntary phase-out of problematic plastics including PVC and PS based rigid packaging and difficult-to-recycle flexible plastics is occurring in Australia.</w:t>
      </w:r>
    </w:p>
    <w:p w14:paraId="2A8A0538" w14:textId="77777777" w:rsidR="00EF5E0B" w:rsidRPr="00EF5E0B" w:rsidRDefault="00EF5E0B" w:rsidP="00EF5E0B">
      <w:pPr>
        <w:pStyle w:val="BodyText"/>
      </w:pPr>
      <w:r w:rsidRPr="00EF5E0B">
        <w:t xml:space="preserve">Industry is using more readily recyclable polymers (PET, </w:t>
      </w:r>
      <w:proofErr w:type="gramStart"/>
      <w:r w:rsidRPr="00EF5E0B">
        <w:t>HDPE</w:t>
      </w:r>
      <w:proofErr w:type="gramEnd"/>
      <w:r w:rsidRPr="00EF5E0B">
        <w:t xml:space="preserve"> and PP), replacing these more problematic materials in rigid packaging throughout the Australian market.</w:t>
      </w:r>
    </w:p>
    <w:p w14:paraId="0BF70BBD" w14:textId="77777777" w:rsidR="00EF5E0B" w:rsidRPr="00EF5E0B" w:rsidRDefault="00EF5E0B" w:rsidP="00EF5E0B">
      <w:pPr>
        <w:pStyle w:val="BodyText"/>
      </w:pPr>
      <w:r w:rsidRPr="00EF5E0B">
        <w:t>There is also some change by industry in Victoria, regarding the composition of problematic flexible (soft) packaging, and a reduction of composite films containing PET or nylon layers.</w:t>
      </w:r>
    </w:p>
    <w:p w14:paraId="1F8A15B3" w14:textId="77777777" w:rsidR="00EF5E0B" w:rsidRDefault="00EF5E0B" w:rsidP="00EF5E0B">
      <w:pPr>
        <w:pStyle w:val="BodyText"/>
      </w:pPr>
      <w:r w:rsidRPr="00EF5E0B">
        <w:t xml:space="preserve">Challenges with plastics is not unique to Victoria or Australia. The UN Environment Assembly resolution to end plastic pollution will be finalised by 2024 which will develop a legally binding instrument on plastic pollution, including in the marine environment. </w:t>
      </w:r>
      <w:r w:rsidRPr="00EF5E0B">
        <w:lastRenderedPageBreak/>
        <w:t>Change to European Union recycling regulation (2022/1616) requires all food contact materials be manufactured with a suitable recycling technology from July 2023 to the same standard as newly manufactured plastics.</w:t>
      </w:r>
    </w:p>
    <w:p w14:paraId="5BE071DD" w14:textId="77777777" w:rsidR="001164EC" w:rsidRPr="001164EC" w:rsidRDefault="001164EC" w:rsidP="00231129">
      <w:pPr>
        <w:pStyle w:val="Heading3"/>
      </w:pPr>
      <w:bookmarkStart w:id="45" w:name="_Toc161758548"/>
      <w:r w:rsidRPr="001164EC">
        <w:t>Market performance</w:t>
      </w:r>
      <w:bookmarkEnd w:id="45"/>
    </w:p>
    <w:p w14:paraId="4C7D13E2" w14:textId="11CCFCF8" w:rsidR="001164EC" w:rsidRPr="001164EC" w:rsidRDefault="001164EC" w:rsidP="001164EC">
      <w:pPr>
        <w:pStyle w:val="BodyText"/>
      </w:pPr>
      <w:r w:rsidRPr="001164EC">
        <w:t>There are 48 plastic re-processors in Victoria. Of the plastics recovered for reprocessing in Victoria, 60% is processed locally.</w:t>
      </w:r>
    </w:p>
    <w:p w14:paraId="7570B4D1" w14:textId="77777777" w:rsidR="001164EC" w:rsidRPr="001164EC" w:rsidRDefault="001164EC" w:rsidP="001164EC">
      <w:pPr>
        <w:pStyle w:val="BodyText"/>
      </w:pPr>
      <w:r w:rsidRPr="001164EC">
        <w:t>Industry end markets include new packaging (PET, HDPE, PP, some commercial LDPE), non-packaging products, building materials, timber substitute products (PET, HDPE, PP, mixed), plumbing fittings (PVC), export (PET, HDPE, LDPE, PS) and liquid hydrocarbon fuels is currently being established.</w:t>
      </w:r>
    </w:p>
    <w:p w14:paraId="7FD5AF75" w14:textId="77777777" w:rsidR="001164EC" w:rsidRPr="001164EC" w:rsidRDefault="001164EC" w:rsidP="001164EC">
      <w:pPr>
        <w:pStyle w:val="BodyText"/>
      </w:pPr>
      <w:r w:rsidRPr="001164EC">
        <w:t xml:space="preserve">There is insufficient reprocessing capacity within Victoria for packaging grades of rigid PET, rigid PP, flexible </w:t>
      </w:r>
      <w:proofErr w:type="gramStart"/>
      <w:r w:rsidRPr="001164EC">
        <w:t>LDPE</w:t>
      </w:r>
      <w:proofErr w:type="gramEnd"/>
      <w:r w:rsidRPr="001164EC">
        <w:t xml:space="preserve"> and PS/EPS to absorb material that may have previously been exported and to improve circularity outcomes.</w:t>
      </w:r>
    </w:p>
    <w:p w14:paraId="43B90D2C" w14:textId="5C18F628" w:rsidR="001164EC" w:rsidRPr="001164EC" w:rsidRDefault="001164EC" w:rsidP="001164EC">
      <w:pPr>
        <w:pStyle w:val="BodyText"/>
        <w:rPr>
          <w:u w:val="thick"/>
        </w:rPr>
      </w:pPr>
      <w:r w:rsidRPr="001164EC">
        <w:t>Significant state and national investments in recycling infrastructure are already underway which will result in improvements to local reprocessing for PET, PP and LDPE over the next 1–2 years</w:t>
      </w:r>
      <w:r w:rsidR="00DE76BB">
        <w:t>. (</w:t>
      </w:r>
      <w:r w:rsidR="00DE76BB" w:rsidRPr="00DE76BB">
        <w:t xml:space="preserve">Recycling Victoria (2023) Market insight report kerbside plastic packaging available at </w:t>
      </w:r>
      <w:hyperlink r:id="rId43" w:history="1">
        <w:r w:rsidR="00DE76BB" w:rsidRPr="00DE76BB">
          <w:rPr>
            <w:rStyle w:val="Hyperlink"/>
          </w:rPr>
          <w:t>https://www.vic.gov.au/kerbside-plastic-packaging</w:t>
        </w:r>
      </w:hyperlink>
      <w:r w:rsidR="00DE76BB">
        <w:t>).</w:t>
      </w:r>
    </w:p>
    <w:p w14:paraId="2D3B1997" w14:textId="77777777" w:rsidR="001164EC" w:rsidRPr="001164EC" w:rsidRDefault="001164EC" w:rsidP="001164EC">
      <w:pPr>
        <w:pStyle w:val="BodyText"/>
      </w:pPr>
      <w:r w:rsidRPr="001164EC">
        <w:t>Industry is developing additional sorting and processing infrastructure within Victoria within the next 5 years for packaging grades of rigid PET, rigid HDPE, LDPE, rigid PP and PS.</w:t>
      </w:r>
    </w:p>
    <w:p w14:paraId="0710D0B1" w14:textId="77777777" w:rsidR="001164EC" w:rsidRPr="001164EC" w:rsidRDefault="001164EC" w:rsidP="00231129">
      <w:pPr>
        <w:pStyle w:val="Heading3"/>
      </w:pPr>
      <w:bookmarkStart w:id="46" w:name="_Toc161758549"/>
      <w:r w:rsidRPr="001164EC">
        <w:t>Market issues and challenges</w:t>
      </w:r>
      <w:bookmarkEnd w:id="46"/>
    </w:p>
    <w:p w14:paraId="2B22DB16" w14:textId="77777777" w:rsidR="001164EC" w:rsidRPr="001164EC" w:rsidRDefault="001164EC" w:rsidP="001164EC">
      <w:pPr>
        <w:pStyle w:val="BodyText"/>
      </w:pPr>
      <w:r w:rsidRPr="001164EC">
        <w:t>Overall, plastics circularity is low and there remain significant challenges with generation and processing capacity for both packaging and non-packaging sources of plastics.</w:t>
      </w:r>
    </w:p>
    <w:p w14:paraId="733BAB16" w14:textId="77777777" w:rsidR="001164EC" w:rsidRPr="001164EC" w:rsidRDefault="001164EC" w:rsidP="00231129">
      <w:pPr>
        <w:pStyle w:val="Heading3"/>
      </w:pPr>
      <w:bookmarkStart w:id="47" w:name="_Toc161758550"/>
      <w:r w:rsidRPr="001164EC">
        <w:t>Areas for greater circularity – plastics</w:t>
      </w:r>
      <w:bookmarkEnd w:id="47"/>
    </w:p>
    <w:p w14:paraId="531F71DD" w14:textId="6C3582FB" w:rsidR="001164EC" w:rsidRPr="001164EC" w:rsidRDefault="001164EC" w:rsidP="001164EC">
      <w:pPr>
        <w:pStyle w:val="BodyText"/>
      </w:pPr>
      <w:r w:rsidRPr="001164EC">
        <w:t>The greatest areas for improved circularity for this material stream are:</w:t>
      </w:r>
    </w:p>
    <w:p w14:paraId="78600353" w14:textId="77777777" w:rsidR="001164EC" w:rsidRPr="001164EC" w:rsidRDefault="001164EC" w:rsidP="00231129">
      <w:pPr>
        <w:pStyle w:val="ListBullet"/>
      </w:pPr>
      <w:r w:rsidRPr="001164EC">
        <w:t>further reduction of virgin plastics consumption</w:t>
      </w:r>
    </w:p>
    <w:p w14:paraId="166C7167" w14:textId="77777777" w:rsidR="001164EC" w:rsidRPr="001164EC" w:rsidRDefault="001164EC" w:rsidP="00231129">
      <w:pPr>
        <w:pStyle w:val="ListBullet"/>
      </w:pPr>
      <w:r w:rsidRPr="001164EC">
        <w:t>improve product design for recycling and re-use </w:t>
      </w:r>
      <w:proofErr w:type="gramStart"/>
      <w:r w:rsidRPr="001164EC">
        <w:t>outcomes</w:t>
      </w:r>
      <w:proofErr w:type="gramEnd"/>
    </w:p>
    <w:p w14:paraId="5947459F" w14:textId="77777777" w:rsidR="001164EC" w:rsidRPr="001164EC" w:rsidRDefault="001164EC" w:rsidP="00231129">
      <w:pPr>
        <w:pStyle w:val="ListBullet"/>
      </w:pPr>
      <w:r w:rsidRPr="001164EC">
        <w:lastRenderedPageBreak/>
        <w:t xml:space="preserve">minimise use of difficult-to-recycle plastics including business-to-consumer PVC, composite flexible and PS </w:t>
      </w:r>
      <w:proofErr w:type="gramStart"/>
      <w:r w:rsidRPr="001164EC">
        <w:t>packaging</w:t>
      </w:r>
      <w:proofErr w:type="gramEnd"/>
    </w:p>
    <w:p w14:paraId="1E46D05C" w14:textId="77777777" w:rsidR="001164EC" w:rsidRPr="001164EC" w:rsidRDefault="001164EC" w:rsidP="00231129">
      <w:pPr>
        <w:pStyle w:val="ListBullet"/>
      </w:pPr>
      <w:r w:rsidRPr="001164EC">
        <w:t xml:space="preserve">continue to ban the manufacture and use of avoidable, and problematic plastic items, especially single use </w:t>
      </w:r>
      <w:proofErr w:type="gramStart"/>
      <w:r w:rsidRPr="001164EC">
        <w:t>items</w:t>
      </w:r>
      <w:proofErr w:type="gramEnd"/>
    </w:p>
    <w:p w14:paraId="1DB42CF8" w14:textId="77777777" w:rsidR="001164EC" w:rsidRPr="001164EC" w:rsidRDefault="001164EC" w:rsidP="00231129">
      <w:pPr>
        <w:pStyle w:val="ListBullet"/>
      </w:pPr>
      <w:r w:rsidRPr="001164EC">
        <w:t xml:space="preserve">increase processing capability and capacity where needed to aim for the highest order beneficial recycling </w:t>
      </w:r>
      <w:proofErr w:type="gramStart"/>
      <w:r w:rsidRPr="001164EC">
        <w:t>outcomes</w:t>
      </w:r>
      <w:proofErr w:type="gramEnd"/>
      <w:r w:rsidRPr="001164EC">
        <w:t xml:space="preserve"> </w:t>
      </w:r>
    </w:p>
    <w:p w14:paraId="242DEDE1" w14:textId="77777777" w:rsidR="001164EC" w:rsidRPr="001164EC" w:rsidRDefault="001164EC" w:rsidP="00231129">
      <w:pPr>
        <w:pStyle w:val="ListBullet"/>
      </w:pPr>
      <w:r w:rsidRPr="001164EC">
        <w:t>increase understanding of currently landfilled plastics flows to identify potential end-</w:t>
      </w:r>
      <w:proofErr w:type="gramStart"/>
      <w:r w:rsidRPr="001164EC">
        <w:t>markets</w:t>
      </w:r>
      <w:proofErr w:type="gramEnd"/>
    </w:p>
    <w:p w14:paraId="110B84AB" w14:textId="77777777" w:rsidR="001164EC" w:rsidRPr="001164EC" w:rsidRDefault="001164EC" w:rsidP="00231129">
      <w:pPr>
        <w:pStyle w:val="ListBullet"/>
      </w:pPr>
      <w:r w:rsidRPr="001164EC">
        <w:t xml:space="preserve">support research sector / industry on projects that result in improved circularity of </w:t>
      </w:r>
      <w:proofErr w:type="gramStart"/>
      <w:r w:rsidRPr="001164EC">
        <w:t>materials</w:t>
      </w:r>
      <w:proofErr w:type="gramEnd"/>
    </w:p>
    <w:p w14:paraId="01ED42E1" w14:textId="77777777" w:rsidR="001164EC" w:rsidRPr="001164EC" w:rsidRDefault="001164EC" w:rsidP="00231129">
      <w:pPr>
        <w:pStyle w:val="ListBullet"/>
      </w:pPr>
      <w:r w:rsidRPr="001164EC">
        <w:t xml:space="preserve">continue to support the development of a national traceability </w:t>
      </w:r>
      <w:proofErr w:type="gramStart"/>
      <w:r w:rsidRPr="001164EC">
        <w:t>framework</w:t>
      </w:r>
      <w:proofErr w:type="gramEnd"/>
    </w:p>
    <w:p w14:paraId="062B7268" w14:textId="77777777" w:rsidR="001164EC" w:rsidRDefault="001164EC" w:rsidP="00231129">
      <w:pPr>
        <w:pStyle w:val="Bullet1last"/>
      </w:pPr>
      <w:r w:rsidRPr="001164EC">
        <w:t>continue to support the development of a national framework for product stewardship.</w:t>
      </w:r>
    </w:p>
    <w:p w14:paraId="7ACC6837" w14:textId="77777777" w:rsidR="009E52EF" w:rsidRDefault="009E52EF">
      <w:pPr>
        <w:suppressAutoHyphens w:val="0"/>
        <w:spacing w:after="160"/>
        <w:rPr>
          <w:b/>
          <w:iCs/>
          <w:color w:val="000000" w:themeColor="text1"/>
          <w:szCs w:val="18"/>
        </w:rPr>
      </w:pPr>
      <w:r>
        <w:br w:type="page"/>
      </w:r>
    </w:p>
    <w:p w14:paraId="3A704333" w14:textId="312886E9" w:rsidR="002F0A22" w:rsidRDefault="00F5165D" w:rsidP="002F0A22">
      <w:pPr>
        <w:pStyle w:val="Caption"/>
        <w:keepNext/>
      </w:pPr>
      <w:r>
        <w:lastRenderedPageBreak/>
        <w:t xml:space="preserve">Table 9: </w:t>
      </w:r>
      <w:r w:rsidRPr="00C463DC">
        <w:t>Generation and recovery of plastics</w:t>
      </w:r>
    </w:p>
    <w:tbl>
      <w:tblPr>
        <w:tblStyle w:val="Style2"/>
        <w:tblW w:w="9921" w:type="dxa"/>
        <w:tblLayout w:type="fixed"/>
        <w:tblLook w:val="0020" w:firstRow="1" w:lastRow="0" w:firstColumn="0" w:lastColumn="0" w:noHBand="0" w:noVBand="0"/>
        <w:tblCaption w:val="Table 9: Generation and recovery of plastics"/>
        <w:tblDescription w:val="Generation and Recovery data for different plastic materials and sources"/>
      </w:tblPr>
      <w:tblGrid>
        <w:gridCol w:w="1555"/>
        <w:gridCol w:w="2126"/>
        <w:gridCol w:w="2126"/>
        <w:gridCol w:w="2413"/>
        <w:gridCol w:w="1701"/>
      </w:tblGrid>
      <w:tr w:rsidR="00962DA1" w:rsidRPr="00515EE5" w14:paraId="1DAB73FD"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3B045C61" w14:textId="77777777" w:rsidR="00962DA1" w:rsidRPr="00515EE5" w:rsidRDefault="00962DA1" w:rsidP="006D6167">
            <w:pPr>
              <w:pStyle w:val="BodyText"/>
              <w:spacing w:line="276" w:lineRule="auto"/>
            </w:pPr>
            <w:r w:rsidRPr="00515EE5">
              <w:t>Stream</w:t>
            </w:r>
          </w:p>
        </w:tc>
        <w:tc>
          <w:tcPr>
            <w:tcW w:w="2126" w:type="dxa"/>
          </w:tcPr>
          <w:p w14:paraId="3158D7B2" w14:textId="77777777" w:rsidR="00962DA1" w:rsidRDefault="00962DA1" w:rsidP="006D6167">
            <w:pPr>
              <w:pStyle w:val="BodyText"/>
              <w:spacing w:line="276" w:lineRule="auto"/>
              <w:rPr>
                <w:b w:val="0"/>
              </w:rPr>
            </w:pPr>
            <w:r w:rsidRPr="00515EE5">
              <w:t>Tonnes Generated</w:t>
            </w:r>
          </w:p>
          <w:p w14:paraId="3857A088" w14:textId="77777777" w:rsidR="00962DA1" w:rsidRPr="00515EE5" w:rsidRDefault="00962DA1" w:rsidP="006D6167">
            <w:pPr>
              <w:pStyle w:val="BodyText"/>
              <w:spacing w:line="276" w:lineRule="auto"/>
              <w:rPr>
                <w:b w:val="0"/>
              </w:rPr>
            </w:pPr>
            <w:r>
              <w:t>(</w:t>
            </w:r>
            <w:r w:rsidRPr="00515EE5">
              <w:t>Tonnes</w:t>
            </w:r>
            <w:r>
              <w:t>)</w:t>
            </w:r>
          </w:p>
        </w:tc>
        <w:tc>
          <w:tcPr>
            <w:tcW w:w="2126" w:type="dxa"/>
          </w:tcPr>
          <w:p w14:paraId="14B64538" w14:textId="77777777" w:rsidR="00962DA1" w:rsidRDefault="00962DA1" w:rsidP="006D6167">
            <w:pPr>
              <w:pStyle w:val="BodyText"/>
              <w:spacing w:line="276" w:lineRule="auto"/>
              <w:rPr>
                <w:b w:val="0"/>
              </w:rPr>
            </w:pPr>
            <w:r w:rsidRPr="00515EE5">
              <w:t>Proportion Generated</w:t>
            </w:r>
          </w:p>
          <w:p w14:paraId="2F8A3795" w14:textId="77777777" w:rsidR="00962DA1" w:rsidRPr="00515EE5" w:rsidRDefault="00962DA1" w:rsidP="006D6167">
            <w:pPr>
              <w:pStyle w:val="BodyText"/>
              <w:spacing w:line="276" w:lineRule="auto"/>
            </w:pPr>
            <w:r>
              <w:t>(%)</w:t>
            </w:r>
          </w:p>
        </w:tc>
        <w:tc>
          <w:tcPr>
            <w:tcW w:w="2413" w:type="dxa"/>
          </w:tcPr>
          <w:p w14:paraId="6483187B"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144F2038" w14:textId="77777777" w:rsidR="00962DA1" w:rsidRPr="00F15770" w:rsidRDefault="00962DA1" w:rsidP="006D6167">
            <w:pPr>
              <w:pStyle w:val="BodyText"/>
              <w:spacing w:line="276" w:lineRule="auto"/>
              <w:rPr>
                <w:b w:val="0"/>
              </w:rPr>
            </w:pPr>
            <w:r>
              <w:t>(</w:t>
            </w:r>
            <w:r w:rsidRPr="00515EE5">
              <w:t>Tonnes</w:t>
            </w:r>
            <w:r>
              <w:t>)</w:t>
            </w:r>
          </w:p>
        </w:tc>
        <w:tc>
          <w:tcPr>
            <w:tcW w:w="1701" w:type="dxa"/>
          </w:tcPr>
          <w:p w14:paraId="3A93CFA6" w14:textId="77777777" w:rsidR="00962DA1" w:rsidRDefault="00962DA1" w:rsidP="006D6167">
            <w:pPr>
              <w:pStyle w:val="BodyText"/>
              <w:spacing w:line="276" w:lineRule="auto"/>
              <w:rPr>
                <w:b w:val="0"/>
              </w:rPr>
            </w:pPr>
            <w:r w:rsidRPr="00515EE5">
              <w:t>Recovery Rate</w:t>
            </w:r>
          </w:p>
          <w:p w14:paraId="5391DBD6" w14:textId="77777777" w:rsidR="00962DA1" w:rsidRPr="00515EE5" w:rsidRDefault="00962DA1" w:rsidP="006D6167">
            <w:pPr>
              <w:pStyle w:val="BodyText"/>
              <w:spacing w:line="276" w:lineRule="auto"/>
            </w:pPr>
            <w:r>
              <w:t>(%)</w:t>
            </w:r>
          </w:p>
        </w:tc>
      </w:tr>
      <w:tr w:rsidR="002F0A22" w:rsidRPr="00515EE5" w14:paraId="01720335" w14:textId="77777777" w:rsidTr="00C43336">
        <w:trPr>
          <w:trHeight w:val="60"/>
        </w:trPr>
        <w:tc>
          <w:tcPr>
            <w:tcW w:w="1555" w:type="dxa"/>
          </w:tcPr>
          <w:p w14:paraId="558D832E" w14:textId="72950840" w:rsidR="002F0A22" w:rsidRPr="00515EE5" w:rsidRDefault="002F0A22" w:rsidP="002F0A22">
            <w:pPr>
              <w:pStyle w:val="Tabletext"/>
            </w:pPr>
            <w:r w:rsidRPr="001164EC">
              <w:t>MSW</w:t>
            </w:r>
          </w:p>
        </w:tc>
        <w:tc>
          <w:tcPr>
            <w:tcW w:w="2126" w:type="dxa"/>
          </w:tcPr>
          <w:p w14:paraId="30EE667C" w14:textId="5A6A806D" w:rsidR="002F0A22" w:rsidRPr="00515EE5" w:rsidRDefault="002F0A22" w:rsidP="002F0A22">
            <w:pPr>
              <w:pStyle w:val="Tabletext"/>
            </w:pPr>
            <w:r w:rsidRPr="001164EC">
              <w:t>408,500</w:t>
            </w:r>
          </w:p>
        </w:tc>
        <w:tc>
          <w:tcPr>
            <w:tcW w:w="2126" w:type="dxa"/>
          </w:tcPr>
          <w:p w14:paraId="44DE76AB" w14:textId="42CDB522" w:rsidR="002F0A22" w:rsidRPr="00515EE5" w:rsidRDefault="002F0A22" w:rsidP="002F0A22">
            <w:pPr>
              <w:pStyle w:val="Tabletext"/>
            </w:pPr>
            <w:r w:rsidRPr="001164EC">
              <w:t>52%</w:t>
            </w:r>
          </w:p>
        </w:tc>
        <w:tc>
          <w:tcPr>
            <w:tcW w:w="2413" w:type="dxa"/>
          </w:tcPr>
          <w:p w14:paraId="257B4CDF" w14:textId="68AAA387" w:rsidR="002F0A22" w:rsidRPr="00515EE5" w:rsidRDefault="002F0A22" w:rsidP="002F0A22">
            <w:pPr>
              <w:pStyle w:val="Tabletext"/>
            </w:pPr>
            <w:r w:rsidRPr="001164EC">
              <w:t>87,800</w:t>
            </w:r>
          </w:p>
        </w:tc>
        <w:tc>
          <w:tcPr>
            <w:tcW w:w="1701" w:type="dxa"/>
          </w:tcPr>
          <w:p w14:paraId="0640DD2F" w14:textId="75506B80" w:rsidR="002F0A22" w:rsidRPr="00515EE5" w:rsidRDefault="002F0A22" w:rsidP="002F0A22">
            <w:pPr>
              <w:pStyle w:val="Tabletext"/>
            </w:pPr>
            <w:r w:rsidRPr="001164EC">
              <w:t>21%</w:t>
            </w:r>
          </w:p>
        </w:tc>
      </w:tr>
      <w:tr w:rsidR="002F0A22" w:rsidRPr="00515EE5" w14:paraId="15E7E32F" w14:textId="77777777" w:rsidTr="00C43336">
        <w:trPr>
          <w:trHeight w:val="60"/>
        </w:trPr>
        <w:tc>
          <w:tcPr>
            <w:tcW w:w="1555" w:type="dxa"/>
          </w:tcPr>
          <w:p w14:paraId="0DF1C566" w14:textId="2938F833" w:rsidR="002F0A22" w:rsidRPr="00515EE5" w:rsidRDefault="002F0A22" w:rsidP="002F0A22">
            <w:pPr>
              <w:pStyle w:val="Tabletext"/>
            </w:pPr>
            <w:r w:rsidRPr="001164EC">
              <w:t>C&amp;I</w:t>
            </w:r>
          </w:p>
        </w:tc>
        <w:tc>
          <w:tcPr>
            <w:tcW w:w="2126" w:type="dxa"/>
          </w:tcPr>
          <w:p w14:paraId="0F2E95ED" w14:textId="0996892F" w:rsidR="002F0A22" w:rsidRPr="00515EE5" w:rsidRDefault="002F0A22" w:rsidP="002F0A22">
            <w:pPr>
              <w:pStyle w:val="Tabletext"/>
            </w:pPr>
            <w:r w:rsidRPr="001164EC">
              <w:t>358,200</w:t>
            </w:r>
          </w:p>
        </w:tc>
        <w:tc>
          <w:tcPr>
            <w:tcW w:w="2126" w:type="dxa"/>
          </w:tcPr>
          <w:p w14:paraId="093A6919" w14:textId="6F197C94" w:rsidR="002F0A22" w:rsidRPr="00515EE5" w:rsidRDefault="002F0A22" w:rsidP="002F0A22">
            <w:pPr>
              <w:pStyle w:val="Tabletext"/>
            </w:pPr>
            <w:r w:rsidRPr="001164EC">
              <w:t>45%</w:t>
            </w:r>
          </w:p>
        </w:tc>
        <w:tc>
          <w:tcPr>
            <w:tcW w:w="2413" w:type="dxa"/>
          </w:tcPr>
          <w:p w14:paraId="20DEA48F" w14:textId="3FCD35EC" w:rsidR="002F0A22" w:rsidRPr="00515EE5" w:rsidRDefault="002F0A22" w:rsidP="002F0A22">
            <w:pPr>
              <w:pStyle w:val="Tabletext"/>
            </w:pPr>
            <w:r w:rsidRPr="001164EC">
              <w:t>55,600</w:t>
            </w:r>
          </w:p>
        </w:tc>
        <w:tc>
          <w:tcPr>
            <w:tcW w:w="1701" w:type="dxa"/>
          </w:tcPr>
          <w:p w14:paraId="185BD430" w14:textId="3E9A77D3" w:rsidR="002F0A22" w:rsidRPr="00515EE5" w:rsidRDefault="002F0A22" w:rsidP="002F0A22">
            <w:pPr>
              <w:pStyle w:val="Tabletext"/>
            </w:pPr>
            <w:r w:rsidRPr="001164EC">
              <w:t>16%</w:t>
            </w:r>
          </w:p>
        </w:tc>
      </w:tr>
      <w:tr w:rsidR="002F0A22" w:rsidRPr="00515EE5" w14:paraId="2CEF532E" w14:textId="77777777" w:rsidTr="00C43336">
        <w:trPr>
          <w:trHeight w:val="60"/>
        </w:trPr>
        <w:tc>
          <w:tcPr>
            <w:tcW w:w="1555" w:type="dxa"/>
          </w:tcPr>
          <w:p w14:paraId="7C034492" w14:textId="46F3B25E" w:rsidR="002F0A22" w:rsidRPr="00515EE5" w:rsidRDefault="002F0A22" w:rsidP="002F0A22">
            <w:pPr>
              <w:pStyle w:val="Tabletext"/>
            </w:pPr>
            <w:r w:rsidRPr="001164EC">
              <w:t>C&amp;D</w:t>
            </w:r>
          </w:p>
        </w:tc>
        <w:tc>
          <w:tcPr>
            <w:tcW w:w="2126" w:type="dxa"/>
          </w:tcPr>
          <w:p w14:paraId="246A89F7" w14:textId="0E0E9C63" w:rsidR="002F0A22" w:rsidRPr="00515EE5" w:rsidRDefault="002F0A22" w:rsidP="002F0A22">
            <w:pPr>
              <w:pStyle w:val="Tabletext"/>
            </w:pPr>
            <w:r w:rsidRPr="001164EC">
              <w:t>22,700</w:t>
            </w:r>
          </w:p>
        </w:tc>
        <w:tc>
          <w:tcPr>
            <w:tcW w:w="2126" w:type="dxa"/>
          </w:tcPr>
          <w:p w14:paraId="263BA0A0" w14:textId="61924C71" w:rsidR="002F0A22" w:rsidRPr="00515EE5" w:rsidRDefault="002F0A22" w:rsidP="002F0A22">
            <w:pPr>
              <w:pStyle w:val="Tabletext"/>
            </w:pPr>
            <w:r w:rsidRPr="001164EC">
              <w:t>3%</w:t>
            </w:r>
          </w:p>
        </w:tc>
        <w:tc>
          <w:tcPr>
            <w:tcW w:w="2413" w:type="dxa"/>
          </w:tcPr>
          <w:p w14:paraId="588DD012" w14:textId="448B7A05" w:rsidR="002F0A22" w:rsidRPr="00515EE5" w:rsidRDefault="002F0A22" w:rsidP="002F0A22">
            <w:pPr>
              <w:pStyle w:val="Tabletext"/>
            </w:pPr>
            <w:r w:rsidRPr="001164EC">
              <w:t>3,300</w:t>
            </w:r>
          </w:p>
        </w:tc>
        <w:tc>
          <w:tcPr>
            <w:tcW w:w="1701" w:type="dxa"/>
          </w:tcPr>
          <w:p w14:paraId="53743A59" w14:textId="35D4EC08" w:rsidR="002F0A22" w:rsidRPr="00515EE5" w:rsidRDefault="002F0A22" w:rsidP="002F0A22">
            <w:pPr>
              <w:pStyle w:val="Tabletext"/>
            </w:pPr>
            <w:r w:rsidRPr="001164EC">
              <w:t>15%</w:t>
            </w:r>
          </w:p>
        </w:tc>
      </w:tr>
      <w:tr w:rsidR="002F0A22" w:rsidRPr="00515EE5" w14:paraId="0936A1AF" w14:textId="77777777" w:rsidTr="00C43336">
        <w:trPr>
          <w:trHeight w:val="60"/>
        </w:trPr>
        <w:tc>
          <w:tcPr>
            <w:tcW w:w="1555" w:type="dxa"/>
            <w:tcBorders>
              <w:bottom w:val="single" w:sz="4" w:space="0" w:color="auto"/>
            </w:tcBorders>
          </w:tcPr>
          <w:p w14:paraId="7456E64C" w14:textId="446FBD0E" w:rsidR="002F0A22" w:rsidRPr="002F0A22" w:rsidRDefault="002F0A22" w:rsidP="002F0A22">
            <w:pPr>
              <w:pStyle w:val="Tabletext"/>
              <w:rPr>
                <w:b/>
                <w:bCs/>
              </w:rPr>
            </w:pPr>
            <w:r w:rsidRPr="002F0A22">
              <w:rPr>
                <w:b/>
                <w:bCs/>
              </w:rPr>
              <w:t>Total</w:t>
            </w:r>
          </w:p>
        </w:tc>
        <w:tc>
          <w:tcPr>
            <w:tcW w:w="2126" w:type="dxa"/>
            <w:tcBorders>
              <w:bottom w:val="single" w:sz="4" w:space="0" w:color="auto"/>
            </w:tcBorders>
          </w:tcPr>
          <w:p w14:paraId="44CDE29A" w14:textId="0DB4AD3D" w:rsidR="002F0A22" w:rsidRPr="002F0A22" w:rsidRDefault="002F0A22" w:rsidP="002F0A22">
            <w:pPr>
              <w:pStyle w:val="Tabletext"/>
              <w:rPr>
                <w:b/>
                <w:bCs/>
              </w:rPr>
            </w:pPr>
            <w:r w:rsidRPr="002F0A22">
              <w:rPr>
                <w:b/>
                <w:bCs/>
              </w:rPr>
              <w:t>789,400</w:t>
            </w:r>
          </w:p>
        </w:tc>
        <w:tc>
          <w:tcPr>
            <w:tcW w:w="2126" w:type="dxa"/>
            <w:tcBorders>
              <w:bottom w:val="single" w:sz="4" w:space="0" w:color="auto"/>
            </w:tcBorders>
          </w:tcPr>
          <w:p w14:paraId="297B047D" w14:textId="77777777" w:rsidR="002F0A22" w:rsidRPr="002F0A22" w:rsidRDefault="002F0A22" w:rsidP="002F0A22">
            <w:pPr>
              <w:pStyle w:val="Tabletext"/>
              <w:rPr>
                <w:b/>
                <w:bCs/>
              </w:rPr>
            </w:pPr>
          </w:p>
        </w:tc>
        <w:tc>
          <w:tcPr>
            <w:tcW w:w="2413" w:type="dxa"/>
            <w:tcBorders>
              <w:bottom w:val="single" w:sz="4" w:space="0" w:color="auto"/>
            </w:tcBorders>
          </w:tcPr>
          <w:p w14:paraId="6F680161" w14:textId="6766A6E5" w:rsidR="002F0A22" w:rsidRPr="002F0A22" w:rsidRDefault="002F0A22" w:rsidP="002F0A22">
            <w:pPr>
              <w:pStyle w:val="Tabletext"/>
              <w:rPr>
                <w:b/>
                <w:bCs/>
              </w:rPr>
            </w:pPr>
            <w:r w:rsidRPr="002F0A22">
              <w:rPr>
                <w:b/>
                <w:bCs/>
              </w:rPr>
              <w:t>146,700</w:t>
            </w:r>
          </w:p>
        </w:tc>
        <w:tc>
          <w:tcPr>
            <w:tcW w:w="1701" w:type="dxa"/>
            <w:tcBorders>
              <w:bottom w:val="single" w:sz="4" w:space="0" w:color="auto"/>
            </w:tcBorders>
          </w:tcPr>
          <w:p w14:paraId="0409DB81" w14:textId="681D7FB2" w:rsidR="002F0A22" w:rsidRPr="002F0A22" w:rsidRDefault="002F0A22" w:rsidP="002F0A22">
            <w:pPr>
              <w:pStyle w:val="Tabletext"/>
              <w:rPr>
                <w:b/>
                <w:bCs/>
              </w:rPr>
            </w:pPr>
            <w:r w:rsidRPr="002F0A22">
              <w:rPr>
                <w:b/>
                <w:bCs/>
              </w:rPr>
              <w:t>19%</w:t>
            </w:r>
          </w:p>
        </w:tc>
      </w:tr>
      <w:tr w:rsidR="00962DA1" w:rsidRPr="00515EE5" w14:paraId="3A81150F" w14:textId="77777777" w:rsidTr="00C43336">
        <w:trPr>
          <w:trHeight w:val="60"/>
        </w:trPr>
        <w:tc>
          <w:tcPr>
            <w:tcW w:w="1555" w:type="dxa"/>
            <w:tcBorders>
              <w:left w:val="nil"/>
              <w:right w:val="nil"/>
            </w:tcBorders>
          </w:tcPr>
          <w:p w14:paraId="0FE5646F" w14:textId="77777777" w:rsidR="00962DA1" w:rsidRPr="00F15770" w:rsidRDefault="00962DA1" w:rsidP="006D6167">
            <w:pPr>
              <w:pStyle w:val="Tabletext"/>
              <w:rPr>
                <w:b/>
                <w:bCs/>
              </w:rPr>
            </w:pPr>
          </w:p>
        </w:tc>
        <w:tc>
          <w:tcPr>
            <w:tcW w:w="2126" w:type="dxa"/>
            <w:tcBorders>
              <w:left w:val="nil"/>
              <w:right w:val="nil"/>
            </w:tcBorders>
          </w:tcPr>
          <w:p w14:paraId="6E4AB017" w14:textId="77777777" w:rsidR="00962DA1" w:rsidRPr="00F15770" w:rsidRDefault="00962DA1" w:rsidP="006D6167">
            <w:pPr>
              <w:pStyle w:val="Tabletext"/>
              <w:rPr>
                <w:b/>
                <w:bCs/>
              </w:rPr>
            </w:pPr>
          </w:p>
        </w:tc>
        <w:tc>
          <w:tcPr>
            <w:tcW w:w="2126" w:type="dxa"/>
            <w:tcBorders>
              <w:left w:val="nil"/>
              <w:right w:val="nil"/>
            </w:tcBorders>
          </w:tcPr>
          <w:p w14:paraId="42526448" w14:textId="77777777" w:rsidR="00962DA1" w:rsidRPr="00F15770" w:rsidRDefault="00962DA1" w:rsidP="006D6167">
            <w:pPr>
              <w:pStyle w:val="Tabletext"/>
              <w:rPr>
                <w:b/>
                <w:bCs/>
              </w:rPr>
            </w:pPr>
          </w:p>
        </w:tc>
        <w:tc>
          <w:tcPr>
            <w:tcW w:w="2413" w:type="dxa"/>
            <w:tcBorders>
              <w:left w:val="nil"/>
              <w:right w:val="nil"/>
            </w:tcBorders>
          </w:tcPr>
          <w:p w14:paraId="6DDDF6A5" w14:textId="77777777" w:rsidR="00962DA1" w:rsidRPr="00F15770" w:rsidRDefault="00962DA1" w:rsidP="006D6167">
            <w:pPr>
              <w:pStyle w:val="Tabletext"/>
              <w:rPr>
                <w:b/>
                <w:bCs/>
              </w:rPr>
            </w:pPr>
          </w:p>
        </w:tc>
        <w:tc>
          <w:tcPr>
            <w:tcW w:w="1701" w:type="dxa"/>
            <w:tcBorders>
              <w:left w:val="nil"/>
              <w:right w:val="nil"/>
            </w:tcBorders>
          </w:tcPr>
          <w:p w14:paraId="774C05A2" w14:textId="77777777" w:rsidR="00962DA1" w:rsidRPr="00F15770" w:rsidRDefault="00962DA1" w:rsidP="006D6167">
            <w:pPr>
              <w:pStyle w:val="Tabletext"/>
              <w:rPr>
                <w:b/>
                <w:bCs/>
              </w:rPr>
            </w:pPr>
          </w:p>
        </w:tc>
      </w:tr>
      <w:tr w:rsidR="00962DA1" w:rsidRPr="00515EE5" w14:paraId="21D7D7B4" w14:textId="77777777" w:rsidTr="00C43336">
        <w:trPr>
          <w:trHeight w:val="60"/>
        </w:trPr>
        <w:tc>
          <w:tcPr>
            <w:tcW w:w="1555" w:type="dxa"/>
            <w:shd w:val="clear" w:color="auto" w:fill="F2F2F2" w:themeFill="background1" w:themeFillShade="F2"/>
          </w:tcPr>
          <w:p w14:paraId="0511A802" w14:textId="77777777" w:rsidR="00962DA1" w:rsidRPr="006B4C87" w:rsidRDefault="00962DA1" w:rsidP="006D6167">
            <w:pPr>
              <w:pStyle w:val="Tabletext"/>
              <w:rPr>
                <w:b/>
                <w:bCs/>
              </w:rPr>
            </w:pPr>
            <w:r w:rsidRPr="006B4C87">
              <w:rPr>
                <w:b/>
                <w:bCs/>
              </w:rPr>
              <w:t>Material</w:t>
            </w:r>
          </w:p>
        </w:tc>
        <w:tc>
          <w:tcPr>
            <w:tcW w:w="2126" w:type="dxa"/>
            <w:shd w:val="clear" w:color="auto" w:fill="F2F2F2" w:themeFill="background1" w:themeFillShade="F2"/>
          </w:tcPr>
          <w:p w14:paraId="11671A1D" w14:textId="77777777" w:rsidR="00962DA1" w:rsidRPr="006B4C87" w:rsidRDefault="00962DA1" w:rsidP="006D6167">
            <w:pPr>
              <w:pStyle w:val="BodyText"/>
              <w:spacing w:line="276" w:lineRule="auto"/>
              <w:rPr>
                <w:b/>
                <w:bCs/>
              </w:rPr>
            </w:pPr>
            <w:r w:rsidRPr="006B4C87">
              <w:rPr>
                <w:b/>
                <w:bCs/>
              </w:rPr>
              <w:t>Tonnes Generated</w:t>
            </w:r>
          </w:p>
          <w:p w14:paraId="3B6185A7" w14:textId="77777777" w:rsidR="00962DA1" w:rsidRPr="006B4C87" w:rsidRDefault="00962DA1" w:rsidP="006D6167">
            <w:pPr>
              <w:pStyle w:val="Tabletext"/>
              <w:rPr>
                <w:b/>
                <w:bCs/>
              </w:rPr>
            </w:pPr>
            <w:r w:rsidRPr="006B4C87">
              <w:rPr>
                <w:b/>
                <w:bCs/>
              </w:rPr>
              <w:t>(Tonnes)</w:t>
            </w:r>
          </w:p>
        </w:tc>
        <w:tc>
          <w:tcPr>
            <w:tcW w:w="2126" w:type="dxa"/>
            <w:shd w:val="clear" w:color="auto" w:fill="F2F2F2" w:themeFill="background1" w:themeFillShade="F2"/>
          </w:tcPr>
          <w:p w14:paraId="27513D93" w14:textId="77777777" w:rsidR="00962DA1" w:rsidRPr="006B4C87" w:rsidRDefault="00962DA1" w:rsidP="006D6167">
            <w:pPr>
              <w:pStyle w:val="BodyText"/>
              <w:spacing w:line="276" w:lineRule="auto"/>
              <w:rPr>
                <w:b/>
                <w:bCs/>
              </w:rPr>
            </w:pPr>
            <w:r w:rsidRPr="006B4C87">
              <w:rPr>
                <w:b/>
                <w:bCs/>
              </w:rPr>
              <w:t>Proportion Generated</w:t>
            </w:r>
          </w:p>
          <w:p w14:paraId="72B3E513" w14:textId="77777777" w:rsidR="00962DA1" w:rsidRPr="006B4C87" w:rsidRDefault="00962DA1" w:rsidP="006D6167">
            <w:pPr>
              <w:pStyle w:val="Tabletext"/>
              <w:rPr>
                <w:b/>
                <w:bCs/>
              </w:rPr>
            </w:pPr>
            <w:r w:rsidRPr="006B4C87">
              <w:rPr>
                <w:b/>
                <w:bCs/>
              </w:rPr>
              <w:t>(</w:t>
            </w:r>
            <w:r>
              <w:rPr>
                <w:b/>
                <w:bCs/>
              </w:rPr>
              <w:t>%</w:t>
            </w:r>
            <w:r w:rsidRPr="006B4C87">
              <w:rPr>
                <w:b/>
                <w:bCs/>
              </w:rPr>
              <w:t>)</w:t>
            </w:r>
          </w:p>
        </w:tc>
        <w:tc>
          <w:tcPr>
            <w:tcW w:w="2413" w:type="dxa"/>
            <w:shd w:val="clear" w:color="auto" w:fill="F2F2F2" w:themeFill="background1" w:themeFillShade="F2"/>
          </w:tcPr>
          <w:p w14:paraId="7A67FE56"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029533CA" w14:textId="77777777" w:rsidR="00962DA1" w:rsidRPr="006B4C87" w:rsidRDefault="00962DA1" w:rsidP="006D6167">
            <w:pPr>
              <w:pStyle w:val="Tabletext"/>
              <w:rPr>
                <w:b/>
                <w:bCs/>
              </w:rPr>
            </w:pPr>
            <w:r w:rsidRPr="006B4C87">
              <w:rPr>
                <w:b/>
                <w:bCs/>
              </w:rPr>
              <w:t>(Tonnes)</w:t>
            </w:r>
          </w:p>
        </w:tc>
        <w:tc>
          <w:tcPr>
            <w:tcW w:w="1701" w:type="dxa"/>
            <w:shd w:val="clear" w:color="auto" w:fill="F2F2F2" w:themeFill="background1" w:themeFillShade="F2"/>
          </w:tcPr>
          <w:p w14:paraId="30F07A51" w14:textId="77777777" w:rsidR="00962DA1" w:rsidRPr="006B4C87" w:rsidRDefault="00962DA1" w:rsidP="006D6167">
            <w:pPr>
              <w:pStyle w:val="BodyText"/>
              <w:spacing w:line="276" w:lineRule="auto"/>
              <w:rPr>
                <w:b/>
                <w:bCs/>
              </w:rPr>
            </w:pPr>
            <w:r w:rsidRPr="006B4C87">
              <w:rPr>
                <w:b/>
                <w:bCs/>
              </w:rPr>
              <w:t>Recovery Rate</w:t>
            </w:r>
          </w:p>
          <w:p w14:paraId="1491362B" w14:textId="77777777" w:rsidR="00962DA1" w:rsidRPr="006B4C87" w:rsidRDefault="00962DA1" w:rsidP="006D6167">
            <w:pPr>
              <w:pStyle w:val="Tabletext"/>
              <w:rPr>
                <w:b/>
                <w:bCs/>
              </w:rPr>
            </w:pPr>
            <w:r w:rsidRPr="006B4C87">
              <w:rPr>
                <w:b/>
                <w:bCs/>
              </w:rPr>
              <w:t>(</w:t>
            </w:r>
            <w:r>
              <w:rPr>
                <w:b/>
                <w:bCs/>
              </w:rPr>
              <w:t>%</w:t>
            </w:r>
            <w:r w:rsidRPr="006B4C87">
              <w:rPr>
                <w:b/>
                <w:bCs/>
              </w:rPr>
              <w:t>)</w:t>
            </w:r>
          </w:p>
        </w:tc>
      </w:tr>
      <w:tr w:rsidR="002F0A22" w:rsidRPr="00515EE5" w14:paraId="47B0D03D" w14:textId="77777777" w:rsidTr="00C43336">
        <w:trPr>
          <w:trHeight w:val="60"/>
        </w:trPr>
        <w:tc>
          <w:tcPr>
            <w:tcW w:w="1555" w:type="dxa"/>
          </w:tcPr>
          <w:p w14:paraId="707AE430" w14:textId="437CE41D" w:rsidR="002F0A22" w:rsidRPr="00F15770" w:rsidRDefault="002F0A22" w:rsidP="002F0A22">
            <w:pPr>
              <w:pStyle w:val="Tabletext"/>
              <w:rPr>
                <w:b/>
                <w:bCs/>
              </w:rPr>
            </w:pPr>
            <w:r w:rsidRPr="001164EC">
              <w:t>PET (1)</w:t>
            </w:r>
          </w:p>
        </w:tc>
        <w:tc>
          <w:tcPr>
            <w:tcW w:w="2126" w:type="dxa"/>
          </w:tcPr>
          <w:p w14:paraId="3590F070" w14:textId="29480327" w:rsidR="002F0A22" w:rsidRPr="00F15770" w:rsidRDefault="002F0A22" w:rsidP="002F0A22">
            <w:pPr>
              <w:pStyle w:val="Tabletext"/>
              <w:rPr>
                <w:b/>
                <w:bCs/>
              </w:rPr>
            </w:pPr>
            <w:r w:rsidRPr="001164EC">
              <w:t>115,300</w:t>
            </w:r>
          </w:p>
        </w:tc>
        <w:tc>
          <w:tcPr>
            <w:tcW w:w="2126" w:type="dxa"/>
          </w:tcPr>
          <w:p w14:paraId="1464BADA" w14:textId="4AADC81C" w:rsidR="002F0A22" w:rsidRPr="00F15770" w:rsidRDefault="002F0A22" w:rsidP="002F0A22">
            <w:pPr>
              <w:pStyle w:val="Tabletext"/>
              <w:rPr>
                <w:b/>
                <w:bCs/>
              </w:rPr>
            </w:pPr>
            <w:r w:rsidRPr="001164EC">
              <w:t>15%</w:t>
            </w:r>
          </w:p>
        </w:tc>
        <w:tc>
          <w:tcPr>
            <w:tcW w:w="2413" w:type="dxa"/>
          </w:tcPr>
          <w:p w14:paraId="7760FF94" w14:textId="07E2A4F4" w:rsidR="002F0A22" w:rsidRPr="00F15770" w:rsidRDefault="002F0A22" w:rsidP="002F0A22">
            <w:pPr>
              <w:pStyle w:val="Tabletext"/>
              <w:rPr>
                <w:b/>
                <w:bCs/>
              </w:rPr>
            </w:pPr>
            <w:r w:rsidRPr="001164EC">
              <w:t>34,300</w:t>
            </w:r>
          </w:p>
        </w:tc>
        <w:tc>
          <w:tcPr>
            <w:tcW w:w="1701" w:type="dxa"/>
          </w:tcPr>
          <w:p w14:paraId="5F39CE6B" w14:textId="1CDEE2C2" w:rsidR="002F0A22" w:rsidRPr="00F15770" w:rsidRDefault="002F0A22" w:rsidP="002F0A22">
            <w:pPr>
              <w:pStyle w:val="Tabletext"/>
              <w:rPr>
                <w:b/>
                <w:bCs/>
              </w:rPr>
            </w:pPr>
            <w:r w:rsidRPr="001164EC">
              <w:t>30%</w:t>
            </w:r>
          </w:p>
        </w:tc>
      </w:tr>
      <w:tr w:rsidR="002F0A22" w:rsidRPr="00515EE5" w14:paraId="382AA285" w14:textId="77777777" w:rsidTr="00C43336">
        <w:trPr>
          <w:trHeight w:val="60"/>
        </w:trPr>
        <w:tc>
          <w:tcPr>
            <w:tcW w:w="1555" w:type="dxa"/>
          </w:tcPr>
          <w:p w14:paraId="6531872E" w14:textId="2DADF635" w:rsidR="002F0A22" w:rsidRPr="00F15770" w:rsidRDefault="002F0A22" w:rsidP="002F0A22">
            <w:pPr>
              <w:pStyle w:val="Tabletext"/>
              <w:rPr>
                <w:b/>
                <w:bCs/>
              </w:rPr>
            </w:pPr>
            <w:r w:rsidRPr="001164EC">
              <w:t>HDPE (2)</w:t>
            </w:r>
          </w:p>
        </w:tc>
        <w:tc>
          <w:tcPr>
            <w:tcW w:w="2126" w:type="dxa"/>
          </w:tcPr>
          <w:p w14:paraId="381BD371" w14:textId="05CB1EE8" w:rsidR="002F0A22" w:rsidRPr="00F15770" w:rsidRDefault="002F0A22" w:rsidP="002F0A22">
            <w:pPr>
              <w:pStyle w:val="Tabletext"/>
              <w:rPr>
                <w:b/>
                <w:bCs/>
              </w:rPr>
            </w:pPr>
            <w:r w:rsidRPr="001164EC">
              <w:t>184,300</w:t>
            </w:r>
          </w:p>
        </w:tc>
        <w:tc>
          <w:tcPr>
            <w:tcW w:w="2126" w:type="dxa"/>
          </w:tcPr>
          <w:p w14:paraId="1E8B66D3" w14:textId="5C6D60FA" w:rsidR="002F0A22" w:rsidRPr="00F15770" w:rsidRDefault="002F0A22" w:rsidP="002F0A22">
            <w:pPr>
              <w:pStyle w:val="Tabletext"/>
              <w:rPr>
                <w:b/>
                <w:bCs/>
              </w:rPr>
            </w:pPr>
            <w:r w:rsidRPr="001164EC">
              <w:t>23%</w:t>
            </w:r>
          </w:p>
        </w:tc>
        <w:tc>
          <w:tcPr>
            <w:tcW w:w="2413" w:type="dxa"/>
          </w:tcPr>
          <w:p w14:paraId="64F47F25" w14:textId="6B2E4796" w:rsidR="002F0A22" w:rsidRPr="00F15770" w:rsidRDefault="002F0A22" w:rsidP="002F0A22">
            <w:pPr>
              <w:pStyle w:val="Tabletext"/>
              <w:rPr>
                <w:b/>
                <w:bCs/>
              </w:rPr>
            </w:pPr>
            <w:r w:rsidRPr="001164EC">
              <w:t>34,200</w:t>
            </w:r>
          </w:p>
        </w:tc>
        <w:tc>
          <w:tcPr>
            <w:tcW w:w="1701" w:type="dxa"/>
          </w:tcPr>
          <w:p w14:paraId="12BEAE1F" w14:textId="697D2D7E" w:rsidR="002F0A22" w:rsidRPr="00F15770" w:rsidRDefault="002F0A22" w:rsidP="002F0A22">
            <w:pPr>
              <w:pStyle w:val="Tabletext"/>
              <w:rPr>
                <w:b/>
                <w:bCs/>
              </w:rPr>
            </w:pPr>
            <w:r w:rsidRPr="001164EC">
              <w:t>19%</w:t>
            </w:r>
          </w:p>
        </w:tc>
      </w:tr>
      <w:tr w:rsidR="002F0A22" w:rsidRPr="00515EE5" w14:paraId="73FF25EF" w14:textId="77777777" w:rsidTr="00C43336">
        <w:trPr>
          <w:trHeight w:val="60"/>
        </w:trPr>
        <w:tc>
          <w:tcPr>
            <w:tcW w:w="1555" w:type="dxa"/>
          </w:tcPr>
          <w:p w14:paraId="72333AAE" w14:textId="0247191D" w:rsidR="002F0A22" w:rsidRPr="00F15770" w:rsidRDefault="002F0A22" w:rsidP="002F0A22">
            <w:pPr>
              <w:pStyle w:val="Tabletext"/>
              <w:rPr>
                <w:b/>
                <w:bCs/>
              </w:rPr>
            </w:pPr>
            <w:r w:rsidRPr="001164EC">
              <w:t>PVC (3)</w:t>
            </w:r>
          </w:p>
        </w:tc>
        <w:tc>
          <w:tcPr>
            <w:tcW w:w="2126" w:type="dxa"/>
          </w:tcPr>
          <w:p w14:paraId="325F2890" w14:textId="7C9B14F2" w:rsidR="002F0A22" w:rsidRPr="00F15770" w:rsidRDefault="002F0A22" w:rsidP="002F0A22">
            <w:pPr>
              <w:pStyle w:val="Tabletext"/>
              <w:rPr>
                <w:b/>
                <w:bCs/>
              </w:rPr>
            </w:pPr>
            <w:r w:rsidRPr="001164EC">
              <w:t>67,600</w:t>
            </w:r>
          </w:p>
        </w:tc>
        <w:tc>
          <w:tcPr>
            <w:tcW w:w="2126" w:type="dxa"/>
          </w:tcPr>
          <w:p w14:paraId="07A3DFD4" w14:textId="647F7695" w:rsidR="002F0A22" w:rsidRPr="00F15770" w:rsidRDefault="002F0A22" w:rsidP="002F0A22">
            <w:pPr>
              <w:pStyle w:val="Tabletext"/>
              <w:rPr>
                <w:b/>
                <w:bCs/>
              </w:rPr>
            </w:pPr>
            <w:r w:rsidRPr="001164EC">
              <w:t>9%</w:t>
            </w:r>
          </w:p>
        </w:tc>
        <w:tc>
          <w:tcPr>
            <w:tcW w:w="2413" w:type="dxa"/>
          </w:tcPr>
          <w:p w14:paraId="34CE6E61" w14:textId="08F52DD7" w:rsidR="002F0A22" w:rsidRPr="00F15770" w:rsidRDefault="002F0A22" w:rsidP="002F0A22">
            <w:pPr>
              <w:pStyle w:val="Tabletext"/>
              <w:rPr>
                <w:b/>
                <w:bCs/>
              </w:rPr>
            </w:pPr>
            <w:r w:rsidRPr="001164EC">
              <w:t>2,800</w:t>
            </w:r>
          </w:p>
        </w:tc>
        <w:tc>
          <w:tcPr>
            <w:tcW w:w="1701" w:type="dxa"/>
          </w:tcPr>
          <w:p w14:paraId="6E6D5913" w14:textId="40EC4050" w:rsidR="002F0A22" w:rsidRPr="00F15770" w:rsidRDefault="002F0A22" w:rsidP="002F0A22">
            <w:pPr>
              <w:pStyle w:val="Tabletext"/>
              <w:rPr>
                <w:b/>
                <w:bCs/>
              </w:rPr>
            </w:pPr>
            <w:r w:rsidRPr="001164EC">
              <w:t>4%</w:t>
            </w:r>
          </w:p>
        </w:tc>
      </w:tr>
      <w:tr w:rsidR="002F0A22" w:rsidRPr="00515EE5" w14:paraId="2B31BB39" w14:textId="77777777" w:rsidTr="00C43336">
        <w:trPr>
          <w:trHeight w:val="60"/>
        </w:trPr>
        <w:tc>
          <w:tcPr>
            <w:tcW w:w="1555" w:type="dxa"/>
          </w:tcPr>
          <w:p w14:paraId="6C067F6A" w14:textId="426C012C" w:rsidR="002F0A22" w:rsidRPr="00F15770" w:rsidRDefault="002F0A22" w:rsidP="002F0A22">
            <w:pPr>
              <w:pStyle w:val="Tabletext"/>
              <w:rPr>
                <w:b/>
                <w:bCs/>
              </w:rPr>
            </w:pPr>
            <w:r w:rsidRPr="001164EC">
              <w:t>LDPE (4)</w:t>
            </w:r>
          </w:p>
        </w:tc>
        <w:tc>
          <w:tcPr>
            <w:tcW w:w="2126" w:type="dxa"/>
          </w:tcPr>
          <w:p w14:paraId="5052ECE8" w14:textId="4475D318" w:rsidR="002F0A22" w:rsidRPr="00F15770" w:rsidRDefault="002F0A22" w:rsidP="002F0A22">
            <w:pPr>
              <w:pStyle w:val="Tabletext"/>
              <w:rPr>
                <w:b/>
                <w:bCs/>
              </w:rPr>
            </w:pPr>
            <w:r w:rsidRPr="001164EC">
              <w:t>119,000</w:t>
            </w:r>
          </w:p>
        </w:tc>
        <w:tc>
          <w:tcPr>
            <w:tcW w:w="2126" w:type="dxa"/>
          </w:tcPr>
          <w:p w14:paraId="18577399" w14:textId="77301EF3" w:rsidR="002F0A22" w:rsidRPr="00F15770" w:rsidRDefault="002F0A22" w:rsidP="002F0A22">
            <w:pPr>
              <w:pStyle w:val="Tabletext"/>
              <w:rPr>
                <w:b/>
                <w:bCs/>
              </w:rPr>
            </w:pPr>
            <w:r w:rsidRPr="001164EC">
              <w:t>15%</w:t>
            </w:r>
          </w:p>
        </w:tc>
        <w:tc>
          <w:tcPr>
            <w:tcW w:w="2413" w:type="dxa"/>
          </w:tcPr>
          <w:p w14:paraId="6DFA7CF6" w14:textId="0C204B50" w:rsidR="002F0A22" w:rsidRPr="00F15770" w:rsidRDefault="002F0A22" w:rsidP="002F0A22">
            <w:pPr>
              <w:pStyle w:val="Tabletext"/>
              <w:rPr>
                <w:b/>
                <w:bCs/>
              </w:rPr>
            </w:pPr>
            <w:r w:rsidRPr="001164EC">
              <w:t>26,900</w:t>
            </w:r>
          </w:p>
        </w:tc>
        <w:tc>
          <w:tcPr>
            <w:tcW w:w="1701" w:type="dxa"/>
          </w:tcPr>
          <w:p w14:paraId="3D98D50A" w14:textId="4DF5F947" w:rsidR="002F0A22" w:rsidRPr="00F15770" w:rsidRDefault="002F0A22" w:rsidP="002F0A22">
            <w:pPr>
              <w:pStyle w:val="Tabletext"/>
              <w:rPr>
                <w:b/>
                <w:bCs/>
              </w:rPr>
            </w:pPr>
            <w:r w:rsidRPr="001164EC">
              <w:t>23%</w:t>
            </w:r>
          </w:p>
        </w:tc>
      </w:tr>
      <w:tr w:rsidR="002F0A22" w:rsidRPr="00515EE5" w14:paraId="51A3DF03" w14:textId="77777777" w:rsidTr="00C43336">
        <w:trPr>
          <w:trHeight w:val="60"/>
        </w:trPr>
        <w:tc>
          <w:tcPr>
            <w:tcW w:w="1555" w:type="dxa"/>
          </w:tcPr>
          <w:p w14:paraId="66DD0F9B" w14:textId="706901FD" w:rsidR="002F0A22" w:rsidRPr="00F15770" w:rsidRDefault="002F0A22" w:rsidP="002F0A22">
            <w:pPr>
              <w:pStyle w:val="Tabletext"/>
              <w:rPr>
                <w:b/>
                <w:bCs/>
              </w:rPr>
            </w:pPr>
            <w:r w:rsidRPr="001164EC">
              <w:t>PP (5)</w:t>
            </w:r>
          </w:p>
        </w:tc>
        <w:tc>
          <w:tcPr>
            <w:tcW w:w="2126" w:type="dxa"/>
          </w:tcPr>
          <w:p w14:paraId="49AC9190" w14:textId="077E4804" w:rsidR="002F0A22" w:rsidRPr="00F15770" w:rsidRDefault="002F0A22" w:rsidP="002F0A22">
            <w:pPr>
              <w:pStyle w:val="Tabletext"/>
              <w:rPr>
                <w:b/>
                <w:bCs/>
              </w:rPr>
            </w:pPr>
            <w:r w:rsidRPr="001164EC">
              <w:t>125,700</w:t>
            </w:r>
          </w:p>
        </w:tc>
        <w:tc>
          <w:tcPr>
            <w:tcW w:w="2126" w:type="dxa"/>
          </w:tcPr>
          <w:p w14:paraId="7C591C7F" w14:textId="129D73BC" w:rsidR="002F0A22" w:rsidRPr="00F15770" w:rsidRDefault="002F0A22" w:rsidP="002F0A22">
            <w:pPr>
              <w:pStyle w:val="Tabletext"/>
              <w:rPr>
                <w:b/>
                <w:bCs/>
              </w:rPr>
            </w:pPr>
            <w:r w:rsidRPr="001164EC">
              <w:t>16%</w:t>
            </w:r>
          </w:p>
        </w:tc>
        <w:tc>
          <w:tcPr>
            <w:tcW w:w="2413" w:type="dxa"/>
          </w:tcPr>
          <w:p w14:paraId="01A73684" w14:textId="3D6DA234" w:rsidR="002F0A22" w:rsidRPr="00F15770" w:rsidRDefault="002F0A22" w:rsidP="002F0A22">
            <w:pPr>
              <w:pStyle w:val="Tabletext"/>
              <w:rPr>
                <w:b/>
                <w:bCs/>
              </w:rPr>
            </w:pPr>
            <w:r w:rsidRPr="001164EC">
              <w:t>26,900</w:t>
            </w:r>
          </w:p>
        </w:tc>
        <w:tc>
          <w:tcPr>
            <w:tcW w:w="1701" w:type="dxa"/>
          </w:tcPr>
          <w:p w14:paraId="06E31B88" w14:textId="31F4737E" w:rsidR="002F0A22" w:rsidRPr="00F15770" w:rsidRDefault="002F0A22" w:rsidP="002F0A22">
            <w:pPr>
              <w:pStyle w:val="Tabletext"/>
              <w:rPr>
                <w:b/>
                <w:bCs/>
              </w:rPr>
            </w:pPr>
            <w:r w:rsidRPr="001164EC">
              <w:t>21%</w:t>
            </w:r>
          </w:p>
        </w:tc>
      </w:tr>
      <w:tr w:rsidR="002F0A22" w:rsidRPr="00515EE5" w14:paraId="793C9846" w14:textId="77777777" w:rsidTr="00C43336">
        <w:trPr>
          <w:trHeight w:val="60"/>
        </w:trPr>
        <w:tc>
          <w:tcPr>
            <w:tcW w:w="1555" w:type="dxa"/>
          </w:tcPr>
          <w:p w14:paraId="76C2A919" w14:textId="09FF7102" w:rsidR="002F0A22" w:rsidRPr="00F15770" w:rsidRDefault="002F0A22" w:rsidP="002F0A22">
            <w:pPr>
              <w:pStyle w:val="Tabletext"/>
              <w:rPr>
                <w:b/>
                <w:bCs/>
              </w:rPr>
            </w:pPr>
            <w:r w:rsidRPr="001164EC">
              <w:t>PS (6)</w:t>
            </w:r>
          </w:p>
        </w:tc>
        <w:tc>
          <w:tcPr>
            <w:tcW w:w="2126" w:type="dxa"/>
          </w:tcPr>
          <w:p w14:paraId="24DE0E1C" w14:textId="279F111A" w:rsidR="002F0A22" w:rsidRPr="00F15770" w:rsidRDefault="002F0A22" w:rsidP="002F0A22">
            <w:pPr>
              <w:pStyle w:val="Tabletext"/>
              <w:rPr>
                <w:b/>
                <w:bCs/>
              </w:rPr>
            </w:pPr>
            <w:r w:rsidRPr="001164EC">
              <w:t>35,300</w:t>
            </w:r>
          </w:p>
        </w:tc>
        <w:tc>
          <w:tcPr>
            <w:tcW w:w="2126" w:type="dxa"/>
          </w:tcPr>
          <w:p w14:paraId="75CFFC8B" w14:textId="1C5FCED7" w:rsidR="002F0A22" w:rsidRPr="00F15770" w:rsidRDefault="002F0A22" w:rsidP="002F0A22">
            <w:pPr>
              <w:pStyle w:val="Tabletext"/>
              <w:rPr>
                <w:b/>
                <w:bCs/>
              </w:rPr>
            </w:pPr>
            <w:r w:rsidRPr="001164EC">
              <w:t>4%</w:t>
            </w:r>
          </w:p>
        </w:tc>
        <w:tc>
          <w:tcPr>
            <w:tcW w:w="2413" w:type="dxa"/>
          </w:tcPr>
          <w:p w14:paraId="47185F6D" w14:textId="228ED105" w:rsidR="002F0A22" w:rsidRPr="00F15770" w:rsidRDefault="002F0A22" w:rsidP="002F0A22">
            <w:pPr>
              <w:pStyle w:val="Tabletext"/>
              <w:rPr>
                <w:b/>
                <w:bCs/>
              </w:rPr>
            </w:pPr>
            <w:r w:rsidRPr="001164EC">
              <w:t>9,600</w:t>
            </w:r>
          </w:p>
        </w:tc>
        <w:tc>
          <w:tcPr>
            <w:tcW w:w="1701" w:type="dxa"/>
          </w:tcPr>
          <w:p w14:paraId="0D11A6E7" w14:textId="5BF56829" w:rsidR="002F0A22" w:rsidRPr="00F15770" w:rsidRDefault="002F0A22" w:rsidP="002F0A22">
            <w:pPr>
              <w:pStyle w:val="Tabletext"/>
              <w:rPr>
                <w:b/>
                <w:bCs/>
              </w:rPr>
            </w:pPr>
            <w:r w:rsidRPr="001164EC">
              <w:t>27%</w:t>
            </w:r>
          </w:p>
        </w:tc>
      </w:tr>
      <w:tr w:rsidR="002F0A22" w:rsidRPr="00515EE5" w14:paraId="6D8BB17A" w14:textId="77777777" w:rsidTr="00C43336">
        <w:trPr>
          <w:trHeight w:val="60"/>
        </w:trPr>
        <w:tc>
          <w:tcPr>
            <w:tcW w:w="1555" w:type="dxa"/>
          </w:tcPr>
          <w:p w14:paraId="56A99830" w14:textId="70A9C156" w:rsidR="002F0A22" w:rsidRPr="00F15770" w:rsidRDefault="002F0A22" w:rsidP="002F0A22">
            <w:pPr>
              <w:pStyle w:val="Tabletext"/>
              <w:rPr>
                <w:b/>
                <w:bCs/>
              </w:rPr>
            </w:pPr>
            <w:r w:rsidRPr="001164EC">
              <w:t>Other plastics (7)</w:t>
            </w:r>
          </w:p>
        </w:tc>
        <w:tc>
          <w:tcPr>
            <w:tcW w:w="2126" w:type="dxa"/>
          </w:tcPr>
          <w:p w14:paraId="43405B67" w14:textId="3B6AF548" w:rsidR="002F0A22" w:rsidRPr="00F15770" w:rsidRDefault="002F0A22" w:rsidP="002F0A22">
            <w:pPr>
              <w:pStyle w:val="Tabletext"/>
              <w:rPr>
                <w:b/>
                <w:bCs/>
              </w:rPr>
            </w:pPr>
            <w:r w:rsidRPr="001164EC">
              <w:t>142,200</w:t>
            </w:r>
          </w:p>
        </w:tc>
        <w:tc>
          <w:tcPr>
            <w:tcW w:w="2126" w:type="dxa"/>
          </w:tcPr>
          <w:p w14:paraId="16FF62D3" w14:textId="11509A5C" w:rsidR="002F0A22" w:rsidRPr="00F15770" w:rsidRDefault="002F0A22" w:rsidP="002F0A22">
            <w:pPr>
              <w:pStyle w:val="Tabletext"/>
              <w:rPr>
                <w:b/>
                <w:bCs/>
              </w:rPr>
            </w:pPr>
            <w:r w:rsidRPr="001164EC">
              <w:t>18%</w:t>
            </w:r>
          </w:p>
        </w:tc>
        <w:tc>
          <w:tcPr>
            <w:tcW w:w="2413" w:type="dxa"/>
          </w:tcPr>
          <w:p w14:paraId="5E7EFB69" w14:textId="5C3E6EAC" w:rsidR="002F0A22" w:rsidRPr="00F15770" w:rsidRDefault="002F0A22" w:rsidP="002F0A22">
            <w:pPr>
              <w:pStyle w:val="Tabletext"/>
              <w:rPr>
                <w:b/>
                <w:bCs/>
              </w:rPr>
            </w:pPr>
            <w:r w:rsidRPr="001164EC">
              <w:t>12,000</w:t>
            </w:r>
          </w:p>
        </w:tc>
        <w:tc>
          <w:tcPr>
            <w:tcW w:w="1701" w:type="dxa"/>
          </w:tcPr>
          <w:p w14:paraId="487FE547" w14:textId="62289F9D" w:rsidR="002F0A22" w:rsidRPr="00F15770" w:rsidRDefault="002F0A22" w:rsidP="002F0A22">
            <w:pPr>
              <w:pStyle w:val="Tabletext"/>
              <w:rPr>
                <w:b/>
                <w:bCs/>
              </w:rPr>
            </w:pPr>
            <w:r w:rsidRPr="001164EC">
              <w:t>8%</w:t>
            </w:r>
          </w:p>
        </w:tc>
      </w:tr>
    </w:tbl>
    <w:p w14:paraId="04DE84D1" w14:textId="36A3A6C1" w:rsidR="00DE76BB" w:rsidRPr="00DE76BB" w:rsidRDefault="00DE76BB" w:rsidP="002F0A22">
      <w:pPr>
        <w:pStyle w:val="BodyText"/>
        <w:spacing w:before="360"/>
      </w:pPr>
      <w:r>
        <w:t>(</w:t>
      </w:r>
      <w:r w:rsidRPr="00DE76BB">
        <w:t xml:space="preserve">Recycling Victoria (2023) Waste projection model available at </w:t>
      </w:r>
      <w:hyperlink r:id="rId44" w:history="1">
        <w:r w:rsidRPr="00DE76BB">
          <w:rPr>
            <w:rStyle w:val="Hyperlink"/>
          </w:rPr>
          <w:t>https://www.vic.gov.au/victorias-waste-projection-model-dashboard</w:t>
        </w:r>
      </w:hyperlink>
      <w:r w:rsidRPr="00DE76BB">
        <w:t xml:space="preserve"> The data in the table is based on actual data from 2020–21</w:t>
      </w:r>
      <w:r>
        <w:t>).</w:t>
      </w:r>
    </w:p>
    <w:p w14:paraId="42ACBCD3" w14:textId="77777777" w:rsidR="000378C7" w:rsidRDefault="000378C7">
      <w:pPr>
        <w:suppressAutoHyphens w:val="0"/>
        <w:spacing w:after="160"/>
        <w:rPr>
          <w:rFonts w:cs="Times New Roman (Body CS)"/>
          <w:b/>
          <w:bCs/>
          <w:kern w:val="24"/>
          <w:sz w:val="32"/>
          <w:szCs w:val="32"/>
          <w:lang w:val="en-GB"/>
        </w:rPr>
      </w:pPr>
      <w:r>
        <w:br w:type="page"/>
      </w:r>
    </w:p>
    <w:p w14:paraId="36599729" w14:textId="03A6DB41" w:rsidR="008E0E71" w:rsidRDefault="00CB2252" w:rsidP="008364D5">
      <w:pPr>
        <w:pStyle w:val="Heading2"/>
      </w:pPr>
      <w:bookmarkStart w:id="48" w:name="_Toc161758551"/>
      <w:r>
        <w:lastRenderedPageBreak/>
        <w:t>Tyres</w:t>
      </w:r>
      <w:bookmarkEnd w:id="48"/>
    </w:p>
    <w:p w14:paraId="73DE0E39" w14:textId="2512C87B" w:rsidR="00CB2252" w:rsidRPr="00CB2252" w:rsidRDefault="00CB2252" w:rsidP="00CB2252">
      <w:pPr>
        <w:pStyle w:val="BodyText"/>
      </w:pPr>
      <w:r w:rsidRPr="00CB2252">
        <w:t>Victoria’s recovery rate for end-of-life tyres is high (84%). Victoria has a developed market for end-of-life tyres, including the use of tyre crumb in roads. End-of-life tyre generation in Victoria exceeds the demand of materials recycled, with over 25% of processed end-of-life tyres exported to energy recovery facilities overseas. This is consistent with tyre recovery in other Australian jurisdictions.</w:t>
      </w:r>
    </w:p>
    <w:p w14:paraId="28D48DA8" w14:textId="77777777" w:rsidR="00CB2252" w:rsidRPr="00CB2252" w:rsidRDefault="00CB2252" w:rsidP="008364D5">
      <w:pPr>
        <w:pStyle w:val="Heading3"/>
      </w:pPr>
      <w:bookmarkStart w:id="49" w:name="_Toc161758552"/>
      <w:r w:rsidRPr="00CB2252">
        <w:t>Developments and changes</w:t>
      </w:r>
      <w:bookmarkEnd w:id="49"/>
    </w:p>
    <w:p w14:paraId="7D4B1D8D" w14:textId="77777777" w:rsidR="00CB2252" w:rsidRPr="00CB2252" w:rsidRDefault="00CB2252" w:rsidP="00CB2252">
      <w:pPr>
        <w:pStyle w:val="BodyText"/>
      </w:pPr>
      <w:r w:rsidRPr="00CB2252">
        <w:t xml:space="preserve">The Australian export ban of whole baled end-of-life tyres came into effect in 2021, excluding processed tyre crumbs, </w:t>
      </w:r>
      <w:proofErr w:type="spellStart"/>
      <w:r w:rsidRPr="00CB2252">
        <w:t>buffings</w:t>
      </w:r>
      <w:proofErr w:type="spellEnd"/>
      <w:r w:rsidRPr="00CB2252">
        <w:t>, granules or shreds, which may still be exported. Demand for tyres crumb in roads throughout Australia has reduced, creating some uncertainty within the sector.</w:t>
      </w:r>
    </w:p>
    <w:p w14:paraId="45B99AEA" w14:textId="5CA1E44F" w:rsidR="00CB2252" w:rsidRPr="00CB2252" w:rsidRDefault="00CB2252" w:rsidP="00CB2252">
      <w:pPr>
        <w:pStyle w:val="BodyText"/>
      </w:pPr>
      <w:r w:rsidRPr="00CB2252">
        <w:t>Tyre Stewardship Australia has committed over $9M in market development activities across Australia.</w:t>
      </w:r>
    </w:p>
    <w:p w14:paraId="7C78E409" w14:textId="77777777" w:rsidR="00CB2252" w:rsidRPr="00CB2252" w:rsidRDefault="00CB2252" w:rsidP="00CB2252">
      <w:pPr>
        <w:pStyle w:val="BodyText"/>
      </w:pPr>
      <w:r w:rsidRPr="00CB2252">
        <w:t>Victoria’s Recycle First Policy, implemented in 2020, has progressed pathways for preferential use of crumb tyres and tyre-derived aggregate in Victoria’s Big Build projects.</w:t>
      </w:r>
    </w:p>
    <w:p w14:paraId="44D13617" w14:textId="77777777" w:rsidR="00CB2252" w:rsidRPr="00CB2252" w:rsidRDefault="00CB2252" w:rsidP="00CB2252">
      <w:pPr>
        <w:pStyle w:val="BodyText"/>
      </w:pPr>
      <w:r w:rsidRPr="00CB2252">
        <w:t>Changes to strengthen the existing stewardship framework for end-of-life tyres are underway in Australia, including options to for mandatory producer responsibilities.</w:t>
      </w:r>
    </w:p>
    <w:p w14:paraId="208C274E" w14:textId="32315DFD" w:rsidR="00CB2252" w:rsidRPr="00CB2252" w:rsidRDefault="00CB2252" w:rsidP="00CB2252">
      <w:pPr>
        <w:pStyle w:val="BodyText"/>
      </w:pPr>
      <w:r w:rsidRPr="00CB2252">
        <w:t>Improving circularity of this material stream is also a focus outside of Australia. International change in policy, including in New Zealand, is occurring, aimed at improving the circularity of tyres. The New Zealand mandatory product stewardship scheme comes into effect 1 March 2024. This new scheme may result in increased imports of processed tyres to Australia and will require monitoring.</w:t>
      </w:r>
    </w:p>
    <w:p w14:paraId="3BCCAE48" w14:textId="77777777" w:rsidR="00CB2252" w:rsidRPr="00CB2252" w:rsidRDefault="00CB2252" w:rsidP="008364D5">
      <w:pPr>
        <w:pStyle w:val="Heading3"/>
      </w:pPr>
      <w:bookmarkStart w:id="50" w:name="_Toc161758553"/>
      <w:r w:rsidRPr="00CB2252">
        <w:t>Market performance</w:t>
      </w:r>
      <w:bookmarkEnd w:id="50"/>
    </w:p>
    <w:p w14:paraId="3646DCEB" w14:textId="49C08B6E" w:rsidR="00CB2252" w:rsidRPr="00CB2252" w:rsidRDefault="00CB2252" w:rsidP="00CB2252">
      <w:pPr>
        <w:pStyle w:val="BodyText"/>
      </w:pPr>
      <w:r w:rsidRPr="00CB2252">
        <w:t>Victoria has 3 end-of-life tyre facilities, and 3 tyre derived fuel facilities.</w:t>
      </w:r>
    </w:p>
    <w:p w14:paraId="5795F844" w14:textId="430E7263" w:rsidR="00CB2252" w:rsidRPr="00CB2252" w:rsidRDefault="00CB2252" w:rsidP="00CB2252">
      <w:pPr>
        <w:pStyle w:val="BodyText"/>
      </w:pPr>
      <w:r w:rsidRPr="00CB2252">
        <w:t xml:space="preserve">Over half (56%) of recovered material is processed locally, with end markets including tyre derived fuels, crumb, granule or </w:t>
      </w:r>
      <w:proofErr w:type="spellStart"/>
      <w:r w:rsidRPr="00CB2252">
        <w:t>buffings</w:t>
      </w:r>
      <w:proofErr w:type="spellEnd"/>
      <w:r w:rsidRPr="00CB2252">
        <w:t>, re-treaded tyres, casings and seconds and civil engineering applications (using whole tyres).</w:t>
      </w:r>
    </w:p>
    <w:p w14:paraId="2F621AD3" w14:textId="45A873A4" w:rsidR="00CB2252" w:rsidRPr="00311725" w:rsidRDefault="00CB2252" w:rsidP="00311725">
      <w:pPr>
        <w:pStyle w:val="BodyText"/>
        <w:rPr>
          <w:u w:val="thick"/>
        </w:rPr>
      </w:pPr>
      <w:r w:rsidRPr="00CB2252">
        <w:lastRenderedPageBreak/>
        <w:t>There is a reliance on Victoria to export processed end-of-life tyres to offshore markets for use as an alternative fuel</w:t>
      </w:r>
      <w:r w:rsidR="00311725">
        <w:t>. (</w:t>
      </w:r>
      <w:r w:rsidR="00311725" w:rsidRPr="00311725">
        <w:t xml:space="preserve">Blue Environment (2023) National Waste Report 2022. Prepared for the Department of Climate Change, Energy, the Environment and Water. Available at </w:t>
      </w:r>
      <w:hyperlink r:id="rId45" w:history="1">
        <w:r w:rsidR="00311725" w:rsidRPr="00311725">
          <w:rPr>
            <w:rStyle w:val="Hyperlink"/>
          </w:rPr>
          <w:t>https://www.dcceew.gov.au/environment/protection/waste/national-waste-reports/2022</w:t>
        </w:r>
      </w:hyperlink>
      <w:r w:rsidR="00311725">
        <w:t>).</w:t>
      </w:r>
    </w:p>
    <w:p w14:paraId="61ABED7D" w14:textId="77777777" w:rsidR="00CB2252" w:rsidRPr="00CB2252" w:rsidRDefault="00CB2252" w:rsidP="008364D5">
      <w:pPr>
        <w:pStyle w:val="Heading3"/>
      </w:pPr>
      <w:bookmarkStart w:id="51" w:name="_Toc161758554"/>
      <w:r w:rsidRPr="00CB2252">
        <w:t>Market issues and challenges</w:t>
      </w:r>
      <w:bookmarkEnd w:id="51"/>
    </w:p>
    <w:p w14:paraId="1BC2B046" w14:textId="77777777" w:rsidR="00CB2252" w:rsidRPr="00CB2252" w:rsidRDefault="00CB2252" w:rsidP="00CB2252">
      <w:pPr>
        <w:pStyle w:val="BodyText"/>
      </w:pPr>
      <w:r w:rsidRPr="00CB2252">
        <w:t>Re-use of heavy vehicle and aviation tyres is occurring via re-treading processes. New technologies, including pyrolysis, are emerging in Australia.</w:t>
      </w:r>
    </w:p>
    <w:p w14:paraId="16F13B6F" w14:textId="7AB1E7E7" w:rsidR="00CB2252" w:rsidRPr="00CB2252" w:rsidRDefault="00CB2252" w:rsidP="00CB2252">
      <w:pPr>
        <w:pStyle w:val="BodyText"/>
      </w:pPr>
      <w:r w:rsidRPr="00CB2252">
        <w:t>The lack of solutions can result in illegal dumping of tyres, including from commercial operators.</w:t>
      </w:r>
    </w:p>
    <w:p w14:paraId="3F81C82C" w14:textId="161A8D2B" w:rsidR="00CB2252" w:rsidRPr="00CB2252" w:rsidRDefault="00CB2252" w:rsidP="00CB2252">
      <w:pPr>
        <w:pStyle w:val="BodyText"/>
      </w:pPr>
      <w:r w:rsidRPr="00CB2252">
        <w:t>The overall circularity of tyres is limited, as there is no capability within Australia or overseas to undertake direct tyre-to-tyre reprocessing.</w:t>
      </w:r>
    </w:p>
    <w:p w14:paraId="70E91852" w14:textId="77777777" w:rsidR="00CB2252" w:rsidRPr="00CB2252" w:rsidRDefault="00CB2252" w:rsidP="00CB2252">
      <w:pPr>
        <w:pStyle w:val="BodyText"/>
      </w:pPr>
      <w:r w:rsidRPr="00CB2252">
        <w:t>Opportunities are emerging to increase the re-treading of car tyres (re-use), to reduce consumption and improving material circularity of tyre by exploring vehicle tyres as a service. This model is currently applied within the aviation industry, where customers do not purchase the physical tyres, but the use of the tyre (e.g., kilometres travelled, hours of use). This model creates an incentive for manufacturers to develop higher quality/ long life products, which in turn reduces the volume of end-of-life tyres.</w:t>
      </w:r>
    </w:p>
    <w:p w14:paraId="395707E9" w14:textId="77777777" w:rsidR="00CB2252" w:rsidRPr="00CB2252" w:rsidRDefault="00CB2252" w:rsidP="008364D5">
      <w:pPr>
        <w:pStyle w:val="Heading3"/>
      </w:pPr>
      <w:bookmarkStart w:id="52" w:name="_Toc161758555"/>
      <w:r w:rsidRPr="00CB2252">
        <w:t>Areas for greater circularity – tyres</w:t>
      </w:r>
      <w:bookmarkEnd w:id="52"/>
    </w:p>
    <w:p w14:paraId="5AD754BA" w14:textId="0F026888" w:rsidR="00CB2252" w:rsidRPr="00CB2252" w:rsidRDefault="00CB2252" w:rsidP="00CB2252">
      <w:pPr>
        <w:pStyle w:val="BodyText"/>
      </w:pPr>
      <w:r w:rsidRPr="00CB2252">
        <w:t>The greatest areas for improved circularity for this material stream are:</w:t>
      </w:r>
    </w:p>
    <w:p w14:paraId="11DA50AB" w14:textId="77777777" w:rsidR="00CB2252" w:rsidRPr="00CB2252" w:rsidRDefault="00CB2252" w:rsidP="008364D5">
      <w:pPr>
        <w:pStyle w:val="ListBullet"/>
      </w:pPr>
      <w:r w:rsidRPr="00CB2252">
        <w:t>Australian product stewardship system</w:t>
      </w:r>
    </w:p>
    <w:p w14:paraId="7F557593" w14:textId="77777777" w:rsidR="00CB2252" w:rsidRPr="00CB2252" w:rsidRDefault="00CB2252" w:rsidP="008364D5">
      <w:pPr>
        <w:pStyle w:val="ListBullet"/>
      </w:pPr>
      <w:r w:rsidRPr="00CB2252">
        <w:t xml:space="preserve">data sharing across Australian jurisdictions, to improve quality and measurements of end market </w:t>
      </w:r>
      <w:proofErr w:type="gramStart"/>
      <w:r w:rsidRPr="00CB2252">
        <w:t>products</w:t>
      </w:r>
      <w:proofErr w:type="gramEnd"/>
    </w:p>
    <w:p w14:paraId="0C8C9738" w14:textId="77777777" w:rsidR="00CB2252" w:rsidRDefault="00CB2252" w:rsidP="008364D5">
      <w:pPr>
        <w:pStyle w:val="Bullet1last"/>
      </w:pPr>
      <w:r w:rsidRPr="00CB2252">
        <w:t>business models, including tyres as a service to minimise waste and keep materials at their highest use for longer.</w:t>
      </w:r>
    </w:p>
    <w:p w14:paraId="2A62337A" w14:textId="77777777" w:rsidR="009E52EF" w:rsidRDefault="009E52EF">
      <w:pPr>
        <w:suppressAutoHyphens w:val="0"/>
        <w:spacing w:after="160"/>
        <w:rPr>
          <w:b/>
          <w:iCs/>
          <w:color w:val="000000" w:themeColor="text1"/>
          <w:szCs w:val="18"/>
        </w:rPr>
      </w:pPr>
      <w:r>
        <w:br w:type="page"/>
      </w:r>
    </w:p>
    <w:p w14:paraId="161B4069" w14:textId="41927368" w:rsidR="008563EE" w:rsidRDefault="008563EE" w:rsidP="008563EE">
      <w:pPr>
        <w:pStyle w:val="Caption"/>
        <w:keepNext/>
      </w:pPr>
      <w:r>
        <w:lastRenderedPageBreak/>
        <w:t xml:space="preserve">Table </w:t>
      </w:r>
      <w:r w:rsidR="00F03033">
        <w:t>10</w:t>
      </w:r>
      <w:r>
        <w:t xml:space="preserve">: </w:t>
      </w:r>
      <w:r w:rsidRPr="00E4375E">
        <w:t>Generation and recovery of tyres</w:t>
      </w:r>
    </w:p>
    <w:tbl>
      <w:tblPr>
        <w:tblStyle w:val="Style2"/>
        <w:tblW w:w="9921" w:type="dxa"/>
        <w:tblLayout w:type="fixed"/>
        <w:tblLook w:val="0020" w:firstRow="1" w:lastRow="0" w:firstColumn="0" w:lastColumn="0" w:noHBand="0" w:noVBand="0"/>
        <w:tblCaption w:val="Table 10: Generation and recovery of tyres"/>
        <w:tblDescription w:val="Generation and Recovery data for different tyre materials and sources"/>
      </w:tblPr>
      <w:tblGrid>
        <w:gridCol w:w="2263"/>
        <w:gridCol w:w="1914"/>
        <w:gridCol w:w="1915"/>
        <w:gridCol w:w="1914"/>
        <w:gridCol w:w="1915"/>
      </w:tblGrid>
      <w:tr w:rsidR="00962DA1" w:rsidRPr="00515EE5" w14:paraId="7E1ADA8B"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2263" w:type="dxa"/>
          </w:tcPr>
          <w:p w14:paraId="1F301C79" w14:textId="77777777" w:rsidR="00962DA1" w:rsidRPr="00515EE5" w:rsidRDefault="00962DA1" w:rsidP="006D6167">
            <w:pPr>
              <w:pStyle w:val="BodyText"/>
              <w:spacing w:line="276" w:lineRule="auto"/>
            </w:pPr>
            <w:r w:rsidRPr="00515EE5">
              <w:t>Stream</w:t>
            </w:r>
          </w:p>
        </w:tc>
        <w:tc>
          <w:tcPr>
            <w:tcW w:w="1914" w:type="dxa"/>
          </w:tcPr>
          <w:p w14:paraId="13C106FB" w14:textId="77777777" w:rsidR="00962DA1" w:rsidRDefault="00962DA1" w:rsidP="006D6167">
            <w:pPr>
              <w:pStyle w:val="BodyText"/>
              <w:spacing w:line="276" w:lineRule="auto"/>
              <w:rPr>
                <w:b w:val="0"/>
              </w:rPr>
            </w:pPr>
            <w:r w:rsidRPr="00515EE5">
              <w:t>Tonnes Generated</w:t>
            </w:r>
          </w:p>
          <w:p w14:paraId="6F35876C" w14:textId="77777777" w:rsidR="00962DA1" w:rsidRPr="00515EE5" w:rsidRDefault="00962DA1" w:rsidP="006D6167">
            <w:pPr>
              <w:pStyle w:val="BodyText"/>
              <w:spacing w:line="276" w:lineRule="auto"/>
              <w:rPr>
                <w:b w:val="0"/>
              </w:rPr>
            </w:pPr>
            <w:r>
              <w:t>(</w:t>
            </w:r>
            <w:r w:rsidRPr="00515EE5">
              <w:t>Tonnes</w:t>
            </w:r>
            <w:r>
              <w:t>)</w:t>
            </w:r>
          </w:p>
        </w:tc>
        <w:tc>
          <w:tcPr>
            <w:tcW w:w="1915" w:type="dxa"/>
          </w:tcPr>
          <w:p w14:paraId="73993BEF" w14:textId="77777777" w:rsidR="00962DA1" w:rsidRDefault="00962DA1" w:rsidP="006D6167">
            <w:pPr>
              <w:pStyle w:val="BodyText"/>
              <w:spacing w:line="276" w:lineRule="auto"/>
              <w:rPr>
                <w:b w:val="0"/>
              </w:rPr>
            </w:pPr>
            <w:r w:rsidRPr="00515EE5">
              <w:t>Proportion Generated</w:t>
            </w:r>
          </w:p>
          <w:p w14:paraId="589D29D9" w14:textId="77777777" w:rsidR="00962DA1" w:rsidRPr="00515EE5" w:rsidRDefault="00962DA1" w:rsidP="006D6167">
            <w:pPr>
              <w:pStyle w:val="BodyText"/>
              <w:spacing w:line="276" w:lineRule="auto"/>
            </w:pPr>
            <w:r>
              <w:t>(%)</w:t>
            </w:r>
          </w:p>
        </w:tc>
        <w:tc>
          <w:tcPr>
            <w:tcW w:w="1914" w:type="dxa"/>
          </w:tcPr>
          <w:p w14:paraId="205B4493"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68626D9A" w14:textId="77777777" w:rsidR="00962DA1" w:rsidRPr="00F15770" w:rsidRDefault="00962DA1" w:rsidP="006D6167">
            <w:pPr>
              <w:pStyle w:val="BodyText"/>
              <w:spacing w:line="276" w:lineRule="auto"/>
              <w:rPr>
                <w:b w:val="0"/>
              </w:rPr>
            </w:pPr>
            <w:r>
              <w:t>(</w:t>
            </w:r>
            <w:r w:rsidRPr="00515EE5">
              <w:t>Tonnes</w:t>
            </w:r>
            <w:r>
              <w:t>)</w:t>
            </w:r>
          </w:p>
        </w:tc>
        <w:tc>
          <w:tcPr>
            <w:tcW w:w="1915" w:type="dxa"/>
          </w:tcPr>
          <w:p w14:paraId="2313A19C" w14:textId="77777777" w:rsidR="00962DA1" w:rsidRDefault="00962DA1" w:rsidP="006D6167">
            <w:pPr>
              <w:pStyle w:val="BodyText"/>
              <w:spacing w:line="276" w:lineRule="auto"/>
              <w:rPr>
                <w:b w:val="0"/>
              </w:rPr>
            </w:pPr>
            <w:r w:rsidRPr="00515EE5">
              <w:t>Recovery Rate</w:t>
            </w:r>
          </w:p>
          <w:p w14:paraId="432BB065" w14:textId="77777777" w:rsidR="00962DA1" w:rsidRPr="00515EE5" w:rsidRDefault="00962DA1" w:rsidP="006D6167">
            <w:pPr>
              <w:pStyle w:val="BodyText"/>
              <w:spacing w:line="276" w:lineRule="auto"/>
            </w:pPr>
            <w:r>
              <w:t>(%)</w:t>
            </w:r>
          </w:p>
        </w:tc>
      </w:tr>
      <w:tr w:rsidR="008563EE" w:rsidRPr="00515EE5" w14:paraId="3BD67C75" w14:textId="77777777" w:rsidTr="00C43336">
        <w:trPr>
          <w:trHeight w:val="60"/>
        </w:trPr>
        <w:tc>
          <w:tcPr>
            <w:tcW w:w="2263" w:type="dxa"/>
          </w:tcPr>
          <w:p w14:paraId="673F0E1D" w14:textId="1F44252E" w:rsidR="008563EE" w:rsidRPr="00515EE5" w:rsidRDefault="008563EE" w:rsidP="008563EE">
            <w:pPr>
              <w:pStyle w:val="Tabletext"/>
            </w:pPr>
            <w:r w:rsidRPr="00B40E55">
              <w:t>MSW</w:t>
            </w:r>
          </w:p>
        </w:tc>
        <w:tc>
          <w:tcPr>
            <w:tcW w:w="1914" w:type="dxa"/>
          </w:tcPr>
          <w:p w14:paraId="790D65E5" w14:textId="14532390" w:rsidR="008563EE" w:rsidRPr="00515EE5" w:rsidRDefault="008563EE" w:rsidP="008563EE">
            <w:pPr>
              <w:pStyle w:val="Tabletext"/>
            </w:pPr>
            <w:r w:rsidRPr="00B40E55">
              <w:t>5,900</w:t>
            </w:r>
          </w:p>
        </w:tc>
        <w:tc>
          <w:tcPr>
            <w:tcW w:w="1915" w:type="dxa"/>
          </w:tcPr>
          <w:p w14:paraId="120AE998" w14:textId="54881A96" w:rsidR="008563EE" w:rsidRPr="00515EE5" w:rsidRDefault="008563EE" w:rsidP="008563EE">
            <w:pPr>
              <w:pStyle w:val="Tabletext"/>
            </w:pPr>
            <w:r w:rsidRPr="00B40E55">
              <w:t>6%</w:t>
            </w:r>
          </w:p>
        </w:tc>
        <w:tc>
          <w:tcPr>
            <w:tcW w:w="1914" w:type="dxa"/>
          </w:tcPr>
          <w:p w14:paraId="47B0392C" w14:textId="0470CD14" w:rsidR="008563EE" w:rsidRPr="00515EE5" w:rsidRDefault="008563EE" w:rsidP="008563EE">
            <w:pPr>
              <w:pStyle w:val="Tabletext"/>
            </w:pPr>
            <w:r w:rsidRPr="00B40E55">
              <w:t>3,400</w:t>
            </w:r>
          </w:p>
        </w:tc>
        <w:tc>
          <w:tcPr>
            <w:tcW w:w="1915" w:type="dxa"/>
          </w:tcPr>
          <w:p w14:paraId="4E8E155D" w14:textId="767830E9" w:rsidR="008563EE" w:rsidRPr="00515EE5" w:rsidRDefault="008563EE" w:rsidP="008563EE">
            <w:pPr>
              <w:pStyle w:val="Tabletext"/>
            </w:pPr>
            <w:r w:rsidRPr="00B40E55">
              <w:t>58%</w:t>
            </w:r>
          </w:p>
        </w:tc>
      </w:tr>
      <w:tr w:rsidR="008563EE" w:rsidRPr="00515EE5" w14:paraId="0CD2F681" w14:textId="77777777" w:rsidTr="00C43336">
        <w:trPr>
          <w:trHeight w:val="60"/>
        </w:trPr>
        <w:tc>
          <w:tcPr>
            <w:tcW w:w="2263" w:type="dxa"/>
          </w:tcPr>
          <w:p w14:paraId="2E716F05" w14:textId="7BF940C5" w:rsidR="008563EE" w:rsidRPr="00515EE5" w:rsidRDefault="008563EE" w:rsidP="008563EE">
            <w:pPr>
              <w:pStyle w:val="Tabletext"/>
            </w:pPr>
            <w:r w:rsidRPr="00B40E55">
              <w:t>C&amp;I</w:t>
            </w:r>
          </w:p>
        </w:tc>
        <w:tc>
          <w:tcPr>
            <w:tcW w:w="1914" w:type="dxa"/>
          </w:tcPr>
          <w:p w14:paraId="50BCD67A" w14:textId="2436B596" w:rsidR="008563EE" w:rsidRPr="00515EE5" w:rsidRDefault="008563EE" w:rsidP="008563EE">
            <w:pPr>
              <w:pStyle w:val="Tabletext"/>
            </w:pPr>
            <w:r w:rsidRPr="00B40E55">
              <w:t>100,000</w:t>
            </w:r>
          </w:p>
        </w:tc>
        <w:tc>
          <w:tcPr>
            <w:tcW w:w="1915" w:type="dxa"/>
          </w:tcPr>
          <w:p w14:paraId="777CE0FB" w14:textId="61E1043F" w:rsidR="008563EE" w:rsidRPr="00515EE5" w:rsidRDefault="008563EE" w:rsidP="008563EE">
            <w:pPr>
              <w:pStyle w:val="Tabletext"/>
            </w:pPr>
            <w:r w:rsidRPr="00B40E55">
              <w:t>94%</w:t>
            </w:r>
          </w:p>
        </w:tc>
        <w:tc>
          <w:tcPr>
            <w:tcW w:w="1914" w:type="dxa"/>
          </w:tcPr>
          <w:p w14:paraId="0CCFF526" w14:textId="106CCD0A" w:rsidR="008563EE" w:rsidRPr="00515EE5" w:rsidRDefault="008563EE" w:rsidP="008563EE">
            <w:pPr>
              <w:pStyle w:val="Tabletext"/>
            </w:pPr>
            <w:r w:rsidRPr="00B40E55">
              <w:t>88,200</w:t>
            </w:r>
          </w:p>
        </w:tc>
        <w:tc>
          <w:tcPr>
            <w:tcW w:w="1915" w:type="dxa"/>
          </w:tcPr>
          <w:p w14:paraId="20FC5EF1" w14:textId="3902BE8B" w:rsidR="008563EE" w:rsidRPr="00515EE5" w:rsidRDefault="008563EE" w:rsidP="008563EE">
            <w:pPr>
              <w:pStyle w:val="Tabletext"/>
            </w:pPr>
            <w:r w:rsidRPr="00B40E55">
              <w:t>88%</w:t>
            </w:r>
          </w:p>
        </w:tc>
      </w:tr>
      <w:tr w:rsidR="008563EE" w:rsidRPr="00515EE5" w14:paraId="623496D9" w14:textId="77777777" w:rsidTr="00C43336">
        <w:trPr>
          <w:trHeight w:val="60"/>
        </w:trPr>
        <w:tc>
          <w:tcPr>
            <w:tcW w:w="2263" w:type="dxa"/>
          </w:tcPr>
          <w:p w14:paraId="14477A20" w14:textId="3954A008" w:rsidR="008563EE" w:rsidRPr="00515EE5" w:rsidRDefault="008563EE" w:rsidP="008563EE">
            <w:pPr>
              <w:pStyle w:val="Tabletext"/>
            </w:pPr>
            <w:r w:rsidRPr="00B40E55">
              <w:t>C&amp;D</w:t>
            </w:r>
          </w:p>
        </w:tc>
        <w:tc>
          <w:tcPr>
            <w:tcW w:w="1914" w:type="dxa"/>
          </w:tcPr>
          <w:p w14:paraId="1524C723" w14:textId="7E8C1BF5" w:rsidR="008563EE" w:rsidRPr="00515EE5" w:rsidRDefault="008563EE" w:rsidP="008563EE">
            <w:pPr>
              <w:pStyle w:val="Tabletext"/>
            </w:pPr>
            <w:r w:rsidRPr="00B40E55">
              <w:t>300</w:t>
            </w:r>
          </w:p>
        </w:tc>
        <w:tc>
          <w:tcPr>
            <w:tcW w:w="1915" w:type="dxa"/>
          </w:tcPr>
          <w:p w14:paraId="3EF85551" w14:textId="60198A07" w:rsidR="008563EE" w:rsidRPr="00515EE5" w:rsidRDefault="008563EE" w:rsidP="008563EE">
            <w:pPr>
              <w:pStyle w:val="Tabletext"/>
            </w:pPr>
            <w:r w:rsidRPr="00B40E55">
              <w:t>&lt;1%</w:t>
            </w:r>
          </w:p>
        </w:tc>
        <w:tc>
          <w:tcPr>
            <w:tcW w:w="1914" w:type="dxa"/>
          </w:tcPr>
          <w:p w14:paraId="57EDE8D4" w14:textId="4ED10A54" w:rsidR="008563EE" w:rsidRPr="00515EE5" w:rsidRDefault="008563EE" w:rsidP="008563EE">
            <w:pPr>
              <w:pStyle w:val="Tabletext"/>
            </w:pPr>
            <w:r w:rsidRPr="00B40E55">
              <w:t>–</w:t>
            </w:r>
          </w:p>
        </w:tc>
        <w:tc>
          <w:tcPr>
            <w:tcW w:w="1915" w:type="dxa"/>
          </w:tcPr>
          <w:p w14:paraId="5D09F623" w14:textId="448625E9" w:rsidR="008563EE" w:rsidRPr="00515EE5" w:rsidRDefault="008563EE" w:rsidP="008563EE">
            <w:pPr>
              <w:pStyle w:val="Tabletext"/>
            </w:pPr>
            <w:r w:rsidRPr="00B40E55">
              <w:t>0%</w:t>
            </w:r>
          </w:p>
        </w:tc>
      </w:tr>
      <w:tr w:rsidR="008563EE" w:rsidRPr="00515EE5" w14:paraId="5AFB7EC2" w14:textId="77777777" w:rsidTr="00C43336">
        <w:trPr>
          <w:trHeight w:val="60"/>
        </w:trPr>
        <w:tc>
          <w:tcPr>
            <w:tcW w:w="2263" w:type="dxa"/>
            <w:tcBorders>
              <w:bottom w:val="single" w:sz="4" w:space="0" w:color="auto"/>
            </w:tcBorders>
          </w:tcPr>
          <w:p w14:paraId="168BDF85" w14:textId="69693CF9" w:rsidR="008563EE" w:rsidRPr="008563EE" w:rsidRDefault="008563EE" w:rsidP="008563EE">
            <w:pPr>
              <w:pStyle w:val="Tabletext"/>
              <w:rPr>
                <w:b/>
                <w:bCs/>
              </w:rPr>
            </w:pPr>
            <w:r w:rsidRPr="008563EE">
              <w:rPr>
                <w:b/>
                <w:bCs/>
              </w:rPr>
              <w:t>Total</w:t>
            </w:r>
          </w:p>
        </w:tc>
        <w:tc>
          <w:tcPr>
            <w:tcW w:w="1914" w:type="dxa"/>
            <w:tcBorders>
              <w:bottom w:val="single" w:sz="4" w:space="0" w:color="auto"/>
            </w:tcBorders>
          </w:tcPr>
          <w:p w14:paraId="0F0ABF3F" w14:textId="05551ACA" w:rsidR="008563EE" w:rsidRPr="008563EE" w:rsidRDefault="008563EE" w:rsidP="008563EE">
            <w:pPr>
              <w:pStyle w:val="Tabletext"/>
              <w:rPr>
                <w:b/>
                <w:bCs/>
              </w:rPr>
            </w:pPr>
            <w:r w:rsidRPr="008563EE">
              <w:rPr>
                <w:b/>
                <w:bCs/>
              </w:rPr>
              <w:t>106,200</w:t>
            </w:r>
          </w:p>
        </w:tc>
        <w:tc>
          <w:tcPr>
            <w:tcW w:w="1915" w:type="dxa"/>
            <w:tcBorders>
              <w:bottom w:val="single" w:sz="4" w:space="0" w:color="auto"/>
            </w:tcBorders>
          </w:tcPr>
          <w:p w14:paraId="2A5783C4" w14:textId="77777777" w:rsidR="008563EE" w:rsidRPr="008563EE" w:rsidRDefault="008563EE" w:rsidP="008563EE">
            <w:pPr>
              <w:pStyle w:val="Tabletext"/>
              <w:rPr>
                <w:b/>
                <w:bCs/>
              </w:rPr>
            </w:pPr>
          </w:p>
        </w:tc>
        <w:tc>
          <w:tcPr>
            <w:tcW w:w="1914" w:type="dxa"/>
            <w:tcBorders>
              <w:bottom w:val="single" w:sz="4" w:space="0" w:color="auto"/>
            </w:tcBorders>
          </w:tcPr>
          <w:p w14:paraId="7A66D2A9" w14:textId="2CF1744D" w:rsidR="008563EE" w:rsidRPr="008563EE" w:rsidRDefault="008563EE" w:rsidP="008563EE">
            <w:pPr>
              <w:pStyle w:val="Tabletext"/>
              <w:rPr>
                <w:b/>
                <w:bCs/>
              </w:rPr>
            </w:pPr>
            <w:r w:rsidRPr="008563EE">
              <w:rPr>
                <w:b/>
                <w:bCs/>
              </w:rPr>
              <w:t>91,600</w:t>
            </w:r>
          </w:p>
        </w:tc>
        <w:tc>
          <w:tcPr>
            <w:tcW w:w="1915" w:type="dxa"/>
            <w:tcBorders>
              <w:bottom w:val="single" w:sz="4" w:space="0" w:color="auto"/>
            </w:tcBorders>
          </w:tcPr>
          <w:p w14:paraId="55ACA324" w14:textId="46077B4C" w:rsidR="008563EE" w:rsidRPr="008563EE" w:rsidRDefault="008563EE" w:rsidP="008563EE">
            <w:pPr>
              <w:pStyle w:val="Tabletext"/>
              <w:rPr>
                <w:b/>
                <w:bCs/>
              </w:rPr>
            </w:pPr>
            <w:r w:rsidRPr="008563EE">
              <w:rPr>
                <w:b/>
                <w:bCs/>
              </w:rPr>
              <w:t>86%</w:t>
            </w:r>
          </w:p>
        </w:tc>
      </w:tr>
      <w:tr w:rsidR="00962DA1" w:rsidRPr="00515EE5" w14:paraId="24245EA0" w14:textId="77777777" w:rsidTr="00C43336">
        <w:trPr>
          <w:trHeight w:val="60"/>
        </w:trPr>
        <w:tc>
          <w:tcPr>
            <w:tcW w:w="2263" w:type="dxa"/>
            <w:tcBorders>
              <w:left w:val="nil"/>
              <w:right w:val="nil"/>
            </w:tcBorders>
          </w:tcPr>
          <w:p w14:paraId="7D3ABAC7" w14:textId="77777777" w:rsidR="00962DA1" w:rsidRPr="00F15770" w:rsidRDefault="00962DA1" w:rsidP="006D6167">
            <w:pPr>
              <w:pStyle w:val="Tabletext"/>
              <w:rPr>
                <w:b/>
                <w:bCs/>
              </w:rPr>
            </w:pPr>
          </w:p>
        </w:tc>
        <w:tc>
          <w:tcPr>
            <w:tcW w:w="1914" w:type="dxa"/>
            <w:tcBorders>
              <w:left w:val="nil"/>
              <w:right w:val="nil"/>
            </w:tcBorders>
          </w:tcPr>
          <w:p w14:paraId="511C707C" w14:textId="77777777" w:rsidR="00962DA1" w:rsidRPr="00F15770" w:rsidRDefault="00962DA1" w:rsidP="006D6167">
            <w:pPr>
              <w:pStyle w:val="Tabletext"/>
              <w:rPr>
                <w:b/>
                <w:bCs/>
              </w:rPr>
            </w:pPr>
          </w:p>
        </w:tc>
        <w:tc>
          <w:tcPr>
            <w:tcW w:w="1915" w:type="dxa"/>
            <w:tcBorders>
              <w:left w:val="nil"/>
              <w:right w:val="nil"/>
            </w:tcBorders>
          </w:tcPr>
          <w:p w14:paraId="4B141931" w14:textId="77777777" w:rsidR="00962DA1" w:rsidRPr="00F15770" w:rsidRDefault="00962DA1" w:rsidP="006D6167">
            <w:pPr>
              <w:pStyle w:val="Tabletext"/>
              <w:rPr>
                <w:b/>
                <w:bCs/>
              </w:rPr>
            </w:pPr>
          </w:p>
        </w:tc>
        <w:tc>
          <w:tcPr>
            <w:tcW w:w="1914" w:type="dxa"/>
            <w:tcBorders>
              <w:left w:val="nil"/>
              <w:right w:val="nil"/>
            </w:tcBorders>
          </w:tcPr>
          <w:p w14:paraId="5D1745F7" w14:textId="77777777" w:rsidR="00962DA1" w:rsidRPr="00F15770" w:rsidRDefault="00962DA1" w:rsidP="006D6167">
            <w:pPr>
              <w:pStyle w:val="Tabletext"/>
              <w:rPr>
                <w:b/>
                <w:bCs/>
              </w:rPr>
            </w:pPr>
          </w:p>
        </w:tc>
        <w:tc>
          <w:tcPr>
            <w:tcW w:w="1915" w:type="dxa"/>
            <w:tcBorders>
              <w:left w:val="nil"/>
              <w:right w:val="nil"/>
            </w:tcBorders>
          </w:tcPr>
          <w:p w14:paraId="60E3F46A" w14:textId="77777777" w:rsidR="00962DA1" w:rsidRPr="00F15770" w:rsidRDefault="00962DA1" w:rsidP="006D6167">
            <w:pPr>
              <w:pStyle w:val="Tabletext"/>
              <w:rPr>
                <w:b/>
                <w:bCs/>
              </w:rPr>
            </w:pPr>
          </w:p>
        </w:tc>
      </w:tr>
      <w:tr w:rsidR="00962DA1" w:rsidRPr="00515EE5" w14:paraId="053E4B47" w14:textId="77777777" w:rsidTr="00C43336">
        <w:trPr>
          <w:trHeight w:val="60"/>
        </w:trPr>
        <w:tc>
          <w:tcPr>
            <w:tcW w:w="2263" w:type="dxa"/>
            <w:shd w:val="clear" w:color="auto" w:fill="F2F2F2" w:themeFill="background1" w:themeFillShade="F2"/>
          </w:tcPr>
          <w:p w14:paraId="224EEAFB" w14:textId="77777777" w:rsidR="00962DA1" w:rsidRPr="006B4C87" w:rsidRDefault="00962DA1" w:rsidP="006D6167">
            <w:pPr>
              <w:pStyle w:val="Tabletext"/>
              <w:rPr>
                <w:b/>
                <w:bCs/>
              </w:rPr>
            </w:pPr>
            <w:r w:rsidRPr="006B4C87">
              <w:rPr>
                <w:b/>
                <w:bCs/>
              </w:rPr>
              <w:t>Material</w:t>
            </w:r>
          </w:p>
        </w:tc>
        <w:tc>
          <w:tcPr>
            <w:tcW w:w="1914" w:type="dxa"/>
            <w:shd w:val="clear" w:color="auto" w:fill="F2F2F2" w:themeFill="background1" w:themeFillShade="F2"/>
          </w:tcPr>
          <w:p w14:paraId="48996444" w14:textId="77777777" w:rsidR="00962DA1" w:rsidRPr="006B4C87" w:rsidRDefault="00962DA1" w:rsidP="006D6167">
            <w:pPr>
              <w:pStyle w:val="BodyText"/>
              <w:spacing w:line="276" w:lineRule="auto"/>
              <w:rPr>
                <w:b/>
                <w:bCs/>
              </w:rPr>
            </w:pPr>
            <w:r w:rsidRPr="006B4C87">
              <w:rPr>
                <w:b/>
                <w:bCs/>
              </w:rPr>
              <w:t>Tonnes Generated</w:t>
            </w:r>
          </w:p>
          <w:p w14:paraId="3FA870AD" w14:textId="77777777" w:rsidR="00962DA1" w:rsidRPr="006B4C87" w:rsidRDefault="00962DA1" w:rsidP="006D6167">
            <w:pPr>
              <w:pStyle w:val="Tabletext"/>
              <w:rPr>
                <w:b/>
                <w:bCs/>
              </w:rPr>
            </w:pPr>
            <w:r w:rsidRPr="006B4C87">
              <w:rPr>
                <w:b/>
                <w:bCs/>
              </w:rPr>
              <w:t>(Tonnes)</w:t>
            </w:r>
          </w:p>
        </w:tc>
        <w:tc>
          <w:tcPr>
            <w:tcW w:w="1915" w:type="dxa"/>
            <w:shd w:val="clear" w:color="auto" w:fill="F2F2F2" w:themeFill="background1" w:themeFillShade="F2"/>
          </w:tcPr>
          <w:p w14:paraId="3BF76CDF" w14:textId="77777777" w:rsidR="00962DA1" w:rsidRPr="006B4C87" w:rsidRDefault="00962DA1" w:rsidP="006D6167">
            <w:pPr>
              <w:pStyle w:val="BodyText"/>
              <w:spacing w:line="276" w:lineRule="auto"/>
              <w:rPr>
                <w:b/>
                <w:bCs/>
              </w:rPr>
            </w:pPr>
            <w:r w:rsidRPr="006B4C87">
              <w:rPr>
                <w:b/>
                <w:bCs/>
              </w:rPr>
              <w:t>Proportion Generated</w:t>
            </w:r>
          </w:p>
          <w:p w14:paraId="1E18808E" w14:textId="77777777" w:rsidR="00962DA1" w:rsidRPr="006B4C87" w:rsidRDefault="00962DA1" w:rsidP="006D6167">
            <w:pPr>
              <w:pStyle w:val="Tabletext"/>
              <w:rPr>
                <w:b/>
                <w:bCs/>
              </w:rPr>
            </w:pPr>
            <w:r w:rsidRPr="006B4C87">
              <w:rPr>
                <w:b/>
                <w:bCs/>
              </w:rPr>
              <w:t>(</w:t>
            </w:r>
            <w:r>
              <w:rPr>
                <w:b/>
                <w:bCs/>
              </w:rPr>
              <w:t>%</w:t>
            </w:r>
            <w:r w:rsidRPr="006B4C87">
              <w:rPr>
                <w:b/>
                <w:bCs/>
              </w:rPr>
              <w:t>)</w:t>
            </w:r>
          </w:p>
        </w:tc>
        <w:tc>
          <w:tcPr>
            <w:tcW w:w="1914" w:type="dxa"/>
            <w:shd w:val="clear" w:color="auto" w:fill="F2F2F2" w:themeFill="background1" w:themeFillShade="F2"/>
          </w:tcPr>
          <w:p w14:paraId="2D087D63"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39BF027A" w14:textId="77777777" w:rsidR="00962DA1" w:rsidRPr="006B4C87" w:rsidRDefault="00962DA1" w:rsidP="006D6167">
            <w:pPr>
              <w:pStyle w:val="Tabletext"/>
              <w:rPr>
                <w:b/>
                <w:bCs/>
              </w:rPr>
            </w:pPr>
            <w:r w:rsidRPr="006B4C87">
              <w:rPr>
                <w:b/>
                <w:bCs/>
              </w:rPr>
              <w:t>(Tonnes)</w:t>
            </w:r>
          </w:p>
        </w:tc>
        <w:tc>
          <w:tcPr>
            <w:tcW w:w="1915" w:type="dxa"/>
            <w:shd w:val="clear" w:color="auto" w:fill="F2F2F2" w:themeFill="background1" w:themeFillShade="F2"/>
          </w:tcPr>
          <w:p w14:paraId="6FCECF0B" w14:textId="77777777" w:rsidR="00962DA1" w:rsidRPr="006B4C87" w:rsidRDefault="00962DA1" w:rsidP="006D6167">
            <w:pPr>
              <w:pStyle w:val="BodyText"/>
              <w:spacing w:line="276" w:lineRule="auto"/>
              <w:rPr>
                <w:b/>
                <w:bCs/>
              </w:rPr>
            </w:pPr>
            <w:r w:rsidRPr="006B4C87">
              <w:rPr>
                <w:b/>
                <w:bCs/>
              </w:rPr>
              <w:t>Recovery Rate</w:t>
            </w:r>
          </w:p>
          <w:p w14:paraId="6BE9D932" w14:textId="77777777" w:rsidR="00962DA1" w:rsidRPr="006B4C87" w:rsidRDefault="00962DA1" w:rsidP="006D6167">
            <w:pPr>
              <w:pStyle w:val="Tabletext"/>
              <w:rPr>
                <w:b/>
                <w:bCs/>
              </w:rPr>
            </w:pPr>
            <w:r w:rsidRPr="006B4C87">
              <w:rPr>
                <w:b/>
                <w:bCs/>
              </w:rPr>
              <w:t>(</w:t>
            </w:r>
            <w:r>
              <w:rPr>
                <w:b/>
                <w:bCs/>
              </w:rPr>
              <w:t>%</w:t>
            </w:r>
            <w:r w:rsidRPr="006B4C87">
              <w:rPr>
                <w:b/>
                <w:bCs/>
              </w:rPr>
              <w:t>)</w:t>
            </w:r>
          </w:p>
        </w:tc>
      </w:tr>
      <w:tr w:rsidR="008563EE" w:rsidRPr="00515EE5" w14:paraId="5467288A" w14:textId="77777777" w:rsidTr="00C43336">
        <w:trPr>
          <w:trHeight w:val="60"/>
        </w:trPr>
        <w:tc>
          <w:tcPr>
            <w:tcW w:w="2263" w:type="dxa"/>
          </w:tcPr>
          <w:p w14:paraId="41DA9CDD" w14:textId="2EDBCC18" w:rsidR="008563EE" w:rsidRPr="00F15770" w:rsidRDefault="008563EE" w:rsidP="008563EE">
            <w:pPr>
              <w:pStyle w:val="Tabletext"/>
              <w:rPr>
                <w:b/>
                <w:bCs/>
              </w:rPr>
            </w:pPr>
            <w:r w:rsidRPr="00B40E55">
              <w:t>Off the road tyres</w:t>
            </w:r>
          </w:p>
        </w:tc>
        <w:tc>
          <w:tcPr>
            <w:tcW w:w="1914" w:type="dxa"/>
          </w:tcPr>
          <w:p w14:paraId="7AC09B5B" w14:textId="413176A8" w:rsidR="008563EE" w:rsidRPr="00F15770" w:rsidRDefault="008563EE" w:rsidP="008563EE">
            <w:pPr>
              <w:pStyle w:val="Tabletext"/>
              <w:rPr>
                <w:b/>
                <w:bCs/>
              </w:rPr>
            </w:pPr>
            <w:r w:rsidRPr="00B40E55">
              <w:t>15,400</w:t>
            </w:r>
          </w:p>
        </w:tc>
        <w:tc>
          <w:tcPr>
            <w:tcW w:w="1915" w:type="dxa"/>
          </w:tcPr>
          <w:p w14:paraId="4A14E06D" w14:textId="21A1DEE1" w:rsidR="008563EE" w:rsidRPr="00F15770" w:rsidRDefault="008563EE" w:rsidP="008563EE">
            <w:pPr>
              <w:pStyle w:val="Tabletext"/>
              <w:rPr>
                <w:b/>
                <w:bCs/>
              </w:rPr>
            </w:pPr>
            <w:r w:rsidRPr="00B40E55">
              <w:t>14%</w:t>
            </w:r>
          </w:p>
        </w:tc>
        <w:tc>
          <w:tcPr>
            <w:tcW w:w="1914" w:type="dxa"/>
          </w:tcPr>
          <w:p w14:paraId="1DF2A4DE" w14:textId="59F01B07" w:rsidR="008563EE" w:rsidRPr="00F15770" w:rsidRDefault="008563EE" w:rsidP="008563EE">
            <w:pPr>
              <w:pStyle w:val="Tabletext"/>
              <w:rPr>
                <w:b/>
                <w:bCs/>
              </w:rPr>
            </w:pPr>
            <w:r w:rsidRPr="00B40E55">
              <w:t>15,400</w:t>
            </w:r>
          </w:p>
        </w:tc>
        <w:tc>
          <w:tcPr>
            <w:tcW w:w="1915" w:type="dxa"/>
          </w:tcPr>
          <w:p w14:paraId="00ABA860" w14:textId="6B49CBB5" w:rsidR="008563EE" w:rsidRPr="00F15770" w:rsidRDefault="008563EE" w:rsidP="008563EE">
            <w:pPr>
              <w:pStyle w:val="Tabletext"/>
              <w:rPr>
                <w:b/>
                <w:bCs/>
              </w:rPr>
            </w:pPr>
            <w:r w:rsidRPr="00B40E55">
              <w:t>100%</w:t>
            </w:r>
          </w:p>
        </w:tc>
      </w:tr>
      <w:tr w:rsidR="008563EE" w:rsidRPr="00515EE5" w14:paraId="0876EB80" w14:textId="77777777" w:rsidTr="00C43336">
        <w:trPr>
          <w:trHeight w:val="60"/>
        </w:trPr>
        <w:tc>
          <w:tcPr>
            <w:tcW w:w="2263" w:type="dxa"/>
          </w:tcPr>
          <w:p w14:paraId="148B22C8" w14:textId="0918DBBD" w:rsidR="008563EE" w:rsidRPr="00F15770" w:rsidRDefault="008563EE" w:rsidP="008563EE">
            <w:pPr>
              <w:pStyle w:val="Tabletext"/>
              <w:rPr>
                <w:b/>
                <w:bCs/>
              </w:rPr>
            </w:pPr>
            <w:r w:rsidRPr="00B40E55">
              <w:t>Other tyres</w:t>
            </w:r>
          </w:p>
        </w:tc>
        <w:tc>
          <w:tcPr>
            <w:tcW w:w="1914" w:type="dxa"/>
          </w:tcPr>
          <w:p w14:paraId="38C22022" w14:textId="19B2943D" w:rsidR="008563EE" w:rsidRPr="00F15770" w:rsidRDefault="008563EE" w:rsidP="008563EE">
            <w:pPr>
              <w:pStyle w:val="Tabletext"/>
              <w:rPr>
                <w:b/>
                <w:bCs/>
              </w:rPr>
            </w:pPr>
            <w:r w:rsidRPr="00B40E55">
              <w:t>43,300</w:t>
            </w:r>
          </w:p>
        </w:tc>
        <w:tc>
          <w:tcPr>
            <w:tcW w:w="1915" w:type="dxa"/>
          </w:tcPr>
          <w:p w14:paraId="0A578B27" w14:textId="72EDB2F0" w:rsidR="008563EE" w:rsidRPr="00F15770" w:rsidRDefault="008563EE" w:rsidP="008563EE">
            <w:pPr>
              <w:pStyle w:val="Tabletext"/>
              <w:rPr>
                <w:b/>
                <w:bCs/>
              </w:rPr>
            </w:pPr>
            <w:r w:rsidRPr="00B40E55">
              <w:t>41%</w:t>
            </w:r>
          </w:p>
        </w:tc>
        <w:tc>
          <w:tcPr>
            <w:tcW w:w="1914" w:type="dxa"/>
          </w:tcPr>
          <w:p w14:paraId="5B81FFA1" w14:textId="23F685AB" w:rsidR="008563EE" w:rsidRPr="00F15770" w:rsidRDefault="008563EE" w:rsidP="008563EE">
            <w:pPr>
              <w:pStyle w:val="Tabletext"/>
              <w:rPr>
                <w:b/>
                <w:bCs/>
              </w:rPr>
            </w:pPr>
            <w:r w:rsidRPr="00B40E55">
              <w:t>29,900</w:t>
            </w:r>
          </w:p>
        </w:tc>
        <w:tc>
          <w:tcPr>
            <w:tcW w:w="1915" w:type="dxa"/>
          </w:tcPr>
          <w:p w14:paraId="2538A0A0" w14:textId="4372BAED" w:rsidR="008563EE" w:rsidRPr="00F15770" w:rsidRDefault="008563EE" w:rsidP="008563EE">
            <w:pPr>
              <w:pStyle w:val="Tabletext"/>
              <w:rPr>
                <w:b/>
                <w:bCs/>
              </w:rPr>
            </w:pPr>
            <w:r w:rsidRPr="00B40E55">
              <w:t>69%</w:t>
            </w:r>
          </w:p>
        </w:tc>
      </w:tr>
      <w:tr w:rsidR="008563EE" w:rsidRPr="00515EE5" w14:paraId="47897457" w14:textId="77777777" w:rsidTr="00C43336">
        <w:trPr>
          <w:trHeight w:val="60"/>
        </w:trPr>
        <w:tc>
          <w:tcPr>
            <w:tcW w:w="2263" w:type="dxa"/>
          </w:tcPr>
          <w:p w14:paraId="1F4D3DB2" w14:textId="2379ECB8" w:rsidR="008563EE" w:rsidRPr="00F15770" w:rsidRDefault="008563EE" w:rsidP="008563EE">
            <w:pPr>
              <w:pStyle w:val="Tabletext"/>
              <w:rPr>
                <w:b/>
                <w:bCs/>
              </w:rPr>
            </w:pPr>
            <w:r w:rsidRPr="00B40E55">
              <w:t>Passenger tyres</w:t>
            </w:r>
          </w:p>
        </w:tc>
        <w:tc>
          <w:tcPr>
            <w:tcW w:w="1914" w:type="dxa"/>
          </w:tcPr>
          <w:p w14:paraId="71448AA3" w14:textId="177B016C" w:rsidR="008563EE" w:rsidRPr="00F15770" w:rsidRDefault="008563EE" w:rsidP="008563EE">
            <w:pPr>
              <w:pStyle w:val="Tabletext"/>
              <w:rPr>
                <w:b/>
                <w:bCs/>
              </w:rPr>
            </w:pPr>
            <w:r w:rsidRPr="00B40E55">
              <w:t>34,700</w:t>
            </w:r>
          </w:p>
        </w:tc>
        <w:tc>
          <w:tcPr>
            <w:tcW w:w="1915" w:type="dxa"/>
          </w:tcPr>
          <w:p w14:paraId="6D877929" w14:textId="64F25703" w:rsidR="008563EE" w:rsidRPr="00F15770" w:rsidRDefault="008563EE" w:rsidP="008563EE">
            <w:pPr>
              <w:pStyle w:val="Tabletext"/>
              <w:rPr>
                <w:b/>
                <w:bCs/>
              </w:rPr>
            </w:pPr>
            <w:r w:rsidRPr="00B40E55">
              <w:t>33%</w:t>
            </w:r>
          </w:p>
        </w:tc>
        <w:tc>
          <w:tcPr>
            <w:tcW w:w="1914" w:type="dxa"/>
          </w:tcPr>
          <w:p w14:paraId="014013F5" w14:textId="4000F292" w:rsidR="008563EE" w:rsidRPr="00F15770" w:rsidRDefault="008563EE" w:rsidP="008563EE">
            <w:pPr>
              <w:pStyle w:val="Tabletext"/>
              <w:rPr>
                <w:b/>
                <w:bCs/>
              </w:rPr>
            </w:pPr>
            <w:r w:rsidRPr="00B40E55">
              <w:t>33,400</w:t>
            </w:r>
          </w:p>
        </w:tc>
        <w:tc>
          <w:tcPr>
            <w:tcW w:w="1915" w:type="dxa"/>
          </w:tcPr>
          <w:p w14:paraId="124A4D70" w14:textId="7F6694C4" w:rsidR="008563EE" w:rsidRPr="00F15770" w:rsidRDefault="008563EE" w:rsidP="008563EE">
            <w:pPr>
              <w:pStyle w:val="Tabletext"/>
              <w:rPr>
                <w:b/>
                <w:bCs/>
              </w:rPr>
            </w:pPr>
            <w:r w:rsidRPr="00B40E55">
              <w:t>96%</w:t>
            </w:r>
          </w:p>
        </w:tc>
      </w:tr>
      <w:tr w:rsidR="008563EE" w:rsidRPr="00515EE5" w14:paraId="531A23CE" w14:textId="77777777" w:rsidTr="00C43336">
        <w:trPr>
          <w:trHeight w:val="60"/>
        </w:trPr>
        <w:tc>
          <w:tcPr>
            <w:tcW w:w="2263" w:type="dxa"/>
          </w:tcPr>
          <w:p w14:paraId="55354B04" w14:textId="1D661938" w:rsidR="008563EE" w:rsidRPr="00F15770" w:rsidRDefault="008563EE" w:rsidP="008563EE">
            <w:pPr>
              <w:pStyle w:val="Tabletext"/>
              <w:rPr>
                <w:b/>
                <w:bCs/>
              </w:rPr>
            </w:pPr>
            <w:r w:rsidRPr="00B40E55">
              <w:t>Truck tyres</w:t>
            </w:r>
          </w:p>
        </w:tc>
        <w:tc>
          <w:tcPr>
            <w:tcW w:w="1914" w:type="dxa"/>
          </w:tcPr>
          <w:p w14:paraId="788BB729" w14:textId="70E2301D" w:rsidR="008563EE" w:rsidRPr="00F15770" w:rsidRDefault="008563EE" w:rsidP="008563EE">
            <w:pPr>
              <w:pStyle w:val="Tabletext"/>
              <w:rPr>
                <w:b/>
                <w:bCs/>
              </w:rPr>
            </w:pPr>
            <w:r w:rsidRPr="00B40E55">
              <w:t>12,900</w:t>
            </w:r>
          </w:p>
        </w:tc>
        <w:tc>
          <w:tcPr>
            <w:tcW w:w="1915" w:type="dxa"/>
          </w:tcPr>
          <w:p w14:paraId="22FE9084" w14:textId="305CC046" w:rsidR="008563EE" w:rsidRPr="00F15770" w:rsidRDefault="008563EE" w:rsidP="008563EE">
            <w:pPr>
              <w:pStyle w:val="Tabletext"/>
              <w:rPr>
                <w:b/>
                <w:bCs/>
              </w:rPr>
            </w:pPr>
            <w:r w:rsidRPr="00B40E55">
              <w:t>12%</w:t>
            </w:r>
          </w:p>
        </w:tc>
        <w:tc>
          <w:tcPr>
            <w:tcW w:w="1914" w:type="dxa"/>
          </w:tcPr>
          <w:p w14:paraId="1AFACBBB" w14:textId="7148FAF1" w:rsidR="008563EE" w:rsidRPr="00F15770" w:rsidRDefault="008563EE" w:rsidP="008563EE">
            <w:pPr>
              <w:pStyle w:val="Tabletext"/>
              <w:rPr>
                <w:b/>
                <w:bCs/>
              </w:rPr>
            </w:pPr>
            <w:r w:rsidRPr="00B40E55">
              <w:t>12,900</w:t>
            </w:r>
          </w:p>
        </w:tc>
        <w:tc>
          <w:tcPr>
            <w:tcW w:w="1915" w:type="dxa"/>
          </w:tcPr>
          <w:p w14:paraId="22668C1E" w14:textId="17CFF4A0" w:rsidR="008563EE" w:rsidRPr="00F15770" w:rsidRDefault="008563EE" w:rsidP="008563EE">
            <w:pPr>
              <w:pStyle w:val="Tabletext"/>
              <w:rPr>
                <w:b/>
                <w:bCs/>
              </w:rPr>
            </w:pPr>
            <w:r w:rsidRPr="00B40E55">
              <w:t>100%</w:t>
            </w:r>
          </w:p>
        </w:tc>
      </w:tr>
    </w:tbl>
    <w:p w14:paraId="37751DA2" w14:textId="4635FA32" w:rsidR="00CB2252" w:rsidRDefault="00320AAB" w:rsidP="008563EE">
      <w:pPr>
        <w:pStyle w:val="BodyText"/>
        <w:spacing w:before="240"/>
      </w:pPr>
      <w:r>
        <w:t>(</w:t>
      </w:r>
      <w:r w:rsidRPr="00320AAB">
        <w:t xml:space="preserve">Recycling Victoria (2023) Waste projection model available at </w:t>
      </w:r>
      <w:hyperlink r:id="rId46" w:history="1">
        <w:r w:rsidRPr="00320AAB">
          <w:rPr>
            <w:rStyle w:val="Hyperlink"/>
          </w:rPr>
          <w:t>https://www.vic.gov.au/victorias-waste-projection-model-dashboard</w:t>
        </w:r>
      </w:hyperlink>
      <w:r w:rsidRPr="00320AAB">
        <w:t xml:space="preserve"> The data in the table is based on actual data from 2020–21</w:t>
      </w:r>
      <w:r>
        <w:t>).</w:t>
      </w:r>
    </w:p>
    <w:p w14:paraId="3183EFDE" w14:textId="77777777" w:rsidR="00B40E55" w:rsidRPr="00B40E55" w:rsidRDefault="00B40E55" w:rsidP="008364D5">
      <w:pPr>
        <w:pStyle w:val="Heading2"/>
      </w:pPr>
      <w:bookmarkStart w:id="53" w:name="_Toc161758556"/>
      <w:r w:rsidRPr="00B40E55">
        <w:t>Textiles</w:t>
      </w:r>
      <w:bookmarkEnd w:id="53"/>
    </w:p>
    <w:p w14:paraId="5030FB89" w14:textId="13A67507" w:rsidR="00B40E55" w:rsidRPr="00B40E55" w:rsidRDefault="00B40E55" w:rsidP="00B40E55">
      <w:pPr>
        <w:pStyle w:val="BodyText"/>
      </w:pPr>
      <w:r w:rsidRPr="00B40E55">
        <w:t>Victoria’s recovery and processing of textiles is the lowest of all material streams (13%), which is consistent with other Australian jurisdictions. Reprocessing of textiles in Victoria is limited predominantly to carpets.</w:t>
      </w:r>
    </w:p>
    <w:p w14:paraId="022E9556" w14:textId="5C5325A0" w:rsidR="00B40E55" w:rsidRPr="00320AAB" w:rsidRDefault="00B40E55" w:rsidP="00B40E55">
      <w:pPr>
        <w:pStyle w:val="BodyText"/>
        <w:rPr>
          <w:u w:val="thick"/>
        </w:rPr>
      </w:pPr>
      <w:r w:rsidRPr="00B40E55">
        <w:t xml:space="preserve">The generation of textiles in Victoria is approximately 40% clothing and apparel. Soft furnishings, carpet, bedding, and other application areas each contribute over 10% of the </w:t>
      </w:r>
      <w:r w:rsidRPr="00B40E55">
        <w:lastRenderedPageBreak/>
        <w:t>total textiles generated in Victoria</w:t>
      </w:r>
      <w:r w:rsidR="00320AAB">
        <w:t>. (</w:t>
      </w:r>
      <w:r w:rsidR="00320AAB" w:rsidRPr="00320AAB">
        <w:t xml:space="preserve">Blue Environment (2023) National Waste Report 2022. Prepared for the Department of Climate Change, Energy, the Environment and Water. Available at </w:t>
      </w:r>
      <w:hyperlink r:id="rId47" w:history="1">
        <w:r w:rsidR="00320AAB" w:rsidRPr="00320AAB">
          <w:rPr>
            <w:rStyle w:val="Hyperlink"/>
          </w:rPr>
          <w:t>https://www.dcceew.gov.au/environment/protection/waste/national-waste-reports/2022</w:t>
        </w:r>
      </w:hyperlink>
      <w:r w:rsidR="00320AAB" w:rsidRPr="00320AAB">
        <w:t>)</w:t>
      </w:r>
      <w:r w:rsidRPr="00320AAB">
        <w:t>.</w:t>
      </w:r>
    </w:p>
    <w:p w14:paraId="5023A895" w14:textId="73E44F2D" w:rsidR="00B40E55" w:rsidRPr="00B40E55" w:rsidRDefault="00B40E55" w:rsidP="00B40E55">
      <w:pPr>
        <w:pStyle w:val="BodyText"/>
      </w:pPr>
      <w:r w:rsidRPr="00B40E55">
        <w:t>There is a reuse market within Victoria for clothing and apparel, which is reliant on the charitable recycling sector.</w:t>
      </w:r>
    </w:p>
    <w:p w14:paraId="030739A5" w14:textId="77777777" w:rsidR="00B40E55" w:rsidRPr="00B40E55" w:rsidRDefault="00B40E55" w:rsidP="008364D5">
      <w:pPr>
        <w:pStyle w:val="Heading3"/>
      </w:pPr>
      <w:bookmarkStart w:id="54" w:name="_Toc161758557"/>
      <w:r w:rsidRPr="00B40E55">
        <w:t>Developments and changes</w:t>
      </w:r>
      <w:bookmarkEnd w:id="54"/>
    </w:p>
    <w:p w14:paraId="473B2D6E" w14:textId="40F09387" w:rsidR="00B40E55" w:rsidRPr="00320AAB" w:rsidRDefault="00B40E55" w:rsidP="00B40E55">
      <w:pPr>
        <w:pStyle w:val="BodyText"/>
        <w:rPr>
          <w:u w:val="thick"/>
        </w:rPr>
      </w:pPr>
      <w:r w:rsidRPr="00B40E55">
        <w:t>Clothing donation services (charitable and commercial) receive the equivalent of 50% weight of total new clothing</w:t>
      </w:r>
      <w:r w:rsidR="00320AAB">
        <w:t xml:space="preserve"> (</w:t>
      </w:r>
      <w:r w:rsidR="00320AAB" w:rsidRPr="00320AAB">
        <w:t xml:space="preserve">Australian Fashion Council (2022) National Clothing Product Scheme Milestone 1.4 Clothing Data Report. Retrieved from </w:t>
      </w:r>
      <w:hyperlink r:id="rId48" w:history="1">
        <w:r w:rsidR="00320AAB" w:rsidRPr="00320AAB">
          <w:rPr>
            <w:rStyle w:val="Hyperlink"/>
          </w:rPr>
          <w:t>https://ausfashioncouncil.com/wp-content/uploads/2023/05/AFC-NCPSS-Data-Report.pdf</w:t>
        </w:r>
      </w:hyperlink>
      <w:r w:rsidR="00320AAB" w:rsidRPr="00320AAB">
        <w:t xml:space="preserve">) </w:t>
      </w:r>
      <w:r w:rsidRPr="00B40E55">
        <w:t>sold in Australia. By weight, 13% of new clothing collected via donations is reused in Australia, with a further 27% exported. The equivalent of 59% by weight of total new clothing is sent to landfill. Cheap new clothing/fast fashion is more challenging to reuse for charities due to its lower durability.</w:t>
      </w:r>
    </w:p>
    <w:p w14:paraId="444AC189" w14:textId="77777777" w:rsidR="00B40E55" w:rsidRPr="00B40E55" w:rsidRDefault="00B40E55" w:rsidP="00B40E55">
      <w:pPr>
        <w:pStyle w:val="BodyText"/>
      </w:pPr>
      <w:r w:rsidRPr="00B40E55">
        <w:t>Post-consumer recycling occurs on a minimal scale. Manual sorting is expensive, and inconsistency of feedstock creates challenges. Textile recycling technology is rapidly developing internationally which will present improved circularity options.</w:t>
      </w:r>
    </w:p>
    <w:p w14:paraId="02EF76D2" w14:textId="18BE760C" w:rsidR="00B40E55" w:rsidRPr="00B40E55" w:rsidRDefault="00B40E55" w:rsidP="00B40E55">
      <w:pPr>
        <w:pStyle w:val="BodyText"/>
      </w:pPr>
      <w:r w:rsidRPr="00B40E55">
        <w:t>Business-to-business recycling happens on a larger scale but is much more expensive than landfill and relies on goodwill.</w:t>
      </w:r>
    </w:p>
    <w:p w14:paraId="2A211CBC" w14:textId="7CF5E847" w:rsidR="00B40E55" w:rsidRPr="00B40E55" w:rsidRDefault="00B40E55" w:rsidP="00B40E55">
      <w:pPr>
        <w:pStyle w:val="BodyText"/>
      </w:pPr>
      <w:r w:rsidRPr="00B40E55">
        <w:t>The voluntary National Clothing Product Stewardship scheme ‘Seamless’ launched in June 2023. The industry led scheme has a plan for clothing circularity by 2030. The voluntary nature of the scheme may change to mandatory if insufficient clothing manufactures/importers sign up for the scheme.</w:t>
      </w:r>
    </w:p>
    <w:p w14:paraId="53581690" w14:textId="77777777" w:rsidR="00B40E55" w:rsidRPr="00B40E55" w:rsidRDefault="00B40E55" w:rsidP="008364D5">
      <w:pPr>
        <w:pStyle w:val="Heading3"/>
      </w:pPr>
      <w:bookmarkStart w:id="55" w:name="_Toc161758558"/>
      <w:r w:rsidRPr="00B40E55">
        <w:t>Market performance</w:t>
      </w:r>
      <w:bookmarkEnd w:id="55"/>
    </w:p>
    <w:p w14:paraId="756669FA" w14:textId="77777777" w:rsidR="00B40E55" w:rsidRPr="00B40E55" w:rsidRDefault="00B40E55" w:rsidP="00B40E55">
      <w:pPr>
        <w:pStyle w:val="BodyText"/>
      </w:pPr>
      <w:r w:rsidRPr="00B40E55">
        <w:t>There are two textile recyclers within Victoria.</w:t>
      </w:r>
    </w:p>
    <w:p w14:paraId="74FC8996" w14:textId="77777777" w:rsidR="00B40E55" w:rsidRPr="00B40E55" w:rsidRDefault="00B40E55" w:rsidP="00B40E55">
      <w:pPr>
        <w:pStyle w:val="BodyText"/>
      </w:pPr>
      <w:r w:rsidRPr="00B40E55">
        <w:t>Recovery of clothing textiles is reliant on a network of clothing donation services. End products for recycling textiles include insulation, acoustic panelling, cushion inserts and carpet.</w:t>
      </w:r>
    </w:p>
    <w:p w14:paraId="173743BE" w14:textId="0CAB65EC" w:rsidR="00B40E55" w:rsidRPr="00715677" w:rsidRDefault="00B40E55" w:rsidP="00B40E55">
      <w:pPr>
        <w:pStyle w:val="BodyText"/>
        <w:rPr>
          <w:u w:val="thick"/>
        </w:rPr>
      </w:pPr>
      <w:r w:rsidRPr="00B40E55">
        <w:lastRenderedPageBreak/>
        <w:t>Australia is reliant on export markets for sorted clothes, with over 100 kilo tonnes of discarded textiles exported from Australia in 2020–21</w:t>
      </w:r>
      <w:r w:rsidR="00715677">
        <w:t xml:space="preserve"> (</w:t>
      </w:r>
      <w:r w:rsidR="00715677" w:rsidRPr="00715677">
        <w:t xml:space="preserve">Blue Environment (2023) National Waste Report 2022. Prepared for the Department of Climate Change, Energy, the Environment and Water. Available at </w:t>
      </w:r>
      <w:hyperlink r:id="rId49" w:history="1">
        <w:r w:rsidR="000378C7" w:rsidRPr="009269D5">
          <w:rPr>
            <w:rStyle w:val="Hyperlink"/>
          </w:rPr>
          <w:t>https://www.dcceew.gov.au/environment/</w:t>
        </w:r>
        <w:r w:rsidR="000378C7" w:rsidRPr="009269D5">
          <w:rPr>
            <w:rStyle w:val="Hyperlink"/>
          </w:rPr>
          <w:br/>
          <w:t>protection/waste/national-waste-reports/2022</w:t>
        </w:r>
      </w:hyperlink>
      <w:r w:rsidR="00715677">
        <w:t>).</w:t>
      </w:r>
    </w:p>
    <w:p w14:paraId="3E2E9A6D" w14:textId="77777777" w:rsidR="00B40E55" w:rsidRPr="00B40E55" w:rsidRDefault="00B40E55" w:rsidP="00B40E55">
      <w:pPr>
        <w:pStyle w:val="BodyText"/>
      </w:pPr>
      <w:r w:rsidRPr="00B40E55">
        <w:t>Declining cost and quality of clothing from large clothing retailers (fast fashion), has increased the consumption of textiles within Victoria and other Australian jurisdictions.</w:t>
      </w:r>
    </w:p>
    <w:p w14:paraId="1CE72F9A" w14:textId="3B0EFEDC" w:rsidR="00B40E55" w:rsidRPr="00B40E55" w:rsidRDefault="00B40E55" w:rsidP="00B40E55">
      <w:pPr>
        <w:pStyle w:val="BodyText"/>
      </w:pPr>
      <w:r w:rsidRPr="00B40E55">
        <w:t>Donations of unwearable garments has created an increase in disposal costs for charities, putting further pressure on the sector.</w:t>
      </w:r>
    </w:p>
    <w:p w14:paraId="6C19DEEA" w14:textId="77777777" w:rsidR="00B40E55" w:rsidRPr="00B40E55" w:rsidRDefault="00B40E55" w:rsidP="008364D5">
      <w:pPr>
        <w:pStyle w:val="Heading3"/>
      </w:pPr>
      <w:bookmarkStart w:id="56" w:name="_Toc161758559"/>
      <w:r w:rsidRPr="00B40E55">
        <w:t>Market issues and challenges</w:t>
      </w:r>
      <w:bookmarkEnd w:id="56"/>
    </w:p>
    <w:p w14:paraId="3789AB26" w14:textId="77777777" w:rsidR="00B40E55" w:rsidRPr="00B40E55" w:rsidRDefault="00B40E55" w:rsidP="00B40E55">
      <w:pPr>
        <w:pStyle w:val="BodyText"/>
      </w:pPr>
      <w:r w:rsidRPr="00B40E55">
        <w:t>To reduce waste and improve the circularity of textiles, the increase of repairability and reuse capability is essential. Fast fashion trends undermine the message to reduce consumption and cheap, low-quality clothing limits these repair and re-use opportunities.</w:t>
      </w:r>
    </w:p>
    <w:p w14:paraId="3777991D" w14:textId="77777777" w:rsidR="00B40E55" w:rsidRPr="00B40E55" w:rsidRDefault="00B40E55" w:rsidP="008364D5">
      <w:pPr>
        <w:pStyle w:val="Heading3"/>
      </w:pPr>
      <w:bookmarkStart w:id="57" w:name="_Toc161758560"/>
      <w:r w:rsidRPr="00B40E55">
        <w:t>Areas for greater circularity – textiles</w:t>
      </w:r>
      <w:bookmarkEnd w:id="57"/>
    </w:p>
    <w:p w14:paraId="0239ABE1" w14:textId="77777777" w:rsidR="00B40E55" w:rsidRPr="00B40E55" w:rsidRDefault="00B40E55" w:rsidP="00B40E55">
      <w:pPr>
        <w:pStyle w:val="BodyText"/>
      </w:pPr>
      <w:r w:rsidRPr="00B40E55">
        <w:t>The greatest areas for improved circularity for this material stream are:</w:t>
      </w:r>
    </w:p>
    <w:p w14:paraId="79838F02" w14:textId="77777777" w:rsidR="00B40E55" w:rsidRPr="00B40E55" w:rsidRDefault="00B40E55" w:rsidP="008364D5">
      <w:pPr>
        <w:pStyle w:val="ListBullet"/>
      </w:pPr>
      <w:r w:rsidRPr="00B40E55">
        <w:t>reuse via clothing donation services (charitable and commercial)</w:t>
      </w:r>
    </w:p>
    <w:p w14:paraId="47122961" w14:textId="77777777" w:rsidR="00B40E55" w:rsidRPr="00B40E55" w:rsidRDefault="00B40E55" w:rsidP="008364D5">
      <w:pPr>
        <w:pStyle w:val="ListBullet"/>
      </w:pPr>
      <w:r w:rsidRPr="00B40E55">
        <w:t>improved collections or consumer access to donation bins</w:t>
      </w:r>
    </w:p>
    <w:p w14:paraId="1ECA3CFE" w14:textId="77777777" w:rsidR="00B40E55" w:rsidRPr="00B40E55" w:rsidRDefault="00B40E55" w:rsidP="008364D5">
      <w:pPr>
        <w:pStyle w:val="ListBullet"/>
      </w:pPr>
      <w:r w:rsidRPr="00B40E55">
        <w:t>education for better quality donations and avoid </w:t>
      </w:r>
      <w:proofErr w:type="spellStart"/>
      <w:proofErr w:type="gramStart"/>
      <w:r w:rsidRPr="00B40E55">
        <w:t>unwearables</w:t>
      </w:r>
      <w:proofErr w:type="spellEnd"/>
      <w:proofErr w:type="gramEnd"/>
    </w:p>
    <w:p w14:paraId="4F928C14" w14:textId="77777777" w:rsidR="00B40E55" w:rsidRPr="00B40E55" w:rsidRDefault="00B40E55" w:rsidP="008364D5">
      <w:pPr>
        <w:pStyle w:val="ListBullet"/>
      </w:pPr>
      <w:r w:rsidRPr="00B40E55">
        <w:t xml:space="preserve">designing for longer life, reuse and repair to drive towards an overall reduction in </w:t>
      </w:r>
      <w:proofErr w:type="gramStart"/>
      <w:r w:rsidRPr="00B40E55">
        <w:t>consumption</w:t>
      </w:r>
      <w:proofErr w:type="gramEnd"/>
    </w:p>
    <w:p w14:paraId="4414B0C2" w14:textId="77777777" w:rsidR="00B40E55" w:rsidRPr="00B40E55" w:rsidRDefault="00B40E55" w:rsidP="008364D5">
      <w:pPr>
        <w:pStyle w:val="ListBullet"/>
      </w:pPr>
      <w:r w:rsidRPr="00B40E55">
        <w:t>onshore processing of clothing that reaches end-of-life and cannot be reused/</w:t>
      </w:r>
      <w:proofErr w:type="gramStart"/>
      <w:r w:rsidRPr="00B40E55">
        <w:t>repaired</w:t>
      </w:r>
      <w:proofErr w:type="gramEnd"/>
    </w:p>
    <w:p w14:paraId="68CDE5FB" w14:textId="77777777" w:rsidR="00B40E55" w:rsidRDefault="00B40E55" w:rsidP="008364D5">
      <w:pPr>
        <w:pStyle w:val="Bullet1last"/>
      </w:pPr>
      <w:r w:rsidRPr="00B40E55">
        <w:t>markets for recycled textiles.</w:t>
      </w:r>
    </w:p>
    <w:p w14:paraId="6358734E" w14:textId="77777777" w:rsidR="009E52EF" w:rsidRDefault="009E52EF">
      <w:pPr>
        <w:suppressAutoHyphens w:val="0"/>
        <w:spacing w:after="160"/>
        <w:rPr>
          <w:b/>
          <w:iCs/>
          <w:color w:val="000000" w:themeColor="text1"/>
          <w:szCs w:val="18"/>
        </w:rPr>
      </w:pPr>
      <w:r>
        <w:br w:type="page"/>
      </w:r>
    </w:p>
    <w:p w14:paraId="46F2A297" w14:textId="145D88DE" w:rsidR="008563EE" w:rsidRDefault="008563EE" w:rsidP="008563EE">
      <w:pPr>
        <w:pStyle w:val="Caption"/>
        <w:keepNext/>
      </w:pPr>
      <w:r>
        <w:lastRenderedPageBreak/>
        <w:t xml:space="preserve">Table </w:t>
      </w:r>
      <w:r>
        <w:fldChar w:fldCharType="begin"/>
      </w:r>
      <w:r>
        <w:instrText xml:space="preserve"> SEQ Table \* ARABIC </w:instrText>
      </w:r>
      <w:r>
        <w:fldChar w:fldCharType="separate"/>
      </w:r>
      <w:r w:rsidR="00A67B1E">
        <w:rPr>
          <w:noProof/>
        </w:rPr>
        <w:t>1</w:t>
      </w:r>
      <w:r w:rsidR="00F03033">
        <w:rPr>
          <w:noProof/>
        </w:rPr>
        <w:t>1</w:t>
      </w:r>
      <w:r>
        <w:fldChar w:fldCharType="end"/>
      </w:r>
      <w:r>
        <w:t xml:space="preserve">: </w:t>
      </w:r>
      <w:r w:rsidRPr="00807767">
        <w:t>Generation and recovery of textiles</w:t>
      </w:r>
    </w:p>
    <w:tbl>
      <w:tblPr>
        <w:tblStyle w:val="Style2"/>
        <w:tblW w:w="9921" w:type="dxa"/>
        <w:tblLayout w:type="fixed"/>
        <w:tblLook w:val="0020" w:firstRow="1" w:lastRow="0" w:firstColumn="0" w:lastColumn="0" w:noHBand="0" w:noVBand="0"/>
        <w:tblCaption w:val="Table 11: Generation and recovery of textiles"/>
        <w:tblDescription w:val="Generation and Recovery data for different textile materials and sources"/>
      </w:tblPr>
      <w:tblGrid>
        <w:gridCol w:w="1555"/>
        <w:gridCol w:w="2126"/>
        <w:gridCol w:w="2126"/>
        <w:gridCol w:w="2413"/>
        <w:gridCol w:w="1701"/>
      </w:tblGrid>
      <w:tr w:rsidR="00962DA1" w:rsidRPr="00515EE5" w14:paraId="7B2256AB" w14:textId="77777777" w:rsidTr="00C43336">
        <w:trPr>
          <w:cnfStyle w:val="100000000000" w:firstRow="1" w:lastRow="0" w:firstColumn="0" w:lastColumn="0" w:oddVBand="0" w:evenVBand="0" w:oddHBand="0" w:evenHBand="0" w:firstRowFirstColumn="0" w:firstRowLastColumn="0" w:lastRowFirstColumn="0" w:lastRowLastColumn="0"/>
          <w:trHeight w:val="60"/>
        </w:trPr>
        <w:tc>
          <w:tcPr>
            <w:tcW w:w="1555" w:type="dxa"/>
          </w:tcPr>
          <w:p w14:paraId="594C1D77" w14:textId="77777777" w:rsidR="00962DA1" w:rsidRPr="00515EE5" w:rsidRDefault="00962DA1" w:rsidP="006D6167">
            <w:pPr>
              <w:pStyle w:val="BodyText"/>
              <w:spacing w:line="276" w:lineRule="auto"/>
            </w:pPr>
            <w:r w:rsidRPr="00515EE5">
              <w:t>Stream</w:t>
            </w:r>
          </w:p>
        </w:tc>
        <w:tc>
          <w:tcPr>
            <w:tcW w:w="2126" w:type="dxa"/>
          </w:tcPr>
          <w:p w14:paraId="5813469B" w14:textId="77777777" w:rsidR="00962DA1" w:rsidRDefault="00962DA1" w:rsidP="006D6167">
            <w:pPr>
              <w:pStyle w:val="BodyText"/>
              <w:spacing w:line="276" w:lineRule="auto"/>
              <w:rPr>
                <w:b w:val="0"/>
              </w:rPr>
            </w:pPr>
            <w:r w:rsidRPr="00515EE5">
              <w:t>Tonnes Generated</w:t>
            </w:r>
          </w:p>
          <w:p w14:paraId="7688831E" w14:textId="77777777" w:rsidR="00962DA1" w:rsidRPr="00515EE5" w:rsidRDefault="00962DA1" w:rsidP="006D6167">
            <w:pPr>
              <w:pStyle w:val="BodyText"/>
              <w:spacing w:line="276" w:lineRule="auto"/>
              <w:rPr>
                <w:b w:val="0"/>
              </w:rPr>
            </w:pPr>
            <w:r>
              <w:t>(</w:t>
            </w:r>
            <w:r w:rsidRPr="00515EE5">
              <w:t>Tonnes</w:t>
            </w:r>
            <w:r>
              <w:t>)</w:t>
            </w:r>
          </w:p>
        </w:tc>
        <w:tc>
          <w:tcPr>
            <w:tcW w:w="2126" w:type="dxa"/>
          </w:tcPr>
          <w:p w14:paraId="6E1B1BCB" w14:textId="77777777" w:rsidR="00962DA1" w:rsidRDefault="00962DA1" w:rsidP="006D6167">
            <w:pPr>
              <w:pStyle w:val="BodyText"/>
              <w:spacing w:line="276" w:lineRule="auto"/>
              <w:rPr>
                <w:b w:val="0"/>
              </w:rPr>
            </w:pPr>
            <w:r w:rsidRPr="00515EE5">
              <w:t>Proportion Generated</w:t>
            </w:r>
          </w:p>
          <w:p w14:paraId="21062B5E" w14:textId="77777777" w:rsidR="00962DA1" w:rsidRPr="00515EE5" w:rsidRDefault="00962DA1" w:rsidP="006D6167">
            <w:pPr>
              <w:pStyle w:val="BodyText"/>
              <w:spacing w:line="276" w:lineRule="auto"/>
            </w:pPr>
            <w:r>
              <w:t>(%)</w:t>
            </w:r>
          </w:p>
        </w:tc>
        <w:tc>
          <w:tcPr>
            <w:tcW w:w="2413" w:type="dxa"/>
          </w:tcPr>
          <w:p w14:paraId="04BA68EE" w14:textId="77777777" w:rsidR="00962DA1" w:rsidRDefault="00962DA1" w:rsidP="006D6167">
            <w:pPr>
              <w:pStyle w:val="BodyText"/>
              <w:spacing w:line="276" w:lineRule="auto"/>
              <w:rPr>
                <w:b w:val="0"/>
              </w:rPr>
            </w:pPr>
            <w:r w:rsidRPr="00515EE5">
              <w:t xml:space="preserve">Recovered for </w:t>
            </w:r>
            <w:proofErr w:type="gramStart"/>
            <w:r w:rsidRPr="00515EE5">
              <w:t>reprocessing</w:t>
            </w:r>
            <w:proofErr w:type="gramEnd"/>
          </w:p>
          <w:p w14:paraId="7E581347" w14:textId="77777777" w:rsidR="00962DA1" w:rsidRPr="00F15770" w:rsidRDefault="00962DA1" w:rsidP="006D6167">
            <w:pPr>
              <w:pStyle w:val="BodyText"/>
              <w:spacing w:line="276" w:lineRule="auto"/>
              <w:rPr>
                <w:b w:val="0"/>
              </w:rPr>
            </w:pPr>
            <w:r>
              <w:t>(</w:t>
            </w:r>
            <w:r w:rsidRPr="00515EE5">
              <w:t>Tonnes</w:t>
            </w:r>
            <w:r>
              <w:t>)</w:t>
            </w:r>
          </w:p>
        </w:tc>
        <w:tc>
          <w:tcPr>
            <w:tcW w:w="1701" w:type="dxa"/>
          </w:tcPr>
          <w:p w14:paraId="13E87A11" w14:textId="77777777" w:rsidR="00962DA1" w:rsidRDefault="00962DA1" w:rsidP="006D6167">
            <w:pPr>
              <w:pStyle w:val="BodyText"/>
              <w:spacing w:line="276" w:lineRule="auto"/>
              <w:rPr>
                <w:b w:val="0"/>
              </w:rPr>
            </w:pPr>
            <w:r w:rsidRPr="00515EE5">
              <w:t>Recovery Rate</w:t>
            </w:r>
          </w:p>
          <w:p w14:paraId="589F879C" w14:textId="77777777" w:rsidR="00962DA1" w:rsidRPr="00515EE5" w:rsidRDefault="00962DA1" w:rsidP="006D6167">
            <w:pPr>
              <w:pStyle w:val="BodyText"/>
              <w:spacing w:line="276" w:lineRule="auto"/>
            </w:pPr>
            <w:r>
              <w:t>(%)</w:t>
            </w:r>
          </w:p>
        </w:tc>
      </w:tr>
      <w:tr w:rsidR="008563EE" w:rsidRPr="00515EE5" w14:paraId="2F324CFB" w14:textId="77777777" w:rsidTr="00C43336">
        <w:trPr>
          <w:trHeight w:val="60"/>
        </w:trPr>
        <w:tc>
          <w:tcPr>
            <w:tcW w:w="1555" w:type="dxa"/>
          </w:tcPr>
          <w:p w14:paraId="6F63C6A5" w14:textId="63B52E64" w:rsidR="008563EE" w:rsidRPr="00515EE5" w:rsidRDefault="008563EE" w:rsidP="008563EE">
            <w:pPr>
              <w:pStyle w:val="Tabletext"/>
            </w:pPr>
            <w:r w:rsidRPr="00B40E55">
              <w:t>MSW</w:t>
            </w:r>
          </w:p>
        </w:tc>
        <w:tc>
          <w:tcPr>
            <w:tcW w:w="2126" w:type="dxa"/>
          </w:tcPr>
          <w:p w14:paraId="61C890C4" w14:textId="38C1A246" w:rsidR="008563EE" w:rsidRPr="00515EE5" w:rsidRDefault="008563EE" w:rsidP="008563EE">
            <w:pPr>
              <w:pStyle w:val="Tabletext"/>
            </w:pPr>
            <w:r w:rsidRPr="00B40E55">
              <w:t>136,300</w:t>
            </w:r>
          </w:p>
        </w:tc>
        <w:tc>
          <w:tcPr>
            <w:tcW w:w="2126" w:type="dxa"/>
          </w:tcPr>
          <w:p w14:paraId="66668D89" w14:textId="777B1924" w:rsidR="008563EE" w:rsidRPr="00515EE5" w:rsidRDefault="008563EE" w:rsidP="008563EE">
            <w:pPr>
              <w:pStyle w:val="Tabletext"/>
            </w:pPr>
            <w:r w:rsidRPr="00B40E55">
              <w:t>42%</w:t>
            </w:r>
          </w:p>
        </w:tc>
        <w:tc>
          <w:tcPr>
            <w:tcW w:w="2413" w:type="dxa"/>
          </w:tcPr>
          <w:p w14:paraId="0750B4EA" w14:textId="48805F62" w:rsidR="008563EE" w:rsidRPr="00515EE5" w:rsidRDefault="008563EE" w:rsidP="008563EE">
            <w:pPr>
              <w:pStyle w:val="Tabletext"/>
            </w:pPr>
            <w:r w:rsidRPr="00B40E55">
              <w:t>50,200</w:t>
            </w:r>
          </w:p>
        </w:tc>
        <w:tc>
          <w:tcPr>
            <w:tcW w:w="1701" w:type="dxa"/>
          </w:tcPr>
          <w:p w14:paraId="3E3916F3" w14:textId="7FD7FC41" w:rsidR="008563EE" w:rsidRPr="00515EE5" w:rsidRDefault="008563EE" w:rsidP="008563EE">
            <w:pPr>
              <w:pStyle w:val="Tabletext"/>
            </w:pPr>
            <w:r w:rsidRPr="00B40E55">
              <w:t>37%</w:t>
            </w:r>
          </w:p>
        </w:tc>
      </w:tr>
      <w:tr w:rsidR="008563EE" w:rsidRPr="00515EE5" w14:paraId="15CAB393" w14:textId="77777777" w:rsidTr="00C43336">
        <w:trPr>
          <w:trHeight w:val="60"/>
        </w:trPr>
        <w:tc>
          <w:tcPr>
            <w:tcW w:w="1555" w:type="dxa"/>
          </w:tcPr>
          <w:p w14:paraId="37C017D2" w14:textId="1BF538A9" w:rsidR="008563EE" w:rsidRPr="00515EE5" w:rsidRDefault="008563EE" w:rsidP="008563EE">
            <w:pPr>
              <w:pStyle w:val="Tabletext"/>
            </w:pPr>
            <w:r w:rsidRPr="00B40E55">
              <w:t>C&amp;I</w:t>
            </w:r>
          </w:p>
        </w:tc>
        <w:tc>
          <w:tcPr>
            <w:tcW w:w="2126" w:type="dxa"/>
          </w:tcPr>
          <w:p w14:paraId="5F5E9693" w14:textId="298B6637" w:rsidR="008563EE" w:rsidRPr="00515EE5" w:rsidRDefault="008563EE" w:rsidP="008563EE">
            <w:pPr>
              <w:pStyle w:val="Tabletext"/>
            </w:pPr>
            <w:r w:rsidRPr="00B40E55">
              <w:t>174,200</w:t>
            </w:r>
          </w:p>
        </w:tc>
        <w:tc>
          <w:tcPr>
            <w:tcW w:w="2126" w:type="dxa"/>
          </w:tcPr>
          <w:p w14:paraId="4AC36396" w14:textId="63DD1602" w:rsidR="008563EE" w:rsidRPr="00515EE5" w:rsidRDefault="008563EE" w:rsidP="008563EE">
            <w:pPr>
              <w:pStyle w:val="Tabletext"/>
            </w:pPr>
            <w:r w:rsidRPr="00B40E55">
              <w:t>54%</w:t>
            </w:r>
          </w:p>
        </w:tc>
        <w:tc>
          <w:tcPr>
            <w:tcW w:w="2413" w:type="dxa"/>
          </w:tcPr>
          <w:p w14:paraId="44D057B2" w14:textId="33A23640" w:rsidR="008563EE" w:rsidRPr="00515EE5" w:rsidRDefault="008563EE" w:rsidP="008563EE">
            <w:pPr>
              <w:pStyle w:val="Tabletext"/>
            </w:pPr>
            <w:r w:rsidRPr="00B40E55">
              <w:t>47,900</w:t>
            </w:r>
          </w:p>
        </w:tc>
        <w:tc>
          <w:tcPr>
            <w:tcW w:w="1701" w:type="dxa"/>
          </w:tcPr>
          <w:p w14:paraId="07C11837" w14:textId="710801D3" w:rsidR="008563EE" w:rsidRPr="00515EE5" w:rsidRDefault="008563EE" w:rsidP="008563EE">
            <w:pPr>
              <w:pStyle w:val="Tabletext"/>
            </w:pPr>
            <w:r w:rsidRPr="00B40E55">
              <w:t>27%</w:t>
            </w:r>
          </w:p>
        </w:tc>
      </w:tr>
      <w:tr w:rsidR="008563EE" w:rsidRPr="00515EE5" w14:paraId="1250434A" w14:textId="77777777" w:rsidTr="00C43336">
        <w:trPr>
          <w:trHeight w:val="60"/>
        </w:trPr>
        <w:tc>
          <w:tcPr>
            <w:tcW w:w="1555" w:type="dxa"/>
          </w:tcPr>
          <w:p w14:paraId="1C57CDB8" w14:textId="5B3AEDEB" w:rsidR="008563EE" w:rsidRPr="00515EE5" w:rsidRDefault="008563EE" w:rsidP="008563EE">
            <w:pPr>
              <w:pStyle w:val="Tabletext"/>
            </w:pPr>
            <w:r w:rsidRPr="00B40E55">
              <w:t>C&amp;D</w:t>
            </w:r>
          </w:p>
        </w:tc>
        <w:tc>
          <w:tcPr>
            <w:tcW w:w="2126" w:type="dxa"/>
          </w:tcPr>
          <w:p w14:paraId="6F7BD1F9" w14:textId="7EC62A5B" w:rsidR="008563EE" w:rsidRPr="00515EE5" w:rsidRDefault="008563EE" w:rsidP="008563EE">
            <w:pPr>
              <w:pStyle w:val="Tabletext"/>
            </w:pPr>
            <w:r w:rsidRPr="00B40E55">
              <w:t>10,800</w:t>
            </w:r>
          </w:p>
        </w:tc>
        <w:tc>
          <w:tcPr>
            <w:tcW w:w="2126" w:type="dxa"/>
          </w:tcPr>
          <w:p w14:paraId="7C333E41" w14:textId="1353EB09" w:rsidR="008563EE" w:rsidRPr="00515EE5" w:rsidRDefault="008563EE" w:rsidP="008563EE">
            <w:pPr>
              <w:pStyle w:val="Tabletext"/>
            </w:pPr>
            <w:r w:rsidRPr="00B40E55">
              <w:t>3%</w:t>
            </w:r>
          </w:p>
        </w:tc>
        <w:tc>
          <w:tcPr>
            <w:tcW w:w="2413" w:type="dxa"/>
          </w:tcPr>
          <w:p w14:paraId="54E84D1B" w14:textId="156C630E" w:rsidR="008563EE" w:rsidRPr="00515EE5" w:rsidRDefault="008563EE" w:rsidP="008563EE">
            <w:pPr>
              <w:pStyle w:val="Tabletext"/>
            </w:pPr>
            <w:r w:rsidRPr="00B40E55">
              <w:t>–</w:t>
            </w:r>
          </w:p>
        </w:tc>
        <w:tc>
          <w:tcPr>
            <w:tcW w:w="1701" w:type="dxa"/>
          </w:tcPr>
          <w:p w14:paraId="6EE2EAA2" w14:textId="7A20DF0F" w:rsidR="008563EE" w:rsidRPr="00515EE5" w:rsidRDefault="008563EE" w:rsidP="008563EE">
            <w:pPr>
              <w:pStyle w:val="Tabletext"/>
            </w:pPr>
            <w:r w:rsidRPr="00B40E55">
              <w:t>0%</w:t>
            </w:r>
          </w:p>
        </w:tc>
      </w:tr>
      <w:tr w:rsidR="008563EE" w:rsidRPr="00515EE5" w14:paraId="480DBEB8" w14:textId="77777777" w:rsidTr="00C43336">
        <w:trPr>
          <w:trHeight w:val="60"/>
        </w:trPr>
        <w:tc>
          <w:tcPr>
            <w:tcW w:w="1555" w:type="dxa"/>
            <w:tcBorders>
              <w:bottom w:val="single" w:sz="4" w:space="0" w:color="auto"/>
            </w:tcBorders>
          </w:tcPr>
          <w:p w14:paraId="2C3219B8" w14:textId="5A1A2D85" w:rsidR="008563EE" w:rsidRPr="008563EE" w:rsidRDefault="008563EE" w:rsidP="008563EE">
            <w:pPr>
              <w:pStyle w:val="Tabletext"/>
              <w:rPr>
                <w:b/>
                <w:bCs/>
              </w:rPr>
            </w:pPr>
            <w:r w:rsidRPr="008563EE">
              <w:rPr>
                <w:b/>
                <w:bCs/>
              </w:rPr>
              <w:t>Total</w:t>
            </w:r>
          </w:p>
        </w:tc>
        <w:tc>
          <w:tcPr>
            <w:tcW w:w="2126" w:type="dxa"/>
            <w:tcBorders>
              <w:bottom w:val="single" w:sz="4" w:space="0" w:color="auto"/>
            </w:tcBorders>
          </w:tcPr>
          <w:p w14:paraId="1911654A" w14:textId="395136E3" w:rsidR="008563EE" w:rsidRPr="008563EE" w:rsidRDefault="008563EE" w:rsidP="008563EE">
            <w:pPr>
              <w:pStyle w:val="Tabletext"/>
              <w:rPr>
                <w:b/>
                <w:bCs/>
              </w:rPr>
            </w:pPr>
            <w:r w:rsidRPr="008563EE">
              <w:rPr>
                <w:b/>
                <w:bCs/>
              </w:rPr>
              <w:t>321,300</w:t>
            </w:r>
          </w:p>
        </w:tc>
        <w:tc>
          <w:tcPr>
            <w:tcW w:w="2126" w:type="dxa"/>
            <w:tcBorders>
              <w:bottom w:val="single" w:sz="4" w:space="0" w:color="auto"/>
            </w:tcBorders>
          </w:tcPr>
          <w:p w14:paraId="4B677943" w14:textId="77777777" w:rsidR="008563EE" w:rsidRPr="008563EE" w:rsidRDefault="008563EE" w:rsidP="008563EE">
            <w:pPr>
              <w:pStyle w:val="Tabletext"/>
              <w:rPr>
                <w:b/>
                <w:bCs/>
              </w:rPr>
            </w:pPr>
          </w:p>
        </w:tc>
        <w:tc>
          <w:tcPr>
            <w:tcW w:w="2413" w:type="dxa"/>
            <w:tcBorders>
              <w:bottom w:val="single" w:sz="4" w:space="0" w:color="auto"/>
            </w:tcBorders>
          </w:tcPr>
          <w:p w14:paraId="5BA3CDB7" w14:textId="7BB367B2" w:rsidR="008563EE" w:rsidRPr="008563EE" w:rsidRDefault="008563EE" w:rsidP="008563EE">
            <w:pPr>
              <w:pStyle w:val="Tabletext"/>
              <w:rPr>
                <w:b/>
                <w:bCs/>
              </w:rPr>
            </w:pPr>
            <w:r w:rsidRPr="008563EE">
              <w:rPr>
                <w:b/>
                <w:bCs/>
              </w:rPr>
              <w:t>98,100</w:t>
            </w:r>
          </w:p>
        </w:tc>
        <w:tc>
          <w:tcPr>
            <w:tcW w:w="1701" w:type="dxa"/>
            <w:tcBorders>
              <w:bottom w:val="single" w:sz="4" w:space="0" w:color="auto"/>
            </w:tcBorders>
          </w:tcPr>
          <w:p w14:paraId="3617BF2C" w14:textId="2C9E1193" w:rsidR="008563EE" w:rsidRPr="008563EE" w:rsidRDefault="008563EE" w:rsidP="008563EE">
            <w:pPr>
              <w:pStyle w:val="Tabletext"/>
              <w:rPr>
                <w:b/>
                <w:bCs/>
              </w:rPr>
            </w:pPr>
            <w:r w:rsidRPr="008563EE">
              <w:rPr>
                <w:b/>
                <w:bCs/>
              </w:rPr>
              <w:t>31%</w:t>
            </w:r>
          </w:p>
        </w:tc>
      </w:tr>
      <w:tr w:rsidR="00962DA1" w:rsidRPr="00515EE5" w14:paraId="41143D2D" w14:textId="77777777" w:rsidTr="00C43336">
        <w:trPr>
          <w:trHeight w:val="60"/>
        </w:trPr>
        <w:tc>
          <w:tcPr>
            <w:tcW w:w="1555" w:type="dxa"/>
            <w:tcBorders>
              <w:left w:val="nil"/>
              <w:right w:val="nil"/>
            </w:tcBorders>
          </w:tcPr>
          <w:p w14:paraId="525A7A79" w14:textId="77777777" w:rsidR="00962DA1" w:rsidRPr="00F15770" w:rsidRDefault="00962DA1" w:rsidP="006D6167">
            <w:pPr>
              <w:pStyle w:val="Tabletext"/>
              <w:rPr>
                <w:b/>
                <w:bCs/>
              </w:rPr>
            </w:pPr>
          </w:p>
        </w:tc>
        <w:tc>
          <w:tcPr>
            <w:tcW w:w="2126" w:type="dxa"/>
            <w:tcBorders>
              <w:left w:val="nil"/>
              <w:right w:val="nil"/>
            </w:tcBorders>
          </w:tcPr>
          <w:p w14:paraId="741967CB" w14:textId="77777777" w:rsidR="00962DA1" w:rsidRPr="00F15770" w:rsidRDefault="00962DA1" w:rsidP="006D6167">
            <w:pPr>
              <w:pStyle w:val="Tabletext"/>
              <w:rPr>
                <w:b/>
                <w:bCs/>
              </w:rPr>
            </w:pPr>
          </w:p>
        </w:tc>
        <w:tc>
          <w:tcPr>
            <w:tcW w:w="2126" w:type="dxa"/>
            <w:tcBorders>
              <w:left w:val="nil"/>
              <w:right w:val="nil"/>
            </w:tcBorders>
          </w:tcPr>
          <w:p w14:paraId="0DAFCFE9" w14:textId="77777777" w:rsidR="00962DA1" w:rsidRPr="00F15770" w:rsidRDefault="00962DA1" w:rsidP="006D6167">
            <w:pPr>
              <w:pStyle w:val="Tabletext"/>
              <w:rPr>
                <w:b/>
                <w:bCs/>
              </w:rPr>
            </w:pPr>
          </w:p>
        </w:tc>
        <w:tc>
          <w:tcPr>
            <w:tcW w:w="2413" w:type="dxa"/>
            <w:tcBorders>
              <w:left w:val="nil"/>
              <w:right w:val="nil"/>
            </w:tcBorders>
          </w:tcPr>
          <w:p w14:paraId="2CC7C62F" w14:textId="77777777" w:rsidR="00962DA1" w:rsidRPr="00F15770" w:rsidRDefault="00962DA1" w:rsidP="006D6167">
            <w:pPr>
              <w:pStyle w:val="Tabletext"/>
              <w:rPr>
                <w:b/>
                <w:bCs/>
              </w:rPr>
            </w:pPr>
          </w:p>
        </w:tc>
        <w:tc>
          <w:tcPr>
            <w:tcW w:w="1701" w:type="dxa"/>
            <w:tcBorders>
              <w:left w:val="nil"/>
              <w:right w:val="nil"/>
            </w:tcBorders>
          </w:tcPr>
          <w:p w14:paraId="070AB6D2" w14:textId="77777777" w:rsidR="00962DA1" w:rsidRPr="00F15770" w:rsidRDefault="00962DA1" w:rsidP="006D6167">
            <w:pPr>
              <w:pStyle w:val="Tabletext"/>
              <w:rPr>
                <w:b/>
                <w:bCs/>
              </w:rPr>
            </w:pPr>
          </w:p>
        </w:tc>
      </w:tr>
      <w:tr w:rsidR="00962DA1" w:rsidRPr="00515EE5" w14:paraId="7EAB0F10" w14:textId="77777777" w:rsidTr="00C43336">
        <w:trPr>
          <w:trHeight w:val="60"/>
        </w:trPr>
        <w:tc>
          <w:tcPr>
            <w:tcW w:w="1555" w:type="dxa"/>
            <w:shd w:val="clear" w:color="auto" w:fill="F2F2F2" w:themeFill="background1" w:themeFillShade="F2"/>
          </w:tcPr>
          <w:p w14:paraId="407BCB9A" w14:textId="77777777" w:rsidR="00962DA1" w:rsidRPr="006B4C87" w:rsidRDefault="00962DA1" w:rsidP="006D6167">
            <w:pPr>
              <w:pStyle w:val="Tabletext"/>
              <w:rPr>
                <w:b/>
                <w:bCs/>
              </w:rPr>
            </w:pPr>
            <w:r w:rsidRPr="006B4C87">
              <w:rPr>
                <w:b/>
                <w:bCs/>
              </w:rPr>
              <w:t>Material</w:t>
            </w:r>
          </w:p>
        </w:tc>
        <w:tc>
          <w:tcPr>
            <w:tcW w:w="2126" w:type="dxa"/>
            <w:shd w:val="clear" w:color="auto" w:fill="F2F2F2" w:themeFill="background1" w:themeFillShade="F2"/>
          </w:tcPr>
          <w:p w14:paraId="683EAE22" w14:textId="77777777" w:rsidR="00962DA1" w:rsidRPr="006B4C87" w:rsidRDefault="00962DA1" w:rsidP="006D6167">
            <w:pPr>
              <w:pStyle w:val="BodyText"/>
              <w:spacing w:line="276" w:lineRule="auto"/>
              <w:rPr>
                <w:b/>
                <w:bCs/>
              </w:rPr>
            </w:pPr>
            <w:r w:rsidRPr="006B4C87">
              <w:rPr>
                <w:b/>
                <w:bCs/>
              </w:rPr>
              <w:t>Tonnes Generated</w:t>
            </w:r>
          </w:p>
          <w:p w14:paraId="47AB2A5D" w14:textId="77777777" w:rsidR="00962DA1" w:rsidRPr="006B4C87" w:rsidRDefault="00962DA1" w:rsidP="006D6167">
            <w:pPr>
              <w:pStyle w:val="Tabletext"/>
              <w:rPr>
                <w:b/>
                <w:bCs/>
              </w:rPr>
            </w:pPr>
            <w:r w:rsidRPr="006B4C87">
              <w:rPr>
                <w:b/>
                <w:bCs/>
              </w:rPr>
              <w:t>(Tonnes)</w:t>
            </w:r>
          </w:p>
        </w:tc>
        <w:tc>
          <w:tcPr>
            <w:tcW w:w="2126" w:type="dxa"/>
            <w:shd w:val="clear" w:color="auto" w:fill="F2F2F2" w:themeFill="background1" w:themeFillShade="F2"/>
          </w:tcPr>
          <w:p w14:paraId="0C850DBA" w14:textId="77777777" w:rsidR="00962DA1" w:rsidRPr="006B4C87" w:rsidRDefault="00962DA1" w:rsidP="006D6167">
            <w:pPr>
              <w:pStyle w:val="BodyText"/>
              <w:spacing w:line="276" w:lineRule="auto"/>
              <w:rPr>
                <w:b/>
                <w:bCs/>
              </w:rPr>
            </w:pPr>
            <w:r w:rsidRPr="006B4C87">
              <w:rPr>
                <w:b/>
                <w:bCs/>
              </w:rPr>
              <w:t>Proportion Generated</w:t>
            </w:r>
          </w:p>
          <w:p w14:paraId="676C472C" w14:textId="77777777" w:rsidR="00962DA1" w:rsidRPr="006B4C87" w:rsidRDefault="00962DA1" w:rsidP="006D6167">
            <w:pPr>
              <w:pStyle w:val="Tabletext"/>
              <w:rPr>
                <w:b/>
                <w:bCs/>
              </w:rPr>
            </w:pPr>
            <w:r w:rsidRPr="006B4C87">
              <w:rPr>
                <w:b/>
                <w:bCs/>
              </w:rPr>
              <w:t>(</w:t>
            </w:r>
            <w:r>
              <w:rPr>
                <w:b/>
                <w:bCs/>
              </w:rPr>
              <w:t>%</w:t>
            </w:r>
            <w:r w:rsidRPr="006B4C87">
              <w:rPr>
                <w:b/>
                <w:bCs/>
              </w:rPr>
              <w:t>)</w:t>
            </w:r>
          </w:p>
        </w:tc>
        <w:tc>
          <w:tcPr>
            <w:tcW w:w="2413" w:type="dxa"/>
            <w:shd w:val="clear" w:color="auto" w:fill="F2F2F2" w:themeFill="background1" w:themeFillShade="F2"/>
          </w:tcPr>
          <w:p w14:paraId="3FF36270" w14:textId="77777777" w:rsidR="00962DA1" w:rsidRPr="006B4C87" w:rsidRDefault="00962DA1" w:rsidP="006D6167">
            <w:pPr>
              <w:pStyle w:val="BodyText"/>
              <w:spacing w:line="276" w:lineRule="auto"/>
              <w:rPr>
                <w:b/>
                <w:bCs/>
              </w:rPr>
            </w:pPr>
            <w:r w:rsidRPr="006B4C87">
              <w:rPr>
                <w:b/>
                <w:bCs/>
              </w:rPr>
              <w:t xml:space="preserve">Recovered for </w:t>
            </w:r>
            <w:proofErr w:type="gramStart"/>
            <w:r w:rsidRPr="006B4C87">
              <w:rPr>
                <w:b/>
                <w:bCs/>
              </w:rPr>
              <w:t>reprocessing</w:t>
            </w:r>
            <w:proofErr w:type="gramEnd"/>
          </w:p>
          <w:p w14:paraId="77143B66" w14:textId="77777777" w:rsidR="00962DA1" w:rsidRPr="006B4C87" w:rsidRDefault="00962DA1" w:rsidP="006D6167">
            <w:pPr>
              <w:pStyle w:val="Tabletext"/>
              <w:rPr>
                <w:b/>
                <w:bCs/>
              </w:rPr>
            </w:pPr>
            <w:r w:rsidRPr="006B4C87">
              <w:rPr>
                <w:b/>
                <w:bCs/>
              </w:rPr>
              <w:t>(Tonnes)</w:t>
            </w:r>
          </w:p>
        </w:tc>
        <w:tc>
          <w:tcPr>
            <w:tcW w:w="1701" w:type="dxa"/>
            <w:shd w:val="clear" w:color="auto" w:fill="F2F2F2" w:themeFill="background1" w:themeFillShade="F2"/>
          </w:tcPr>
          <w:p w14:paraId="5E37BAA7" w14:textId="77777777" w:rsidR="00962DA1" w:rsidRPr="006B4C87" w:rsidRDefault="00962DA1" w:rsidP="006D6167">
            <w:pPr>
              <w:pStyle w:val="BodyText"/>
              <w:spacing w:line="276" w:lineRule="auto"/>
              <w:rPr>
                <w:b/>
                <w:bCs/>
              </w:rPr>
            </w:pPr>
            <w:r w:rsidRPr="006B4C87">
              <w:rPr>
                <w:b/>
                <w:bCs/>
              </w:rPr>
              <w:t>Recovery Rate</w:t>
            </w:r>
          </w:p>
          <w:p w14:paraId="1B008996" w14:textId="77777777" w:rsidR="00962DA1" w:rsidRPr="006B4C87" w:rsidRDefault="00962DA1" w:rsidP="006D6167">
            <w:pPr>
              <w:pStyle w:val="Tabletext"/>
              <w:rPr>
                <w:b/>
                <w:bCs/>
              </w:rPr>
            </w:pPr>
            <w:r w:rsidRPr="006B4C87">
              <w:rPr>
                <w:b/>
                <w:bCs/>
              </w:rPr>
              <w:t>(</w:t>
            </w:r>
            <w:r>
              <w:rPr>
                <w:b/>
                <w:bCs/>
              </w:rPr>
              <w:t>%</w:t>
            </w:r>
            <w:r w:rsidRPr="006B4C87">
              <w:rPr>
                <w:b/>
                <w:bCs/>
              </w:rPr>
              <w:t>)</w:t>
            </w:r>
          </w:p>
        </w:tc>
      </w:tr>
      <w:tr w:rsidR="008563EE" w:rsidRPr="00515EE5" w14:paraId="1CCC93C2" w14:textId="77777777" w:rsidTr="00C43336">
        <w:trPr>
          <w:trHeight w:val="60"/>
        </w:trPr>
        <w:tc>
          <w:tcPr>
            <w:tcW w:w="1555" w:type="dxa"/>
          </w:tcPr>
          <w:p w14:paraId="036DD546" w14:textId="037F9BC7" w:rsidR="008563EE" w:rsidRPr="00F15770" w:rsidRDefault="008563EE" w:rsidP="008563EE">
            <w:pPr>
              <w:pStyle w:val="Tabletext"/>
              <w:rPr>
                <w:b/>
                <w:bCs/>
              </w:rPr>
            </w:pPr>
            <w:r w:rsidRPr="00B40E55">
              <w:t>Clothing</w:t>
            </w:r>
          </w:p>
        </w:tc>
        <w:tc>
          <w:tcPr>
            <w:tcW w:w="2126" w:type="dxa"/>
          </w:tcPr>
          <w:p w14:paraId="279B86AB" w14:textId="5187E5DA" w:rsidR="008563EE" w:rsidRPr="00F15770" w:rsidRDefault="008563EE" w:rsidP="008563EE">
            <w:pPr>
              <w:pStyle w:val="Tabletext"/>
              <w:rPr>
                <w:b/>
                <w:bCs/>
              </w:rPr>
            </w:pPr>
            <w:r w:rsidRPr="00B40E55">
              <w:t>168,800</w:t>
            </w:r>
          </w:p>
        </w:tc>
        <w:tc>
          <w:tcPr>
            <w:tcW w:w="2126" w:type="dxa"/>
          </w:tcPr>
          <w:p w14:paraId="148A165B" w14:textId="6589BDC0" w:rsidR="008563EE" w:rsidRPr="00F15770" w:rsidRDefault="008563EE" w:rsidP="008563EE">
            <w:pPr>
              <w:pStyle w:val="Tabletext"/>
              <w:rPr>
                <w:b/>
                <w:bCs/>
              </w:rPr>
            </w:pPr>
            <w:r w:rsidRPr="00B40E55">
              <w:t>53%</w:t>
            </w:r>
          </w:p>
        </w:tc>
        <w:tc>
          <w:tcPr>
            <w:tcW w:w="2413" w:type="dxa"/>
          </w:tcPr>
          <w:p w14:paraId="1088586F" w14:textId="70415B9E" w:rsidR="008563EE" w:rsidRPr="00F15770" w:rsidRDefault="008563EE" w:rsidP="008563EE">
            <w:pPr>
              <w:pStyle w:val="Tabletext"/>
              <w:rPr>
                <w:b/>
                <w:bCs/>
              </w:rPr>
            </w:pPr>
            <w:r w:rsidRPr="00B40E55">
              <w:t>50,200</w:t>
            </w:r>
          </w:p>
        </w:tc>
        <w:tc>
          <w:tcPr>
            <w:tcW w:w="1701" w:type="dxa"/>
          </w:tcPr>
          <w:p w14:paraId="59B556B7" w14:textId="1664B9AE" w:rsidR="008563EE" w:rsidRPr="00F15770" w:rsidRDefault="008563EE" w:rsidP="008563EE">
            <w:pPr>
              <w:pStyle w:val="Tabletext"/>
              <w:rPr>
                <w:b/>
                <w:bCs/>
              </w:rPr>
            </w:pPr>
            <w:r w:rsidRPr="00B40E55">
              <w:t>30%</w:t>
            </w:r>
          </w:p>
        </w:tc>
      </w:tr>
      <w:tr w:rsidR="008563EE" w:rsidRPr="00515EE5" w14:paraId="3A2DEE2A" w14:textId="77777777" w:rsidTr="00C43336">
        <w:trPr>
          <w:trHeight w:val="60"/>
        </w:trPr>
        <w:tc>
          <w:tcPr>
            <w:tcW w:w="1555" w:type="dxa"/>
          </w:tcPr>
          <w:p w14:paraId="6F4D34D1" w14:textId="313416A9" w:rsidR="008563EE" w:rsidRPr="00F15770" w:rsidRDefault="008563EE" w:rsidP="008563EE">
            <w:pPr>
              <w:pStyle w:val="Tabletext"/>
              <w:rPr>
                <w:b/>
                <w:bCs/>
              </w:rPr>
            </w:pPr>
            <w:r w:rsidRPr="00B40E55">
              <w:t>Other textiles</w:t>
            </w:r>
          </w:p>
        </w:tc>
        <w:tc>
          <w:tcPr>
            <w:tcW w:w="2126" w:type="dxa"/>
          </w:tcPr>
          <w:p w14:paraId="7FF030BB" w14:textId="3656320E" w:rsidR="008563EE" w:rsidRPr="00F15770" w:rsidRDefault="008563EE" w:rsidP="008563EE">
            <w:pPr>
              <w:pStyle w:val="Tabletext"/>
              <w:rPr>
                <w:b/>
                <w:bCs/>
              </w:rPr>
            </w:pPr>
            <w:r w:rsidRPr="00B40E55">
              <w:t>152,600</w:t>
            </w:r>
          </w:p>
        </w:tc>
        <w:tc>
          <w:tcPr>
            <w:tcW w:w="2126" w:type="dxa"/>
          </w:tcPr>
          <w:p w14:paraId="3C8A6B0C" w14:textId="23CB02B4" w:rsidR="008563EE" w:rsidRPr="00F15770" w:rsidRDefault="008563EE" w:rsidP="008563EE">
            <w:pPr>
              <w:pStyle w:val="Tabletext"/>
              <w:rPr>
                <w:b/>
                <w:bCs/>
              </w:rPr>
            </w:pPr>
            <w:r w:rsidRPr="00B40E55">
              <w:t>47%</w:t>
            </w:r>
          </w:p>
        </w:tc>
        <w:tc>
          <w:tcPr>
            <w:tcW w:w="2413" w:type="dxa"/>
          </w:tcPr>
          <w:p w14:paraId="2539819B" w14:textId="3E336F09" w:rsidR="008563EE" w:rsidRPr="00F15770" w:rsidRDefault="008563EE" w:rsidP="008563EE">
            <w:pPr>
              <w:pStyle w:val="Tabletext"/>
              <w:rPr>
                <w:b/>
                <w:bCs/>
              </w:rPr>
            </w:pPr>
            <w:r w:rsidRPr="00B40E55">
              <w:t>47,900</w:t>
            </w:r>
          </w:p>
        </w:tc>
        <w:tc>
          <w:tcPr>
            <w:tcW w:w="1701" w:type="dxa"/>
          </w:tcPr>
          <w:p w14:paraId="2A2DCD69" w14:textId="56377639" w:rsidR="008563EE" w:rsidRPr="00F15770" w:rsidRDefault="008563EE" w:rsidP="008563EE">
            <w:pPr>
              <w:pStyle w:val="Tabletext"/>
              <w:rPr>
                <w:b/>
                <w:bCs/>
              </w:rPr>
            </w:pPr>
            <w:r w:rsidRPr="00B40E55">
              <w:t>31%</w:t>
            </w:r>
          </w:p>
        </w:tc>
      </w:tr>
    </w:tbl>
    <w:p w14:paraId="366050B5" w14:textId="75C98312" w:rsidR="00715677" w:rsidRPr="00B40E55" w:rsidRDefault="00715677" w:rsidP="008563EE">
      <w:pPr>
        <w:pStyle w:val="BodyText"/>
        <w:spacing w:before="360"/>
      </w:pPr>
      <w:r>
        <w:t>(</w:t>
      </w:r>
      <w:r w:rsidRPr="00715677">
        <w:t xml:space="preserve">Recycling Victoria (2023) Waste projection model available at </w:t>
      </w:r>
      <w:hyperlink r:id="rId50" w:history="1">
        <w:r w:rsidRPr="00715677">
          <w:rPr>
            <w:rStyle w:val="Hyperlink"/>
          </w:rPr>
          <w:t>https://www.vic.gov.au/victorias-waste-projection-model-dashboard</w:t>
        </w:r>
      </w:hyperlink>
      <w:r w:rsidRPr="00715677">
        <w:t xml:space="preserve"> The data in the table is based on actual data from 2020–21</w:t>
      </w:r>
      <w:r>
        <w:t>)</w:t>
      </w:r>
    </w:p>
    <w:p w14:paraId="0BC55F03" w14:textId="77777777" w:rsidR="008E69E6" w:rsidRPr="008E69E6" w:rsidRDefault="008E69E6" w:rsidP="00926553">
      <w:pPr>
        <w:pStyle w:val="Heading2"/>
      </w:pPr>
      <w:bookmarkStart w:id="58" w:name="_Toc161758561"/>
      <w:r w:rsidRPr="008E69E6">
        <w:t>Emerging materials and products</w:t>
      </w:r>
      <w:bookmarkEnd w:id="58"/>
    </w:p>
    <w:p w14:paraId="2DDAA0F3" w14:textId="77777777" w:rsidR="008E69E6" w:rsidRPr="008E69E6" w:rsidRDefault="008E69E6" w:rsidP="008E69E6">
      <w:pPr>
        <w:pStyle w:val="BodyText"/>
      </w:pPr>
      <w:r w:rsidRPr="008E69E6">
        <w:t xml:space="preserve">There is a range of emerging materials in Victoria, including photovoltaics (solar panels), batteries and wind turbines which are reaching end-of-life. These emerging materials require further assessment to address the impending volume, environmental and technical challenges they will pose if circular economy outcomes cannot be identified to manage each of these material streams. </w:t>
      </w:r>
    </w:p>
    <w:p w14:paraId="375D6039" w14:textId="77777777" w:rsidR="008E69E6" w:rsidRPr="008E69E6" w:rsidRDefault="008E69E6" w:rsidP="008E69E6">
      <w:pPr>
        <w:pStyle w:val="BodyText"/>
      </w:pPr>
      <w:r w:rsidRPr="008E69E6">
        <w:lastRenderedPageBreak/>
        <w:t>These materials have been identified across many other Australian jurisdictions as potential risks to the environment and are being considered for inclusion in current and future Australian Product Stewardship Schemes.</w:t>
      </w:r>
    </w:p>
    <w:p w14:paraId="14412B4C" w14:textId="4E9F0D20" w:rsidR="008E69E6" w:rsidRDefault="008E69E6" w:rsidP="008E69E6">
      <w:pPr>
        <w:pStyle w:val="BodyText"/>
        <w:rPr>
          <w:b/>
          <w:bCs/>
          <w:vertAlign w:val="superscript"/>
        </w:rPr>
      </w:pPr>
      <w:bookmarkStart w:id="59" w:name="_Toc161758562"/>
      <w:r w:rsidRPr="008E69E6">
        <w:rPr>
          <w:rStyle w:val="Heading3Char"/>
        </w:rPr>
        <w:t>Photovoltaics</w:t>
      </w:r>
      <w:bookmarkEnd w:id="59"/>
    </w:p>
    <w:p w14:paraId="033B65D2" w14:textId="130D7CE9" w:rsidR="00715677" w:rsidRDefault="00715677" w:rsidP="00715677">
      <w:pPr>
        <w:pStyle w:val="BodyText"/>
      </w:pPr>
      <w:r>
        <w:t>(</w:t>
      </w:r>
      <w:r w:rsidRPr="00715677">
        <w:t xml:space="preserve">Randell Environmental Consulting (2021) Victorian photovoltaic panel systems material flow analysis. Available at </w:t>
      </w:r>
      <w:hyperlink r:id="rId51" w:history="1">
        <w:r w:rsidRPr="00715677">
          <w:rPr>
            <w:rStyle w:val="Hyperlink"/>
          </w:rPr>
          <w:t>https://www.sustainability.vic.gov.au/research-data-and-insights/research/research-reports/victorian-photovoltaic-panel-systems-material-flow-analysis</w:t>
        </w:r>
      </w:hyperlink>
      <w:r w:rsidRPr="00715677">
        <w:t xml:space="preserve"> Prepared for Sustainability Victoria and Solar Victoria</w:t>
      </w:r>
      <w:r>
        <w:t>)</w:t>
      </w:r>
    </w:p>
    <w:p w14:paraId="185DAF2C" w14:textId="3AC12706" w:rsidR="00715677" w:rsidRPr="008E69E6" w:rsidRDefault="00715677" w:rsidP="00715677">
      <w:pPr>
        <w:pStyle w:val="BodyText"/>
      </w:pPr>
      <w:r>
        <w:t>(</w:t>
      </w:r>
      <w:r w:rsidRPr="00715677">
        <w:t>Randell Environmental Consulting (2023) Sector resilience analysis for e-waste. Prepared for Recycling Victoria.</w:t>
      </w:r>
      <w:r>
        <w:t>)</w:t>
      </w:r>
    </w:p>
    <w:p w14:paraId="2326CC1E" w14:textId="4917DAC1" w:rsidR="008E69E6" w:rsidRPr="008E69E6" w:rsidRDefault="008E69E6" w:rsidP="008E69E6">
      <w:pPr>
        <w:pStyle w:val="BodyText"/>
      </w:pPr>
      <w:r w:rsidRPr="008E69E6">
        <w:t>Victorian consumption of photovoltaic (PV) panels (solar panels) is estimated to triple from 33,000 tonnes each year to 94,000 tonnes by 2035.</w:t>
      </w:r>
    </w:p>
    <w:p w14:paraId="227155A5" w14:textId="77777777" w:rsidR="008E69E6" w:rsidRPr="008E69E6" w:rsidRDefault="008E69E6" w:rsidP="008E69E6">
      <w:pPr>
        <w:pStyle w:val="BodyText"/>
      </w:pPr>
      <w:r w:rsidRPr="008E69E6">
        <w:t>Most PV panels are currently processed for some form of recycling in Victoria. Recycling occurs at either a dedicated PV panel recycler or metal recyclers which recover materials from the inverters. Additional capacity to recycle this material stream is planned within Victoria by 2025.</w:t>
      </w:r>
    </w:p>
    <w:p w14:paraId="70EF5E00" w14:textId="332FE9F1" w:rsidR="008E69E6" w:rsidRPr="008E69E6" w:rsidRDefault="008E69E6" w:rsidP="008E69E6">
      <w:pPr>
        <w:pStyle w:val="BodyText"/>
      </w:pPr>
      <w:r w:rsidRPr="008E69E6">
        <w:t>Small PV devices including toys, decorations and other household items are increasingly entering the Victorian market.</w:t>
      </w:r>
    </w:p>
    <w:p w14:paraId="29F615A5" w14:textId="77777777" w:rsidR="008E69E6" w:rsidRPr="008E69E6" w:rsidRDefault="008E69E6" w:rsidP="008E69E6">
      <w:pPr>
        <w:pStyle w:val="BodyText"/>
      </w:pPr>
      <w:r w:rsidRPr="008E69E6">
        <w:t>The separate components of this material stream have varied levels of end markets There is a mature market for the metal components, a developing market for the precious metals including lithium, limited market for the glass laminate, and extremely limited market for the related plastic components.</w:t>
      </w:r>
    </w:p>
    <w:p w14:paraId="544F85DD" w14:textId="502E957F" w:rsidR="008E69E6" w:rsidRPr="008E69E6" w:rsidRDefault="008E69E6" w:rsidP="008E69E6">
      <w:pPr>
        <w:pStyle w:val="BodyText"/>
      </w:pPr>
      <w:r w:rsidRPr="008E69E6">
        <w:t>Further exploration is needed on the management of this emerging material stream. Extended Producer Responsibility could provide improved economic model for resource recovery and recycling.</w:t>
      </w:r>
    </w:p>
    <w:p w14:paraId="09CF5DCF" w14:textId="77777777" w:rsidR="008E69E6" w:rsidRPr="008E69E6" w:rsidRDefault="008E69E6" w:rsidP="00926553">
      <w:pPr>
        <w:pStyle w:val="Heading3"/>
      </w:pPr>
      <w:bookmarkStart w:id="60" w:name="_Toc161758563"/>
      <w:r w:rsidRPr="008E69E6">
        <w:t>Batteries</w:t>
      </w:r>
      <w:bookmarkEnd w:id="60"/>
    </w:p>
    <w:p w14:paraId="734E7E9A" w14:textId="77777777" w:rsidR="008E69E6" w:rsidRPr="008E69E6" w:rsidRDefault="008E69E6" w:rsidP="008E69E6">
      <w:pPr>
        <w:pStyle w:val="BodyText"/>
      </w:pPr>
      <w:r w:rsidRPr="008E69E6">
        <w:t>The number of electronic materials, including batteries, has been increasing at a rate of almost 3 times any other material stream in Victoria, consistent with other Australian jurisdictions.</w:t>
      </w:r>
    </w:p>
    <w:p w14:paraId="255BC0D3" w14:textId="77777777" w:rsidR="008E69E6" w:rsidRPr="008E69E6" w:rsidRDefault="008E69E6" w:rsidP="008E69E6">
      <w:pPr>
        <w:pStyle w:val="BodyText"/>
      </w:pPr>
      <w:r w:rsidRPr="008E69E6">
        <w:lastRenderedPageBreak/>
        <w:t>In response to this growing trend, Victoria introduced a ban of electronic waste (e-waste) from landfill in 2019, which included batteries.</w:t>
      </w:r>
    </w:p>
    <w:p w14:paraId="4C012143" w14:textId="77777777" w:rsidR="008E69E6" w:rsidRPr="008E69E6" w:rsidRDefault="008E69E6" w:rsidP="008E69E6">
      <w:pPr>
        <w:pStyle w:val="BodyText"/>
      </w:pPr>
      <w:r w:rsidRPr="008E69E6">
        <w:t>In 2020, Victoria became the first state to have a lithium battery processing facility in Australia.</w:t>
      </w:r>
    </w:p>
    <w:p w14:paraId="6265F389" w14:textId="262A05E6" w:rsidR="008E69E6" w:rsidRPr="008E69E6" w:rsidRDefault="008E69E6" w:rsidP="008E69E6">
      <w:pPr>
        <w:pStyle w:val="BodyText"/>
      </w:pPr>
      <w:r w:rsidRPr="008E69E6">
        <w:t>The Australian voluntary battery stewardship scheme commenced in 2022, with the aim of diverting 90% of collected batteries from landfill. This industry scheme excludes items including large PV system lithium-ion batteries, or embedded batteries (batteries built into devices, and unable to be separated by the consumer.</w:t>
      </w:r>
    </w:p>
    <w:p w14:paraId="7C3CB3B2" w14:textId="77777777" w:rsidR="008E69E6" w:rsidRPr="008E69E6" w:rsidRDefault="008E69E6" w:rsidP="008E69E6">
      <w:pPr>
        <w:pStyle w:val="BodyText"/>
      </w:pPr>
      <w:r w:rsidRPr="008E69E6">
        <w:t>There is considerable growth in the use of electric vehicle batteries within Victoria. These electric vehicle batteries typically last 8–10 years, and contain elements (including lithium and copper), which are essential in the world’s transition to a low-carbon economy.</w:t>
      </w:r>
    </w:p>
    <w:p w14:paraId="3FC6A734" w14:textId="77777777" w:rsidR="008E69E6" w:rsidRPr="008E69E6" w:rsidRDefault="008E69E6" w:rsidP="008E69E6">
      <w:pPr>
        <w:pStyle w:val="BodyText"/>
      </w:pPr>
      <w:r w:rsidRPr="008E69E6">
        <w:t>Ways to reuse and re-purpose electric vehicle batteries are under development in Victoria, with a new facility scheduled for commissioning in Victoria in 2024.</w:t>
      </w:r>
    </w:p>
    <w:p w14:paraId="4309532D" w14:textId="77777777" w:rsidR="008E69E6" w:rsidRPr="008E69E6" w:rsidRDefault="008E69E6" w:rsidP="008E69E6">
      <w:pPr>
        <w:pStyle w:val="BodyText"/>
      </w:pPr>
      <w:r w:rsidRPr="008E69E6">
        <w:t>Areas for greater circularity include collection points for batteries to prevent inappropriate disposal, as well as advances in recycling in technologies, within an overall economically underpinned model.</w:t>
      </w:r>
    </w:p>
    <w:p w14:paraId="57C8C4A8" w14:textId="77777777" w:rsidR="008E69E6" w:rsidRPr="008E69E6" w:rsidRDefault="008E69E6" w:rsidP="00926553">
      <w:pPr>
        <w:pStyle w:val="Heading3"/>
      </w:pPr>
      <w:bookmarkStart w:id="61" w:name="_Toc161758564"/>
      <w:r w:rsidRPr="008E69E6">
        <w:t>Areas for greater circularity – batteries</w:t>
      </w:r>
      <w:bookmarkEnd w:id="61"/>
    </w:p>
    <w:p w14:paraId="4C2D3CAB" w14:textId="77777777" w:rsidR="008E69E6" w:rsidRPr="008E69E6" w:rsidRDefault="008E69E6" w:rsidP="008E69E6">
      <w:pPr>
        <w:pStyle w:val="BodyText"/>
      </w:pPr>
      <w:r w:rsidRPr="008E69E6">
        <w:t>The greatest areas for improved circularity for this material stream are:</w:t>
      </w:r>
    </w:p>
    <w:p w14:paraId="7E7D4B94" w14:textId="77777777" w:rsidR="008E69E6" w:rsidRPr="008E69E6" w:rsidRDefault="008E69E6" w:rsidP="00926553">
      <w:pPr>
        <w:pStyle w:val="ListBullet"/>
      </w:pPr>
      <w:r w:rsidRPr="008E69E6">
        <w:t>collection points for lithium-ion batteries</w:t>
      </w:r>
    </w:p>
    <w:p w14:paraId="27C95657" w14:textId="77777777" w:rsidR="008E69E6" w:rsidRPr="008E69E6" w:rsidRDefault="008E69E6" w:rsidP="00926553">
      <w:pPr>
        <w:pStyle w:val="ListBullet"/>
      </w:pPr>
      <w:r w:rsidRPr="008E69E6">
        <w:t xml:space="preserve">local battery remanufacturing from recovered precious metals e.g. lithium </w:t>
      </w:r>
      <w:proofErr w:type="gramStart"/>
      <w:r w:rsidRPr="008E69E6">
        <w:t>ion</w:t>
      </w:r>
      <w:proofErr w:type="gramEnd"/>
    </w:p>
    <w:p w14:paraId="72021EE5" w14:textId="35311D73" w:rsidR="008E69E6" w:rsidRPr="008E69E6" w:rsidRDefault="008E69E6" w:rsidP="00926553">
      <w:pPr>
        <w:pStyle w:val="ListBullet"/>
      </w:pPr>
      <w:r w:rsidRPr="008E69E6">
        <w:t xml:space="preserve">product stewardship (also include device with embedded batteries) </w:t>
      </w:r>
    </w:p>
    <w:p w14:paraId="74E5E919" w14:textId="72E8645D" w:rsidR="008E69E6" w:rsidRPr="008E69E6" w:rsidRDefault="008E69E6" w:rsidP="00926553">
      <w:pPr>
        <w:pStyle w:val="Bullet1last"/>
      </w:pPr>
      <w:r w:rsidRPr="008E69E6">
        <w:t>development into local lithium-ion battery recycling.</w:t>
      </w:r>
    </w:p>
    <w:p w14:paraId="332C4BEF" w14:textId="77777777" w:rsidR="008E69E6" w:rsidRPr="008E69E6" w:rsidRDefault="008E69E6" w:rsidP="00926553">
      <w:pPr>
        <w:pStyle w:val="Heading3"/>
      </w:pPr>
      <w:bookmarkStart w:id="62" w:name="_Toc161758565"/>
      <w:r w:rsidRPr="008E69E6">
        <w:t xml:space="preserve">Wind </w:t>
      </w:r>
      <w:proofErr w:type="gramStart"/>
      <w:r w:rsidRPr="008E69E6">
        <w:t>turbines</w:t>
      </w:r>
      <w:bookmarkEnd w:id="62"/>
      <w:proofErr w:type="gramEnd"/>
    </w:p>
    <w:p w14:paraId="4569E039" w14:textId="026C73EC" w:rsidR="008E69E6" w:rsidRPr="008E69E6" w:rsidRDefault="008E69E6" w:rsidP="008E69E6">
      <w:pPr>
        <w:pStyle w:val="BodyText"/>
        <w:rPr>
          <w:u w:val="thick"/>
        </w:rPr>
      </w:pPr>
      <w:r w:rsidRPr="008E69E6">
        <w:t xml:space="preserve">Victoria’s wind power infrastructure became operational in the last decade and has a typical 20-year lifespan. By 2034, an estimated 15,000 tonnes of composite waste from decommissioned wind farms will have been created, and up to 4000 tonnes in any given </w:t>
      </w:r>
      <w:r w:rsidRPr="008E69E6">
        <w:lastRenderedPageBreak/>
        <w:t>year</w:t>
      </w:r>
      <w:r w:rsidR="000C259F">
        <w:t>. (</w:t>
      </w:r>
      <w:proofErr w:type="spellStart"/>
      <w:r w:rsidR="000C259F" w:rsidRPr="000C259F">
        <w:t>Patowary</w:t>
      </w:r>
      <w:proofErr w:type="spellEnd"/>
      <w:r w:rsidR="000C259F" w:rsidRPr="000C259F">
        <w:t xml:space="preserve">, K. (2017) The Second Life of Wind Turbine Blades. Retrieved from </w:t>
      </w:r>
      <w:hyperlink r:id="rId52" w:history="1">
        <w:r w:rsidR="000C259F" w:rsidRPr="000C259F">
          <w:rPr>
            <w:rStyle w:val="Hyperlink"/>
          </w:rPr>
          <w:t>https://www.amusingplanet.com/2017/01/the-second-life-of-wind-turbine-blades.html</w:t>
        </w:r>
      </w:hyperlink>
      <w:r w:rsidR="000C259F" w:rsidRPr="000C259F">
        <w:t>)</w:t>
      </w:r>
      <w:r w:rsidRPr="008E69E6">
        <w:t>.</w:t>
      </w:r>
    </w:p>
    <w:p w14:paraId="09CBC0BA" w14:textId="590994D9" w:rsidR="008E69E6" w:rsidRPr="008E69E6" w:rsidRDefault="008E69E6" w:rsidP="008E69E6">
      <w:pPr>
        <w:pStyle w:val="BodyText"/>
        <w:rPr>
          <w:u w:val="thick"/>
        </w:rPr>
      </w:pPr>
      <w:r w:rsidRPr="008E69E6">
        <w:t>Wind turbine blades have gone through multiple iterations of difficult to recycle materials, first fibreglass, then carbon-fibre. There is currently no clear large scale recycling option for carbon-fibre in Australia</w:t>
      </w:r>
      <w:r w:rsidR="000C259F">
        <w:t>. (</w:t>
      </w:r>
      <w:r w:rsidR="000C259F" w:rsidRPr="000C259F">
        <w:t xml:space="preserve">Clean Energy Council (2023) Winding up: Decommissioning, </w:t>
      </w:r>
      <w:proofErr w:type="gramStart"/>
      <w:r w:rsidR="000C259F" w:rsidRPr="000C259F">
        <w:t>recycling</w:t>
      </w:r>
      <w:proofErr w:type="gramEnd"/>
      <w:r w:rsidR="000C259F" w:rsidRPr="000C259F">
        <w:t xml:space="preserve"> and resource recovery of Australian wind turbines. Retrieved from </w:t>
      </w:r>
      <w:hyperlink r:id="rId53" w:anchor="asset:6271214:url" w:history="1">
        <w:r w:rsidR="000C259F" w:rsidRPr="000C259F">
          <w:rPr>
            <w:rStyle w:val="Hyperlink"/>
          </w:rPr>
          <w:t>https://assets.cleanenergycouncil.org.au/documents/Wind-turbine-recycling-report-2023.pdf#asset:6271214:url</w:t>
        </w:r>
      </w:hyperlink>
      <w:r w:rsidR="000C259F" w:rsidRPr="000C259F">
        <w:t>)</w:t>
      </w:r>
      <w:r w:rsidRPr="008E69E6">
        <w:t>.</w:t>
      </w:r>
    </w:p>
    <w:p w14:paraId="68AD6720" w14:textId="1EB0C0E0" w:rsidR="008E69E6" w:rsidRPr="008E69E6" w:rsidRDefault="008E69E6" w:rsidP="000C259F">
      <w:pPr>
        <w:pStyle w:val="BodyText"/>
        <w:rPr>
          <w:u w:val="thick"/>
        </w:rPr>
      </w:pPr>
      <w:r w:rsidRPr="008E69E6">
        <w:t>Approximately 85–94% of a wind turbine (by mass) is recyclable</w:t>
      </w:r>
      <w:r w:rsidR="000C259F">
        <w:t xml:space="preserve"> (</w:t>
      </w:r>
      <w:r w:rsidR="000C259F" w:rsidRPr="000C259F">
        <w:t xml:space="preserve">Vestas. (2023). Zero Waste. Retrieved from </w:t>
      </w:r>
      <w:hyperlink r:id="rId54" w:history="1">
        <w:r w:rsidR="000C259F" w:rsidRPr="000C259F">
          <w:rPr>
            <w:rStyle w:val="Hyperlink"/>
          </w:rPr>
          <w:t>https://www.vestas.com/en/sustainability/environment/zero-waste</w:t>
        </w:r>
      </w:hyperlink>
      <w:r w:rsidR="000C259F">
        <w:t xml:space="preserve">) </w:t>
      </w:r>
      <w:r w:rsidRPr="008E69E6">
        <w:t>however the cost impost to undertake this process is currently prohibitive</w:t>
      </w:r>
      <w:r w:rsidR="000C259F">
        <w:t>. (</w:t>
      </w:r>
      <w:r w:rsidR="000C259F" w:rsidRPr="000C259F">
        <w:t xml:space="preserve">Clean Energy Council (2023) Winding up: Decommissioning, </w:t>
      </w:r>
      <w:proofErr w:type="gramStart"/>
      <w:r w:rsidR="000C259F" w:rsidRPr="000C259F">
        <w:t>recycling</w:t>
      </w:r>
      <w:proofErr w:type="gramEnd"/>
      <w:r w:rsidR="000C259F" w:rsidRPr="000C259F">
        <w:t xml:space="preserve"> and resource recovery of Australian wind turbines. Retrieved from </w:t>
      </w:r>
      <w:hyperlink r:id="rId55" w:anchor="asset:6271214:url" w:history="1">
        <w:r w:rsidR="00B25450" w:rsidRPr="009269D5">
          <w:rPr>
            <w:rStyle w:val="Hyperlink"/>
          </w:rPr>
          <w:t>https://assets.cleanenergycouncil.org.au/</w:t>
        </w:r>
        <w:r w:rsidR="00B25450" w:rsidRPr="009269D5">
          <w:rPr>
            <w:rStyle w:val="Hyperlink"/>
          </w:rPr>
          <w:br/>
          <w:t>documents/Wind-turbine-recycling-report-2023.pdf#asset:6271214:url</w:t>
        </w:r>
      </w:hyperlink>
      <w:r w:rsidR="000C259F" w:rsidRPr="000C259F">
        <w:t>)</w:t>
      </w:r>
      <w:r w:rsidRPr="000C259F">
        <w:t>.</w:t>
      </w:r>
    </w:p>
    <w:p w14:paraId="5F5A225F" w14:textId="3A055216" w:rsidR="008E69E6" w:rsidRPr="008E69E6" w:rsidRDefault="008E69E6" w:rsidP="00063821">
      <w:pPr>
        <w:pStyle w:val="BodyText"/>
        <w:rPr>
          <w:u w:val="thick"/>
        </w:rPr>
      </w:pPr>
      <w:r w:rsidRPr="008E69E6">
        <w:t>To improve circularity of wind turbines, repair options are under development. Barriers to realising this option include design intellectual property barriers, and economic viability</w:t>
      </w:r>
      <w:r w:rsidR="00063821">
        <w:t>. (</w:t>
      </w:r>
      <w:r w:rsidR="00063821" w:rsidRPr="00063821">
        <w:t xml:space="preserve">Clean Energy Council (2020) Inquiry into Australia’s Waste Management and Recycling Industries Submission 236. Retrieved from </w:t>
      </w:r>
      <w:hyperlink r:id="rId56" w:history="1">
        <w:r w:rsidR="00B25450" w:rsidRPr="009269D5">
          <w:rPr>
            <w:rStyle w:val="Hyperlink"/>
          </w:rPr>
          <w:t>https://www.aph.gov.au/DocumentStore</w:t>
        </w:r>
        <w:r w:rsidR="00B25450" w:rsidRPr="009269D5">
          <w:rPr>
            <w:rStyle w:val="Hyperlink"/>
          </w:rPr>
          <w:br/>
          <w:t>.</w:t>
        </w:r>
        <w:proofErr w:type="spellStart"/>
        <w:r w:rsidR="00B25450" w:rsidRPr="009269D5">
          <w:rPr>
            <w:rStyle w:val="Hyperlink"/>
          </w:rPr>
          <w:t>ashx?id</w:t>
        </w:r>
        <w:proofErr w:type="spellEnd"/>
        <w:r w:rsidR="00B25450" w:rsidRPr="009269D5">
          <w:rPr>
            <w:rStyle w:val="Hyperlink"/>
          </w:rPr>
          <w:t>=54173916-54f6-497c-a9ec-014dee373ece&amp;subId=69</w:t>
        </w:r>
      </w:hyperlink>
      <w:r w:rsidR="00063821" w:rsidRPr="00063821">
        <w:t>).</w:t>
      </w:r>
    </w:p>
    <w:p w14:paraId="4139312D" w14:textId="7937A424" w:rsidR="008E69E6" w:rsidRPr="008E69E6" w:rsidRDefault="008E69E6" w:rsidP="008E69E6">
      <w:pPr>
        <w:pStyle w:val="BodyText"/>
      </w:pPr>
      <w:r w:rsidRPr="008E69E6">
        <w:t xml:space="preserve">Guidance for the decommissioning of wind turbines is being developed including by </w:t>
      </w:r>
      <w:proofErr w:type="spellStart"/>
      <w:r w:rsidRPr="008E69E6">
        <w:t>WindEurope</w:t>
      </w:r>
      <w:proofErr w:type="spellEnd"/>
      <w:r w:rsidRPr="008E69E6">
        <w:t>, a key European wind energy industry body. The Australian Clean Energy Council released a report in 2017, outlining environmentally and socially responsible practices for decommissioning wind farms</w:t>
      </w:r>
      <w:r w:rsidR="00744AA7">
        <w:t>. (</w:t>
      </w:r>
      <w:r w:rsidR="00744AA7" w:rsidRPr="00744AA7">
        <w:t>Clean Energy Council (2017) Enhancing positive social outcomes from wind farm development.</w:t>
      </w:r>
      <w:r w:rsidR="00744AA7">
        <w:t xml:space="preserve"> </w:t>
      </w:r>
      <w:r w:rsidR="00744AA7" w:rsidRPr="00744AA7">
        <w:t xml:space="preserve">Retrieved from </w:t>
      </w:r>
      <w:hyperlink r:id="rId57" w:history="1">
        <w:r w:rsidR="00744AA7" w:rsidRPr="00744AA7">
          <w:rPr>
            <w:rStyle w:val="Hyperlink"/>
          </w:rPr>
          <w:t>https://assets.cleanenergycouncil.org.au/documents/resources/reports/enhancing-positive-social-outcomes-from-wind-farm-development.pdf</w:t>
        </w:r>
      </w:hyperlink>
      <w:r w:rsidR="00744AA7">
        <w:t>)</w:t>
      </w:r>
      <w:r w:rsidRPr="008E69E6">
        <w:t>.</w:t>
      </w:r>
    </w:p>
    <w:p w14:paraId="4A206663" w14:textId="0ADA0B44" w:rsidR="008E69E6" w:rsidRPr="008E69E6" w:rsidRDefault="008E69E6" w:rsidP="008E69E6">
      <w:pPr>
        <w:pStyle w:val="BodyText"/>
        <w:rPr>
          <w:u w:val="thick"/>
        </w:rPr>
      </w:pPr>
      <w:r w:rsidRPr="008E69E6">
        <w:t xml:space="preserve">Extended producer responsibility schemes have improved collection, </w:t>
      </w:r>
      <w:proofErr w:type="gramStart"/>
      <w:r w:rsidRPr="008E69E6">
        <w:t>reuse</w:t>
      </w:r>
      <w:proofErr w:type="gramEnd"/>
      <w:r w:rsidRPr="008E69E6">
        <w:t xml:space="preserve"> and recycling markets overseas for clean energy technologies (usually for batteries) and could also be beneficial for wind turbines in Australia.</w:t>
      </w:r>
      <w:r w:rsidR="00484253">
        <w:t xml:space="preserve"> (</w:t>
      </w:r>
      <w:r w:rsidR="00484253" w:rsidRPr="00484253">
        <w:t xml:space="preserve">Clean Energy Council (2020) Inquiry into Australia’s Waste Management and Recycling Industries Submission 236. Retrieved from </w:t>
      </w:r>
      <w:hyperlink r:id="rId58" w:history="1">
        <w:r w:rsidR="00484253" w:rsidRPr="00484253">
          <w:rPr>
            <w:rStyle w:val="Hyperlink"/>
          </w:rPr>
          <w:t>https://www.aph.gov.au/DocumentStore.ashx?id=54173916-54f6-497c-a9ec-014dee373ece&amp;subId=69</w:t>
        </w:r>
      </w:hyperlink>
      <w:r w:rsidR="00484253" w:rsidRPr="00484253">
        <w:t>).</w:t>
      </w:r>
    </w:p>
    <w:p w14:paraId="5804B20A" w14:textId="7C7B34EA" w:rsidR="008E69E6" w:rsidRPr="008E69E6" w:rsidRDefault="008E69E6" w:rsidP="008E69E6">
      <w:pPr>
        <w:pStyle w:val="BodyText"/>
        <w:rPr>
          <w:u w:val="thick"/>
        </w:rPr>
      </w:pPr>
      <w:r w:rsidRPr="008E69E6">
        <w:lastRenderedPageBreak/>
        <w:t>Manufacturers (including Siemens Gamesa and General Electric) are developing new blades that can be recycled (through a chemical process) as part of their commitment to zero-waste turbines by 2040.</w:t>
      </w:r>
      <w:r w:rsidR="007C24A9">
        <w:t xml:space="preserve"> (</w:t>
      </w:r>
      <w:r w:rsidR="007C24A9" w:rsidRPr="007C24A9">
        <w:t>Siemens (2021) News release: Siemens Gamesa pioneers wind circularity: launch of world’s first recyclable wind turbine blade for commercial use offshore.</w:t>
      </w:r>
      <w:r w:rsidR="007C24A9">
        <w:t xml:space="preserve"> </w:t>
      </w:r>
      <w:r w:rsidR="007C24A9" w:rsidRPr="007C24A9">
        <w:t xml:space="preserve">Retrieved from </w:t>
      </w:r>
      <w:hyperlink r:id="rId59" w:history="1">
        <w:r w:rsidR="007C24A9" w:rsidRPr="007C24A9">
          <w:rPr>
            <w:rStyle w:val="Hyperlink"/>
          </w:rPr>
          <w:t>https://www.siemensgamesa.com/newsroom/2021/09/launch-world-first-recyclable-wind-turbine-blade</w:t>
        </w:r>
      </w:hyperlink>
      <w:r w:rsidR="007C24A9" w:rsidRPr="007C24A9">
        <w:t>).</w:t>
      </w:r>
    </w:p>
    <w:p w14:paraId="472F0DD0" w14:textId="56450638" w:rsidR="008E69E6" w:rsidRPr="008E69E6" w:rsidRDefault="008E69E6" w:rsidP="00ED1DE9">
      <w:pPr>
        <w:pStyle w:val="BodyText"/>
        <w:rPr>
          <w:u w:val="thick"/>
        </w:rPr>
      </w:pPr>
      <w:r w:rsidRPr="008E69E6">
        <w:t>There could be potential for creation of a new market for recycling composite waste from multiple sectors including wind, construction, electronics, transportation, and marine sectors.</w:t>
      </w:r>
      <w:r w:rsidR="00ED1DE9">
        <w:t xml:space="preserve"> (</w:t>
      </w:r>
      <w:r w:rsidR="00ED1DE9" w:rsidRPr="00ED1DE9">
        <w:t xml:space="preserve">Vestas (2023) Zero Waste. Retrieved from </w:t>
      </w:r>
      <w:hyperlink r:id="rId60" w:history="1">
        <w:r w:rsidR="00ED1DE9" w:rsidRPr="00ED1DE9">
          <w:rPr>
            <w:rStyle w:val="Hyperlink"/>
          </w:rPr>
          <w:t>https://www.vestas.com/en/sustainability/environment/zero-waste</w:t>
        </w:r>
      </w:hyperlink>
      <w:r w:rsidR="00ED1DE9" w:rsidRPr="00ED1DE9">
        <w:t>).</w:t>
      </w:r>
    </w:p>
    <w:p w14:paraId="7331B8C7" w14:textId="1DF9C3AD" w:rsidR="001B72F0" w:rsidRDefault="008E69E6" w:rsidP="008E69E6">
      <w:pPr>
        <w:pStyle w:val="BodyText"/>
      </w:pPr>
      <w:r w:rsidRPr="008E69E6">
        <w:t>Further exploration is needed of the management of this emerging material stream, including the option for a Producer Responsibility Scheme, which could provide an improved economic model for resource recovery and recycling.</w:t>
      </w:r>
    </w:p>
    <w:p w14:paraId="33798A02" w14:textId="77777777" w:rsidR="009E52EF" w:rsidRDefault="009E52EF">
      <w:pPr>
        <w:suppressAutoHyphens w:val="0"/>
        <w:spacing w:after="160"/>
        <w:rPr>
          <w:rFonts w:asciiTheme="majorHAnsi" w:eastAsiaTheme="majorEastAsia" w:hAnsiTheme="majorHAnsi" w:cs="Times New Roman (Headings CS)"/>
          <w:b/>
          <w:bCs/>
          <w:sz w:val="44"/>
          <w:szCs w:val="36"/>
          <w:lang w:val="en-GB"/>
        </w:rPr>
      </w:pPr>
      <w:r>
        <w:br w:type="page"/>
      </w:r>
    </w:p>
    <w:p w14:paraId="7D68D81C" w14:textId="534C5C30" w:rsidR="001B72F0" w:rsidRPr="001B72F0" w:rsidRDefault="001B72F0" w:rsidP="00D931BC">
      <w:pPr>
        <w:pStyle w:val="Heading1"/>
      </w:pPr>
      <w:bookmarkStart w:id="63" w:name="_Toc161758566"/>
      <w:r w:rsidRPr="001B72F0">
        <w:lastRenderedPageBreak/>
        <w:t>Victorian Government actions</w:t>
      </w:r>
      <w:r w:rsidR="00D931BC">
        <w:t xml:space="preserve"> </w:t>
      </w:r>
      <w:r w:rsidRPr="001B72F0">
        <w:t>towards</w:t>
      </w:r>
      <w:r w:rsidR="009C1A6D">
        <w:t xml:space="preserve"> </w:t>
      </w:r>
      <w:r w:rsidRPr="001B72F0">
        <w:t>a</w:t>
      </w:r>
      <w:r w:rsidR="009C1A6D">
        <w:t xml:space="preserve"> </w:t>
      </w:r>
      <w:r w:rsidRPr="001B72F0">
        <w:t>circular</w:t>
      </w:r>
      <w:r w:rsidR="009C1A6D">
        <w:t xml:space="preserve"> </w:t>
      </w:r>
      <w:r w:rsidRPr="001B72F0">
        <w:t>economy</w:t>
      </w:r>
      <w:bookmarkEnd w:id="63"/>
    </w:p>
    <w:p w14:paraId="7945FE18" w14:textId="77777777" w:rsidR="001B72F0" w:rsidRPr="009C1A6D" w:rsidRDefault="001B72F0" w:rsidP="001B72F0">
      <w:pPr>
        <w:pStyle w:val="BodyText"/>
        <w:rPr>
          <w:b/>
          <w:bCs/>
        </w:rPr>
      </w:pPr>
      <w:r w:rsidRPr="009C1A6D">
        <w:rPr>
          <w:b/>
          <w:bCs/>
        </w:rPr>
        <w:t xml:space="preserve">The Victorian Government is making significant contributions to transitioning to a circular economy. Recent reforms focussed on the resource recovery and recycling space, include the following key achievements (as covered in the relevant material section of the report). </w:t>
      </w:r>
    </w:p>
    <w:p w14:paraId="269880E5" w14:textId="77777777" w:rsidR="001B72F0" w:rsidRPr="001B72F0" w:rsidRDefault="001B72F0" w:rsidP="009C1A6D">
      <w:pPr>
        <w:pStyle w:val="Heading2"/>
      </w:pPr>
      <w:bookmarkStart w:id="64" w:name="_Toc161758567"/>
      <w:r w:rsidRPr="001B72F0">
        <w:t>Container deposit scheme</w:t>
      </w:r>
      <w:bookmarkEnd w:id="64"/>
    </w:p>
    <w:p w14:paraId="4395A9C2" w14:textId="77777777" w:rsidR="001B72F0" w:rsidRPr="001B72F0" w:rsidRDefault="001B72F0" w:rsidP="001B72F0">
      <w:pPr>
        <w:pStyle w:val="BodyText"/>
      </w:pPr>
      <w:r w:rsidRPr="001B72F0">
        <w:t>Victoria’s container deposit scheme (CDS) was launched on 1 November 2023. This will improve the separation and recovery of eligible containers to allow them to be reprocessed into their highest and best use.</w:t>
      </w:r>
    </w:p>
    <w:p w14:paraId="55E7B603" w14:textId="53C2DA59" w:rsidR="001B72F0" w:rsidRPr="00911A34" w:rsidRDefault="001B72F0" w:rsidP="001B72F0">
      <w:pPr>
        <w:pStyle w:val="BodyText"/>
        <w:rPr>
          <w:u w:val="thick"/>
        </w:rPr>
      </w:pPr>
      <w:r w:rsidRPr="001B72F0">
        <w:t>The CDS operates on a split responsibility governance model, with a Scheme Coordinator (</w:t>
      </w:r>
      <w:proofErr w:type="spellStart"/>
      <w:r w:rsidRPr="001B72F0">
        <w:t>VicReturn</w:t>
      </w:r>
      <w:proofErr w:type="spellEnd"/>
      <w:r w:rsidRPr="001B72F0">
        <w:t>) and Network Operators. The state has been divided into 3 zones, North, East and West, and will be managed by a Zone Operator responsible for payments and refunds. At full build, due in mid to late 2024, there will be around 600 collection points across the state. The longer-term recovery for the system is estimated at over 2 billion containers returned each year</w:t>
      </w:r>
      <w:r w:rsidR="00911A34">
        <w:t>. (</w:t>
      </w:r>
      <w:r w:rsidR="00911A34" w:rsidRPr="00911A34">
        <w:t xml:space="preserve">Department of Environment, Land Water and Planning (2020) Recycling Victoria a new economy. Available at </w:t>
      </w:r>
      <w:hyperlink r:id="rId61" w:history="1">
        <w:r w:rsidR="00911A34" w:rsidRPr="00911A34">
          <w:rPr>
            <w:rStyle w:val="Hyperlink"/>
          </w:rPr>
          <w:t>https://www.vic.gov.au/victorias-plan-circular-economy</w:t>
        </w:r>
      </w:hyperlink>
      <w:r w:rsidR="00911A34">
        <w:t>)</w:t>
      </w:r>
      <w:r w:rsidRPr="001B72F0">
        <w:t>.</w:t>
      </w:r>
    </w:p>
    <w:p w14:paraId="353E7F4F" w14:textId="77777777" w:rsidR="001B72F0" w:rsidRPr="001B72F0" w:rsidRDefault="001B72F0" w:rsidP="009C1A6D">
      <w:pPr>
        <w:pStyle w:val="Heading2"/>
      </w:pPr>
      <w:bookmarkStart w:id="65" w:name="_Toc161758568"/>
      <w:r w:rsidRPr="001B72F0">
        <w:t>Four waste and recycling streams</w:t>
      </w:r>
      <w:bookmarkEnd w:id="65"/>
    </w:p>
    <w:p w14:paraId="39A6DAF5" w14:textId="29380C5E" w:rsidR="001B72F0" w:rsidRPr="00912683" w:rsidRDefault="001B72F0" w:rsidP="001B72F0">
      <w:pPr>
        <w:pStyle w:val="BodyText"/>
        <w:rPr>
          <w:u w:val="thick"/>
        </w:rPr>
      </w:pPr>
      <w:r w:rsidRPr="001B72F0">
        <w:t>The staged transition to 4 waste and recycling streams continues across the state and will help to increase the recovery rates of these materials. To date, 16 LGAs have introduced glass-only kerbside bins</w:t>
      </w:r>
      <w:r w:rsidR="00912683">
        <w:t xml:space="preserve"> (</w:t>
      </w:r>
      <w:r w:rsidR="00912683" w:rsidRPr="00912683">
        <w:t xml:space="preserve">Wheeler (2023) Bins dedicated to glass recycling rolled out in Victoria. Retrieved from Inside Waste: </w:t>
      </w:r>
      <w:hyperlink r:id="rId62" w:history="1">
        <w:r w:rsidR="00912683" w:rsidRPr="00912683">
          <w:rPr>
            <w:rStyle w:val="Hyperlink"/>
          </w:rPr>
          <w:t>https://www.insidewaste.com.au/bins-dedicated-to-glass-recycling-rolled-out-in-victoria</w:t>
        </w:r>
      </w:hyperlink>
      <w:r w:rsidR="00912683" w:rsidRPr="00912683">
        <w:t>)</w:t>
      </w:r>
      <w:r w:rsidRPr="001B72F0">
        <w:t>, with a further 12 introducing community drop-off services for glass. Forty LGAs currently have FOGO services and another 18 have garden organics services (29 councils with no service).</w:t>
      </w:r>
    </w:p>
    <w:p w14:paraId="6F2E7966" w14:textId="044A9B2C" w:rsidR="001B72F0" w:rsidRPr="00912683" w:rsidRDefault="001B72F0" w:rsidP="001B72F0">
      <w:pPr>
        <w:pStyle w:val="BodyText"/>
        <w:rPr>
          <w:u w:val="thick"/>
        </w:rPr>
      </w:pPr>
      <w:r w:rsidRPr="001B72F0">
        <w:t>$4.69 million has been granted to support this transition for 71 recipients through the Circular Economy Household Education Fund</w:t>
      </w:r>
      <w:r w:rsidR="00912683">
        <w:t>. (</w:t>
      </w:r>
      <w:r w:rsidR="00912683" w:rsidRPr="00912683">
        <w:t xml:space="preserve">Sustainability Victoria (2023) Circular </w:t>
      </w:r>
      <w:r w:rsidR="00912683" w:rsidRPr="00912683">
        <w:lastRenderedPageBreak/>
        <w:t xml:space="preserve">Economy Household Education Fund – Funded projects. Retrieved from </w:t>
      </w:r>
      <w:hyperlink r:id="rId63" w:history="1">
        <w:r w:rsidR="00912683" w:rsidRPr="00912683">
          <w:rPr>
            <w:rStyle w:val="Hyperlink"/>
          </w:rPr>
          <w:t>https://www.sustainability.vic.gov.au/grants-funding-and-investment/funded-grants/circular-economy-household-education-fund</w:t>
        </w:r>
      </w:hyperlink>
      <w:r w:rsidR="00912683" w:rsidRPr="00912683">
        <w:t>)</w:t>
      </w:r>
      <w:r w:rsidRPr="00912683">
        <w:t>.</w:t>
      </w:r>
    </w:p>
    <w:p w14:paraId="64F4315E" w14:textId="77777777" w:rsidR="001B72F0" w:rsidRPr="009C1A6D" w:rsidRDefault="001B72F0" w:rsidP="009C1A6D">
      <w:pPr>
        <w:pStyle w:val="Heading2"/>
        <w:rPr>
          <w:i/>
          <w:iCs/>
        </w:rPr>
      </w:pPr>
      <w:bookmarkStart w:id="66" w:name="_Toc161758569"/>
      <w:r w:rsidRPr="009C1A6D">
        <w:rPr>
          <w:i/>
          <w:iCs/>
        </w:rPr>
        <w:t xml:space="preserve">Recycled First </w:t>
      </w:r>
      <w:proofErr w:type="gramStart"/>
      <w:r w:rsidRPr="009C1A6D">
        <w:rPr>
          <w:i/>
          <w:iCs/>
        </w:rPr>
        <w:t>policy</w:t>
      </w:r>
      <w:bookmarkEnd w:id="66"/>
      <w:proofErr w:type="gramEnd"/>
    </w:p>
    <w:p w14:paraId="0716D1F9" w14:textId="663F2D44" w:rsidR="001B72F0" w:rsidRPr="001B72F0" w:rsidRDefault="001B72F0" w:rsidP="001B72F0">
      <w:pPr>
        <w:pStyle w:val="BodyText"/>
      </w:pPr>
      <w:r w:rsidRPr="001B72F0">
        <w:t>This Australian-first policy requires tenderers and contractors delivering major projects to optimise and commit to the use of recycled materials. The </w:t>
      </w:r>
      <w:r w:rsidRPr="001B72F0">
        <w:rPr>
          <w:i/>
          <w:iCs/>
        </w:rPr>
        <w:t>Recycled First</w:t>
      </w:r>
      <w:r w:rsidRPr="001B72F0">
        <w:t xml:space="preserve"> policy encourages innovation and supports a vibrant and sustainable Victorian market for reused and recycled materials in transport infrastructure construction.</w:t>
      </w:r>
    </w:p>
    <w:p w14:paraId="1181E360" w14:textId="20B86F9C" w:rsidR="001B72F0" w:rsidRPr="001B72F0" w:rsidRDefault="001B72F0" w:rsidP="001B72F0">
      <w:pPr>
        <w:pStyle w:val="BodyText"/>
      </w:pPr>
      <w:r w:rsidRPr="001B72F0">
        <w:t>This policy demonstrates that effective use of recycled materials can enhance circular economy outcomes and divert waste from landfill (</w:t>
      </w:r>
      <w:r w:rsidRPr="00DD342E">
        <w:t>refer case study</w:t>
      </w:r>
      <w:r w:rsidR="00DD342E" w:rsidRPr="00DD342E">
        <w:rPr>
          <w:lang w:val="en-AU"/>
        </w:rPr>
        <w:t xml:space="preserve">: </w:t>
      </w:r>
      <w:r w:rsidR="00DD342E" w:rsidRPr="00DD342E">
        <w:rPr>
          <w:i/>
          <w:iCs/>
          <w:lang w:val="en-AU"/>
        </w:rPr>
        <w:t>Recycled First</w:t>
      </w:r>
      <w:r w:rsidR="00DD342E" w:rsidRPr="00DD342E">
        <w:rPr>
          <w:lang w:val="en-AU"/>
        </w:rPr>
        <w:t xml:space="preserve"> policy (</w:t>
      </w:r>
      <w:proofErr w:type="spellStart"/>
      <w:r w:rsidR="00DD342E" w:rsidRPr="00DD342E">
        <w:rPr>
          <w:lang w:val="en-AU"/>
        </w:rPr>
        <w:t>ecologiQ</w:t>
      </w:r>
      <w:proofErr w:type="spellEnd"/>
      <w:r w:rsidR="00DD342E" w:rsidRPr="00DD342E">
        <w:rPr>
          <w:lang w:val="en-AU"/>
        </w:rPr>
        <w:t>)</w:t>
      </w:r>
      <w:r w:rsidRPr="001B72F0">
        <w:t>).</w:t>
      </w:r>
    </w:p>
    <w:p w14:paraId="75F9EC99" w14:textId="77777777" w:rsidR="001B72F0" w:rsidRPr="001B72F0" w:rsidRDefault="001B72F0" w:rsidP="00D931BC">
      <w:pPr>
        <w:pStyle w:val="Heading1"/>
      </w:pPr>
      <w:bookmarkStart w:id="67" w:name="_Toc161758570"/>
      <w:r w:rsidRPr="001B72F0">
        <w:t>Conclusion</w:t>
      </w:r>
      <w:bookmarkEnd w:id="67"/>
    </w:p>
    <w:p w14:paraId="613926D5" w14:textId="5E9E6858" w:rsidR="001B72F0" w:rsidRPr="001B72F0" w:rsidRDefault="001B72F0" w:rsidP="001B72F0">
      <w:pPr>
        <w:pStyle w:val="BodyText"/>
      </w:pPr>
      <w:r w:rsidRPr="001B72F0">
        <w:t>This inaugural Circular Economy Market Report has been designed to provide insights and progress to both government and industry on the circularity of key material streams within Victoria.</w:t>
      </w:r>
    </w:p>
    <w:p w14:paraId="68939B28" w14:textId="77777777" w:rsidR="001B72F0" w:rsidRPr="001B72F0" w:rsidRDefault="001B72F0" w:rsidP="001B72F0">
      <w:pPr>
        <w:pStyle w:val="BodyText"/>
      </w:pPr>
      <w:r w:rsidRPr="001B72F0">
        <w:t>This report has identified that Victoria is at the early transition phase towards achieving circularity within the circular economy market, which is consistent with many other jurisdictions within Australia.</w:t>
      </w:r>
    </w:p>
    <w:p w14:paraId="01B44F50" w14:textId="7E15EC67" w:rsidR="001B72F0" w:rsidRPr="001B72F0" w:rsidRDefault="001B72F0" w:rsidP="001B72F0">
      <w:pPr>
        <w:pStyle w:val="BodyText"/>
      </w:pPr>
      <w:r w:rsidRPr="001B72F0">
        <w:t>To transform our economy into a modern, resource-</w:t>
      </w:r>
      <w:proofErr w:type="gramStart"/>
      <w:r w:rsidRPr="001B72F0">
        <w:t>efficient</w:t>
      </w:r>
      <w:proofErr w:type="gramEnd"/>
      <w:r w:rsidRPr="001B72F0">
        <w:t xml:space="preserve"> and competitive market, areas for greater circularity within each material stream have been highlighted within this report.</w:t>
      </w:r>
    </w:p>
    <w:p w14:paraId="7D535440" w14:textId="2A1B35F6" w:rsidR="001B72F0" w:rsidRPr="001B72F0" w:rsidRDefault="001B72F0" w:rsidP="001B72F0">
      <w:pPr>
        <w:pStyle w:val="BodyText"/>
      </w:pPr>
      <w:r w:rsidRPr="001B72F0">
        <w:t>To prioritise and develop future actions associated with the transition to a circular economy, it is critical to develop clear measurements, benchmarks and impact assessment of new initiatives that are fit for purpose. Creation of a new metric to achieve this outcome will be a significant milestone for Victoria, as no other Australian jurisdiction currently has a metric that effectively measures material circularity.</w:t>
      </w:r>
    </w:p>
    <w:p w14:paraId="00D41132" w14:textId="77777777" w:rsidR="001B72F0" w:rsidRPr="001B72F0" w:rsidRDefault="001B72F0" w:rsidP="001B72F0">
      <w:pPr>
        <w:pStyle w:val="BodyText"/>
      </w:pPr>
      <w:r w:rsidRPr="001B72F0">
        <w:t>There are opportunities to learn from international experiences, including the European Union, which is leading the change towards a more circular economy.</w:t>
      </w:r>
    </w:p>
    <w:p w14:paraId="62A44B75" w14:textId="77777777" w:rsidR="001B72F0" w:rsidRPr="001B72F0" w:rsidRDefault="001B72F0" w:rsidP="001B72F0">
      <w:pPr>
        <w:pStyle w:val="BodyText"/>
      </w:pPr>
      <w:r w:rsidRPr="001B72F0">
        <w:lastRenderedPageBreak/>
        <w:t>Recycling Victoria has outlined 3 critical priorities for the next 12 months, to be reported in the next edition of the Circular Economy Market Report:</w:t>
      </w:r>
    </w:p>
    <w:p w14:paraId="53EFAC5C" w14:textId="77777777" w:rsidR="001B72F0" w:rsidRPr="001B72F0" w:rsidRDefault="001B72F0" w:rsidP="001B72F0">
      <w:pPr>
        <w:pStyle w:val="ListBullet"/>
      </w:pPr>
      <w:r w:rsidRPr="001B72F0">
        <w:t xml:space="preserve">progress the development of a new circular economy metric to best monitor and measure Victoria’s material </w:t>
      </w:r>
      <w:proofErr w:type="gramStart"/>
      <w:r w:rsidRPr="001B72F0">
        <w:t>circularity</w:t>
      </w:r>
      <w:proofErr w:type="gramEnd"/>
    </w:p>
    <w:p w14:paraId="2CB41718" w14:textId="77777777" w:rsidR="001B72F0" w:rsidRPr="001B72F0" w:rsidRDefault="001B72F0" w:rsidP="001B72F0">
      <w:pPr>
        <w:pStyle w:val="ListBullet"/>
      </w:pPr>
      <w:r w:rsidRPr="001B72F0">
        <w:t xml:space="preserve">further investigation of identified emerging material </w:t>
      </w:r>
      <w:proofErr w:type="gramStart"/>
      <w:r w:rsidRPr="001B72F0">
        <w:t>streams</w:t>
      </w:r>
      <w:proofErr w:type="gramEnd"/>
    </w:p>
    <w:p w14:paraId="13E6CD1C" w14:textId="70F1F2A9" w:rsidR="001B72F0" w:rsidRPr="001B72F0" w:rsidRDefault="001B72F0" w:rsidP="001B72F0">
      <w:pPr>
        <w:pStyle w:val="Bullet1last"/>
      </w:pPr>
      <w:r w:rsidRPr="001B72F0">
        <w:t xml:space="preserve">maintain efforts towards future improvements in challenging material streams with low circularity such as textiles, </w:t>
      </w:r>
      <w:proofErr w:type="gramStart"/>
      <w:r w:rsidRPr="001B72F0">
        <w:t>plastics</w:t>
      </w:r>
      <w:proofErr w:type="gramEnd"/>
      <w:r w:rsidRPr="001B72F0">
        <w:t xml:space="preserve"> and tyres.</w:t>
      </w:r>
    </w:p>
    <w:p w14:paraId="18577966" w14:textId="0CF72480" w:rsidR="001B72F0" w:rsidRPr="001B72F0" w:rsidRDefault="001B72F0" w:rsidP="001B72F0">
      <w:pPr>
        <w:pStyle w:val="BodyText"/>
      </w:pPr>
      <w:r w:rsidRPr="001B72F0">
        <w:t>The Circular Economy Market Report will continue to evolve as key actions are progressed and new data is identified and reported to reflect the transition to a stronger circular economy in Victoria.</w:t>
      </w:r>
    </w:p>
    <w:p w14:paraId="7D360F66" w14:textId="3D518B95" w:rsidR="001B72F0" w:rsidRDefault="001B72F0" w:rsidP="001B72F0">
      <w:pPr>
        <w:pStyle w:val="BodyText"/>
      </w:pPr>
      <w:r>
        <w:br w:type="page"/>
      </w:r>
    </w:p>
    <w:p w14:paraId="6A7DF970" w14:textId="77777777" w:rsidR="001B72F0" w:rsidRPr="001B72F0" w:rsidRDefault="001B72F0" w:rsidP="00D931BC">
      <w:pPr>
        <w:pStyle w:val="Heading1"/>
      </w:pPr>
      <w:bookmarkStart w:id="68" w:name="_Toc161758571"/>
      <w:r w:rsidRPr="001B72F0">
        <w:lastRenderedPageBreak/>
        <w:t>Glossary</w:t>
      </w:r>
      <w:bookmarkEnd w:id="68"/>
    </w:p>
    <w:p w14:paraId="7BA962BF" w14:textId="601E0368" w:rsidR="009C1A6D" w:rsidRPr="001B72F0" w:rsidRDefault="009C1A6D" w:rsidP="001B72F0">
      <w:pPr>
        <w:pStyle w:val="BodyText"/>
      </w:pPr>
      <w:r w:rsidRPr="009C1A6D">
        <w:rPr>
          <w:b/>
          <w:bCs/>
        </w:rPr>
        <w:t>AD:</w:t>
      </w:r>
      <w:r>
        <w:t xml:space="preserve"> </w:t>
      </w:r>
      <w:r w:rsidRPr="001B72F0">
        <w:t>Anaerobic Digestion</w:t>
      </w:r>
    </w:p>
    <w:p w14:paraId="2C3E389E" w14:textId="7A7598E6" w:rsidR="009C1A6D" w:rsidRPr="001B72F0" w:rsidRDefault="009C1A6D" w:rsidP="001B72F0">
      <w:pPr>
        <w:pStyle w:val="BodyText"/>
      </w:pPr>
      <w:r w:rsidRPr="009C1A6D">
        <w:rPr>
          <w:b/>
          <w:bCs/>
        </w:rPr>
        <w:t>C&amp;D:</w:t>
      </w:r>
      <w:r>
        <w:t xml:space="preserve"> </w:t>
      </w:r>
      <w:r w:rsidRPr="001B72F0">
        <w:t>Construction and demolition</w:t>
      </w:r>
    </w:p>
    <w:p w14:paraId="6A0EC935" w14:textId="0C77B3E2" w:rsidR="009C1A6D" w:rsidRPr="001B72F0" w:rsidRDefault="009C1A6D" w:rsidP="001B72F0">
      <w:pPr>
        <w:pStyle w:val="BodyText"/>
      </w:pPr>
      <w:r w:rsidRPr="009C1A6D">
        <w:rPr>
          <w:b/>
          <w:bCs/>
        </w:rPr>
        <w:t>C&amp;I:</w:t>
      </w:r>
      <w:r>
        <w:t xml:space="preserve"> </w:t>
      </w:r>
      <w:r w:rsidRPr="001B72F0">
        <w:t>Commercial and Industrial</w:t>
      </w:r>
    </w:p>
    <w:p w14:paraId="5449DEDA" w14:textId="673C9009" w:rsidR="009C1A6D" w:rsidRPr="001B72F0" w:rsidRDefault="009C1A6D" w:rsidP="001B72F0">
      <w:pPr>
        <w:pStyle w:val="BodyText"/>
      </w:pPr>
      <w:r w:rsidRPr="009C1A6D">
        <w:rPr>
          <w:b/>
          <w:bCs/>
        </w:rPr>
        <w:t>CDS:</w:t>
      </w:r>
      <w:r>
        <w:t xml:space="preserve"> </w:t>
      </w:r>
      <w:r w:rsidRPr="001B72F0">
        <w:t>Container Deposit Scheme</w:t>
      </w:r>
    </w:p>
    <w:p w14:paraId="30F740EA" w14:textId="196E862F" w:rsidR="009C1A6D" w:rsidRPr="001B72F0" w:rsidRDefault="009C1A6D" w:rsidP="001B72F0">
      <w:pPr>
        <w:pStyle w:val="BodyText"/>
      </w:pPr>
      <w:r w:rsidRPr="009C1A6D">
        <w:rPr>
          <w:b/>
          <w:bCs/>
        </w:rPr>
        <w:t>EPR:</w:t>
      </w:r>
      <w:r>
        <w:t xml:space="preserve"> </w:t>
      </w:r>
      <w:r w:rsidRPr="001B72F0">
        <w:t>Extended producer responsibility</w:t>
      </w:r>
    </w:p>
    <w:p w14:paraId="1882242E" w14:textId="401E758B" w:rsidR="009C1A6D" w:rsidRPr="001B72F0" w:rsidRDefault="009C1A6D" w:rsidP="001B72F0">
      <w:pPr>
        <w:pStyle w:val="BodyText"/>
      </w:pPr>
      <w:r w:rsidRPr="009C1A6D">
        <w:rPr>
          <w:b/>
          <w:bCs/>
        </w:rPr>
        <w:t>FOGO:</w:t>
      </w:r>
      <w:r>
        <w:t xml:space="preserve"> </w:t>
      </w:r>
      <w:r w:rsidRPr="001B72F0">
        <w:t>Food Organics Garden Organics</w:t>
      </w:r>
    </w:p>
    <w:p w14:paraId="53B2C403" w14:textId="6B901F60" w:rsidR="009C1A6D" w:rsidRPr="001B72F0" w:rsidRDefault="009C1A6D" w:rsidP="001B72F0">
      <w:pPr>
        <w:pStyle w:val="BodyText"/>
      </w:pPr>
      <w:r w:rsidRPr="009C1A6D">
        <w:rPr>
          <w:b/>
          <w:bCs/>
        </w:rPr>
        <w:t>GO:</w:t>
      </w:r>
      <w:r>
        <w:t xml:space="preserve"> </w:t>
      </w:r>
      <w:r w:rsidRPr="001B72F0">
        <w:t>Garden Organics</w:t>
      </w:r>
    </w:p>
    <w:p w14:paraId="0C1695FD" w14:textId="13108377" w:rsidR="009C1A6D" w:rsidRPr="001B72F0" w:rsidRDefault="009C1A6D" w:rsidP="001B72F0">
      <w:pPr>
        <w:pStyle w:val="BodyText"/>
      </w:pPr>
      <w:r w:rsidRPr="009C1A6D">
        <w:rPr>
          <w:b/>
          <w:bCs/>
        </w:rPr>
        <w:t>HDPE:</w:t>
      </w:r>
      <w:r>
        <w:t xml:space="preserve"> </w:t>
      </w:r>
      <w:r w:rsidRPr="001B72F0">
        <w:t>High density polyethylene</w:t>
      </w:r>
    </w:p>
    <w:p w14:paraId="5984B7CA" w14:textId="7B901AC2" w:rsidR="009C1A6D" w:rsidRPr="001B72F0" w:rsidRDefault="009C1A6D" w:rsidP="001B72F0">
      <w:pPr>
        <w:pStyle w:val="BodyText"/>
      </w:pPr>
      <w:r w:rsidRPr="009C1A6D">
        <w:rPr>
          <w:b/>
          <w:bCs/>
        </w:rPr>
        <w:t>LDPE:</w:t>
      </w:r>
      <w:r>
        <w:t xml:space="preserve"> </w:t>
      </w:r>
      <w:r w:rsidRPr="001B72F0">
        <w:t>Low density polyethylene</w:t>
      </w:r>
    </w:p>
    <w:p w14:paraId="538BB904" w14:textId="625F7CF6" w:rsidR="009C1A6D" w:rsidRPr="001B72F0" w:rsidRDefault="009C1A6D" w:rsidP="001B72F0">
      <w:pPr>
        <w:pStyle w:val="BodyText"/>
      </w:pPr>
      <w:r w:rsidRPr="009C1A6D">
        <w:rPr>
          <w:b/>
          <w:bCs/>
        </w:rPr>
        <w:t>LGA:</w:t>
      </w:r>
      <w:r>
        <w:t xml:space="preserve"> </w:t>
      </w:r>
      <w:r w:rsidRPr="001B72F0">
        <w:t>Local government area</w:t>
      </w:r>
    </w:p>
    <w:p w14:paraId="3245B93A" w14:textId="0449C635" w:rsidR="009C1A6D" w:rsidRPr="001B72F0" w:rsidRDefault="009C1A6D" w:rsidP="001B72F0">
      <w:pPr>
        <w:pStyle w:val="BodyText"/>
      </w:pPr>
      <w:r w:rsidRPr="009C1A6D">
        <w:rPr>
          <w:b/>
          <w:bCs/>
        </w:rPr>
        <w:t>MRF:</w:t>
      </w:r>
      <w:r>
        <w:t xml:space="preserve"> </w:t>
      </w:r>
      <w:r w:rsidRPr="001B72F0">
        <w:t>Materials Recovery Facility</w:t>
      </w:r>
    </w:p>
    <w:p w14:paraId="37DFB9B1" w14:textId="1D4594C1" w:rsidR="009C1A6D" w:rsidRPr="001B72F0" w:rsidRDefault="009C1A6D" w:rsidP="001B72F0">
      <w:pPr>
        <w:pStyle w:val="BodyText"/>
      </w:pPr>
      <w:r w:rsidRPr="009C1A6D">
        <w:rPr>
          <w:b/>
          <w:bCs/>
        </w:rPr>
        <w:t>MSW:</w:t>
      </w:r>
      <w:r>
        <w:t xml:space="preserve"> </w:t>
      </w:r>
      <w:r w:rsidRPr="001B72F0">
        <w:t>Municipal Solid Waste</w:t>
      </w:r>
    </w:p>
    <w:p w14:paraId="1CE38A0E" w14:textId="11687E1E" w:rsidR="009C1A6D" w:rsidRPr="001B72F0" w:rsidRDefault="009C1A6D" w:rsidP="001B72F0">
      <w:pPr>
        <w:pStyle w:val="BodyText"/>
      </w:pPr>
      <w:r w:rsidRPr="009C1A6D">
        <w:rPr>
          <w:b/>
          <w:bCs/>
        </w:rPr>
        <w:t>PET:</w:t>
      </w:r>
      <w:r>
        <w:t xml:space="preserve"> </w:t>
      </w:r>
      <w:r w:rsidRPr="001B72F0">
        <w:t>Polyethylene terephthalate</w:t>
      </w:r>
    </w:p>
    <w:p w14:paraId="6033EAE3" w14:textId="70BAFBBE" w:rsidR="009C1A6D" w:rsidRPr="001B72F0" w:rsidRDefault="009C1A6D" w:rsidP="001B72F0">
      <w:pPr>
        <w:pStyle w:val="BodyText"/>
      </w:pPr>
      <w:r w:rsidRPr="009C1A6D">
        <w:rPr>
          <w:b/>
          <w:bCs/>
        </w:rPr>
        <w:t>PP:</w:t>
      </w:r>
      <w:r>
        <w:t xml:space="preserve"> </w:t>
      </w:r>
      <w:r w:rsidRPr="001B72F0">
        <w:t>Polypropylene</w:t>
      </w:r>
    </w:p>
    <w:p w14:paraId="42C70252" w14:textId="5058A6BA" w:rsidR="009C1A6D" w:rsidRPr="001B72F0" w:rsidRDefault="009C1A6D" w:rsidP="001B72F0">
      <w:pPr>
        <w:pStyle w:val="BodyText"/>
      </w:pPr>
      <w:r w:rsidRPr="009C1A6D">
        <w:rPr>
          <w:b/>
          <w:bCs/>
        </w:rPr>
        <w:t>PS/EPS:</w:t>
      </w:r>
      <w:r>
        <w:t xml:space="preserve"> </w:t>
      </w:r>
      <w:r w:rsidRPr="001B72F0">
        <w:t xml:space="preserve">Polystyrene and expanded </w:t>
      </w:r>
      <w:proofErr w:type="gramStart"/>
      <w:r w:rsidRPr="001B72F0">
        <w:t>polystyrene</w:t>
      </w:r>
      <w:proofErr w:type="gramEnd"/>
    </w:p>
    <w:p w14:paraId="67B0E74B" w14:textId="74010D67" w:rsidR="009C1A6D" w:rsidRPr="001B72F0" w:rsidRDefault="009C1A6D" w:rsidP="001B72F0">
      <w:pPr>
        <w:pStyle w:val="BodyText"/>
      </w:pPr>
      <w:r w:rsidRPr="009C1A6D">
        <w:rPr>
          <w:b/>
          <w:bCs/>
        </w:rPr>
        <w:t>PV:</w:t>
      </w:r>
      <w:r>
        <w:t xml:space="preserve"> </w:t>
      </w:r>
      <w:r w:rsidRPr="001B72F0">
        <w:t>Photovoltaics</w:t>
      </w:r>
    </w:p>
    <w:p w14:paraId="08A60A7B" w14:textId="676C0E78" w:rsidR="009C1A6D" w:rsidRPr="001B72F0" w:rsidRDefault="009C1A6D" w:rsidP="001B72F0">
      <w:pPr>
        <w:pStyle w:val="BodyText"/>
      </w:pPr>
      <w:r w:rsidRPr="009C1A6D">
        <w:rPr>
          <w:b/>
          <w:bCs/>
        </w:rPr>
        <w:t>PVC:</w:t>
      </w:r>
      <w:r>
        <w:t xml:space="preserve"> </w:t>
      </w:r>
      <w:r w:rsidRPr="001B72F0">
        <w:t>Poly-vinyl chloride</w:t>
      </w:r>
    </w:p>
    <w:p w14:paraId="641831E0" w14:textId="3773FA92" w:rsidR="00D62C9C" w:rsidRPr="00D62C9C" w:rsidRDefault="009C1A6D" w:rsidP="009C1A6D">
      <w:pPr>
        <w:pStyle w:val="BodyText"/>
      </w:pPr>
      <w:r w:rsidRPr="009C1A6D">
        <w:rPr>
          <w:b/>
          <w:bCs/>
        </w:rPr>
        <w:t>RV:</w:t>
      </w:r>
      <w:r>
        <w:t xml:space="preserve"> </w:t>
      </w:r>
      <w:r w:rsidRPr="001B72F0">
        <w:t>Recycling Victoria</w:t>
      </w:r>
    </w:p>
    <w:sectPr w:rsidR="00D62C9C" w:rsidRPr="00D62C9C" w:rsidSect="00633298">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5090" w14:textId="77777777" w:rsidR="00633298" w:rsidRDefault="00633298" w:rsidP="00F2730B">
      <w:pPr>
        <w:spacing w:after="0" w:line="240" w:lineRule="auto"/>
      </w:pPr>
      <w:r>
        <w:separator/>
      </w:r>
    </w:p>
  </w:endnote>
  <w:endnote w:type="continuationSeparator" w:id="0">
    <w:p w14:paraId="018F38C9" w14:textId="77777777" w:rsidR="00633298" w:rsidRDefault="00633298"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Light">
    <w:panose1 w:val="00000400000000000000"/>
    <w:charset w:val="00"/>
    <w:family w:val="auto"/>
    <w:pitch w:val="variable"/>
    <w:sig w:usb0="00000007" w:usb1="00000000" w:usb2="00000000" w:usb3="00000000" w:csb0="00000093" w:csb1="00000000"/>
  </w:font>
  <w:font w:name="VIC (OTF) Light Italic">
    <w:altName w:val="VIC"/>
    <w:panose1 w:val="00000400000000000000"/>
    <w:charset w:val="4D"/>
    <w:family w:val="auto"/>
    <w:notTrueType/>
    <w:pitch w:val="variable"/>
    <w:sig w:usb0="00000007" w:usb1="00000000" w:usb2="00000000" w:usb3="00000000" w:csb0="00000093" w:csb1="00000000"/>
  </w:font>
  <w:font w:name="VIC">
    <w:altName w:val="Calibri"/>
    <w:panose1 w:val="00000500000000000000"/>
    <w:charset w:val="00"/>
    <w:family w:val="auto"/>
    <w:notTrueType/>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OTF) Light">
    <w:altName w:val="VIC"/>
    <w:panose1 w:val="00000400000000000000"/>
    <w:charset w:val="4D"/>
    <w:family w:val="auto"/>
    <w:notTrueType/>
    <w:pitch w:val="variable"/>
    <w:sig w:usb0="00000007" w:usb1="00000000" w:usb2="00000000" w:usb3="00000000" w:csb0="00000093" w:csb1="00000000"/>
  </w:font>
  <w:font w:name="VIC (OTF) SemiBold">
    <w:altName w:val="VIC"/>
    <w:panose1 w:val="00000700000000000000"/>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53B4" w14:textId="77777777" w:rsidR="00633298" w:rsidRDefault="00633298" w:rsidP="00F2730B">
      <w:pPr>
        <w:spacing w:after="0" w:line="240" w:lineRule="auto"/>
      </w:pPr>
      <w:r>
        <w:separator/>
      </w:r>
    </w:p>
  </w:footnote>
  <w:footnote w:type="continuationSeparator" w:id="0">
    <w:p w14:paraId="1705BC4A" w14:textId="77777777" w:rsidR="00633298" w:rsidRDefault="00633298"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69823AB0"/>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BE6FF18"/>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4" w15:restartNumberingAfterBreak="0">
    <w:nsid w:val="FFFFFF89"/>
    <w:multiLevelType w:val="singleLevel"/>
    <w:tmpl w:val="711CA1B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6" w15:restartNumberingAfterBreak="0">
    <w:nsid w:val="05E55F8C"/>
    <w:multiLevelType w:val="hybridMultilevel"/>
    <w:tmpl w:val="573634D2"/>
    <w:lvl w:ilvl="0" w:tplc="0809000F">
      <w:start w:val="1"/>
      <w:numFmt w:val="decimal"/>
      <w:lvlText w:val="%1."/>
      <w:lvlJc w:val="left"/>
      <w:pPr>
        <w:ind w:left="1409" w:hanging="360"/>
      </w:pPr>
      <w:rPr>
        <w:rFonts w:hint="default"/>
      </w:rPr>
    </w:lvl>
    <w:lvl w:ilvl="1" w:tplc="FFFFFFFF" w:tentative="1">
      <w:start w:val="1"/>
      <w:numFmt w:val="lowerLetter"/>
      <w:lvlText w:val="%2."/>
      <w:lvlJc w:val="left"/>
      <w:pPr>
        <w:ind w:left="2489" w:hanging="360"/>
      </w:pPr>
    </w:lvl>
    <w:lvl w:ilvl="2" w:tplc="FFFFFFFF" w:tentative="1">
      <w:start w:val="1"/>
      <w:numFmt w:val="lowerRoman"/>
      <w:lvlText w:val="%3."/>
      <w:lvlJc w:val="right"/>
      <w:pPr>
        <w:ind w:left="3209" w:hanging="180"/>
      </w:pPr>
    </w:lvl>
    <w:lvl w:ilvl="3" w:tplc="FFFFFFFF" w:tentative="1">
      <w:start w:val="1"/>
      <w:numFmt w:val="decimal"/>
      <w:lvlText w:val="%4."/>
      <w:lvlJc w:val="left"/>
      <w:pPr>
        <w:ind w:left="3929" w:hanging="360"/>
      </w:pPr>
    </w:lvl>
    <w:lvl w:ilvl="4" w:tplc="FFFFFFFF" w:tentative="1">
      <w:start w:val="1"/>
      <w:numFmt w:val="lowerLetter"/>
      <w:lvlText w:val="%5."/>
      <w:lvlJc w:val="left"/>
      <w:pPr>
        <w:ind w:left="4649" w:hanging="360"/>
      </w:pPr>
    </w:lvl>
    <w:lvl w:ilvl="5" w:tplc="FFFFFFFF" w:tentative="1">
      <w:start w:val="1"/>
      <w:numFmt w:val="lowerRoman"/>
      <w:lvlText w:val="%6."/>
      <w:lvlJc w:val="right"/>
      <w:pPr>
        <w:ind w:left="5369" w:hanging="180"/>
      </w:pPr>
    </w:lvl>
    <w:lvl w:ilvl="6" w:tplc="FFFFFFFF" w:tentative="1">
      <w:start w:val="1"/>
      <w:numFmt w:val="decimal"/>
      <w:lvlText w:val="%7."/>
      <w:lvlJc w:val="left"/>
      <w:pPr>
        <w:ind w:left="6089" w:hanging="360"/>
      </w:pPr>
    </w:lvl>
    <w:lvl w:ilvl="7" w:tplc="FFFFFFFF" w:tentative="1">
      <w:start w:val="1"/>
      <w:numFmt w:val="lowerLetter"/>
      <w:lvlText w:val="%8."/>
      <w:lvlJc w:val="left"/>
      <w:pPr>
        <w:ind w:left="6809" w:hanging="360"/>
      </w:pPr>
    </w:lvl>
    <w:lvl w:ilvl="8" w:tplc="FFFFFFFF" w:tentative="1">
      <w:start w:val="1"/>
      <w:numFmt w:val="lowerRoman"/>
      <w:lvlText w:val="%9."/>
      <w:lvlJc w:val="right"/>
      <w:pPr>
        <w:ind w:left="7529" w:hanging="180"/>
      </w:pPr>
    </w:lvl>
  </w:abstractNum>
  <w:abstractNum w:abstractNumId="7"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574C5F"/>
    <w:multiLevelType w:val="hybridMultilevel"/>
    <w:tmpl w:val="DD5E11C6"/>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4EF48DA"/>
    <w:multiLevelType w:val="multilevel"/>
    <w:tmpl w:val="B85C2CE2"/>
    <w:numStyleLink w:val="CurrentList9"/>
  </w:abstractNum>
  <w:abstractNum w:abstractNumId="11"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8B5237"/>
    <w:multiLevelType w:val="hybridMultilevel"/>
    <w:tmpl w:val="FDBCD36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423417"/>
    <w:multiLevelType w:val="hybridMultilevel"/>
    <w:tmpl w:val="69148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E0F58"/>
    <w:multiLevelType w:val="hybridMultilevel"/>
    <w:tmpl w:val="31F01B80"/>
    <w:lvl w:ilvl="0" w:tplc="7746159C">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3604F4"/>
    <w:multiLevelType w:val="hybridMultilevel"/>
    <w:tmpl w:val="F7C042AA"/>
    <w:lvl w:ilvl="0" w:tplc="FFFFFFFF">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17" w15:restartNumberingAfterBreak="0">
    <w:nsid w:val="2ADF58E1"/>
    <w:multiLevelType w:val="hybridMultilevel"/>
    <w:tmpl w:val="EF3EB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2EE95C3A"/>
    <w:multiLevelType w:val="hybridMultilevel"/>
    <w:tmpl w:val="CD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3A783DF9"/>
    <w:multiLevelType w:val="hybridMultilevel"/>
    <w:tmpl w:val="684A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716B3D"/>
    <w:multiLevelType w:val="hybridMultilevel"/>
    <w:tmpl w:val="E3B40DC4"/>
    <w:lvl w:ilvl="0" w:tplc="1654E53A">
      <w:start w:val="1"/>
      <w:numFmt w:val="lowerRoman"/>
      <w:lvlText w:val="%1."/>
      <w:lvlJc w:val="left"/>
      <w:pPr>
        <w:tabs>
          <w:tab w:val="num" w:pos="1049"/>
        </w:tabs>
        <w:ind w:left="1049" w:hanging="34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CD58A7"/>
    <w:multiLevelType w:val="hybridMultilevel"/>
    <w:tmpl w:val="95AEC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9" w15:restartNumberingAfterBreak="0">
    <w:nsid w:val="538155DE"/>
    <w:multiLevelType w:val="hybridMultilevel"/>
    <w:tmpl w:val="F3BAC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8D2222"/>
    <w:multiLevelType w:val="hybridMultilevel"/>
    <w:tmpl w:val="0CEE4B10"/>
    <w:lvl w:ilvl="0" w:tplc="FFFFFFFF">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6304D4"/>
    <w:multiLevelType w:val="hybridMultilevel"/>
    <w:tmpl w:val="DCA64CDE"/>
    <w:lvl w:ilvl="0" w:tplc="7FC40018">
      <w:start w:val="1"/>
      <w:numFmt w:val="decimal"/>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05082"/>
    <w:multiLevelType w:val="hybridMultilevel"/>
    <w:tmpl w:val="F7C042AA"/>
    <w:lvl w:ilvl="0" w:tplc="F8F4643C">
      <w:start w:val="1"/>
      <w:numFmt w:val="lowerLetter"/>
      <w:lvlText w:val="%1."/>
      <w:lvlJc w:val="left"/>
      <w:pPr>
        <w:tabs>
          <w:tab w:val="num" w:pos="766"/>
        </w:tabs>
        <w:ind w:left="766" w:hanging="340"/>
      </w:pPr>
      <w:rPr>
        <w:rFonts w:hint="default"/>
      </w:rPr>
    </w:lvl>
    <w:lvl w:ilvl="1" w:tplc="FFFFFFFF">
      <w:start w:val="1"/>
      <w:numFmt w:val="lowerLetter"/>
      <w:lvlText w:val="%2."/>
      <w:lvlJc w:val="left"/>
      <w:pPr>
        <w:ind w:left="1581" w:hanging="360"/>
      </w:pPr>
    </w:lvl>
    <w:lvl w:ilvl="2" w:tplc="FFFFFFFF" w:tentative="1">
      <w:start w:val="1"/>
      <w:numFmt w:val="lowerRoman"/>
      <w:lvlText w:val="%3."/>
      <w:lvlJc w:val="right"/>
      <w:pPr>
        <w:ind w:left="2301" w:hanging="180"/>
      </w:pPr>
    </w:lvl>
    <w:lvl w:ilvl="3" w:tplc="FFFFFFFF" w:tentative="1">
      <w:start w:val="1"/>
      <w:numFmt w:val="decimal"/>
      <w:lvlText w:val="%4."/>
      <w:lvlJc w:val="left"/>
      <w:pPr>
        <w:ind w:left="3021" w:hanging="360"/>
      </w:pPr>
    </w:lvl>
    <w:lvl w:ilvl="4" w:tplc="FFFFFFFF" w:tentative="1">
      <w:start w:val="1"/>
      <w:numFmt w:val="lowerLetter"/>
      <w:lvlText w:val="%5."/>
      <w:lvlJc w:val="left"/>
      <w:pPr>
        <w:ind w:left="3741" w:hanging="360"/>
      </w:pPr>
    </w:lvl>
    <w:lvl w:ilvl="5" w:tplc="FFFFFFFF" w:tentative="1">
      <w:start w:val="1"/>
      <w:numFmt w:val="lowerRoman"/>
      <w:lvlText w:val="%6."/>
      <w:lvlJc w:val="right"/>
      <w:pPr>
        <w:ind w:left="4461" w:hanging="180"/>
      </w:pPr>
    </w:lvl>
    <w:lvl w:ilvl="6" w:tplc="FFFFFFFF" w:tentative="1">
      <w:start w:val="1"/>
      <w:numFmt w:val="decimal"/>
      <w:lvlText w:val="%7."/>
      <w:lvlJc w:val="left"/>
      <w:pPr>
        <w:ind w:left="5181" w:hanging="360"/>
      </w:pPr>
    </w:lvl>
    <w:lvl w:ilvl="7" w:tplc="FFFFFFFF" w:tentative="1">
      <w:start w:val="1"/>
      <w:numFmt w:val="lowerLetter"/>
      <w:lvlText w:val="%8."/>
      <w:lvlJc w:val="left"/>
      <w:pPr>
        <w:ind w:left="5901" w:hanging="360"/>
      </w:pPr>
    </w:lvl>
    <w:lvl w:ilvl="8" w:tplc="FFFFFFFF" w:tentative="1">
      <w:start w:val="1"/>
      <w:numFmt w:val="lowerRoman"/>
      <w:lvlText w:val="%9."/>
      <w:lvlJc w:val="right"/>
      <w:pPr>
        <w:ind w:left="6621" w:hanging="180"/>
      </w:pPr>
    </w:lvl>
  </w:abstractNum>
  <w:abstractNum w:abstractNumId="35"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6" w15:restartNumberingAfterBreak="0">
    <w:nsid w:val="648A45B0"/>
    <w:multiLevelType w:val="hybridMultilevel"/>
    <w:tmpl w:val="4B2A0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D25535"/>
    <w:multiLevelType w:val="hybridMultilevel"/>
    <w:tmpl w:val="C2FCE028"/>
    <w:lvl w:ilvl="0" w:tplc="73A273CE">
      <w:start w:val="4"/>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12324"/>
    <w:multiLevelType w:val="hybridMultilevel"/>
    <w:tmpl w:val="13E462E6"/>
    <w:lvl w:ilvl="0" w:tplc="B99E59D0">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634A5A"/>
    <w:multiLevelType w:val="hybridMultilevel"/>
    <w:tmpl w:val="76BA1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A95ACB"/>
    <w:multiLevelType w:val="hybridMultilevel"/>
    <w:tmpl w:val="0CEE4B10"/>
    <w:lvl w:ilvl="0" w:tplc="D534D6DA">
      <w:start w:val="1"/>
      <w:numFmt w:val="lowerLetter"/>
      <w:lvlText w:val="%1."/>
      <w:lvlJc w:val="left"/>
      <w:pPr>
        <w:tabs>
          <w:tab w:val="num" w:pos="340"/>
        </w:tabs>
        <w:ind w:left="340" w:hanging="34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2" w15:restartNumberingAfterBreak="0">
    <w:nsid w:val="7CA92CF3"/>
    <w:multiLevelType w:val="hybridMultilevel"/>
    <w:tmpl w:val="86D889D8"/>
    <w:lvl w:ilvl="0" w:tplc="8C9A6612">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8B0EFC"/>
    <w:multiLevelType w:val="hybridMultilevel"/>
    <w:tmpl w:val="0CEE4B10"/>
    <w:lvl w:ilvl="0" w:tplc="FFFFFFFF">
      <w:start w:val="1"/>
      <w:numFmt w:val="lowerLetter"/>
      <w:lvlText w:val="%1."/>
      <w:lvlJc w:val="left"/>
      <w:pPr>
        <w:tabs>
          <w:tab w:val="num" w:pos="908"/>
        </w:tabs>
        <w:ind w:left="908"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72674430">
    <w:abstractNumId w:val="24"/>
  </w:num>
  <w:num w:numId="2" w16cid:durableId="1159077567">
    <w:abstractNumId w:val="15"/>
  </w:num>
  <w:num w:numId="3" w16cid:durableId="2084981408">
    <w:abstractNumId w:val="21"/>
  </w:num>
  <w:num w:numId="4" w16cid:durableId="1939754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3570365">
    <w:abstractNumId w:val="32"/>
  </w:num>
  <w:num w:numId="6" w16cid:durableId="601570190">
    <w:abstractNumId w:val="42"/>
  </w:num>
  <w:num w:numId="7" w16cid:durableId="3866726">
    <w:abstractNumId w:val="40"/>
  </w:num>
  <w:num w:numId="8" w16cid:durableId="1535576679">
    <w:abstractNumId w:val="40"/>
    <w:lvlOverride w:ilvl="0">
      <w:startOverride w:val="1"/>
    </w:lvlOverride>
  </w:num>
  <w:num w:numId="9" w16cid:durableId="1135373507">
    <w:abstractNumId w:val="40"/>
  </w:num>
  <w:num w:numId="10" w16cid:durableId="1317493097">
    <w:abstractNumId w:val="40"/>
  </w:num>
  <w:num w:numId="11" w16cid:durableId="717898859">
    <w:abstractNumId w:val="40"/>
  </w:num>
  <w:num w:numId="12" w16cid:durableId="1813522522">
    <w:abstractNumId w:val="4"/>
  </w:num>
  <w:num w:numId="13" w16cid:durableId="1910386673">
    <w:abstractNumId w:val="13"/>
  </w:num>
  <w:num w:numId="14" w16cid:durableId="127019025">
    <w:abstractNumId w:val="2"/>
  </w:num>
  <w:num w:numId="15" w16cid:durableId="533276510">
    <w:abstractNumId w:val="41"/>
  </w:num>
  <w:num w:numId="16" w16cid:durableId="1637754716">
    <w:abstractNumId w:val="39"/>
  </w:num>
  <w:num w:numId="17" w16cid:durableId="771362055">
    <w:abstractNumId w:val="3"/>
  </w:num>
  <w:num w:numId="18" w16cid:durableId="2106723097">
    <w:abstractNumId w:val="3"/>
    <w:lvlOverride w:ilvl="0">
      <w:startOverride w:val="1"/>
    </w:lvlOverride>
  </w:num>
  <w:num w:numId="19" w16cid:durableId="1622150489">
    <w:abstractNumId w:val="27"/>
  </w:num>
  <w:num w:numId="20" w16cid:durableId="1378436537">
    <w:abstractNumId w:val="3"/>
    <w:lvlOverride w:ilvl="0">
      <w:startOverride w:val="1"/>
    </w:lvlOverride>
  </w:num>
  <w:num w:numId="21" w16cid:durableId="3823149">
    <w:abstractNumId w:val="30"/>
  </w:num>
  <w:num w:numId="22" w16cid:durableId="1109350762">
    <w:abstractNumId w:val="40"/>
  </w:num>
  <w:num w:numId="23" w16cid:durableId="338390637">
    <w:abstractNumId w:val="7"/>
  </w:num>
  <w:num w:numId="24" w16cid:durableId="182984412">
    <w:abstractNumId w:val="35"/>
  </w:num>
  <w:num w:numId="25" w16cid:durableId="900021413">
    <w:abstractNumId w:val="35"/>
  </w:num>
  <w:num w:numId="26" w16cid:durableId="1172570631">
    <w:abstractNumId w:val="35"/>
  </w:num>
  <w:num w:numId="27" w16cid:durableId="853954488">
    <w:abstractNumId w:val="26"/>
  </w:num>
  <w:num w:numId="28" w16cid:durableId="307325374">
    <w:abstractNumId w:val="12"/>
  </w:num>
  <w:num w:numId="29" w16cid:durableId="1498495089">
    <w:abstractNumId w:val="38"/>
  </w:num>
  <w:num w:numId="30" w16cid:durableId="1246037963">
    <w:abstractNumId w:val="35"/>
  </w:num>
  <w:num w:numId="31" w16cid:durableId="1880896679">
    <w:abstractNumId w:val="35"/>
  </w:num>
  <w:num w:numId="32" w16cid:durableId="888996331">
    <w:abstractNumId w:val="31"/>
  </w:num>
  <w:num w:numId="33" w16cid:durableId="1867258119">
    <w:abstractNumId w:val="35"/>
  </w:num>
  <w:num w:numId="34" w16cid:durableId="236399107">
    <w:abstractNumId w:val="35"/>
  </w:num>
  <w:num w:numId="35" w16cid:durableId="176046496">
    <w:abstractNumId w:val="43"/>
  </w:num>
  <w:num w:numId="36" w16cid:durableId="393359172">
    <w:abstractNumId w:val="35"/>
  </w:num>
  <w:num w:numId="37" w16cid:durableId="1021321418">
    <w:abstractNumId w:val="24"/>
  </w:num>
  <w:num w:numId="38" w16cid:durableId="1207567416">
    <w:abstractNumId w:val="20"/>
  </w:num>
  <w:num w:numId="39" w16cid:durableId="731777569">
    <w:abstractNumId w:val="18"/>
  </w:num>
  <w:num w:numId="40" w16cid:durableId="1205290667">
    <w:abstractNumId w:val="18"/>
    <w:lvlOverride w:ilvl="0">
      <w:startOverride w:val="1"/>
    </w:lvlOverride>
  </w:num>
  <w:num w:numId="41" w16cid:durableId="1428041625">
    <w:abstractNumId w:val="35"/>
  </w:num>
  <w:num w:numId="42" w16cid:durableId="269317627">
    <w:abstractNumId w:val="18"/>
  </w:num>
  <w:num w:numId="43" w16cid:durableId="1572933492">
    <w:abstractNumId w:val="18"/>
  </w:num>
  <w:num w:numId="44" w16cid:durableId="755370559">
    <w:abstractNumId w:val="18"/>
  </w:num>
  <w:num w:numId="45" w16cid:durableId="1714499310">
    <w:abstractNumId w:val="18"/>
  </w:num>
  <w:num w:numId="46" w16cid:durableId="982542587">
    <w:abstractNumId w:val="6"/>
  </w:num>
  <w:num w:numId="47" w16cid:durableId="2063869356">
    <w:abstractNumId w:val="18"/>
    <w:lvlOverride w:ilvl="0">
      <w:startOverride w:val="1"/>
    </w:lvlOverride>
  </w:num>
  <w:num w:numId="48" w16cid:durableId="1622690298">
    <w:abstractNumId w:val="35"/>
  </w:num>
  <w:num w:numId="49" w16cid:durableId="1024214926">
    <w:abstractNumId w:val="35"/>
  </w:num>
  <w:num w:numId="50" w16cid:durableId="1689873368">
    <w:abstractNumId w:val="34"/>
  </w:num>
  <w:num w:numId="51" w16cid:durableId="1150828710">
    <w:abstractNumId w:val="18"/>
  </w:num>
  <w:num w:numId="52" w16cid:durableId="25837290">
    <w:abstractNumId w:val="18"/>
  </w:num>
  <w:num w:numId="53" w16cid:durableId="2080979826">
    <w:abstractNumId w:val="35"/>
  </w:num>
  <w:num w:numId="54" w16cid:durableId="724259794">
    <w:abstractNumId w:val="35"/>
  </w:num>
  <w:num w:numId="55" w16cid:durableId="1655597716">
    <w:abstractNumId w:val="18"/>
    <w:lvlOverride w:ilvl="0">
      <w:startOverride w:val="1"/>
    </w:lvlOverride>
  </w:num>
  <w:num w:numId="56" w16cid:durableId="1949697085">
    <w:abstractNumId w:val="18"/>
  </w:num>
  <w:num w:numId="57" w16cid:durableId="416558369">
    <w:abstractNumId w:val="18"/>
  </w:num>
  <w:num w:numId="58" w16cid:durableId="1315331001">
    <w:abstractNumId w:val="18"/>
    <w:lvlOverride w:ilvl="0">
      <w:startOverride w:val="1"/>
    </w:lvlOverride>
  </w:num>
  <w:num w:numId="59" w16cid:durableId="1910573142">
    <w:abstractNumId w:val="3"/>
    <w:lvlOverride w:ilvl="0">
      <w:startOverride w:val="1"/>
    </w:lvlOverride>
  </w:num>
  <w:num w:numId="60" w16cid:durableId="1399983750">
    <w:abstractNumId w:val="37"/>
  </w:num>
  <w:num w:numId="61" w16cid:durableId="1557817223">
    <w:abstractNumId w:val="33"/>
  </w:num>
  <w:num w:numId="62" w16cid:durableId="186136112">
    <w:abstractNumId w:val="35"/>
  </w:num>
  <w:num w:numId="63" w16cid:durableId="766468131">
    <w:abstractNumId w:val="8"/>
  </w:num>
  <w:num w:numId="64" w16cid:durableId="401634644">
    <w:abstractNumId w:val="5"/>
  </w:num>
  <w:num w:numId="65" w16cid:durableId="1061367316">
    <w:abstractNumId w:val="16"/>
  </w:num>
  <w:num w:numId="66" w16cid:durableId="2004504209">
    <w:abstractNumId w:val="23"/>
  </w:num>
  <w:num w:numId="67" w16cid:durableId="1904440215">
    <w:abstractNumId w:val="35"/>
    <w:lvlOverride w:ilvl="0">
      <w:startOverride w:val="2"/>
    </w:lvlOverride>
  </w:num>
  <w:num w:numId="68" w16cid:durableId="1333338980">
    <w:abstractNumId w:val="11"/>
  </w:num>
  <w:num w:numId="69" w16cid:durableId="2077896738">
    <w:abstractNumId w:val="25"/>
  </w:num>
  <w:num w:numId="70" w16cid:durableId="1169712727">
    <w:abstractNumId w:val="3"/>
    <w:lvlOverride w:ilvl="0">
      <w:startOverride w:val="1"/>
    </w:lvlOverride>
  </w:num>
  <w:num w:numId="71" w16cid:durableId="318195612">
    <w:abstractNumId w:val="0"/>
  </w:num>
  <w:num w:numId="72" w16cid:durableId="899023320">
    <w:abstractNumId w:val="3"/>
    <w:lvlOverride w:ilvl="0">
      <w:startOverride w:val="1"/>
    </w:lvlOverride>
  </w:num>
  <w:num w:numId="73" w16cid:durableId="865825225">
    <w:abstractNumId w:val="3"/>
    <w:lvlOverride w:ilvl="0">
      <w:startOverride w:val="1"/>
    </w:lvlOverride>
  </w:num>
  <w:num w:numId="74" w16cid:durableId="1038239820">
    <w:abstractNumId w:val="3"/>
    <w:lvlOverride w:ilvl="0">
      <w:startOverride w:val="1"/>
    </w:lvlOverride>
  </w:num>
  <w:num w:numId="75" w16cid:durableId="917716153">
    <w:abstractNumId w:val="3"/>
    <w:lvlOverride w:ilvl="0">
      <w:startOverride w:val="1"/>
    </w:lvlOverride>
  </w:num>
  <w:num w:numId="76" w16cid:durableId="172572898">
    <w:abstractNumId w:val="28"/>
  </w:num>
  <w:num w:numId="77" w16cid:durableId="589045585">
    <w:abstractNumId w:val="3"/>
    <w:lvlOverride w:ilvl="0">
      <w:startOverride w:val="1"/>
    </w:lvlOverride>
  </w:num>
  <w:num w:numId="78" w16cid:durableId="1912110456">
    <w:abstractNumId w:val="35"/>
    <w:lvlOverride w:ilvl="0">
      <w:startOverride w:val="1"/>
    </w:lvlOverride>
  </w:num>
  <w:num w:numId="79" w16cid:durableId="1144737324">
    <w:abstractNumId w:val="3"/>
    <w:lvlOverride w:ilvl="0">
      <w:startOverride w:val="1"/>
    </w:lvlOverride>
  </w:num>
  <w:num w:numId="80" w16cid:durableId="209927020">
    <w:abstractNumId w:val="35"/>
    <w:lvlOverride w:ilvl="0">
      <w:startOverride w:val="1"/>
    </w:lvlOverride>
  </w:num>
  <w:num w:numId="81" w16cid:durableId="1104616458">
    <w:abstractNumId w:val="3"/>
    <w:lvlOverride w:ilvl="0">
      <w:startOverride w:val="1"/>
    </w:lvlOverride>
  </w:num>
  <w:num w:numId="82" w16cid:durableId="329912162">
    <w:abstractNumId w:val="3"/>
    <w:lvlOverride w:ilvl="0">
      <w:startOverride w:val="1"/>
    </w:lvlOverride>
  </w:num>
  <w:num w:numId="83" w16cid:durableId="1974290563">
    <w:abstractNumId w:val="3"/>
    <w:lvlOverride w:ilvl="0">
      <w:startOverride w:val="1"/>
    </w:lvlOverride>
  </w:num>
  <w:num w:numId="84" w16cid:durableId="31540693">
    <w:abstractNumId w:val="35"/>
    <w:lvlOverride w:ilvl="0">
      <w:startOverride w:val="1"/>
    </w:lvlOverride>
  </w:num>
  <w:num w:numId="85" w16cid:durableId="773862901">
    <w:abstractNumId w:val="3"/>
    <w:lvlOverride w:ilvl="0">
      <w:startOverride w:val="1"/>
    </w:lvlOverride>
  </w:num>
  <w:num w:numId="86" w16cid:durableId="1264800895">
    <w:abstractNumId w:val="35"/>
    <w:lvlOverride w:ilvl="0">
      <w:startOverride w:val="1"/>
    </w:lvlOverride>
  </w:num>
  <w:num w:numId="87" w16cid:durableId="1062678582">
    <w:abstractNumId w:val="3"/>
    <w:lvlOverride w:ilvl="0">
      <w:startOverride w:val="1"/>
    </w:lvlOverride>
  </w:num>
  <w:num w:numId="88" w16cid:durableId="521289212">
    <w:abstractNumId w:val="35"/>
    <w:lvlOverride w:ilvl="0">
      <w:startOverride w:val="1"/>
    </w:lvlOverride>
  </w:num>
  <w:num w:numId="89" w16cid:durableId="525362324">
    <w:abstractNumId w:val="4"/>
  </w:num>
  <w:num w:numId="90" w16cid:durableId="794443871">
    <w:abstractNumId w:val="4"/>
  </w:num>
  <w:num w:numId="91" w16cid:durableId="1306818322">
    <w:abstractNumId w:val="1"/>
  </w:num>
  <w:num w:numId="92" w16cid:durableId="641692872">
    <w:abstractNumId w:val="36"/>
  </w:num>
  <w:num w:numId="93" w16cid:durableId="1610814251">
    <w:abstractNumId w:val="4"/>
  </w:num>
  <w:num w:numId="94" w16cid:durableId="1184325410">
    <w:abstractNumId w:val="29"/>
  </w:num>
  <w:num w:numId="95" w16cid:durableId="244918330">
    <w:abstractNumId w:val="9"/>
  </w:num>
  <w:num w:numId="96" w16cid:durableId="1039470432">
    <w:abstractNumId w:val="4"/>
  </w:num>
  <w:num w:numId="97" w16cid:durableId="1944147771">
    <w:abstractNumId w:val="4"/>
  </w:num>
  <w:num w:numId="98" w16cid:durableId="2017728164">
    <w:abstractNumId w:val="4"/>
  </w:num>
  <w:num w:numId="99" w16cid:durableId="173737825">
    <w:abstractNumId w:val="4"/>
  </w:num>
  <w:num w:numId="100" w16cid:durableId="555239082">
    <w:abstractNumId w:val="4"/>
  </w:num>
  <w:num w:numId="101" w16cid:durableId="1928145989">
    <w:abstractNumId w:val="4"/>
  </w:num>
  <w:num w:numId="102" w16cid:durableId="1865363465">
    <w:abstractNumId w:val="4"/>
  </w:num>
  <w:num w:numId="103" w16cid:durableId="808664847">
    <w:abstractNumId w:val="3"/>
    <w:lvlOverride w:ilvl="0">
      <w:startOverride w:val="1"/>
    </w:lvlOverride>
  </w:num>
  <w:num w:numId="104" w16cid:durableId="1269657931">
    <w:abstractNumId w:val="14"/>
  </w:num>
  <w:num w:numId="105" w16cid:durableId="411047409">
    <w:abstractNumId w:val="3"/>
    <w:lvlOverride w:ilvl="0">
      <w:startOverride w:val="1"/>
    </w:lvlOverride>
  </w:num>
  <w:num w:numId="106" w16cid:durableId="419183712">
    <w:abstractNumId w:val="3"/>
  </w:num>
  <w:num w:numId="107" w16cid:durableId="552040348">
    <w:abstractNumId w:val="3"/>
  </w:num>
  <w:num w:numId="108" w16cid:durableId="880820111">
    <w:abstractNumId w:val="3"/>
  </w:num>
  <w:num w:numId="109" w16cid:durableId="1584797173">
    <w:abstractNumId w:val="3"/>
  </w:num>
  <w:num w:numId="110" w16cid:durableId="1388842815">
    <w:abstractNumId w:val="3"/>
  </w:num>
  <w:num w:numId="111" w16cid:durableId="246497135">
    <w:abstractNumId w:val="3"/>
  </w:num>
  <w:num w:numId="112" w16cid:durableId="556286200">
    <w:abstractNumId w:val="4"/>
  </w:num>
  <w:num w:numId="113" w16cid:durableId="830289038">
    <w:abstractNumId w:val="3"/>
    <w:lvlOverride w:ilvl="0">
      <w:startOverride w:val="1"/>
    </w:lvlOverride>
  </w:num>
  <w:num w:numId="114" w16cid:durableId="340275620">
    <w:abstractNumId w:val="17"/>
  </w:num>
  <w:num w:numId="115" w16cid:durableId="1426268262">
    <w:abstractNumId w:val="3"/>
    <w:lvlOverride w:ilvl="0">
      <w:startOverride w:val="1"/>
    </w:lvlOverride>
  </w:num>
  <w:num w:numId="116" w16cid:durableId="1648826759">
    <w:abstractNumId w:val="3"/>
    <w:lvlOverride w:ilvl="0">
      <w:startOverride w:val="1"/>
    </w:lvlOverride>
  </w:num>
  <w:num w:numId="117" w16cid:durableId="1090615007">
    <w:abstractNumId w:val="3"/>
    <w:lvlOverride w:ilvl="0">
      <w:startOverride w:val="1"/>
    </w:lvlOverride>
  </w:num>
  <w:num w:numId="118" w16cid:durableId="1542744870">
    <w:abstractNumId w:val="3"/>
    <w:lvlOverride w:ilvl="0">
      <w:startOverride w:val="1"/>
    </w:lvlOverride>
  </w:num>
  <w:num w:numId="119" w16cid:durableId="653530993">
    <w:abstractNumId w:val="3"/>
    <w:lvlOverride w:ilvl="0">
      <w:startOverride w:val="1"/>
    </w:lvlOverride>
  </w:num>
  <w:num w:numId="120" w16cid:durableId="120193733">
    <w:abstractNumId w:val="3"/>
    <w:lvlOverride w:ilvl="0">
      <w:startOverride w:val="1"/>
    </w:lvlOverride>
  </w:num>
  <w:num w:numId="121" w16cid:durableId="657464068">
    <w:abstractNumId w:val="10"/>
  </w:num>
  <w:num w:numId="122" w16cid:durableId="189732849">
    <w:abstractNumId w:val="19"/>
  </w:num>
  <w:num w:numId="123" w16cid:durableId="9347454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851"/>
    <w:rsid w:val="00010D69"/>
    <w:rsid w:val="000159E0"/>
    <w:rsid w:val="00024EED"/>
    <w:rsid w:val="00033D9B"/>
    <w:rsid w:val="00035E6B"/>
    <w:rsid w:val="000378C7"/>
    <w:rsid w:val="00040921"/>
    <w:rsid w:val="00045691"/>
    <w:rsid w:val="000505A5"/>
    <w:rsid w:val="00060F88"/>
    <w:rsid w:val="0006211F"/>
    <w:rsid w:val="00062635"/>
    <w:rsid w:val="00063821"/>
    <w:rsid w:val="000670B1"/>
    <w:rsid w:val="00077243"/>
    <w:rsid w:val="00083F92"/>
    <w:rsid w:val="00096F20"/>
    <w:rsid w:val="000A06C8"/>
    <w:rsid w:val="000A07D7"/>
    <w:rsid w:val="000A09C6"/>
    <w:rsid w:val="000B0305"/>
    <w:rsid w:val="000B181D"/>
    <w:rsid w:val="000B62B5"/>
    <w:rsid w:val="000C259F"/>
    <w:rsid w:val="000C4A37"/>
    <w:rsid w:val="000C4B11"/>
    <w:rsid w:val="000D7F89"/>
    <w:rsid w:val="000F491B"/>
    <w:rsid w:val="000F4C2F"/>
    <w:rsid w:val="00101019"/>
    <w:rsid w:val="00104647"/>
    <w:rsid w:val="001073C1"/>
    <w:rsid w:val="001164EC"/>
    <w:rsid w:val="00124CDD"/>
    <w:rsid w:val="00125150"/>
    <w:rsid w:val="001273C5"/>
    <w:rsid w:val="00131B14"/>
    <w:rsid w:val="001326C2"/>
    <w:rsid w:val="00135B36"/>
    <w:rsid w:val="001475FA"/>
    <w:rsid w:val="001500AB"/>
    <w:rsid w:val="00151489"/>
    <w:rsid w:val="00155753"/>
    <w:rsid w:val="00163F36"/>
    <w:rsid w:val="0016764A"/>
    <w:rsid w:val="001708FE"/>
    <w:rsid w:val="00170B1E"/>
    <w:rsid w:val="00172357"/>
    <w:rsid w:val="00175022"/>
    <w:rsid w:val="00185ABC"/>
    <w:rsid w:val="00187524"/>
    <w:rsid w:val="00192DC5"/>
    <w:rsid w:val="0019451B"/>
    <w:rsid w:val="001A118C"/>
    <w:rsid w:val="001A358E"/>
    <w:rsid w:val="001A4A2B"/>
    <w:rsid w:val="001A5DB2"/>
    <w:rsid w:val="001A6F8B"/>
    <w:rsid w:val="001B02D0"/>
    <w:rsid w:val="001B1361"/>
    <w:rsid w:val="001B1B3A"/>
    <w:rsid w:val="001B2A51"/>
    <w:rsid w:val="001B37AF"/>
    <w:rsid w:val="001B72F0"/>
    <w:rsid w:val="001C10D8"/>
    <w:rsid w:val="001C4994"/>
    <w:rsid w:val="001D3828"/>
    <w:rsid w:val="001E3FB4"/>
    <w:rsid w:val="001E4386"/>
    <w:rsid w:val="001E4846"/>
    <w:rsid w:val="001E5B9F"/>
    <w:rsid w:val="001E6288"/>
    <w:rsid w:val="001F1BBD"/>
    <w:rsid w:val="001F2925"/>
    <w:rsid w:val="002020A7"/>
    <w:rsid w:val="00202A5B"/>
    <w:rsid w:val="00203251"/>
    <w:rsid w:val="00212461"/>
    <w:rsid w:val="00214345"/>
    <w:rsid w:val="002143C5"/>
    <w:rsid w:val="0021482C"/>
    <w:rsid w:val="00215E01"/>
    <w:rsid w:val="0022191D"/>
    <w:rsid w:val="00231129"/>
    <w:rsid w:val="00233B8B"/>
    <w:rsid w:val="00236EB6"/>
    <w:rsid w:val="00241796"/>
    <w:rsid w:val="00241E12"/>
    <w:rsid w:val="00244E10"/>
    <w:rsid w:val="0024556C"/>
    <w:rsid w:val="002460FA"/>
    <w:rsid w:val="00246623"/>
    <w:rsid w:val="00252B69"/>
    <w:rsid w:val="002533B0"/>
    <w:rsid w:val="00253CE5"/>
    <w:rsid w:val="002565F3"/>
    <w:rsid w:val="002612BF"/>
    <w:rsid w:val="0026182E"/>
    <w:rsid w:val="002623BE"/>
    <w:rsid w:val="002629BE"/>
    <w:rsid w:val="00266DF9"/>
    <w:rsid w:val="0027313B"/>
    <w:rsid w:val="00276F9F"/>
    <w:rsid w:val="0028015F"/>
    <w:rsid w:val="00281939"/>
    <w:rsid w:val="00283316"/>
    <w:rsid w:val="00283702"/>
    <w:rsid w:val="00283D59"/>
    <w:rsid w:val="00284372"/>
    <w:rsid w:val="002848F0"/>
    <w:rsid w:val="00285B57"/>
    <w:rsid w:val="00287102"/>
    <w:rsid w:val="00287AA8"/>
    <w:rsid w:val="00287CD4"/>
    <w:rsid w:val="00291546"/>
    <w:rsid w:val="00295CE3"/>
    <w:rsid w:val="002A2BEF"/>
    <w:rsid w:val="002C3499"/>
    <w:rsid w:val="002C75FC"/>
    <w:rsid w:val="002D0B3A"/>
    <w:rsid w:val="002D2205"/>
    <w:rsid w:val="002D5D38"/>
    <w:rsid w:val="002D70AB"/>
    <w:rsid w:val="002D75AD"/>
    <w:rsid w:val="002E4FE6"/>
    <w:rsid w:val="002F0246"/>
    <w:rsid w:val="002F08A3"/>
    <w:rsid w:val="002F0A22"/>
    <w:rsid w:val="002F2CD2"/>
    <w:rsid w:val="002F5028"/>
    <w:rsid w:val="003016EC"/>
    <w:rsid w:val="0030735D"/>
    <w:rsid w:val="00307463"/>
    <w:rsid w:val="0031002A"/>
    <w:rsid w:val="00310309"/>
    <w:rsid w:val="003116DC"/>
    <w:rsid w:val="00311725"/>
    <w:rsid w:val="00320AAB"/>
    <w:rsid w:val="00320E94"/>
    <w:rsid w:val="003226E3"/>
    <w:rsid w:val="003367D8"/>
    <w:rsid w:val="00337320"/>
    <w:rsid w:val="0034757B"/>
    <w:rsid w:val="00352F44"/>
    <w:rsid w:val="003560A1"/>
    <w:rsid w:val="003616B0"/>
    <w:rsid w:val="00365844"/>
    <w:rsid w:val="0036602E"/>
    <w:rsid w:val="003815C1"/>
    <w:rsid w:val="003931F4"/>
    <w:rsid w:val="00395B17"/>
    <w:rsid w:val="00397BEF"/>
    <w:rsid w:val="003A0ADE"/>
    <w:rsid w:val="003A1991"/>
    <w:rsid w:val="003A393C"/>
    <w:rsid w:val="003A42CC"/>
    <w:rsid w:val="003A6086"/>
    <w:rsid w:val="003A72CF"/>
    <w:rsid w:val="003B25BA"/>
    <w:rsid w:val="003C2291"/>
    <w:rsid w:val="003C7DED"/>
    <w:rsid w:val="003D16D7"/>
    <w:rsid w:val="003D1F96"/>
    <w:rsid w:val="003D4796"/>
    <w:rsid w:val="003E3C61"/>
    <w:rsid w:val="003E5B1D"/>
    <w:rsid w:val="003F26AC"/>
    <w:rsid w:val="003F3D0A"/>
    <w:rsid w:val="003F5AFF"/>
    <w:rsid w:val="003F682C"/>
    <w:rsid w:val="00400E4D"/>
    <w:rsid w:val="0040225E"/>
    <w:rsid w:val="00404B9B"/>
    <w:rsid w:val="00404F0E"/>
    <w:rsid w:val="00407A5A"/>
    <w:rsid w:val="004163B5"/>
    <w:rsid w:val="00423210"/>
    <w:rsid w:val="00451ABC"/>
    <w:rsid w:val="0045371F"/>
    <w:rsid w:val="00454FF3"/>
    <w:rsid w:val="004554EA"/>
    <w:rsid w:val="00460D9F"/>
    <w:rsid w:val="00463C15"/>
    <w:rsid w:val="0046520A"/>
    <w:rsid w:val="00467943"/>
    <w:rsid w:val="00471616"/>
    <w:rsid w:val="004732CA"/>
    <w:rsid w:val="00473A1E"/>
    <w:rsid w:val="00480600"/>
    <w:rsid w:val="00484253"/>
    <w:rsid w:val="004875F9"/>
    <w:rsid w:val="00490E07"/>
    <w:rsid w:val="004A0E5A"/>
    <w:rsid w:val="004A68CA"/>
    <w:rsid w:val="004B20C4"/>
    <w:rsid w:val="004B30FB"/>
    <w:rsid w:val="004C32A5"/>
    <w:rsid w:val="004C5429"/>
    <w:rsid w:val="004D2E96"/>
    <w:rsid w:val="004E2D9F"/>
    <w:rsid w:val="004E4CB9"/>
    <w:rsid w:val="004E6D88"/>
    <w:rsid w:val="004F77CA"/>
    <w:rsid w:val="00506B0D"/>
    <w:rsid w:val="00510677"/>
    <w:rsid w:val="00513A03"/>
    <w:rsid w:val="00515813"/>
    <w:rsid w:val="00515C9C"/>
    <w:rsid w:val="00515EE5"/>
    <w:rsid w:val="0051674C"/>
    <w:rsid w:val="00526FFF"/>
    <w:rsid w:val="00532EA0"/>
    <w:rsid w:val="0053353B"/>
    <w:rsid w:val="00536DD7"/>
    <w:rsid w:val="0054395D"/>
    <w:rsid w:val="005479C6"/>
    <w:rsid w:val="0055238D"/>
    <w:rsid w:val="005554F3"/>
    <w:rsid w:val="00556105"/>
    <w:rsid w:val="005576D8"/>
    <w:rsid w:val="00560C0D"/>
    <w:rsid w:val="00561FF9"/>
    <w:rsid w:val="00562EF3"/>
    <w:rsid w:val="00564079"/>
    <w:rsid w:val="005659D9"/>
    <w:rsid w:val="00573734"/>
    <w:rsid w:val="0057561A"/>
    <w:rsid w:val="00576223"/>
    <w:rsid w:val="00577C9B"/>
    <w:rsid w:val="00597962"/>
    <w:rsid w:val="005A1B66"/>
    <w:rsid w:val="005A1BCD"/>
    <w:rsid w:val="005A2D1B"/>
    <w:rsid w:val="005A3AC9"/>
    <w:rsid w:val="005A6B8F"/>
    <w:rsid w:val="005B0BB4"/>
    <w:rsid w:val="005B593D"/>
    <w:rsid w:val="005B5FC2"/>
    <w:rsid w:val="005C1D42"/>
    <w:rsid w:val="005C4602"/>
    <w:rsid w:val="005C79C1"/>
    <w:rsid w:val="005D1F35"/>
    <w:rsid w:val="005D4D35"/>
    <w:rsid w:val="005D632D"/>
    <w:rsid w:val="005D72B8"/>
    <w:rsid w:val="005E0BF1"/>
    <w:rsid w:val="005E2B4C"/>
    <w:rsid w:val="005E393E"/>
    <w:rsid w:val="005E3F95"/>
    <w:rsid w:val="005E730C"/>
    <w:rsid w:val="005E7912"/>
    <w:rsid w:val="005E7E0B"/>
    <w:rsid w:val="005F1A1C"/>
    <w:rsid w:val="00605A83"/>
    <w:rsid w:val="0061034E"/>
    <w:rsid w:val="00611355"/>
    <w:rsid w:val="0061249E"/>
    <w:rsid w:val="00616CF4"/>
    <w:rsid w:val="00620098"/>
    <w:rsid w:val="0062675C"/>
    <w:rsid w:val="00633298"/>
    <w:rsid w:val="006353A0"/>
    <w:rsid w:val="006368F9"/>
    <w:rsid w:val="00645230"/>
    <w:rsid w:val="006466AF"/>
    <w:rsid w:val="006528C9"/>
    <w:rsid w:val="0065671E"/>
    <w:rsid w:val="00661813"/>
    <w:rsid w:val="00661920"/>
    <w:rsid w:val="0066651F"/>
    <w:rsid w:val="00673096"/>
    <w:rsid w:val="0068129E"/>
    <w:rsid w:val="00684BBF"/>
    <w:rsid w:val="00694C93"/>
    <w:rsid w:val="006955A0"/>
    <w:rsid w:val="00696E55"/>
    <w:rsid w:val="00697519"/>
    <w:rsid w:val="006A3A6E"/>
    <w:rsid w:val="006A4557"/>
    <w:rsid w:val="006B4C87"/>
    <w:rsid w:val="006B6218"/>
    <w:rsid w:val="006C5FC5"/>
    <w:rsid w:val="006D30B7"/>
    <w:rsid w:val="006D4F10"/>
    <w:rsid w:val="006D5080"/>
    <w:rsid w:val="006E5AC4"/>
    <w:rsid w:val="006E5B70"/>
    <w:rsid w:val="006E7774"/>
    <w:rsid w:val="006F6B4C"/>
    <w:rsid w:val="00700BF1"/>
    <w:rsid w:val="007012DF"/>
    <w:rsid w:val="0071440E"/>
    <w:rsid w:val="00715677"/>
    <w:rsid w:val="0073229A"/>
    <w:rsid w:val="007334FF"/>
    <w:rsid w:val="00733E6C"/>
    <w:rsid w:val="00740461"/>
    <w:rsid w:val="00744AA7"/>
    <w:rsid w:val="00746868"/>
    <w:rsid w:val="00750D1B"/>
    <w:rsid w:val="007520C4"/>
    <w:rsid w:val="00753D3B"/>
    <w:rsid w:val="00760099"/>
    <w:rsid w:val="00764EAB"/>
    <w:rsid w:val="00767C6C"/>
    <w:rsid w:val="00772A54"/>
    <w:rsid w:val="00775061"/>
    <w:rsid w:val="00782B24"/>
    <w:rsid w:val="00785918"/>
    <w:rsid w:val="00793193"/>
    <w:rsid w:val="007A16FB"/>
    <w:rsid w:val="007A261A"/>
    <w:rsid w:val="007A526F"/>
    <w:rsid w:val="007A5657"/>
    <w:rsid w:val="007A7ED1"/>
    <w:rsid w:val="007B211D"/>
    <w:rsid w:val="007B23BC"/>
    <w:rsid w:val="007B509C"/>
    <w:rsid w:val="007B65B8"/>
    <w:rsid w:val="007C1E53"/>
    <w:rsid w:val="007C24A9"/>
    <w:rsid w:val="007C41AA"/>
    <w:rsid w:val="007D5225"/>
    <w:rsid w:val="007D58CB"/>
    <w:rsid w:val="007E1BDA"/>
    <w:rsid w:val="007E2A3D"/>
    <w:rsid w:val="007E2EB8"/>
    <w:rsid w:val="007E6240"/>
    <w:rsid w:val="007F180E"/>
    <w:rsid w:val="007F1AB7"/>
    <w:rsid w:val="007F39FA"/>
    <w:rsid w:val="007F58BA"/>
    <w:rsid w:val="007F6BDB"/>
    <w:rsid w:val="007F748D"/>
    <w:rsid w:val="00803E96"/>
    <w:rsid w:val="00807062"/>
    <w:rsid w:val="008071AB"/>
    <w:rsid w:val="008118D0"/>
    <w:rsid w:val="00823811"/>
    <w:rsid w:val="0082692C"/>
    <w:rsid w:val="00827815"/>
    <w:rsid w:val="008335CF"/>
    <w:rsid w:val="008364D5"/>
    <w:rsid w:val="00840E7A"/>
    <w:rsid w:val="0084376B"/>
    <w:rsid w:val="008452F6"/>
    <w:rsid w:val="008475CB"/>
    <w:rsid w:val="00852A79"/>
    <w:rsid w:val="008563EE"/>
    <w:rsid w:val="00863E6B"/>
    <w:rsid w:val="00876FBF"/>
    <w:rsid w:val="00880B31"/>
    <w:rsid w:val="0088165C"/>
    <w:rsid w:val="00884818"/>
    <w:rsid w:val="00886D42"/>
    <w:rsid w:val="008941D0"/>
    <w:rsid w:val="0089467E"/>
    <w:rsid w:val="008A06F8"/>
    <w:rsid w:val="008A44D0"/>
    <w:rsid w:val="008B0D01"/>
    <w:rsid w:val="008B7A3D"/>
    <w:rsid w:val="008C31DE"/>
    <w:rsid w:val="008C3D83"/>
    <w:rsid w:val="008C71C0"/>
    <w:rsid w:val="008D1B1A"/>
    <w:rsid w:val="008D2EAE"/>
    <w:rsid w:val="008E0DEB"/>
    <w:rsid w:val="008E0E71"/>
    <w:rsid w:val="008E69E6"/>
    <w:rsid w:val="00900B98"/>
    <w:rsid w:val="00900F9F"/>
    <w:rsid w:val="009033BD"/>
    <w:rsid w:val="00904039"/>
    <w:rsid w:val="00910401"/>
    <w:rsid w:val="00911A34"/>
    <w:rsid w:val="00912683"/>
    <w:rsid w:val="00912B69"/>
    <w:rsid w:val="00912DD1"/>
    <w:rsid w:val="0092332B"/>
    <w:rsid w:val="00926553"/>
    <w:rsid w:val="00933FE2"/>
    <w:rsid w:val="0093403C"/>
    <w:rsid w:val="009434B7"/>
    <w:rsid w:val="0096063F"/>
    <w:rsid w:val="00962DA1"/>
    <w:rsid w:val="0096541E"/>
    <w:rsid w:val="00965F42"/>
    <w:rsid w:val="009746FC"/>
    <w:rsid w:val="00975227"/>
    <w:rsid w:val="0098122F"/>
    <w:rsid w:val="0099081D"/>
    <w:rsid w:val="009940F3"/>
    <w:rsid w:val="009A19C2"/>
    <w:rsid w:val="009A37D5"/>
    <w:rsid w:val="009C1A6D"/>
    <w:rsid w:val="009C55EA"/>
    <w:rsid w:val="009C565D"/>
    <w:rsid w:val="009D0070"/>
    <w:rsid w:val="009D1E59"/>
    <w:rsid w:val="009D3FEB"/>
    <w:rsid w:val="009D7B95"/>
    <w:rsid w:val="009E2BDB"/>
    <w:rsid w:val="009E417E"/>
    <w:rsid w:val="009E52EF"/>
    <w:rsid w:val="009E5947"/>
    <w:rsid w:val="009E761C"/>
    <w:rsid w:val="009F26C0"/>
    <w:rsid w:val="009F308A"/>
    <w:rsid w:val="009F57D1"/>
    <w:rsid w:val="009F5E71"/>
    <w:rsid w:val="00A03959"/>
    <w:rsid w:val="00A10D57"/>
    <w:rsid w:val="00A13E2A"/>
    <w:rsid w:val="00A14049"/>
    <w:rsid w:val="00A2445D"/>
    <w:rsid w:val="00A30B87"/>
    <w:rsid w:val="00A32BCC"/>
    <w:rsid w:val="00A3786E"/>
    <w:rsid w:val="00A42F8A"/>
    <w:rsid w:val="00A509D3"/>
    <w:rsid w:val="00A5627E"/>
    <w:rsid w:val="00A56B9D"/>
    <w:rsid w:val="00A639B8"/>
    <w:rsid w:val="00A67B1E"/>
    <w:rsid w:val="00A72005"/>
    <w:rsid w:val="00A803C5"/>
    <w:rsid w:val="00A80EB7"/>
    <w:rsid w:val="00A842C0"/>
    <w:rsid w:val="00A93914"/>
    <w:rsid w:val="00A96FA1"/>
    <w:rsid w:val="00AA45F8"/>
    <w:rsid w:val="00AB025E"/>
    <w:rsid w:val="00AB048F"/>
    <w:rsid w:val="00AB4ACE"/>
    <w:rsid w:val="00AB6104"/>
    <w:rsid w:val="00AB7BD4"/>
    <w:rsid w:val="00AC5812"/>
    <w:rsid w:val="00AC6D47"/>
    <w:rsid w:val="00AD4396"/>
    <w:rsid w:val="00AD5001"/>
    <w:rsid w:val="00AE397A"/>
    <w:rsid w:val="00AE66E0"/>
    <w:rsid w:val="00B0026D"/>
    <w:rsid w:val="00B01AE9"/>
    <w:rsid w:val="00B06E29"/>
    <w:rsid w:val="00B13805"/>
    <w:rsid w:val="00B138F6"/>
    <w:rsid w:val="00B142F1"/>
    <w:rsid w:val="00B14FBE"/>
    <w:rsid w:val="00B1742F"/>
    <w:rsid w:val="00B25450"/>
    <w:rsid w:val="00B40E55"/>
    <w:rsid w:val="00B437D8"/>
    <w:rsid w:val="00B520CF"/>
    <w:rsid w:val="00B573B1"/>
    <w:rsid w:val="00B65755"/>
    <w:rsid w:val="00B66945"/>
    <w:rsid w:val="00B712B3"/>
    <w:rsid w:val="00B71F5A"/>
    <w:rsid w:val="00B75868"/>
    <w:rsid w:val="00B80DD2"/>
    <w:rsid w:val="00B84C3C"/>
    <w:rsid w:val="00B868B3"/>
    <w:rsid w:val="00BA2EE9"/>
    <w:rsid w:val="00BA4CD9"/>
    <w:rsid w:val="00BA5EAE"/>
    <w:rsid w:val="00BB7BE8"/>
    <w:rsid w:val="00BC0A72"/>
    <w:rsid w:val="00BC0CD6"/>
    <w:rsid w:val="00BC2466"/>
    <w:rsid w:val="00BC579A"/>
    <w:rsid w:val="00BC661C"/>
    <w:rsid w:val="00BD34D3"/>
    <w:rsid w:val="00BE09DE"/>
    <w:rsid w:val="00BE0B32"/>
    <w:rsid w:val="00BE1D2C"/>
    <w:rsid w:val="00C07867"/>
    <w:rsid w:val="00C103A5"/>
    <w:rsid w:val="00C10BA8"/>
    <w:rsid w:val="00C122AF"/>
    <w:rsid w:val="00C14FE6"/>
    <w:rsid w:val="00C173AC"/>
    <w:rsid w:val="00C20104"/>
    <w:rsid w:val="00C20D01"/>
    <w:rsid w:val="00C2301E"/>
    <w:rsid w:val="00C23328"/>
    <w:rsid w:val="00C24A5E"/>
    <w:rsid w:val="00C3751A"/>
    <w:rsid w:val="00C412FF"/>
    <w:rsid w:val="00C41C42"/>
    <w:rsid w:val="00C41F25"/>
    <w:rsid w:val="00C43336"/>
    <w:rsid w:val="00C44560"/>
    <w:rsid w:val="00C6259B"/>
    <w:rsid w:val="00C62E58"/>
    <w:rsid w:val="00C71AEC"/>
    <w:rsid w:val="00C77C1E"/>
    <w:rsid w:val="00CA0E01"/>
    <w:rsid w:val="00CA3282"/>
    <w:rsid w:val="00CA71CC"/>
    <w:rsid w:val="00CB2252"/>
    <w:rsid w:val="00CB3B62"/>
    <w:rsid w:val="00CD0AA8"/>
    <w:rsid w:val="00CD2217"/>
    <w:rsid w:val="00CD3108"/>
    <w:rsid w:val="00CE60C5"/>
    <w:rsid w:val="00D00FF2"/>
    <w:rsid w:val="00D03821"/>
    <w:rsid w:val="00D10094"/>
    <w:rsid w:val="00D10395"/>
    <w:rsid w:val="00D121C3"/>
    <w:rsid w:val="00D1334E"/>
    <w:rsid w:val="00D209D5"/>
    <w:rsid w:val="00D24556"/>
    <w:rsid w:val="00D26A00"/>
    <w:rsid w:val="00D2758B"/>
    <w:rsid w:val="00D27AF4"/>
    <w:rsid w:val="00D35365"/>
    <w:rsid w:val="00D44761"/>
    <w:rsid w:val="00D46731"/>
    <w:rsid w:val="00D50B49"/>
    <w:rsid w:val="00D52FF3"/>
    <w:rsid w:val="00D54C6D"/>
    <w:rsid w:val="00D55DB2"/>
    <w:rsid w:val="00D57213"/>
    <w:rsid w:val="00D62C9C"/>
    <w:rsid w:val="00D63DD7"/>
    <w:rsid w:val="00D66968"/>
    <w:rsid w:val="00D8403B"/>
    <w:rsid w:val="00D86BCD"/>
    <w:rsid w:val="00D877EA"/>
    <w:rsid w:val="00D931BC"/>
    <w:rsid w:val="00D9405A"/>
    <w:rsid w:val="00D96D80"/>
    <w:rsid w:val="00DA2645"/>
    <w:rsid w:val="00DB16C0"/>
    <w:rsid w:val="00DB7D85"/>
    <w:rsid w:val="00DC0304"/>
    <w:rsid w:val="00DC3BE3"/>
    <w:rsid w:val="00DC3DCA"/>
    <w:rsid w:val="00DD342E"/>
    <w:rsid w:val="00DD6767"/>
    <w:rsid w:val="00DE1E42"/>
    <w:rsid w:val="00DE3999"/>
    <w:rsid w:val="00DE416A"/>
    <w:rsid w:val="00DE76BB"/>
    <w:rsid w:val="00DE76F0"/>
    <w:rsid w:val="00DF071B"/>
    <w:rsid w:val="00E00C8A"/>
    <w:rsid w:val="00E01FCC"/>
    <w:rsid w:val="00E07A62"/>
    <w:rsid w:val="00E11A71"/>
    <w:rsid w:val="00E157A5"/>
    <w:rsid w:val="00E33DED"/>
    <w:rsid w:val="00E37BF1"/>
    <w:rsid w:val="00E544D1"/>
    <w:rsid w:val="00E602B9"/>
    <w:rsid w:val="00E6081B"/>
    <w:rsid w:val="00E6112B"/>
    <w:rsid w:val="00E65843"/>
    <w:rsid w:val="00E70B37"/>
    <w:rsid w:val="00E72D41"/>
    <w:rsid w:val="00E746AA"/>
    <w:rsid w:val="00E74B07"/>
    <w:rsid w:val="00E815F9"/>
    <w:rsid w:val="00E819C7"/>
    <w:rsid w:val="00E859FE"/>
    <w:rsid w:val="00E924AC"/>
    <w:rsid w:val="00E97655"/>
    <w:rsid w:val="00EB323D"/>
    <w:rsid w:val="00EC5782"/>
    <w:rsid w:val="00EC5D45"/>
    <w:rsid w:val="00ED1DE9"/>
    <w:rsid w:val="00ED1FD5"/>
    <w:rsid w:val="00EE5012"/>
    <w:rsid w:val="00EE6E3F"/>
    <w:rsid w:val="00EF5372"/>
    <w:rsid w:val="00EF5E0B"/>
    <w:rsid w:val="00F017F7"/>
    <w:rsid w:val="00F03033"/>
    <w:rsid w:val="00F138D1"/>
    <w:rsid w:val="00F148EB"/>
    <w:rsid w:val="00F14FDC"/>
    <w:rsid w:val="00F1500A"/>
    <w:rsid w:val="00F15770"/>
    <w:rsid w:val="00F1720B"/>
    <w:rsid w:val="00F177F3"/>
    <w:rsid w:val="00F21502"/>
    <w:rsid w:val="00F253F6"/>
    <w:rsid w:val="00F26E05"/>
    <w:rsid w:val="00F2730B"/>
    <w:rsid w:val="00F32C3C"/>
    <w:rsid w:val="00F32F35"/>
    <w:rsid w:val="00F3506F"/>
    <w:rsid w:val="00F41B13"/>
    <w:rsid w:val="00F5165D"/>
    <w:rsid w:val="00F526A1"/>
    <w:rsid w:val="00F56F97"/>
    <w:rsid w:val="00F60B10"/>
    <w:rsid w:val="00F65380"/>
    <w:rsid w:val="00F80708"/>
    <w:rsid w:val="00F81B23"/>
    <w:rsid w:val="00F864C4"/>
    <w:rsid w:val="00F86A04"/>
    <w:rsid w:val="00F87B42"/>
    <w:rsid w:val="00F93CBE"/>
    <w:rsid w:val="00F958EF"/>
    <w:rsid w:val="00F96DD0"/>
    <w:rsid w:val="00F97E91"/>
    <w:rsid w:val="00FA1F9A"/>
    <w:rsid w:val="00FA7197"/>
    <w:rsid w:val="00FB2E83"/>
    <w:rsid w:val="00FB7831"/>
    <w:rsid w:val="00FC1016"/>
    <w:rsid w:val="00FC10F2"/>
    <w:rsid w:val="00FC4659"/>
    <w:rsid w:val="00FC4832"/>
    <w:rsid w:val="00FD26F6"/>
    <w:rsid w:val="00FE5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5A098508-5C06-4A79-9448-521318DC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AB"/>
    <w:pPr>
      <w:suppressAutoHyphens/>
      <w:spacing w:after="200"/>
    </w:pPr>
    <w:rPr>
      <w:sz w:val="24"/>
    </w:rPr>
  </w:style>
  <w:style w:type="paragraph" w:styleId="Heading1">
    <w:name w:val="heading 1"/>
    <w:basedOn w:val="Normal"/>
    <w:next w:val="Normal"/>
    <w:link w:val="Heading1Char"/>
    <w:uiPriority w:val="9"/>
    <w:qFormat/>
    <w:rsid w:val="0028015F"/>
    <w:pPr>
      <w:keepNext/>
      <w:keepLines/>
      <w:spacing w:before="240" w:after="360" w:line="6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28015F"/>
    <w:pPr>
      <w:keepNext/>
      <w:keepLines/>
      <w:spacing w:before="120" w:after="360" w:line="48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0A06C8"/>
    <w:pPr>
      <w:keepNext/>
      <w:keepLines/>
      <w:spacing w:before="120" w:after="0" w:line="360" w:lineRule="auto"/>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3"/>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66"/>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H1Headings">
    <w:name w:val="H1 (Headings)"/>
    <w:basedOn w:val="NoParagraphStyle"/>
    <w:uiPriority w:val="99"/>
    <w:rsid w:val="00C20104"/>
    <w:pPr>
      <w:widowControl/>
      <w:tabs>
        <w:tab w:val="left" w:pos="340"/>
      </w:tabs>
      <w:suppressAutoHyphens/>
      <w:spacing w:before="170" w:after="283" w:line="600" w:lineRule="atLeast"/>
    </w:pPr>
    <w:rPr>
      <w:rFonts w:ascii="VIC" w:hAnsi="VIC" w:cs="VIC"/>
      <w:color w:val="0070B9"/>
      <w:sz w:val="52"/>
      <w:szCs w:val="5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6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C44560"/>
    <w:pPr>
      <w:spacing w:after="0" w:line="800" w:lineRule="exact"/>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C44560"/>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28015F"/>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45"/>
      </w:numPr>
      <w:spacing w:after="120" w:line="288" w:lineRule="auto"/>
      <w:contextualSpacing w:val="0"/>
    </w:pPr>
    <w:rPr>
      <w:lang w:val="en-GB"/>
    </w:rPr>
  </w:style>
  <w:style w:type="paragraph" w:customStyle="1" w:styleId="Bullet1last">
    <w:name w:val="Bullet 1 last"/>
    <w:basedOn w:val="ListBullet"/>
    <w:qFormat/>
    <w:rsid w:val="00FC4659"/>
    <w:pPr>
      <w:spacing w:after="360"/>
      <w:ind w:left="357" w:hanging="357"/>
    </w:pPr>
  </w:style>
  <w:style w:type="paragraph" w:customStyle="1" w:styleId="Heading1numbered">
    <w:name w:val="Heading 1 (numbered)"/>
    <w:basedOn w:val="Heading1"/>
    <w:qFormat/>
    <w:rsid w:val="00E6112B"/>
    <w:pPr>
      <w:numPr>
        <w:numId w:val="3"/>
      </w:numPr>
    </w:pPr>
  </w:style>
  <w:style w:type="character" w:customStyle="1" w:styleId="Heading2Char">
    <w:name w:val="Heading 2 Char"/>
    <w:basedOn w:val="DefaultParagraphFont"/>
    <w:link w:val="Heading2"/>
    <w:uiPriority w:val="9"/>
    <w:rsid w:val="0028015F"/>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0A06C8"/>
    <w:rPr>
      <w:rFonts w:asciiTheme="majorHAnsi" w:eastAsiaTheme="majorEastAsia" w:hAnsiTheme="majorHAnsi" w:cstheme="majorBidi"/>
      <w:b/>
      <w:bCs/>
      <w:sz w:val="32"/>
      <w:szCs w:val="26"/>
      <w:lang w:val="en-GB"/>
    </w:rPr>
  </w:style>
  <w:style w:type="paragraph" w:customStyle="1" w:styleId="Heading2numbered">
    <w:name w:val="Heading 2 (numbered)"/>
    <w:basedOn w:val="Heading2"/>
    <w:qFormat/>
    <w:rsid w:val="00BE09DE"/>
    <w:pPr>
      <w:numPr>
        <w:ilvl w:val="1"/>
        <w:numId w:val="3"/>
      </w:numPr>
    </w:pPr>
  </w:style>
  <w:style w:type="paragraph" w:customStyle="1" w:styleId="Heading3numbered">
    <w:name w:val="Heading 3 (numbered)"/>
    <w:basedOn w:val="Heading3"/>
    <w:qFormat/>
    <w:rsid w:val="00BE09DE"/>
    <w:pPr>
      <w:numPr>
        <w:ilvl w:val="2"/>
        <w:numId w:val="3"/>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F15770"/>
    <w:pPr>
      <w:spacing w:after="120" w:line="360" w:lineRule="exact"/>
    </w:p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69"/>
      </w:numPr>
    </w:pPr>
  </w:style>
  <w:style w:type="paragraph" w:customStyle="1" w:styleId="Bullet2">
    <w:name w:val="Bullet 2"/>
    <w:basedOn w:val="Normal"/>
    <w:qFormat/>
    <w:rsid w:val="00C20104"/>
    <w:pPr>
      <w:numPr>
        <w:numId w:val="6"/>
      </w:numPr>
      <w:autoSpaceDE w:val="0"/>
      <w:autoSpaceDN w:val="0"/>
      <w:adjustRightInd w:val="0"/>
      <w:spacing w:after="120" w:line="360" w:lineRule="auto"/>
      <w:ind w:left="686" w:hanging="340"/>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24"/>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9E417E"/>
    <w:pPr>
      <w:spacing w:before="60" w:after="0" w:line="360" w:lineRule="auto"/>
    </w:pPr>
    <w:rPr>
      <w:rFonts w:cstheme="minorHAnsi"/>
      <w:b/>
      <w:bCs/>
      <w:iCs/>
      <w:sz w:val="28"/>
      <w:szCs w:val="24"/>
    </w:rPr>
  </w:style>
  <w:style w:type="paragraph" w:styleId="TOC2">
    <w:name w:val="toc 2"/>
    <w:basedOn w:val="Normal"/>
    <w:next w:val="Normal"/>
    <w:uiPriority w:val="39"/>
    <w:unhideWhenUsed/>
    <w:rsid w:val="007520C4"/>
    <w:pPr>
      <w:adjustRightInd w:val="0"/>
      <w:spacing w:after="0" w:line="360" w:lineRule="auto"/>
      <w:ind w:left="567"/>
    </w:pPr>
    <w:rPr>
      <w:rFonts w:cstheme="minorHAnsi"/>
      <w:b/>
      <w:bCs/>
    </w:rPr>
  </w:style>
  <w:style w:type="paragraph" w:styleId="TOC3">
    <w:name w:val="toc 3"/>
    <w:basedOn w:val="Normal"/>
    <w:next w:val="Normal"/>
    <w:uiPriority w:val="39"/>
    <w:unhideWhenUsed/>
    <w:rsid w:val="007520C4"/>
    <w:pPr>
      <w:spacing w:after="0" w:line="360" w:lineRule="auto"/>
      <w:ind w:left="567"/>
    </w:pPr>
    <w:rPr>
      <w:rFonts w:cstheme="minorHAnsi"/>
      <w:szCs w:val="20"/>
    </w:rPr>
  </w:style>
  <w:style w:type="paragraph" w:styleId="BodyText">
    <w:name w:val="Body Text"/>
    <w:basedOn w:val="Normal"/>
    <w:link w:val="BodyTextChar"/>
    <w:uiPriority w:val="99"/>
    <w:unhideWhenUsed/>
    <w:rsid w:val="00407A5A"/>
    <w:pPr>
      <w:spacing w:after="240" w:line="360" w:lineRule="auto"/>
    </w:pPr>
    <w:rPr>
      <w:rFonts w:cs="Times New Roman (Body CS)"/>
      <w:kern w:val="24"/>
      <w:lang w:val="en-GB"/>
    </w:rPr>
  </w:style>
  <w:style w:type="character" w:customStyle="1" w:styleId="BodyTextChar">
    <w:name w:val="Body Text Char"/>
    <w:basedOn w:val="DefaultParagraphFont"/>
    <w:link w:val="BodyText"/>
    <w:uiPriority w:val="99"/>
    <w:rsid w:val="00407A5A"/>
    <w:rPr>
      <w:rFonts w:cs="Times New Roman (Body CS)"/>
      <w:kern w:val="24"/>
      <w:sz w:val="24"/>
      <w:lang w:val="en-GB"/>
    </w:rPr>
  </w:style>
  <w:style w:type="paragraph" w:styleId="ListBullet">
    <w:name w:val="List Bullet"/>
    <w:basedOn w:val="BodyText"/>
    <w:uiPriority w:val="99"/>
    <w:unhideWhenUsed/>
    <w:rsid w:val="00404F0E"/>
    <w:pPr>
      <w:numPr>
        <w:numId w:val="12"/>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192DC5"/>
    <w:rPr>
      <w:color w:val="000000" w:themeColor="text1"/>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15"/>
      </w:numPr>
      <w:ind w:left="714" w:hanging="357"/>
    </w:pPr>
  </w:style>
  <w:style w:type="paragraph" w:customStyle="1" w:styleId="ChartSourceStyle">
    <w:name w:val="Chart Source Style"/>
    <w:basedOn w:val="BodyText"/>
    <w:qFormat/>
    <w:rsid w:val="00B14FBE"/>
    <w:pPr>
      <w:spacing w:before="6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C4659"/>
    <w:pPr>
      <w:numPr>
        <w:numId w:val="17"/>
      </w:numPr>
      <w:snapToGrid w:val="0"/>
      <w:ind w:left="357" w:hanging="357"/>
    </w:pPr>
  </w:style>
  <w:style w:type="paragraph" w:styleId="ListNumber2">
    <w:name w:val="List Number 2"/>
    <w:basedOn w:val="Normal"/>
    <w:uiPriority w:val="99"/>
    <w:unhideWhenUsed/>
    <w:rsid w:val="001D3828"/>
    <w:pPr>
      <w:numPr>
        <w:numId w:val="71"/>
      </w:numPr>
      <w:contextualSpacing/>
    </w:pPr>
  </w:style>
  <w:style w:type="paragraph" w:styleId="Caption">
    <w:name w:val="caption"/>
    <w:basedOn w:val="Normal"/>
    <w:next w:val="Normal"/>
    <w:uiPriority w:val="35"/>
    <w:unhideWhenUsed/>
    <w:qFormat/>
    <w:rsid w:val="003A1991"/>
    <w:pPr>
      <w:spacing w:before="120" w:after="240" w:line="360" w:lineRule="auto"/>
    </w:pPr>
    <w:rPr>
      <w:b/>
      <w:iCs/>
      <w:color w:val="000000" w:themeColor="text1"/>
      <w:szCs w:val="18"/>
    </w:rPr>
  </w:style>
  <w:style w:type="numbering" w:customStyle="1" w:styleId="CurrentList1">
    <w:name w:val="Current List1"/>
    <w:uiPriority w:val="99"/>
    <w:rsid w:val="007B211D"/>
    <w:pPr>
      <w:numPr>
        <w:numId w:val="21"/>
      </w:numPr>
    </w:pPr>
  </w:style>
  <w:style w:type="numbering" w:customStyle="1" w:styleId="CurrentList2">
    <w:name w:val="Current List2"/>
    <w:uiPriority w:val="99"/>
    <w:rsid w:val="00E11A71"/>
    <w:pPr>
      <w:numPr>
        <w:numId w:val="23"/>
      </w:numPr>
    </w:pPr>
  </w:style>
  <w:style w:type="numbering" w:customStyle="1" w:styleId="CurrentList3">
    <w:name w:val="Current List3"/>
    <w:uiPriority w:val="99"/>
    <w:rsid w:val="00E11A71"/>
    <w:pPr>
      <w:numPr>
        <w:numId w:val="27"/>
      </w:numPr>
    </w:pPr>
  </w:style>
  <w:style w:type="numbering" w:customStyle="1" w:styleId="CurrentList4">
    <w:name w:val="Current List4"/>
    <w:uiPriority w:val="99"/>
    <w:rsid w:val="00E11A71"/>
    <w:pPr>
      <w:numPr>
        <w:numId w:val="28"/>
      </w:numPr>
    </w:pPr>
  </w:style>
  <w:style w:type="numbering" w:customStyle="1" w:styleId="CurrentList5">
    <w:name w:val="Current List5"/>
    <w:uiPriority w:val="99"/>
    <w:rsid w:val="00E11A71"/>
    <w:pPr>
      <w:numPr>
        <w:numId w:val="38"/>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9C55EA"/>
    <w:pPr>
      <w:spacing w:before="120" w:after="240"/>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61"/>
      </w:numPr>
    </w:pPr>
  </w:style>
  <w:style w:type="numbering" w:customStyle="1" w:styleId="CurrentList7">
    <w:name w:val="Current List7"/>
    <w:uiPriority w:val="99"/>
    <w:rsid w:val="00904039"/>
    <w:pPr>
      <w:numPr>
        <w:numId w:val="63"/>
      </w:numPr>
    </w:pPr>
  </w:style>
  <w:style w:type="numbering" w:customStyle="1" w:styleId="CurrentList8">
    <w:name w:val="Current List8"/>
    <w:uiPriority w:val="99"/>
    <w:rsid w:val="00241796"/>
    <w:pPr>
      <w:numPr>
        <w:numId w:val="64"/>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semiHidden/>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semiHidden/>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numbering" w:customStyle="1" w:styleId="CurrentList12">
    <w:name w:val="Current List12"/>
    <w:uiPriority w:val="99"/>
    <w:rsid w:val="00291546"/>
    <w:pPr>
      <w:numPr>
        <w:numId w:val="76"/>
      </w:numPr>
    </w:pPr>
  </w:style>
  <w:style w:type="paragraph" w:styleId="BodyText2">
    <w:name w:val="Body Text 2"/>
    <w:basedOn w:val="Normal"/>
    <w:link w:val="BodyText2Char"/>
    <w:uiPriority w:val="99"/>
    <w:unhideWhenUsed/>
    <w:rsid w:val="0065671E"/>
    <w:pPr>
      <w:spacing w:after="120" w:line="480" w:lineRule="auto"/>
    </w:pPr>
  </w:style>
  <w:style w:type="character" w:customStyle="1" w:styleId="BodyText2Char">
    <w:name w:val="Body Text 2 Char"/>
    <w:basedOn w:val="DefaultParagraphFont"/>
    <w:link w:val="BodyText2"/>
    <w:uiPriority w:val="99"/>
    <w:rsid w:val="0065671E"/>
    <w:rPr>
      <w:sz w:val="24"/>
    </w:rPr>
  </w:style>
  <w:style w:type="paragraph" w:customStyle="1" w:styleId="HeadingFIVE">
    <w:name w:val="Heading FIVE"/>
    <w:basedOn w:val="BodyText"/>
    <w:qFormat/>
    <w:rsid w:val="0034757B"/>
    <w:pPr>
      <w:spacing w:after="120" w:line="240" w:lineRule="auto"/>
    </w:pPr>
    <w:rPr>
      <w:b/>
      <w:bCs/>
      <w:sz w:val="26"/>
      <w:szCs w:val="26"/>
    </w:rPr>
  </w:style>
  <w:style w:type="paragraph" w:styleId="ListBullet3">
    <w:name w:val="List Bullet 3"/>
    <w:basedOn w:val="Normal"/>
    <w:uiPriority w:val="99"/>
    <w:unhideWhenUsed/>
    <w:rsid w:val="00CB3B62"/>
    <w:pPr>
      <w:numPr>
        <w:numId w:val="91"/>
      </w:numPr>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55238D"/>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blStylePr w:type="firstRow">
      <w:rPr>
        <w:b/>
      </w:rPr>
      <w:tblPr/>
      <w:tcPr>
        <w:shd w:val="clear" w:color="auto" w:fill="F2F2F2" w:themeFill="background1" w:themeFillShade="F2"/>
      </w:tcPr>
    </w:tblStylePr>
  </w:style>
  <w:style w:type="paragraph" w:customStyle="1" w:styleId="CaseStudyHeading">
    <w:name w:val="Case Study Heading"/>
    <w:basedOn w:val="BodyText"/>
    <w:qFormat/>
    <w:rsid w:val="00C2301E"/>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gbuild.vic.gov.au/about/ecologiq/news/featured-news-items/reusing-and-recycling-materials-across-our-projects" TargetMode="External"/><Relationship Id="rId21" Type="http://schemas.openxmlformats.org/officeDocument/2006/relationships/hyperlink" Target="https://www.vic.gov.au/recycling-victoria-data-hub" TargetMode="External"/><Relationship Id="rId34" Type="http://schemas.openxmlformats.org/officeDocument/2006/relationships/hyperlink" Target="https://www.vic.gov.au/kerbside-paper-and-paperboard" TargetMode="External"/><Relationship Id="rId42" Type="http://schemas.openxmlformats.org/officeDocument/2006/relationships/hyperlink" Target="https://www.dcceew.gov.au/environment/protection/waste/publications/australian-plastic-flows-and-fates-report-2020-21" TargetMode="External"/><Relationship Id="rId47" Type="http://schemas.openxmlformats.org/officeDocument/2006/relationships/hyperlink" Target="https://www.dcceew.gov.au/environment/protection/waste/national-waste-reports/2022" TargetMode="External"/><Relationship Id="rId50" Type="http://schemas.openxmlformats.org/officeDocument/2006/relationships/hyperlink" Target="https://www.vic.gov.au/victorias-waste-projection-model-dashboard" TargetMode="External"/><Relationship Id="rId55" Type="http://schemas.openxmlformats.org/officeDocument/2006/relationships/hyperlink" Target="https://assets.cleanenergycouncil.org.au/documents/Wind-turbine-recycling-report-2023.pdf" TargetMode="External"/><Relationship Id="rId63" Type="http://schemas.openxmlformats.org/officeDocument/2006/relationships/hyperlink" Target="https://www.sustainability.vic.gov.au/grants-funding-and-investment/funded-grants/circular-economy-household-education-fun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s://www.vic.gov.au/victorias-waste-projection-model-dashboard" TargetMode="External"/><Relationship Id="rId11" Type="http://schemas.openxmlformats.org/officeDocument/2006/relationships/hyperlink" Target="https://www.accesshub.gov.au/" TargetMode="External"/><Relationship Id="rId24" Type="http://schemas.openxmlformats.org/officeDocument/2006/relationships/hyperlink" Target="https://www.vic.gov.au/victorias-waste-and-resource-recovery-infrastructure-map" TargetMode="External"/><Relationship Id="rId32" Type="http://schemas.openxmlformats.org/officeDocument/2006/relationships/hyperlink" Target="https://www.vic.gov.au/victorias-waste-projection-model-dashboard" TargetMode="External"/><Relationship Id="rId37" Type="http://schemas.openxmlformats.org/officeDocument/2006/relationships/hyperlink" Target="https://www.dcceew.gov.au/environment/protection/waste/national-waste-reports/2022" TargetMode="External"/><Relationship Id="rId40" Type="http://schemas.openxmlformats.org/officeDocument/2006/relationships/hyperlink" Target="https://www.sustainability.vic.gov.au/grants-funding-and-investment/invest-in-victorias-circular-economy/invest-in-materials-and-infrastructure/invest-in-paper-cardboard" TargetMode="External"/><Relationship Id="rId45" Type="http://schemas.openxmlformats.org/officeDocument/2006/relationships/hyperlink" Target="https://www.dcceew.gov.au/environment/protection/waste/national-waste-reports/2022" TargetMode="External"/><Relationship Id="rId53" Type="http://schemas.openxmlformats.org/officeDocument/2006/relationships/hyperlink" Target="https://assets.cleanenergycouncil.org.au/documents/Wind-turbine-recycling-report-2023.pdf" TargetMode="External"/><Relationship Id="rId58" Type="http://schemas.openxmlformats.org/officeDocument/2006/relationships/hyperlink" Target="https://www.aph.gov.au/DocumentStore.ashx?id=54173916-54f6-497c-a9ec-014dee373ece&amp;subId=69" TargetMode="External"/><Relationship Id="rId5" Type="http://schemas.openxmlformats.org/officeDocument/2006/relationships/webSettings" Target="webSettings.xml"/><Relationship Id="rId61" Type="http://schemas.openxmlformats.org/officeDocument/2006/relationships/hyperlink" Target="https://www.vic.gov.au/victorias-plan-circular-economy" TargetMode="External"/><Relationship Id="rId19" Type="http://schemas.openxmlformats.org/officeDocument/2006/relationships/hyperlink" Target="https://www.vic.gov.au/victorias-waste-projection-model-dashboard" TargetMode="External"/><Relationship Id="rId14" Type="http://schemas.openxmlformats.org/officeDocument/2006/relationships/hyperlink" Target="https://www.vic.gov.au/victorias-plan-circular-economy" TargetMode="External"/><Relationship Id="rId22" Type="http://schemas.openxmlformats.org/officeDocument/2006/relationships/image" Target="media/image4.emf"/><Relationship Id="rId27" Type="http://schemas.openxmlformats.org/officeDocument/2006/relationships/hyperlink" Target="https://www.vic.gov.au/kerbside-glass-packaging" TargetMode="External"/><Relationship Id="rId30" Type="http://schemas.openxmlformats.org/officeDocument/2006/relationships/hyperlink" Target="https://www.vic.gov.au/kerbside-metal-packaging" TargetMode="External"/><Relationship Id="rId35" Type="http://schemas.openxmlformats.org/officeDocument/2006/relationships/hyperlink" Target="https://www.vic.gov.au/kerbside-paper-and-paperboard" TargetMode="External"/><Relationship Id="rId43" Type="http://schemas.openxmlformats.org/officeDocument/2006/relationships/hyperlink" Target="https://www.vic.gov.au/kerbside-plastic-packaging" TargetMode="External"/><Relationship Id="rId48" Type="http://schemas.openxmlformats.org/officeDocument/2006/relationships/hyperlink" Target="https://ausfashioncouncil.com/wp-content/uploads/2023/05/AFC-NCPSS-Data-Report.pdf" TargetMode="External"/><Relationship Id="rId56" Type="http://schemas.openxmlformats.org/officeDocument/2006/relationships/hyperlink" Target="https://www.aph.gov.au/DocumentStore.ashx?id=54173916-54f6-497c-a9ec-014dee373ece&amp;subId=69" TargetMode="External"/><Relationship Id="rId64" Type="http://schemas.openxmlformats.org/officeDocument/2006/relationships/fontTable" Target="fontTable.xml"/><Relationship Id="rId8" Type="http://schemas.openxmlformats.org/officeDocument/2006/relationships/hyperlink" Target="http://creativecommons.org/licenses/by/4.0/" TargetMode="External"/><Relationship Id="rId51" Type="http://schemas.openxmlformats.org/officeDocument/2006/relationships/hyperlink" Target="https://www.sustainability.vic.gov.au/research-data-and-insights/research/research-reports/victorian-photovoltaic-panel-systems-material-flow-analysis" TargetMode="External"/><Relationship Id="rId3" Type="http://schemas.openxmlformats.org/officeDocument/2006/relationships/styles" Target="styles.xml"/><Relationship Id="rId12" Type="http://schemas.openxmlformats.org/officeDocument/2006/relationships/hyperlink" Target="https://www.deeca.vic.gov.au/" TargetMode="External"/><Relationship Id="rId17" Type="http://schemas.openxmlformats.org/officeDocument/2006/relationships/image" Target="media/image2.emf"/><Relationship Id="rId25" Type="http://schemas.openxmlformats.org/officeDocument/2006/relationships/hyperlink" Target="https://www.vic.gov.au/victorias-waste-projection-model-dashboard" TargetMode="External"/><Relationship Id="rId33" Type="http://schemas.openxmlformats.org/officeDocument/2006/relationships/hyperlink" Target="https://www.vic.gov.au/victorias-waste-projection-model-dashboard" TargetMode="External"/><Relationship Id="rId38" Type="http://schemas.openxmlformats.org/officeDocument/2006/relationships/hyperlink" Target="https://www.dcceew.gov.au/environment/protection/waste/national-waste-reports/2022" TargetMode="External"/><Relationship Id="rId46" Type="http://schemas.openxmlformats.org/officeDocument/2006/relationships/hyperlink" Target="https://www.vic.gov.au/victorias-waste-projection-model-dashboard" TargetMode="External"/><Relationship Id="rId59" Type="http://schemas.openxmlformats.org/officeDocument/2006/relationships/hyperlink" Target="https://www.siemensgamesa.com/newsroom/2021/09/launch-world-first-recyclable-wind-turbine-blade" TargetMode="External"/><Relationship Id="rId20" Type="http://schemas.openxmlformats.org/officeDocument/2006/relationships/hyperlink" Target="https://www.abs.gov.au/statistics/environment/environmental-management/waste-account-australia-experimental-estimates/latest-release" TargetMode="External"/><Relationship Id="rId41" Type="http://schemas.openxmlformats.org/officeDocument/2006/relationships/hyperlink" Target="https://www.vic.gov.au/victorias-waste-projection-model-dashboard" TargetMode="External"/><Relationship Id="rId54" Type="http://schemas.openxmlformats.org/officeDocument/2006/relationships/hyperlink" Target="https://www.vestas.com/en/sustainability/environment/zero-waste" TargetMode="External"/><Relationship Id="rId62" Type="http://schemas.openxmlformats.org/officeDocument/2006/relationships/hyperlink" Target="https://www.insidewaste.com.au/bins-dedicated-to-glass-recycling-rolled-out-in-victor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tent.legislation.vic.gov.au/sites/default/files/2023-11/21-55aa010-authorised.pdf" TargetMode="External"/><Relationship Id="rId23" Type="http://schemas.openxmlformats.org/officeDocument/2006/relationships/image" Target="media/image5.emf"/><Relationship Id="rId28" Type="http://schemas.openxmlformats.org/officeDocument/2006/relationships/hyperlink" Target="https://www.vic.gov.au/kerbside-glass-packaging" TargetMode="External"/><Relationship Id="rId36" Type="http://schemas.openxmlformats.org/officeDocument/2006/relationships/hyperlink" Target="https://opalanz.com/news/opal-australian-paper-maryvale-mill-supply-update/" TargetMode="External"/><Relationship Id="rId49" Type="http://schemas.openxmlformats.org/officeDocument/2006/relationships/hyperlink" Target="https://www.dcceew.gov.au/environment/protection/waste/national-waste-reports/2022" TargetMode="External"/><Relationship Id="rId57" Type="http://schemas.openxmlformats.org/officeDocument/2006/relationships/hyperlink" Target="https://assets.cleanenergycouncil.org.au/documents/resources/reports/enhancing-positive-social-outcomes-from-wind-farm-development.pdf" TargetMode="External"/><Relationship Id="rId10" Type="http://schemas.openxmlformats.org/officeDocument/2006/relationships/hyperlink" Target="http://www.accesshub.gov.au/" TargetMode="External"/><Relationship Id="rId31" Type="http://schemas.openxmlformats.org/officeDocument/2006/relationships/hyperlink" Target="https://www.vic.gov.au/kerbside-metal-packaging" TargetMode="External"/><Relationship Id="rId44" Type="http://schemas.openxmlformats.org/officeDocument/2006/relationships/hyperlink" Target="https://www.vic.gov.au/victorias-waste-projection-model-dashboard" TargetMode="External"/><Relationship Id="rId52" Type="http://schemas.openxmlformats.org/officeDocument/2006/relationships/hyperlink" Target="https://www.amusingplanet.com/2017/01/the-second-life-of-wind-turbine-blades.html" TargetMode="External"/><Relationship Id="rId60" Type="http://schemas.openxmlformats.org/officeDocument/2006/relationships/hyperlink" Target="https://www.vestas.com/en/sustainability/environment/zero-wast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3" Type="http://schemas.openxmlformats.org/officeDocument/2006/relationships/hyperlink" Target="https://www.deeca.vic.gov.au/" TargetMode="External"/><Relationship Id="rId18" Type="http://schemas.openxmlformats.org/officeDocument/2006/relationships/image" Target="media/image3.emf"/><Relationship Id="rId39" Type="http://schemas.openxmlformats.org/officeDocument/2006/relationships/hyperlink" Target="https://www.vic.gov.au/kerbside-paper-and-paper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58</Pages>
  <Words>13861</Words>
  <Characters>79014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Emma Woods (DEECA)</cp:lastModifiedBy>
  <cp:revision>75</cp:revision>
  <dcterms:created xsi:type="dcterms:W3CDTF">2024-03-13T23:29:00Z</dcterms:created>
  <dcterms:modified xsi:type="dcterms:W3CDTF">2024-03-26T03:44:00Z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