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991" w:tblpY="-22"/>
        <w:tblW w:w="9086" w:type="dxa"/>
        <w:tblCellMar>
          <w:left w:w="0" w:type="dxa"/>
          <w:right w:w="0" w:type="dxa"/>
        </w:tblCellMar>
        <w:tblLook w:val="04A0" w:firstRow="1" w:lastRow="0" w:firstColumn="1" w:lastColumn="0" w:noHBand="0" w:noVBand="1"/>
      </w:tblPr>
      <w:tblGrid>
        <w:gridCol w:w="9086"/>
      </w:tblGrid>
      <w:tr w:rsidR="006540AE" w:rsidRPr="00A13EC5" w14:paraId="56326E04" w14:textId="77777777" w:rsidTr="006540AE">
        <w:trPr>
          <w:trHeight w:val="6131"/>
        </w:trPr>
        <w:tc>
          <w:tcPr>
            <w:tcW w:w="9086" w:type="dxa"/>
            <w:shd w:val="clear" w:color="auto" w:fill="auto"/>
            <w:vAlign w:val="center"/>
          </w:tcPr>
          <w:p w14:paraId="3D77B324" w14:textId="77777777" w:rsidR="006540AE" w:rsidRPr="008A227A" w:rsidRDefault="006540AE" w:rsidP="006540AE">
            <w:pPr>
              <w:pStyle w:val="Title"/>
              <w:spacing w:line="240" w:lineRule="auto"/>
              <w:jc w:val="left"/>
              <w:rPr>
                <w:b w:val="0"/>
                <w:color w:val="595959" w:themeColor="text1" w:themeTint="A6"/>
                <w:sz w:val="64"/>
                <w:szCs w:val="64"/>
              </w:rPr>
            </w:pPr>
            <w:r w:rsidRPr="008A227A">
              <w:rPr>
                <w:b w:val="0"/>
                <w:color w:val="595959" w:themeColor="text1" w:themeTint="A6"/>
                <w:sz w:val="64"/>
                <w:szCs w:val="64"/>
              </w:rPr>
              <w:t xml:space="preserve">Victorian Government Advertising Plan </w:t>
            </w:r>
          </w:p>
          <w:p w14:paraId="34204CE3" w14:textId="77777777" w:rsidR="006540AE" w:rsidRPr="00A13EC5" w:rsidRDefault="006540AE" w:rsidP="006540AE">
            <w:pPr>
              <w:pStyle w:val="Title"/>
              <w:spacing w:line="240" w:lineRule="auto"/>
              <w:jc w:val="left"/>
              <w:rPr>
                <w:bCs/>
                <w:color w:val="53565A"/>
                <w:szCs w:val="40"/>
              </w:rPr>
            </w:pPr>
            <w:r w:rsidRPr="007121A6">
              <w:rPr>
                <w:b w:val="0"/>
                <w:color w:val="595959" w:themeColor="text1" w:themeTint="A6"/>
                <w:sz w:val="64"/>
                <w:szCs w:val="64"/>
              </w:rPr>
              <w:t>2022–23</w:t>
            </w:r>
          </w:p>
        </w:tc>
      </w:tr>
    </w:tbl>
    <w:p w14:paraId="7A1F4121" w14:textId="67B36937" w:rsidR="00A13EC5" w:rsidRPr="00A13EC5" w:rsidRDefault="00A13EC5" w:rsidP="00A13EC5">
      <w:pPr>
        <w:spacing w:after="0" w:line="300" w:lineRule="atLeast"/>
        <w:rPr>
          <w:rFonts w:ascii="Arial" w:eastAsia="Times" w:hAnsi="Arial" w:cs="Arial"/>
          <w:color w:val="000000"/>
        </w:rPr>
      </w:pPr>
      <w:r w:rsidRPr="00A13EC5">
        <w:rPr>
          <w:rFonts w:ascii="Arial" w:eastAsia="Times" w:hAnsi="Arial" w:cs="Arial"/>
          <w:noProof/>
          <w:color w:val="000000"/>
          <w:lang w:eastAsia="en-AU"/>
        </w:rPr>
        <w:drawing>
          <wp:anchor distT="0" distB="0" distL="114300" distR="114300" simplePos="0" relativeHeight="251659264" behindDoc="1" locked="1" layoutInCell="0" allowOverlap="1" wp14:anchorId="71CE60CC" wp14:editId="59A8384F">
            <wp:simplePos x="0" y="0"/>
            <wp:positionH relativeFrom="page">
              <wp:posOffset>0</wp:posOffset>
            </wp:positionH>
            <wp:positionV relativeFrom="page">
              <wp:posOffset>0</wp:posOffset>
            </wp:positionV>
            <wp:extent cx="7563600" cy="10700280"/>
            <wp:effectExtent l="0" t="0" r="0" b="6350"/>
            <wp:wrapNone/>
            <wp:docPr id="2" name="Picture 2" descr="Victoria State Government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3600" cy="10700280"/>
                    </a:xfrm>
                    <a:prstGeom prst="rect">
                      <a:avLst/>
                    </a:prstGeom>
                  </pic:spPr>
                </pic:pic>
              </a:graphicData>
            </a:graphic>
            <wp14:sizeRelH relativeFrom="margin">
              <wp14:pctWidth>0</wp14:pctWidth>
            </wp14:sizeRelH>
            <wp14:sizeRelV relativeFrom="margin">
              <wp14:pctHeight>0</wp14:pctHeight>
            </wp14:sizeRelV>
          </wp:anchor>
        </w:drawing>
      </w:r>
    </w:p>
    <w:p w14:paraId="1C1298C9" w14:textId="77777777" w:rsidR="00A13EC5" w:rsidRPr="00A13EC5" w:rsidRDefault="00A13EC5" w:rsidP="00A13EC5">
      <w:pPr>
        <w:spacing w:after="0" w:line="300" w:lineRule="atLeast"/>
        <w:rPr>
          <w:rFonts w:ascii="Arial" w:eastAsia="Times" w:hAnsi="Arial" w:cs="Arial"/>
          <w:color w:val="000000"/>
        </w:rPr>
        <w:sectPr w:rsidR="00A13EC5" w:rsidRPr="00A13EC5" w:rsidSect="00A13EC5">
          <w:footerReference w:type="default" r:id="rId10"/>
          <w:pgSz w:w="11906" w:h="16838"/>
          <w:pgMar w:top="1134" w:right="1418" w:bottom="1134" w:left="1418" w:header="454" w:footer="567" w:gutter="0"/>
          <w:pgNumType w:fmt="lowerRoman" w:start="1"/>
          <w:cols w:space="720"/>
          <w:docGrid w:linePitch="360"/>
        </w:sectPr>
      </w:pPr>
    </w:p>
    <w:p w14:paraId="0B5F6B8B" w14:textId="77777777" w:rsidR="00E91C18" w:rsidRPr="006B3961" w:rsidRDefault="00E91C18" w:rsidP="00E91C18">
      <w:pPr>
        <w:pStyle w:val="DPCbody"/>
        <w:rPr>
          <w:b/>
        </w:rPr>
      </w:pPr>
      <w:r w:rsidRPr="006B3961">
        <w:rPr>
          <w:b/>
        </w:rPr>
        <w:lastRenderedPageBreak/>
        <w:t>Authorised and published by the Victorian Government, 1 Treasury Place, Melbourne</w:t>
      </w:r>
    </w:p>
    <w:p w14:paraId="66AD6E17" w14:textId="260D59DD" w:rsidR="00E91C18" w:rsidRPr="006B3961" w:rsidRDefault="00E321E8" w:rsidP="00E91C18">
      <w:pPr>
        <w:pStyle w:val="DPCbody"/>
      </w:pPr>
      <w:r>
        <w:t>March 2024</w:t>
      </w:r>
    </w:p>
    <w:p w14:paraId="266543D8" w14:textId="77777777" w:rsidR="00E91C18" w:rsidRPr="007343E0" w:rsidRDefault="00E91C18" w:rsidP="00E91C18">
      <w:pPr>
        <w:pStyle w:val="DPCbody"/>
      </w:pPr>
      <w:r w:rsidRPr="007343E0">
        <w:rPr>
          <w:noProof/>
          <w:lang w:eastAsia="en-AU"/>
        </w:rPr>
        <w:drawing>
          <wp:inline distT="0" distB="0" distL="0" distR="0" wp14:anchorId="0141A288" wp14:editId="4E04E5D1">
            <wp:extent cx="1226820" cy="42926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6820" cy="429260"/>
                    </a:xfrm>
                    <a:prstGeom prst="rect">
                      <a:avLst/>
                    </a:prstGeom>
                  </pic:spPr>
                </pic:pic>
              </a:graphicData>
            </a:graphic>
          </wp:inline>
        </w:drawing>
      </w:r>
    </w:p>
    <w:p w14:paraId="15E886FE" w14:textId="77777777" w:rsidR="00E91C18" w:rsidRPr="006B3961" w:rsidRDefault="00E91C18" w:rsidP="00E91C18">
      <w:pPr>
        <w:pStyle w:val="DPCbody"/>
      </w:pPr>
      <w:r w:rsidRPr="006B3961">
        <w:t xml:space="preserve">Unless indicated otherwise, this work is made available under the terms of the Creative Commons Attribution 4.0 international licence. To view a copy of this licence, visit </w:t>
      </w:r>
      <w:hyperlink r:id="rId12" w:history="1">
        <w:r w:rsidRPr="006B3961">
          <w:rPr>
            <w:rStyle w:val="Hyperlink"/>
          </w:rPr>
          <w:t>https://creativecommons.org/licenses/by/4.0/</w:t>
        </w:r>
      </w:hyperlink>
      <w:r w:rsidRPr="006B3961">
        <w:t xml:space="preserve">. </w:t>
      </w:r>
    </w:p>
    <w:p w14:paraId="148F89BB" w14:textId="77777777" w:rsidR="00E91C18" w:rsidRPr="006B3961" w:rsidRDefault="00E91C18" w:rsidP="00E91C18">
      <w:pPr>
        <w:pStyle w:val="DPCbody"/>
      </w:pPr>
      <w:r w:rsidRPr="006B3961">
        <w:t>It is a condition of this Creative Commons Attribution 4.0 Licence that you must give credit to the original author who is the State of Victoria.</w:t>
      </w:r>
    </w:p>
    <w:p w14:paraId="61A37B09" w14:textId="77777777" w:rsidR="00E91C18" w:rsidRPr="006B3961" w:rsidRDefault="00E91C18" w:rsidP="00E91C18">
      <w:pPr>
        <w:pStyle w:val="DPCbody"/>
      </w:pPr>
      <w:r w:rsidRPr="006B3961">
        <w:t xml:space="preserve">ISSN 2208-8393 - Online </w:t>
      </w:r>
    </w:p>
    <w:p w14:paraId="57B3F9A3" w14:textId="77777777" w:rsidR="00E91C18" w:rsidRPr="006B3961" w:rsidRDefault="00E91C18" w:rsidP="00E91C18">
      <w:pPr>
        <w:pStyle w:val="DPCbody"/>
        <w:rPr>
          <w:b/>
        </w:rPr>
      </w:pPr>
      <w:r w:rsidRPr="006B3961">
        <w:rPr>
          <w:b/>
        </w:rPr>
        <w:t>Accessibility</w:t>
      </w:r>
    </w:p>
    <w:p w14:paraId="40279F30" w14:textId="68D8540C" w:rsidR="00A13EC5" w:rsidRPr="006540AE" w:rsidRDefault="00E91C18" w:rsidP="006540AE">
      <w:pPr>
        <w:pStyle w:val="DPCbody"/>
      </w:pPr>
      <w:r w:rsidRPr="006B3961">
        <w:t xml:space="preserve">If you would like to receive this publication in an accessible format, such as large print or audio, email </w:t>
      </w:r>
      <w:hyperlink r:id="rId13" w:history="1">
        <w:r w:rsidRPr="006B3961">
          <w:t>advertising@dpc.vic.gov.au</w:t>
        </w:r>
      </w:hyperlink>
      <w:r w:rsidRPr="006B3961">
        <w:t>.</w:t>
      </w:r>
    </w:p>
    <w:p w14:paraId="4B12CAD4" w14:textId="77777777" w:rsidR="00A13EC5" w:rsidRPr="00A13EC5" w:rsidRDefault="00A13EC5" w:rsidP="00A13EC5">
      <w:pPr>
        <w:spacing w:line="300" w:lineRule="atLeast"/>
        <w:rPr>
          <w:rFonts w:ascii="Arial" w:eastAsia="Times" w:hAnsi="Arial" w:cs="Arial"/>
          <w:color w:val="000000"/>
        </w:rPr>
      </w:pPr>
      <w:r w:rsidRPr="00A13EC5">
        <w:rPr>
          <w:rFonts w:ascii="Arial" w:eastAsia="Times" w:hAnsi="Arial" w:cs="Arial"/>
          <w:color w:val="000000"/>
        </w:rPr>
        <w:br w:type="page"/>
      </w:r>
    </w:p>
    <w:p w14:paraId="7447FC71" w14:textId="7A555E8D" w:rsidR="00E2240B" w:rsidRDefault="00E2240B" w:rsidP="00E2240B">
      <w:pPr>
        <w:pStyle w:val="Heading1"/>
      </w:pPr>
      <w:bookmarkStart w:id="0" w:name="_Toc468790632"/>
      <w:bookmarkStart w:id="1" w:name="_Toc468955675"/>
      <w:bookmarkStart w:id="2" w:name="_Toc468956289"/>
      <w:bookmarkStart w:id="3" w:name="_Toc46322587"/>
      <w:bookmarkStart w:id="4" w:name="_Toc101882005"/>
      <w:bookmarkStart w:id="5" w:name="_Toc101882063"/>
      <w:bookmarkStart w:id="6" w:name="_Toc120528388"/>
      <w:bookmarkStart w:id="7" w:name="_Toc120528730"/>
      <w:bookmarkStart w:id="8" w:name="_Toc120528961"/>
      <w:bookmarkStart w:id="9" w:name="_Toc120529158"/>
      <w:bookmarkStart w:id="10" w:name="_Toc120529576"/>
      <w:r>
        <w:lastRenderedPageBreak/>
        <w:t>Contents</w:t>
      </w:r>
      <w:bookmarkEnd w:id="0"/>
      <w:bookmarkEnd w:id="1"/>
      <w:bookmarkEnd w:id="2"/>
      <w:bookmarkEnd w:id="3"/>
      <w:bookmarkEnd w:id="4"/>
      <w:bookmarkEnd w:id="5"/>
      <w:bookmarkEnd w:id="6"/>
      <w:bookmarkEnd w:id="7"/>
      <w:bookmarkEnd w:id="8"/>
      <w:bookmarkEnd w:id="9"/>
      <w:bookmarkEnd w:id="10"/>
    </w:p>
    <w:p w14:paraId="0718C954" w14:textId="39D00677" w:rsidR="00E91C18" w:rsidRPr="008D36C6" w:rsidRDefault="008D36C6" w:rsidP="008D36C6">
      <w:pPr>
        <w:pStyle w:val="TOC1"/>
        <w:rPr>
          <w:rFonts w:eastAsiaTheme="minorEastAsia"/>
          <w:lang w:eastAsia="en-AU"/>
        </w:rPr>
      </w:pPr>
      <w:r>
        <w:t xml:space="preserve">About the 2022–23 advertising plan </w:t>
      </w:r>
      <w:hyperlink w:anchor="_Toc46322588" w:history="1">
        <w:r w:rsidR="00E91C18" w:rsidRPr="008D36C6">
          <w:rPr>
            <w:webHidden/>
          </w:rPr>
          <w:tab/>
        </w:r>
        <w:r w:rsidR="00E91C18" w:rsidRPr="008D36C6">
          <w:rPr>
            <w:webHidden/>
          </w:rPr>
          <w:fldChar w:fldCharType="begin"/>
        </w:r>
        <w:r w:rsidR="00E91C18" w:rsidRPr="008D36C6">
          <w:rPr>
            <w:webHidden/>
          </w:rPr>
          <w:instrText xml:space="preserve"> PAGEREF _Toc46322588 \h </w:instrText>
        </w:r>
        <w:r w:rsidR="00E91C18" w:rsidRPr="008D36C6">
          <w:rPr>
            <w:webHidden/>
          </w:rPr>
        </w:r>
        <w:r w:rsidR="00E91C18" w:rsidRPr="008D36C6">
          <w:rPr>
            <w:webHidden/>
          </w:rPr>
          <w:fldChar w:fldCharType="separate"/>
        </w:r>
        <w:r w:rsidR="00E91C18" w:rsidRPr="008D36C6">
          <w:rPr>
            <w:webHidden/>
          </w:rPr>
          <w:t>4</w:t>
        </w:r>
        <w:r w:rsidR="00E91C18" w:rsidRPr="008D36C6">
          <w:rPr>
            <w:webHidden/>
          </w:rPr>
          <w:fldChar w:fldCharType="end"/>
        </w:r>
      </w:hyperlink>
    </w:p>
    <w:p w14:paraId="5CF05E80" w14:textId="77777777" w:rsidR="00E91C18" w:rsidRPr="00B50F63" w:rsidRDefault="00000000" w:rsidP="007A4E85">
      <w:pPr>
        <w:pStyle w:val="TOC2"/>
        <w:tabs>
          <w:tab w:val="right" w:leader="dot" w:pos="9016"/>
        </w:tabs>
        <w:spacing w:before="180" w:after="180" w:line="240" w:lineRule="auto"/>
        <w:rPr>
          <w:rFonts w:ascii="Arial" w:eastAsiaTheme="minorEastAsia" w:hAnsi="Arial" w:cs="Arial"/>
          <w:noProof/>
          <w:lang w:eastAsia="en-AU"/>
        </w:rPr>
      </w:pPr>
      <w:hyperlink w:anchor="_Toc46322589" w:history="1">
        <w:r w:rsidR="00E91C18" w:rsidRPr="00B50F63">
          <w:rPr>
            <w:rStyle w:val="Hyperlink"/>
            <w:rFonts w:ascii="Arial" w:hAnsi="Arial" w:cs="Arial"/>
            <w:noProof/>
            <w:color w:val="auto"/>
            <w:u w:val="none"/>
          </w:rPr>
          <w:t>Adjusting the annual advertising plan</w:t>
        </w:r>
        <w:r w:rsidR="00E91C18" w:rsidRPr="00B50F63">
          <w:rPr>
            <w:rFonts w:ascii="Arial" w:hAnsi="Arial" w:cs="Arial"/>
            <w:noProof/>
            <w:webHidden/>
          </w:rPr>
          <w:tab/>
        </w:r>
        <w:r w:rsidR="00E91C18" w:rsidRPr="00B50F63">
          <w:rPr>
            <w:rFonts w:ascii="Arial" w:hAnsi="Arial" w:cs="Arial"/>
            <w:noProof/>
            <w:webHidden/>
          </w:rPr>
          <w:fldChar w:fldCharType="begin"/>
        </w:r>
        <w:r w:rsidR="00E91C18" w:rsidRPr="00B50F63">
          <w:rPr>
            <w:rFonts w:ascii="Arial" w:hAnsi="Arial" w:cs="Arial"/>
            <w:noProof/>
            <w:webHidden/>
          </w:rPr>
          <w:instrText xml:space="preserve"> PAGEREF _Toc46322589 \h </w:instrText>
        </w:r>
        <w:r w:rsidR="00E91C18" w:rsidRPr="00B50F63">
          <w:rPr>
            <w:rFonts w:ascii="Arial" w:hAnsi="Arial" w:cs="Arial"/>
            <w:noProof/>
            <w:webHidden/>
          </w:rPr>
        </w:r>
        <w:r w:rsidR="00E91C18" w:rsidRPr="00B50F63">
          <w:rPr>
            <w:rFonts w:ascii="Arial" w:hAnsi="Arial" w:cs="Arial"/>
            <w:noProof/>
            <w:webHidden/>
          </w:rPr>
          <w:fldChar w:fldCharType="separate"/>
        </w:r>
        <w:r w:rsidR="00E91C18" w:rsidRPr="00B50F63">
          <w:rPr>
            <w:rFonts w:ascii="Arial" w:hAnsi="Arial" w:cs="Arial"/>
            <w:noProof/>
            <w:webHidden/>
          </w:rPr>
          <w:t>4</w:t>
        </w:r>
        <w:r w:rsidR="00E91C18" w:rsidRPr="00B50F63">
          <w:rPr>
            <w:rFonts w:ascii="Arial" w:hAnsi="Arial" w:cs="Arial"/>
            <w:noProof/>
            <w:webHidden/>
          </w:rPr>
          <w:fldChar w:fldCharType="end"/>
        </w:r>
      </w:hyperlink>
    </w:p>
    <w:p w14:paraId="0C663D2E" w14:textId="77777777" w:rsidR="00E91C18" w:rsidRPr="00B50F63" w:rsidRDefault="00000000" w:rsidP="007A4E85">
      <w:pPr>
        <w:pStyle w:val="TOC2"/>
        <w:tabs>
          <w:tab w:val="right" w:leader="dot" w:pos="9016"/>
        </w:tabs>
        <w:spacing w:before="180" w:after="180" w:line="240" w:lineRule="auto"/>
        <w:rPr>
          <w:rFonts w:ascii="Arial" w:eastAsiaTheme="minorEastAsia" w:hAnsi="Arial" w:cs="Arial"/>
          <w:noProof/>
          <w:lang w:eastAsia="en-AU"/>
        </w:rPr>
      </w:pPr>
      <w:hyperlink w:anchor="_Toc46322590" w:history="1">
        <w:r w:rsidR="00E91C18" w:rsidRPr="00B50F63">
          <w:rPr>
            <w:rStyle w:val="Hyperlink"/>
            <w:rFonts w:ascii="Arial" w:hAnsi="Arial" w:cs="Arial"/>
            <w:noProof/>
            <w:color w:val="auto"/>
            <w:u w:val="none"/>
          </w:rPr>
          <w:t>Reporting on government advertising expenditure</w:t>
        </w:r>
        <w:r w:rsidR="00E91C18" w:rsidRPr="00B50F63">
          <w:rPr>
            <w:rFonts w:ascii="Arial" w:hAnsi="Arial" w:cs="Arial"/>
            <w:noProof/>
            <w:webHidden/>
          </w:rPr>
          <w:tab/>
        </w:r>
        <w:r w:rsidR="00E91C18" w:rsidRPr="00B50F63">
          <w:rPr>
            <w:rFonts w:ascii="Arial" w:hAnsi="Arial" w:cs="Arial"/>
            <w:noProof/>
            <w:webHidden/>
          </w:rPr>
          <w:fldChar w:fldCharType="begin"/>
        </w:r>
        <w:r w:rsidR="00E91C18" w:rsidRPr="00B50F63">
          <w:rPr>
            <w:rFonts w:ascii="Arial" w:hAnsi="Arial" w:cs="Arial"/>
            <w:noProof/>
            <w:webHidden/>
          </w:rPr>
          <w:instrText xml:space="preserve"> PAGEREF _Toc46322590 \h </w:instrText>
        </w:r>
        <w:r w:rsidR="00E91C18" w:rsidRPr="00B50F63">
          <w:rPr>
            <w:rFonts w:ascii="Arial" w:hAnsi="Arial" w:cs="Arial"/>
            <w:noProof/>
            <w:webHidden/>
          </w:rPr>
        </w:r>
        <w:r w:rsidR="00E91C18" w:rsidRPr="00B50F63">
          <w:rPr>
            <w:rFonts w:ascii="Arial" w:hAnsi="Arial" w:cs="Arial"/>
            <w:noProof/>
            <w:webHidden/>
          </w:rPr>
          <w:fldChar w:fldCharType="separate"/>
        </w:r>
        <w:r w:rsidR="00E91C18" w:rsidRPr="00B50F63">
          <w:rPr>
            <w:rFonts w:ascii="Arial" w:hAnsi="Arial" w:cs="Arial"/>
            <w:noProof/>
            <w:webHidden/>
          </w:rPr>
          <w:t>4</w:t>
        </w:r>
        <w:r w:rsidR="00E91C18" w:rsidRPr="00B50F63">
          <w:rPr>
            <w:rFonts w:ascii="Arial" w:hAnsi="Arial" w:cs="Arial"/>
            <w:noProof/>
            <w:webHidden/>
          </w:rPr>
          <w:fldChar w:fldCharType="end"/>
        </w:r>
      </w:hyperlink>
    </w:p>
    <w:p w14:paraId="4945B7AC" w14:textId="77777777" w:rsidR="00E91C18" w:rsidRPr="00B50F63" w:rsidRDefault="00000000" w:rsidP="007A4E85">
      <w:pPr>
        <w:pStyle w:val="TOC2"/>
        <w:tabs>
          <w:tab w:val="right" w:leader="dot" w:pos="9016"/>
        </w:tabs>
        <w:spacing w:before="180" w:after="180" w:line="240" w:lineRule="auto"/>
        <w:rPr>
          <w:rFonts w:ascii="Arial" w:eastAsiaTheme="minorEastAsia" w:hAnsi="Arial" w:cs="Arial"/>
          <w:noProof/>
          <w:lang w:eastAsia="en-AU"/>
        </w:rPr>
      </w:pPr>
      <w:hyperlink w:anchor="_Toc46322591" w:history="1">
        <w:r w:rsidR="00E91C18" w:rsidRPr="00B50F63">
          <w:rPr>
            <w:rStyle w:val="Hyperlink"/>
            <w:rFonts w:ascii="Arial" w:hAnsi="Arial" w:cs="Arial"/>
            <w:noProof/>
            <w:color w:val="auto"/>
            <w:u w:val="none"/>
          </w:rPr>
          <w:t>Non-campaign advertising</w:t>
        </w:r>
        <w:r w:rsidR="00E91C18" w:rsidRPr="00B50F63">
          <w:rPr>
            <w:rFonts w:ascii="Arial" w:hAnsi="Arial" w:cs="Arial"/>
            <w:noProof/>
            <w:webHidden/>
          </w:rPr>
          <w:tab/>
        </w:r>
        <w:r w:rsidR="00E91C18" w:rsidRPr="00B50F63">
          <w:rPr>
            <w:rFonts w:ascii="Arial" w:hAnsi="Arial" w:cs="Arial"/>
            <w:noProof/>
            <w:webHidden/>
          </w:rPr>
          <w:fldChar w:fldCharType="begin"/>
        </w:r>
        <w:r w:rsidR="00E91C18" w:rsidRPr="00B50F63">
          <w:rPr>
            <w:rFonts w:ascii="Arial" w:hAnsi="Arial" w:cs="Arial"/>
            <w:noProof/>
            <w:webHidden/>
          </w:rPr>
          <w:instrText xml:space="preserve"> PAGEREF _Toc46322591 \h </w:instrText>
        </w:r>
        <w:r w:rsidR="00E91C18" w:rsidRPr="00B50F63">
          <w:rPr>
            <w:rFonts w:ascii="Arial" w:hAnsi="Arial" w:cs="Arial"/>
            <w:noProof/>
            <w:webHidden/>
          </w:rPr>
        </w:r>
        <w:r w:rsidR="00E91C18" w:rsidRPr="00B50F63">
          <w:rPr>
            <w:rFonts w:ascii="Arial" w:hAnsi="Arial" w:cs="Arial"/>
            <w:noProof/>
            <w:webHidden/>
          </w:rPr>
          <w:fldChar w:fldCharType="separate"/>
        </w:r>
        <w:r w:rsidR="00E91C18" w:rsidRPr="00B50F63">
          <w:rPr>
            <w:rFonts w:ascii="Arial" w:hAnsi="Arial" w:cs="Arial"/>
            <w:noProof/>
            <w:webHidden/>
          </w:rPr>
          <w:t>5</w:t>
        </w:r>
        <w:r w:rsidR="00E91C18" w:rsidRPr="00B50F63">
          <w:rPr>
            <w:rFonts w:ascii="Arial" w:hAnsi="Arial" w:cs="Arial"/>
            <w:noProof/>
            <w:webHidden/>
          </w:rPr>
          <w:fldChar w:fldCharType="end"/>
        </w:r>
      </w:hyperlink>
    </w:p>
    <w:p w14:paraId="12A41089" w14:textId="77777777" w:rsidR="00E91C18" w:rsidRPr="00B50F63" w:rsidRDefault="00000000" w:rsidP="007A4E85">
      <w:pPr>
        <w:pStyle w:val="TOC2"/>
        <w:tabs>
          <w:tab w:val="right" w:leader="dot" w:pos="9016"/>
        </w:tabs>
        <w:spacing w:before="180" w:after="180" w:line="240" w:lineRule="auto"/>
        <w:rPr>
          <w:rFonts w:ascii="Arial" w:eastAsiaTheme="minorEastAsia" w:hAnsi="Arial" w:cs="Arial"/>
          <w:noProof/>
          <w:lang w:eastAsia="en-AU"/>
        </w:rPr>
      </w:pPr>
      <w:hyperlink w:anchor="_Toc46322592" w:history="1">
        <w:r w:rsidR="00E91C18" w:rsidRPr="00B50F63">
          <w:rPr>
            <w:rStyle w:val="Hyperlink"/>
            <w:rFonts w:ascii="Arial" w:hAnsi="Arial" w:cs="Arial"/>
            <w:noProof/>
            <w:color w:val="auto"/>
            <w:u w:val="none"/>
          </w:rPr>
          <w:t>Advertising standards in legislation</w:t>
        </w:r>
        <w:r w:rsidR="00E91C18" w:rsidRPr="00B50F63">
          <w:rPr>
            <w:rFonts w:ascii="Arial" w:hAnsi="Arial" w:cs="Arial"/>
            <w:noProof/>
            <w:webHidden/>
          </w:rPr>
          <w:tab/>
        </w:r>
        <w:r w:rsidR="00E91C18" w:rsidRPr="00B50F63">
          <w:rPr>
            <w:rFonts w:ascii="Arial" w:hAnsi="Arial" w:cs="Arial"/>
            <w:noProof/>
            <w:webHidden/>
          </w:rPr>
          <w:fldChar w:fldCharType="begin"/>
        </w:r>
        <w:r w:rsidR="00E91C18" w:rsidRPr="00B50F63">
          <w:rPr>
            <w:rFonts w:ascii="Arial" w:hAnsi="Arial" w:cs="Arial"/>
            <w:noProof/>
            <w:webHidden/>
          </w:rPr>
          <w:instrText xml:space="preserve"> PAGEREF _Toc46322592 \h </w:instrText>
        </w:r>
        <w:r w:rsidR="00E91C18" w:rsidRPr="00B50F63">
          <w:rPr>
            <w:rFonts w:ascii="Arial" w:hAnsi="Arial" w:cs="Arial"/>
            <w:noProof/>
            <w:webHidden/>
          </w:rPr>
        </w:r>
        <w:r w:rsidR="00E91C18" w:rsidRPr="00B50F63">
          <w:rPr>
            <w:rFonts w:ascii="Arial" w:hAnsi="Arial" w:cs="Arial"/>
            <w:noProof/>
            <w:webHidden/>
          </w:rPr>
          <w:fldChar w:fldCharType="separate"/>
        </w:r>
        <w:r w:rsidR="00E91C18" w:rsidRPr="00B50F63">
          <w:rPr>
            <w:rFonts w:ascii="Arial" w:hAnsi="Arial" w:cs="Arial"/>
            <w:noProof/>
            <w:webHidden/>
          </w:rPr>
          <w:t>5</w:t>
        </w:r>
        <w:r w:rsidR="00E91C18" w:rsidRPr="00B50F63">
          <w:rPr>
            <w:rFonts w:ascii="Arial" w:hAnsi="Arial" w:cs="Arial"/>
            <w:noProof/>
            <w:webHidden/>
          </w:rPr>
          <w:fldChar w:fldCharType="end"/>
        </w:r>
      </w:hyperlink>
    </w:p>
    <w:p w14:paraId="3B1B2373" w14:textId="77857DB2" w:rsidR="00E91C18" w:rsidRPr="00B50F63" w:rsidRDefault="00000000" w:rsidP="008D36C6">
      <w:pPr>
        <w:pStyle w:val="TOC1"/>
        <w:rPr>
          <w:rFonts w:eastAsiaTheme="minorEastAsia"/>
          <w:lang w:eastAsia="en-AU"/>
        </w:rPr>
      </w:pPr>
      <w:hyperlink w:anchor="_Toc46322593" w:history="1">
        <w:r w:rsidR="00E91C18" w:rsidRPr="00B50F63">
          <w:rPr>
            <w:rStyle w:val="Hyperlink"/>
            <w:color w:val="auto"/>
            <w:u w:val="none"/>
          </w:rPr>
          <w:t xml:space="preserve">Government campaign advertising </w:t>
        </w:r>
        <w:r w:rsidR="002B0D61">
          <w:rPr>
            <w:rStyle w:val="Hyperlink"/>
            <w:color w:val="auto"/>
            <w:u w:val="none"/>
          </w:rPr>
          <w:t xml:space="preserve">in </w:t>
        </w:r>
        <w:r w:rsidR="009B41A8" w:rsidRPr="00B50F63">
          <w:rPr>
            <w:rStyle w:val="Hyperlink"/>
            <w:color w:val="auto"/>
            <w:u w:val="none"/>
          </w:rPr>
          <w:t>202</w:t>
        </w:r>
        <w:r w:rsidR="00842ED5" w:rsidRPr="00B50F63">
          <w:rPr>
            <w:rStyle w:val="Hyperlink"/>
            <w:color w:val="auto"/>
            <w:u w:val="none"/>
          </w:rPr>
          <w:t>2</w:t>
        </w:r>
        <w:r w:rsidR="009B41A8" w:rsidRPr="00B50F63">
          <w:rPr>
            <w:rStyle w:val="Hyperlink"/>
            <w:color w:val="auto"/>
            <w:u w:val="none"/>
          </w:rPr>
          <w:t>–2</w:t>
        </w:r>
        <w:r w:rsidR="00842ED5" w:rsidRPr="00B50F63">
          <w:rPr>
            <w:rStyle w:val="Hyperlink"/>
            <w:color w:val="auto"/>
            <w:u w:val="none"/>
          </w:rPr>
          <w:t>3</w:t>
        </w:r>
        <w:r w:rsidR="00E91C18" w:rsidRPr="00B50F63">
          <w:rPr>
            <w:webHidden/>
          </w:rPr>
          <w:tab/>
        </w:r>
        <w:r w:rsidR="00E91C18" w:rsidRPr="00B50F63">
          <w:rPr>
            <w:webHidden/>
          </w:rPr>
          <w:fldChar w:fldCharType="begin"/>
        </w:r>
        <w:r w:rsidR="00E91C18" w:rsidRPr="00B50F63">
          <w:rPr>
            <w:webHidden/>
          </w:rPr>
          <w:instrText xml:space="preserve"> PAGEREF _Toc46322593 \h </w:instrText>
        </w:r>
        <w:r w:rsidR="00E91C18" w:rsidRPr="00B50F63">
          <w:rPr>
            <w:webHidden/>
          </w:rPr>
        </w:r>
        <w:r w:rsidR="00E91C18" w:rsidRPr="00B50F63">
          <w:rPr>
            <w:webHidden/>
          </w:rPr>
          <w:fldChar w:fldCharType="separate"/>
        </w:r>
        <w:r w:rsidR="00E91C18" w:rsidRPr="00B50F63">
          <w:rPr>
            <w:webHidden/>
          </w:rPr>
          <w:t>6</w:t>
        </w:r>
        <w:r w:rsidR="00E91C18" w:rsidRPr="00B50F63">
          <w:rPr>
            <w:webHidden/>
          </w:rPr>
          <w:fldChar w:fldCharType="end"/>
        </w:r>
      </w:hyperlink>
    </w:p>
    <w:p w14:paraId="1B2BB7CA" w14:textId="77777777" w:rsidR="00E91C18" w:rsidRPr="00B50F63" w:rsidRDefault="00000000" w:rsidP="007A4E85">
      <w:pPr>
        <w:pStyle w:val="TOC2"/>
        <w:tabs>
          <w:tab w:val="right" w:leader="dot" w:pos="9016"/>
        </w:tabs>
        <w:spacing w:before="180" w:after="180" w:line="240" w:lineRule="auto"/>
        <w:rPr>
          <w:rFonts w:ascii="Arial" w:eastAsiaTheme="minorEastAsia" w:hAnsi="Arial" w:cs="Arial"/>
          <w:noProof/>
          <w:lang w:eastAsia="en-AU"/>
        </w:rPr>
      </w:pPr>
      <w:hyperlink w:anchor="_Toc46322594" w:history="1">
        <w:r w:rsidR="00E91C18" w:rsidRPr="00B50F63">
          <w:rPr>
            <w:rStyle w:val="Hyperlink"/>
            <w:rFonts w:ascii="Arial" w:hAnsi="Arial" w:cs="Arial"/>
            <w:noProof/>
            <w:color w:val="auto"/>
            <w:u w:val="none"/>
          </w:rPr>
          <w:t>Priority area 1: Public safety, personal security and behaviour change</w:t>
        </w:r>
        <w:r w:rsidR="00E91C18" w:rsidRPr="00B50F63">
          <w:rPr>
            <w:rFonts w:ascii="Arial" w:hAnsi="Arial" w:cs="Arial"/>
            <w:noProof/>
            <w:webHidden/>
          </w:rPr>
          <w:tab/>
        </w:r>
        <w:r w:rsidR="00E91C18" w:rsidRPr="00B50F63">
          <w:rPr>
            <w:rFonts w:ascii="Arial" w:hAnsi="Arial" w:cs="Arial"/>
            <w:noProof/>
            <w:webHidden/>
          </w:rPr>
          <w:fldChar w:fldCharType="begin"/>
        </w:r>
        <w:r w:rsidR="00E91C18" w:rsidRPr="00B50F63">
          <w:rPr>
            <w:rFonts w:ascii="Arial" w:hAnsi="Arial" w:cs="Arial"/>
            <w:noProof/>
            <w:webHidden/>
          </w:rPr>
          <w:instrText xml:space="preserve"> PAGEREF _Toc46322594 \h </w:instrText>
        </w:r>
        <w:r w:rsidR="00E91C18" w:rsidRPr="00B50F63">
          <w:rPr>
            <w:rFonts w:ascii="Arial" w:hAnsi="Arial" w:cs="Arial"/>
            <w:noProof/>
            <w:webHidden/>
          </w:rPr>
        </w:r>
        <w:r w:rsidR="00E91C18" w:rsidRPr="00B50F63">
          <w:rPr>
            <w:rFonts w:ascii="Arial" w:hAnsi="Arial" w:cs="Arial"/>
            <w:noProof/>
            <w:webHidden/>
          </w:rPr>
          <w:fldChar w:fldCharType="separate"/>
        </w:r>
        <w:r w:rsidR="00E91C18" w:rsidRPr="00B50F63">
          <w:rPr>
            <w:rFonts w:ascii="Arial" w:hAnsi="Arial" w:cs="Arial"/>
            <w:noProof/>
            <w:webHidden/>
          </w:rPr>
          <w:t>7</w:t>
        </w:r>
        <w:r w:rsidR="00E91C18" w:rsidRPr="00B50F63">
          <w:rPr>
            <w:rFonts w:ascii="Arial" w:hAnsi="Arial" w:cs="Arial"/>
            <w:noProof/>
            <w:webHidden/>
          </w:rPr>
          <w:fldChar w:fldCharType="end"/>
        </w:r>
      </w:hyperlink>
    </w:p>
    <w:p w14:paraId="77367F05" w14:textId="7EF037A3" w:rsidR="00E91C18" w:rsidRPr="00B50F63" w:rsidRDefault="00000000" w:rsidP="007A4E85">
      <w:pPr>
        <w:pStyle w:val="TOC2"/>
        <w:tabs>
          <w:tab w:val="right" w:leader="dot" w:pos="9016"/>
        </w:tabs>
        <w:spacing w:before="180" w:after="180" w:line="240" w:lineRule="auto"/>
        <w:rPr>
          <w:rFonts w:ascii="Arial" w:eastAsiaTheme="minorEastAsia" w:hAnsi="Arial" w:cs="Arial"/>
          <w:noProof/>
          <w:lang w:eastAsia="en-AU"/>
        </w:rPr>
      </w:pPr>
      <w:hyperlink w:anchor="_Toc46322595" w:history="1">
        <w:r w:rsidR="001B315B" w:rsidRPr="00B50F63">
          <w:rPr>
            <w:rStyle w:val="Hyperlink"/>
            <w:rFonts w:ascii="Arial" w:hAnsi="Arial" w:cs="Arial"/>
            <w:noProof/>
            <w:color w:val="auto"/>
            <w:u w:val="none"/>
          </w:rPr>
          <w:t>Priority area 2: Social cohesion, civic pride and community spirit</w:t>
        </w:r>
        <w:r w:rsidR="001B315B" w:rsidRPr="00B50F63">
          <w:rPr>
            <w:rFonts w:ascii="Arial" w:hAnsi="Arial" w:cs="Arial"/>
            <w:noProof/>
            <w:webHidden/>
          </w:rPr>
          <w:tab/>
        </w:r>
        <w:r w:rsidR="002B0D61">
          <w:rPr>
            <w:rFonts w:ascii="Arial" w:hAnsi="Arial" w:cs="Arial"/>
            <w:noProof/>
            <w:webHidden/>
          </w:rPr>
          <w:t>8</w:t>
        </w:r>
      </w:hyperlink>
    </w:p>
    <w:p w14:paraId="00B3DD54" w14:textId="10AC92F8" w:rsidR="00E91C18" w:rsidRPr="00B50F63" w:rsidRDefault="00000000" w:rsidP="007A4E85">
      <w:pPr>
        <w:pStyle w:val="TOC2"/>
        <w:tabs>
          <w:tab w:val="right" w:leader="dot" w:pos="9016"/>
        </w:tabs>
        <w:spacing w:before="180" w:after="180" w:line="240" w:lineRule="auto"/>
        <w:rPr>
          <w:rFonts w:ascii="Arial" w:eastAsiaTheme="minorEastAsia" w:hAnsi="Arial" w:cs="Arial"/>
          <w:noProof/>
          <w:lang w:eastAsia="en-AU"/>
        </w:rPr>
      </w:pPr>
      <w:hyperlink w:anchor="_Toc46322596" w:history="1">
        <w:r w:rsidR="001B315B" w:rsidRPr="00B50F63">
          <w:rPr>
            <w:rStyle w:val="Hyperlink"/>
            <w:rFonts w:ascii="Arial" w:hAnsi="Arial" w:cs="Arial"/>
            <w:noProof/>
            <w:color w:val="auto"/>
            <w:u w:val="none"/>
          </w:rPr>
          <w:t>Priority area 3: Commercial and economic investment in Victoria</w:t>
        </w:r>
        <w:r w:rsidR="001B315B" w:rsidRPr="00B50F63">
          <w:rPr>
            <w:rFonts w:ascii="Arial" w:hAnsi="Arial" w:cs="Arial"/>
            <w:noProof/>
            <w:webHidden/>
          </w:rPr>
          <w:tab/>
        </w:r>
        <w:r w:rsidR="002B0D61">
          <w:rPr>
            <w:rFonts w:ascii="Arial" w:hAnsi="Arial" w:cs="Arial"/>
            <w:noProof/>
            <w:webHidden/>
          </w:rPr>
          <w:t>9</w:t>
        </w:r>
      </w:hyperlink>
    </w:p>
    <w:p w14:paraId="0F3E9265" w14:textId="48C4C331" w:rsidR="00E91C18" w:rsidRPr="00B50F63" w:rsidRDefault="00000000" w:rsidP="007A4E85">
      <w:pPr>
        <w:pStyle w:val="TOC2"/>
        <w:tabs>
          <w:tab w:val="right" w:leader="dot" w:pos="9016"/>
        </w:tabs>
        <w:spacing w:before="180" w:after="180" w:line="240" w:lineRule="auto"/>
        <w:rPr>
          <w:rFonts w:ascii="Arial" w:eastAsiaTheme="minorEastAsia" w:hAnsi="Arial" w:cs="Arial"/>
          <w:noProof/>
          <w:lang w:eastAsia="en-AU"/>
        </w:rPr>
      </w:pPr>
      <w:hyperlink w:anchor="_Toc46322597" w:history="1">
        <w:r w:rsidR="001B315B" w:rsidRPr="00B50F63">
          <w:rPr>
            <w:rStyle w:val="Hyperlink"/>
            <w:rFonts w:ascii="Arial" w:hAnsi="Arial" w:cs="Arial"/>
            <w:noProof/>
            <w:color w:val="auto"/>
            <w:u w:val="none"/>
          </w:rPr>
          <w:t>Priority area 4: Generation of revenue for institutions or events</w:t>
        </w:r>
        <w:r w:rsidR="001B315B" w:rsidRPr="00B50F63">
          <w:rPr>
            <w:rFonts w:ascii="Arial" w:hAnsi="Arial" w:cs="Arial"/>
            <w:noProof/>
            <w:webHidden/>
          </w:rPr>
          <w:tab/>
        </w:r>
        <w:r w:rsidR="002B0D61">
          <w:rPr>
            <w:rFonts w:ascii="Arial" w:hAnsi="Arial" w:cs="Arial"/>
            <w:noProof/>
            <w:webHidden/>
          </w:rPr>
          <w:t>10</w:t>
        </w:r>
      </w:hyperlink>
    </w:p>
    <w:p w14:paraId="6E82ECFB" w14:textId="535AD714" w:rsidR="00E91C18" w:rsidRPr="00B50F63" w:rsidRDefault="00000000" w:rsidP="007A4E85">
      <w:pPr>
        <w:pStyle w:val="TOC2"/>
        <w:tabs>
          <w:tab w:val="right" w:leader="dot" w:pos="9016"/>
        </w:tabs>
        <w:spacing w:before="180" w:after="180" w:line="240" w:lineRule="auto"/>
        <w:rPr>
          <w:rFonts w:ascii="Arial" w:eastAsiaTheme="minorEastAsia" w:hAnsi="Arial" w:cs="Arial"/>
          <w:noProof/>
          <w:lang w:eastAsia="en-AU"/>
        </w:rPr>
      </w:pPr>
      <w:hyperlink w:anchor="_Toc46322598" w:history="1">
        <w:r w:rsidR="001B315B" w:rsidRPr="00B50F63">
          <w:rPr>
            <w:rStyle w:val="Hyperlink"/>
            <w:rFonts w:ascii="Arial" w:hAnsi="Arial" w:cs="Arial"/>
            <w:noProof/>
            <w:color w:val="auto"/>
            <w:u w:val="none"/>
          </w:rPr>
          <w:t>Priority area 5: Compliance with legislative requirements</w:t>
        </w:r>
        <w:r w:rsidR="001B315B" w:rsidRPr="00B50F63">
          <w:rPr>
            <w:rFonts w:ascii="Arial" w:hAnsi="Arial" w:cs="Arial"/>
            <w:noProof/>
            <w:webHidden/>
          </w:rPr>
          <w:tab/>
        </w:r>
        <w:r w:rsidR="001B315B" w:rsidRPr="00B50F63">
          <w:rPr>
            <w:rFonts w:ascii="Arial" w:hAnsi="Arial" w:cs="Arial"/>
            <w:noProof/>
            <w:webHidden/>
          </w:rPr>
          <w:fldChar w:fldCharType="begin"/>
        </w:r>
        <w:r w:rsidR="001B315B" w:rsidRPr="00B50F63">
          <w:rPr>
            <w:rFonts w:ascii="Arial" w:hAnsi="Arial" w:cs="Arial"/>
            <w:noProof/>
            <w:webHidden/>
          </w:rPr>
          <w:instrText xml:space="preserve"> PAGEREF _Toc46322598 \h </w:instrText>
        </w:r>
        <w:r w:rsidR="001B315B" w:rsidRPr="00B50F63">
          <w:rPr>
            <w:rFonts w:ascii="Arial" w:hAnsi="Arial" w:cs="Arial"/>
            <w:noProof/>
            <w:webHidden/>
          </w:rPr>
        </w:r>
        <w:r w:rsidR="001B315B" w:rsidRPr="00B50F63">
          <w:rPr>
            <w:rFonts w:ascii="Arial" w:hAnsi="Arial" w:cs="Arial"/>
            <w:noProof/>
            <w:webHidden/>
          </w:rPr>
          <w:fldChar w:fldCharType="separate"/>
        </w:r>
        <w:r w:rsidR="001B315B" w:rsidRPr="00B50F63">
          <w:rPr>
            <w:rFonts w:ascii="Arial" w:hAnsi="Arial" w:cs="Arial"/>
            <w:noProof/>
            <w:webHidden/>
          </w:rPr>
          <w:t>1</w:t>
        </w:r>
        <w:r w:rsidR="002B0D61">
          <w:rPr>
            <w:rFonts w:ascii="Arial" w:hAnsi="Arial" w:cs="Arial"/>
            <w:noProof/>
            <w:webHidden/>
          </w:rPr>
          <w:t>1</w:t>
        </w:r>
        <w:r w:rsidR="001B315B" w:rsidRPr="00B50F63">
          <w:rPr>
            <w:rFonts w:ascii="Arial" w:hAnsi="Arial" w:cs="Arial"/>
            <w:noProof/>
            <w:webHidden/>
          </w:rPr>
          <w:fldChar w:fldCharType="end"/>
        </w:r>
      </w:hyperlink>
    </w:p>
    <w:p w14:paraId="1A49ABAD" w14:textId="77777777" w:rsidR="00A13EC5" w:rsidRPr="00B50F63" w:rsidRDefault="00A13EC5" w:rsidP="00A13EC5">
      <w:pPr>
        <w:spacing w:line="300" w:lineRule="atLeast"/>
        <w:rPr>
          <w:rFonts w:ascii="Arial" w:eastAsia="Times" w:hAnsi="Arial" w:cs="Arial"/>
        </w:rPr>
      </w:pPr>
      <w:r w:rsidRPr="00B50F63">
        <w:rPr>
          <w:rFonts w:ascii="Arial" w:eastAsia="Times" w:hAnsi="Arial" w:cs="Arial"/>
        </w:rPr>
        <w:br w:type="page"/>
      </w:r>
    </w:p>
    <w:p w14:paraId="2811A9B7" w14:textId="20FA7D38" w:rsidR="00E2240B" w:rsidRDefault="00E2240B" w:rsidP="00E2240B">
      <w:pPr>
        <w:pStyle w:val="Heading1"/>
      </w:pPr>
      <w:bookmarkStart w:id="11" w:name="_Toc46322588"/>
      <w:bookmarkStart w:id="12" w:name="_Toc101882006"/>
      <w:bookmarkStart w:id="13" w:name="_Toc101882064"/>
      <w:bookmarkStart w:id="14" w:name="_Toc120528389"/>
      <w:bookmarkStart w:id="15" w:name="_Toc120528731"/>
      <w:bookmarkStart w:id="16" w:name="_Toc120528962"/>
      <w:bookmarkStart w:id="17" w:name="_Toc120529159"/>
      <w:bookmarkStart w:id="18" w:name="_Toc494190901"/>
      <w:r>
        <w:lastRenderedPageBreak/>
        <w:t xml:space="preserve">About the </w:t>
      </w:r>
      <w:r w:rsidR="009B41A8">
        <w:t>202</w:t>
      </w:r>
      <w:r w:rsidR="007A7763">
        <w:t>2</w:t>
      </w:r>
      <w:r w:rsidR="009B41A8">
        <w:t>–2</w:t>
      </w:r>
      <w:r w:rsidR="007A7763">
        <w:t>3</w:t>
      </w:r>
      <w:r>
        <w:t xml:space="preserve"> advertising plan</w:t>
      </w:r>
      <w:bookmarkEnd w:id="11"/>
      <w:bookmarkEnd w:id="12"/>
      <w:bookmarkEnd w:id="13"/>
      <w:bookmarkEnd w:id="14"/>
      <w:bookmarkEnd w:id="15"/>
      <w:bookmarkEnd w:id="16"/>
      <w:bookmarkEnd w:id="17"/>
    </w:p>
    <w:p w14:paraId="48A89225" w14:textId="7D4C909A" w:rsidR="00E2240B" w:rsidRPr="00FB1B4A" w:rsidRDefault="00E2240B" w:rsidP="00E2240B">
      <w:pPr>
        <w:pStyle w:val="DPCbody"/>
      </w:pPr>
      <w:r>
        <w:t>By p</w:t>
      </w:r>
      <w:r w:rsidRPr="00FB1B4A">
        <w:t xml:space="preserve">ublishing </w:t>
      </w:r>
      <w:r>
        <w:t xml:space="preserve">the </w:t>
      </w:r>
      <w:r w:rsidRPr="00FB1B4A">
        <w:rPr>
          <w:i/>
        </w:rPr>
        <w:t xml:space="preserve">Victorian Government Advertising Plan </w:t>
      </w:r>
      <w:r w:rsidR="000D02B7">
        <w:rPr>
          <w:i/>
        </w:rPr>
        <w:t>2022-23</w:t>
      </w:r>
      <w:r>
        <w:rPr>
          <w:i/>
        </w:rPr>
        <w:t xml:space="preserve">, </w:t>
      </w:r>
      <w:r w:rsidRPr="00FB1B4A">
        <w:t>the</w:t>
      </w:r>
      <w:r w:rsidRPr="00FB1B4A">
        <w:rPr>
          <w:i/>
        </w:rPr>
        <w:t xml:space="preserve"> </w:t>
      </w:r>
      <w:r w:rsidRPr="0076449B">
        <w:rPr>
          <w:iCs/>
        </w:rPr>
        <w:t>Victorian Government</w:t>
      </w:r>
      <w:r w:rsidRPr="00FB1B4A">
        <w:t xml:space="preserve"> </w:t>
      </w:r>
      <w:r>
        <w:t xml:space="preserve">continues its </w:t>
      </w:r>
      <w:r w:rsidRPr="00FB1B4A">
        <w:t xml:space="preserve">commitment to maintaining transparency on government advertising expenditure. </w:t>
      </w:r>
    </w:p>
    <w:p w14:paraId="6F7C334D" w14:textId="7C77DE9B" w:rsidR="00136338" w:rsidRDefault="00E2240B" w:rsidP="00136338">
      <w:pPr>
        <w:pStyle w:val="DPCbody"/>
      </w:pPr>
      <w:r w:rsidRPr="00FB1B4A">
        <w:t xml:space="preserve">In developing the </w:t>
      </w:r>
      <w:r>
        <w:t xml:space="preserve">advertising plan for </w:t>
      </w:r>
      <w:r w:rsidR="009B41A8">
        <w:t>202</w:t>
      </w:r>
      <w:r w:rsidR="007A7763">
        <w:t>2</w:t>
      </w:r>
      <w:r w:rsidR="009B41A8">
        <w:t>–2</w:t>
      </w:r>
      <w:r w:rsidR="007A7763">
        <w:t>3</w:t>
      </w:r>
      <w:r w:rsidRPr="00FB1B4A">
        <w:t xml:space="preserve">, each advertising campaign proposed by Victorian Government departments </w:t>
      </w:r>
      <w:r>
        <w:t xml:space="preserve">and </w:t>
      </w:r>
      <w:r w:rsidRPr="00FB1B4A">
        <w:t xml:space="preserve">agencies was carefully considered and assessed. </w:t>
      </w:r>
    </w:p>
    <w:p w14:paraId="377D8BB3" w14:textId="73F4B6D5" w:rsidR="00136338" w:rsidRDefault="00136338" w:rsidP="00136338">
      <w:pPr>
        <w:pStyle w:val="DPCbody"/>
      </w:pPr>
      <w:r>
        <w:t xml:space="preserve">The government’s </w:t>
      </w:r>
      <w:r w:rsidR="009B41A8">
        <w:t>202</w:t>
      </w:r>
      <w:r w:rsidR="007A7763">
        <w:t>2</w:t>
      </w:r>
      <w:r w:rsidR="009B41A8">
        <w:t>–2</w:t>
      </w:r>
      <w:r w:rsidR="007A7763">
        <w:t>3</w:t>
      </w:r>
      <w:r>
        <w:t xml:space="preserve"> advertising plan include</w:t>
      </w:r>
      <w:r w:rsidR="00DA5D79">
        <w:t>d</w:t>
      </w:r>
      <w:r>
        <w:t xml:space="preserve"> allowance for significant </w:t>
      </w:r>
      <w:r w:rsidRPr="00DB765B">
        <w:t>campaign</w:t>
      </w:r>
      <w:r w:rsidR="00E102C7">
        <w:t xml:space="preserve"> advertising </w:t>
      </w:r>
      <w:r>
        <w:t xml:space="preserve">to </w:t>
      </w:r>
      <w:r w:rsidRPr="007303D8">
        <w:t xml:space="preserve">support the Victorian community, business and organisations to </w:t>
      </w:r>
      <w:r w:rsidR="000D02B7">
        <w:t xml:space="preserve">continue to </w:t>
      </w:r>
      <w:r w:rsidRPr="007303D8">
        <w:t xml:space="preserve">recover </w:t>
      </w:r>
      <w:r w:rsidR="000D02B7">
        <w:t xml:space="preserve">from the COVID-19 pandemic </w:t>
      </w:r>
      <w:r w:rsidRPr="007303D8">
        <w:t xml:space="preserve">during </w:t>
      </w:r>
      <w:r w:rsidR="009B41A8">
        <w:t>202</w:t>
      </w:r>
      <w:r w:rsidR="007A7763">
        <w:t>2</w:t>
      </w:r>
      <w:r w:rsidR="009B41A8">
        <w:t>–2</w:t>
      </w:r>
      <w:r w:rsidR="007A7763">
        <w:t>3</w:t>
      </w:r>
      <w:r w:rsidRPr="007303D8">
        <w:t xml:space="preserve"> and beyond.</w:t>
      </w:r>
      <w:r w:rsidR="002400F8">
        <w:t xml:space="preserve"> This includes investing in interstate and international advertising to promote Victoria as tourism destination, recruitment campaigns promoting roles in the education, healthcare and community services sectors, and promoting the Jobs Victoria </w:t>
      </w:r>
      <w:r w:rsidR="006D1135">
        <w:t xml:space="preserve">and Sick Pay Guarantee </w:t>
      </w:r>
      <w:r w:rsidR="002400F8">
        <w:t>initiative</w:t>
      </w:r>
      <w:r w:rsidR="006D1135">
        <w:t>s</w:t>
      </w:r>
      <w:r w:rsidR="002400F8">
        <w:t xml:space="preserve">. </w:t>
      </w:r>
    </w:p>
    <w:p w14:paraId="5F1B7EA9" w14:textId="6D91AD1C" w:rsidR="00E2240B" w:rsidRPr="00FB1B4A" w:rsidRDefault="00136338" w:rsidP="00E2240B">
      <w:pPr>
        <w:pStyle w:val="DPCbody"/>
      </w:pPr>
      <w:r>
        <w:t>As in previous years</w:t>
      </w:r>
      <w:r w:rsidR="00E2240B">
        <w:t xml:space="preserve">, </w:t>
      </w:r>
      <w:r>
        <w:t xml:space="preserve">the plan </w:t>
      </w:r>
      <w:r w:rsidR="002400F8">
        <w:t xml:space="preserve">also </w:t>
      </w:r>
      <w:r>
        <w:t xml:space="preserve">includes campaigns raising awareness of </w:t>
      </w:r>
      <w:r w:rsidR="00E2240B" w:rsidRPr="00DB765B">
        <w:t>disruptions and service changes caused by major road and rail infrastructure projects</w:t>
      </w:r>
      <w:r w:rsidR="00E2240B">
        <w:t xml:space="preserve">, </w:t>
      </w:r>
      <w:r w:rsidR="00E2240B" w:rsidRPr="00DB765B">
        <w:t>and campaigns</w:t>
      </w:r>
      <w:r w:rsidR="002400F8">
        <w:t xml:space="preserve"> </w:t>
      </w:r>
      <w:r w:rsidR="0075772F">
        <w:t xml:space="preserve">promoting fire and water safety </w:t>
      </w:r>
      <w:r w:rsidR="00E102C7">
        <w:t xml:space="preserve">during </w:t>
      </w:r>
      <w:r w:rsidR="0075772F">
        <w:t>summer, road safety</w:t>
      </w:r>
      <w:r w:rsidR="002400F8">
        <w:t xml:space="preserve"> and safety in the workplace</w:t>
      </w:r>
      <w:r w:rsidR="0075772F">
        <w:t xml:space="preserve">, </w:t>
      </w:r>
      <w:r w:rsidR="00E2240B" w:rsidRPr="00DB765B">
        <w:t xml:space="preserve">and </w:t>
      </w:r>
      <w:r w:rsidR="002400F8">
        <w:t xml:space="preserve">supporting </w:t>
      </w:r>
      <w:r w:rsidR="00E2240B" w:rsidRPr="00DB765B">
        <w:t>the TAFE sector.</w:t>
      </w:r>
      <w:r w:rsidR="00A47143">
        <w:t xml:space="preserve"> The 2022–23 plan also include</w:t>
      </w:r>
      <w:r w:rsidR="006D1135">
        <w:t xml:space="preserve">d </w:t>
      </w:r>
      <w:r w:rsidR="00A47143">
        <w:t xml:space="preserve">a major </w:t>
      </w:r>
      <w:r w:rsidR="006D1135">
        <w:t xml:space="preserve">statewide </w:t>
      </w:r>
      <w:r w:rsidR="00A47143">
        <w:t xml:space="preserve">campaign by the Victorian Electoral Commission </w:t>
      </w:r>
      <w:r w:rsidR="006D1135" w:rsidRPr="006D1135">
        <w:t>to raise awareness among eligible Victorian</w:t>
      </w:r>
      <w:r w:rsidR="006D1135">
        <w:t>s</w:t>
      </w:r>
      <w:r w:rsidR="006D1135" w:rsidRPr="006D1135">
        <w:t xml:space="preserve"> of the requirement to be correctly enrolled and vote in the 2022 State election</w:t>
      </w:r>
      <w:r w:rsidR="006D1135">
        <w:t>.</w:t>
      </w:r>
    </w:p>
    <w:p w14:paraId="3CD6F75B" w14:textId="4E1D2DDF" w:rsidR="00E2240B" w:rsidRPr="00FB1B4A" w:rsidRDefault="00E2240B" w:rsidP="00E2240B">
      <w:pPr>
        <w:pStyle w:val="DPCbody"/>
      </w:pPr>
      <w:r w:rsidRPr="00C0671E">
        <w:rPr>
          <w:lang w:val="en-GB"/>
        </w:rPr>
        <w:t xml:space="preserve">The government considers </w:t>
      </w:r>
      <w:r>
        <w:rPr>
          <w:lang w:val="en-GB"/>
        </w:rPr>
        <w:t xml:space="preserve">these activities </w:t>
      </w:r>
      <w:r w:rsidRPr="00C0671E">
        <w:rPr>
          <w:lang w:val="en-GB"/>
        </w:rPr>
        <w:t xml:space="preserve">critical to delivering </w:t>
      </w:r>
      <w:r>
        <w:rPr>
          <w:lang w:val="en-GB"/>
        </w:rPr>
        <w:t xml:space="preserve">its </w:t>
      </w:r>
      <w:r w:rsidRPr="00C0671E">
        <w:rPr>
          <w:lang w:val="en-GB"/>
        </w:rPr>
        <w:t>strategic priorities for Victoria</w:t>
      </w:r>
      <w:r>
        <w:rPr>
          <w:lang w:val="en-GB"/>
        </w:rPr>
        <w:t>,</w:t>
      </w:r>
      <w:r w:rsidRPr="00C0671E">
        <w:rPr>
          <w:lang w:val="en-GB"/>
        </w:rPr>
        <w:t xml:space="preserve"> while representing an effective investment of public money</w:t>
      </w:r>
      <w:r>
        <w:rPr>
          <w:lang w:val="en-GB"/>
        </w:rPr>
        <w:t xml:space="preserve">.  </w:t>
      </w:r>
    </w:p>
    <w:p w14:paraId="1DDC2F5C" w14:textId="1FDE2D4E" w:rsidR="00E2240B" w:rsidRDefault="0075772F" w:rsidP="00E2240B">
      <w:pPr>
        <w:pStyle w:val="DPCbody"/>
      </w:pPr>
      <w:r>
        <w:t>E</w:t>
      </w:r>
      <w:r w:rsidR="00E2240B" w:rsidRPr="00FB1B4A">
        <w:t xml:space="preserve">ach individual campaign </w:t>
      </w:r>
      <w:r>
        <w:t xml:space="preserve">included in the government’s </w:t>
      </w:r>
      <w:r w:rsidR="00E102C7">
        <w:t xml:space="preserve">annual </w:t>
      </w:r>
      <w:r>
        <w:t xml:space="preserve">plan undergoes a </w:t>
      </w:r>
      <w:r w:rsidR="002400F8">
        <w:t xml:space="preserve">detailed review process </w:t>
      </w:r>
      <w:r w:rsidR="00E102C7">
        <w:t xml:space="preserve">before </w:t>
      </w:r>
      <w:r w:rsidR="002400F8">
        <w:t xml:space="preserve">being approved to </w:t>
      </w:r>
      <w:r w:rsidR="00E102C7">
        <w:t xml:space="preserve">commence, </w:t>
      </w:r>
      <w:r w:rsidR="00E2240B" w:rsidRPr="00FB1B4A">
        <w:t xml:space="preserve">to ensure the level of </w:t>
      </w:r>
      <w:r w:rsidR="00E2240B">
        <w:t xml:space="preserve">advertising </w:t>
      </w:r>
      <w:r w:rsidR="00E2240B" w:rsidRPr="00FB1B4A">
        <w:t xml:space="preserve">expenditure planned for </w:t>
      </w:r>
      <w:r w:rsidR="00E2240B">
        <w:t xml:space="preserve">the </w:t>
      </w:r>
      <w:r w:rsidR="00E2240B" w:rsidRPr="00FB1B4A">
        <w:t xml:space="preserve">campaign is prudent and represents the minimum amount required to achieve the campaign’s strategic objectives. </w:t>
      </w:r>
    </w:p>
    <w:p w14:paraId="231192F9" w14:textId="77777777" w:rsidR="00E2240B" w:rsidRPr="00E2240B" w:rsidRDefault="00E2240B" w:rsidP="00E2240B">
      <w:pPr>
        <w:pStyle w:val="Heading2"/>
        <w:rPr>
          <w:rFonts w:ascii="Arial" w:hAnsi="Arial" w:cs="Arial"/>
          <w:b/>
          <w:bCs/>
        </w:rPr>
      </w:pPr>
      <w:bookmarkStart w:id="19" w:name="_Toc46322589"/>
      <w:bookmarkStart w:id="20" w:name="_Toc101882007"/>
      <w:bookmarkStart w:id="21" w:name="_Toc120528390"/>
      <w:bookmarkStart w:id="22" w:name="_Toc120528732"/>
      <w:bookmarkStart w:id="23" w:name="_Toc120528963"/>
      <w:bookmarkStart w:id="24" w:name="_Toc120529160"/>
      <w:r w:rsidRPr="00E2240B">
        <w:rPr>
          <w:rFonts w:ascii="Arial" w:hAnsi="Arial" w:cs="Arial"/>
          <w:b/>
          <w:bCs/>
        </w:rPr>
        <w:t>Adjusting the annual advertising plan</w:t>
      </w:r>
      <w:bookmarkEnd w:id="19"/>
      <w:bookmarkEnd w:id="20"/>
      <w:bookmarkEnd w:id="21"/>
      <w:bookmarkEnd w:id="22"/>
      <w:bookmarkEnd w:id="23"/>
      <w:bookmarkEnd w:id="24"/>
      <w:r w:rsidRPr="00E2240B">
        <w:rPr>
          <w:rFonts w:ascii="Arial" w:hAnsi="Arial" w:cs="Arial"/>
          <w:b/>
          <w:bCs/>
        </w:rPr>
        <w:t xml:space="preserve"> </w:t>
      </w:r>
    </w:p>
    <w:p w14:paraId="744016EC" w14:textId="20CD3EE5" w:rsidR="00E2240B" w:rsidRPr="00FB1B4A" w:rsidRDefault="00E2240B" w:rsidP="00E2240B">
      <w:pPr>
        <w:pStyle w:val="DPCbody"/>
      </w:pPr>
      <w:r w:rsidRPr="00FB1B4A">
        <w:t xml:space="preserve">Government advertising priorities may change </w:t>
      </w:r>
      <w:r>
        <w:t xml:space="preserve">throughout the year </w:t>
      </w:r>
      <w:r w:rsidRPr="00FB1B4A">
        <w:t>in response to changing circumstances or emerging issues</w:t>
      </w:r>
      <w:r w:rsidR="006A1C83">
        <w:t xml:space="preserve"> (such as natural disasters or the COVID-19 pandemic).</w:t>
      </w:r>
      <w:r w:rsidRPr="00FB1B4A">
        <w:t xml:space="preserve"> Therefore, some advertising included within the </w:t>
      </w:r>
      <w:r w:rsidR="00DA5D79">
        <w:t xml:space="preserve">government’s annual advertising plan </w:t>
      </w:r>
      <w:r w:rsidR="006A1C83">
        <w:t xml:space="preserve">may </w:t>
      </w:r>
      <w:r w:rsidRPr="00FB1B4A">
        <w:t xml:space="preserve">not take place as </w:t>
      </w:r>
      <w:r w:rsidR="006A1C83">
        <w:t>planned</w:t>
      </w:r>
      <w:r w:rsidRPr="00FB1B4A">
        <w:t xml:space="preserve">, while additional advertising </w:t>
      </w:r>
      <w:r w:rsidR="006A1C83">
        <w:t xml:space="preserve">may </w:t>
      </w:r>
      <w:r w:rsidR="007303D8">
        <w:t xml:space="preserve">be </w:t>
      </w:r>
      <w:r>
        <w:t xml:space="preserve">required </w:t>
      </w:r>
      <w:r w:rsidRPr="00FB1B4A">
        <w:t xml:space="preserve">that </w:t>
      </w:r>
      <w:r>
        <w:t xml:space="preserve">was </w:t>
      </w:r>
      <w:r w:rsidRPr="00FB1B4A">
        <w:t>not anticipated</w:t>
      </w:r>
      <w:r>
        <w:t xml:space="preserve"> when the plan was </w:t>
      </w:r>
      <w:r w:rsidR="0075772F">
        <w:t xml:space="preserve">initially </w:t>
      </w:r>
      <w:r>
        <w:t>developed</w:t>
      </w:r>
      <w:r w:rsidR="0075772F">
        <w:t xml:space="preserve"> and approved</w:t>
      </w:r>
      <w:r w:rsidRPr="00FB1B4A">
        <w:t xml:space="preserve">. </w:t>
      </w:r>
    </w:p>
    <w:p w14:paraId="59BC4BFA" w14:textId="0EC7806B" w:rsidR="00E2240B" w:rsidRDefault="00E2240B" w:rsidP="00E2240B">
      <w:pPr>
        <w:pStyle w:val="DPCbody"/>
      </w:pPr>
      <w:r w:rsidRPr="00FB1B4A">
        <w:t>Advertising necessary to alert the community to unexpected emergencies (such as severe heat warnings</w:t>
      </w:r>
      <w:r w:rsidR="000D02B7">
        <w:t xml:space="preserve"> or floods</w:t>
      </w:r>
      <w:r w:rsidRPr="00FB1B4A">
        <w:t xml:space="preserve">) </w:t>
      </w:r>
      <w:r>
        <w:t>is</w:t>
      </w:r>
      <w:r w:rsidRPr="00FB1B4A">
        <w:t xml:space="preserve"> considered on a case-by-case basis and is not included </w:t>
      </w:r>
      <w:r>
        <w:t>i</w:t>
      </w:r>
      <w:r w:rsidRPr="00FB1B4A">
        <w:t xml:space="preserve">n </w:t>
      </w:r>
      <w:r w:rsidR="006540AE">
        <w:t>the</w:t>
      </w:r>
      <w:r w:rsidRPr="00FB1B4A">
        <w:t xml:space="preserve"> annual </w:t>
      </w:r>
      <w:r>
        <w:t xml:space="preserve">advertising </w:t>
      </w:r>
      <w:r w:rsidRPr="00FB1B4A">
        <w:t>plan.</w:t>
      </w:r>
      <w:r>
        <w:t xml:space="preserve"> </w:t>
      </w:r>
    </w:p>
    <w:p w14:paraId="27BB938F" w14:textId="77777777" w:rsidR="00E2240B" w:rsidRPr="00E2240B" w:rsidRDefault="00E2240B" w:rsidP="00E2240B">
      <w:pPr>
        <w:pStyle w:val="Heading2"/>
        <w:rPr>
          <w:rFonts w:ascii="Arial" w:hAnsi="Arial" w:cs="Arial"/>
          <w:b/>
          <w:bCs/>
        </w:rPr>
      </w:pPr>
      <w:bookmarkStart w:id="25" w:name="_Toc46322590"/>
      <w:bookmarkStart w:id="26" w:name="_Toc101882008"/>
      <w:bookmarkStart w:id="27" w:name="_Toc120528391"/>
      <w:bookmarkStart w:id="28" w:name="_Toc120528733"/>
      <w:bookmarkStart w:id="29" w:name="_Toc120528964"/>
      <w:bookmarkStart w:id="30" w:name="_Toc120529161"/>
      <w:r w:rsidRPr="00E2240B">
        <w:rPr>
          <w:rFonts w:ascii="Arial" w:hAnsi="Arial" w:cs="Arial"/>
          <w:b/>
          <w:bCs/>
        </w:rPr>
        <w:t>Reporting on government advertising expenditure</w:t>
      </w:r>
      <w:bookmarkEnd w:id="25"/>
      <w:bookmarkEnd w:id="26"/>
      <w:bookmarkEnd w:id="27"/>
      <w:bookmarkEnd w:id="28"/>
      <w:bookmarkEnd w:id="29"/>
      <w:bookmarkEnd w:id="30"/>
    </w:p>
    <w:p w14:paraId="62189157" w14:textId="45DF32CB" w:rsidR="00E2240B" w:rsidRPr="002527B8" w:rsidRDefault="00E2240B" w:rsidP="00E2240B">
      <w:pPr>
        <w:pStyle w:val="DPCbody"/>
      </w:pPr>
      <w:r w:rsidRPr="002527B8">
        <w:t xml:space="preserve">Each year, the Victorian Government publishes a report </w:t>
      </w:r>
      <w:r>
        <w:t xml:space="preserve">on </w:t>
      </w:r>
      <w:r w:rsidRPr="002527B8">
        <w:t xml:space="preserve">total government advertising expenditure for the </w:t>
      </w:r>
      <w:r>
        <w:t>previous</w:t>
      </w:r>
      <w:r w:rsidRPr="002527B8">
        <w:t xml:space="preserve"> financial year, </w:t>
      </w:r>
      <w:r w:rsidR="00DA5D79">
        <w:t xml:space="preserve">and </w:t>
      </w:r>
      <w:r w:rsidRPr="002527B8">
        <w:t xml:space="preserve">a </w:t>
      </w:r>
      <w:r>
        <w:t xml:space="preserve">report </w:t>
      </w:r>
      <w:r w:rsidRPr="002527B8">
        <w:t>summar</w:t>
      </w:r>
      <w:r>
        <w:t xml:space="preserve">ising </w:t>
      </w:r>
      <w:r w:rsidRPr="002527B8">
        <w:t>significant advertising campaigns undertaken during the year</w:t>
      </w:r>
      <w:r w:rsidRPr="00FD434D">
        <w:t>.</w:t>
      </w:r>
      <w:r>
        <w:t xml:space="preserve"> </w:t>
      </w:r>
      <w:r w:rsidR="00492B15">
        <w:t>T</w:t>
      </w:r>
      <w:r w:rsidRPr="00FD434D">
        <w:t>hese</w:t>
      </w:r>
      <w:r>
        <w:t xml:space="preserve"> reports can be found online at </w:t>
      </w:r>
      <w:r w:rsidRPr="00CF31DE">
        <w:rPr>
          <w:color w:val="0070C0"/>
          <w:u w:val="single"/>
        </w:rPr>
        <w:t>www.vic.gov.au/advertising-plans-and-spend</w:t>
      </w:r>
      <w:r>
        <w:t>.</w:t>
      </w:r>
    </w:p>
    <w:p w14:paraId="638C9FE1" w14:textId="743A1554" w:rsidR="00E2240B" w:rsidRDefault="00E2240B" w:rsidP="00E2240B">
      <w:pPr>
        <w:pStyle w:val="DPCbody"/>
      </w:pPr>
      <w:r>
        <w:t>D</w:t>
      </w:r>
      <w:r w:rsidRPr="002527B8">
        <w:t>epartments</w:t>
      </w:r>
      <w:r>
        <w:t xml:space="preserve"> </w:t>
      </w:r>
      <w:r w:rsidRPr="002527B8">
        <w:t>and agencies</w:t>
      </w:r>
      <w:r>
        <w:t xml:space="preserve"> also report details of any </w:t>
      </w:r>
      <w:r w:rsidRPr="002527B8">
        <w:t xml:space="preserve">advertising campaigns with media advertising costs </w:t>
      </w:r>
      <w:r>
        <w:t xml:space="preserve">of </w:t>
      </w:r>
      <w:r w:rsidRPr="002527B8">
        <w:t xml:space="preserve">$100,000 </w:t>
      </w:r>
      <w:r>
        <w:t xml:space="preserve">or more, within their </w:t>
      </w:r>
      <w:r w:rsidR="00DA5D79">
        <w:t xml:space="preserve">respective </w:t>
      </w:r>
      <w:r w:rsidRPr="002527B8">
        <w:t>annual reports.</w:t>
      </w:r>
    </w:p>
    <w:p w14:paraId="2A44F954" w14:textId="77777777" w:rsidR="00756D6C" w:rsidRPr="00756D6C" w:rsidRDefault="00756D6C" w:rsidP="00756D6C">
      <w:pPr>
        <w:pStyle w:val="Heading2"/>
        <w:rPr>
          <w:rFonts w:ascii="Arial" w:hAnsi="Arial" w:cs="Arial"/>
          <w:b/>
          <w:bCs/>
        </w:rPr>
      </w:pPr>
      <w:bookmarkStart w:id="31" w:name="_Toc46322591"/>
      <w:bookmarkStart w:id="32" w:name="_Toc101882009"/>
      <w:bookmarkStart w:id="33" w:name="_Toc120528392"/>
      <w:bookmarkStart w:id="34" w:name="_Toc120528734"/>
      <w:bookmarkStart w:id="35" w:name="_Toc120528965"/>
      <w:bookmarkStart w:id="36" w:name="_Toc120529162"/>
      <w:bookmarkEnd w:id="18"/>
      <w:r w:rsidRPr="00756D6C">
        <w:rPr>
          <w:rFonts w:ascii="Arial" w:hAnsi="Arial" w:cs="Arial"/>
          <w:b/>
          <w:bCs/>
        </w:rPr>
        <w:lastRenderedPageBreak/>
        <w:t>Non-campaign advertising</w:t>
      </w:r>
      <w:bookmarkEnd w:id="31"/>
      <w:bookmarkEnd w:id="32"/>
      <w:bookmarkEnd w:id="33"/>
      <w:bookmarkEnd w:id="34"/>
      <w:bookmarkEnd w:id="35"/>
      <w:bookmarkEnd w:id="36"/>
    </w:p>
    <w:p w14:paraId="331DCF7A" w14:textId="0998212F" w:rsidR="00756D6C" w:rsidRDefault="00756D6C" w:rsidP="00756D6C">
      <w:pPr>
        <w:pStyle w:val="DPCbody"/>
      </w:pPr>
      <w:r>
        <w:t xml:space="preserve">This advertising plan summarises Victorian Government advertising campaigns </w:t>
      </w:r>
      <w:r w:rsidR="008B0930">
        <w:t xml:space="preserve">undertaken in </w:t>
      </w:r>
      <w:r w:rsidR="009B41A8">
        <w:t>202</w:t>
      </w:r>
      <w:r w:rsidR="007A7763">
        <w:t>2</w:t>
      </w:r>
      <w:r w:rsidR="009B41A8">
        <w:t>–2</w:t>
      </w:r>
      <w:r w:rsidR="007A7763">
        <w:t>3</w:t>
      </w:r>
      <w:r>
        <w:t xml:space="preserve">. </w:t>
      </w:r>
      <w:r w:rsidR="00E102C7">
        <w:t>As detailed above, ‘c</w:t>
      </w:r>
      <w:r>
        <w:t>ampaign</w:t>
      </w:r>
      <w:r w:rsidR="00E102C7">
        <w:t xml:space="preserve">’ </w:t>
      </w:r>
      <w:r>
        <w:t xml:space="preserve">advertising is generally intended to communicate a particular message or change people’s behaviour over time – for example, </w:t>
      </w:r>
      <w:r w:rsidR="00E102C7">
        <w:t xml:space="preserve">TAC </w:t>
      </w:r>
      <w:r>
        <w:t xml:space="preserve">road safety campaigns. </w:t>
      </w:r>
    </w:p>
    <w:p w14:paraId="19AD4B7F" w14:textId="11D6AF87" w:rsidR="00756D6C" w:rsidRDefault="00756D6C" w:rsidP="00756D6C">
      <w:pPr>
        <w:pStyle w:val="DPCbody"/>
        <w:rPr>
          <w:color w:val="231F20"/>
          <w:lang w:val="en-GB"/>
        </w:rPr>
      </w:pPr>
      <w:r>
        <w:t xml:space="preserve">The Victorian Government also undertakes a range of ‘non-campaign’ advertising, which </w:t>
      </w:r>
      <w:r w:rsidR="0075772F">
        <w:t>comprises ‘functional</w:t>
      </w:r>
      <w:r w:rsidR="0075772F">
        <w:rPr>
          <w:lang w:val="en-GB"/>
        </w:rPr>
        <w:t xml:space="preserve">’ </w:t>
      </w:r>
      <w:r>
        <w:rPr>
          <w:lang w:val="en-GB"/>
        </w:rPr>
        <w:t xml:space="preserve">advertising </w:t>
      </w:r>
      <w:r w:rsidR="0075772F">
        <w:rPr>
          <w:lang w:val="en-GB"/>
        </w:rPr>
        <w:t>(such as</w:t>
      </w:r>
      <w:r w:rsidR="0075772F" w:rsidRPr="00071F91">
        <w:rPr>
          <w:color w:val="231F20"/>
          <w:spacing w:val="-2"/>
          <w:lang w:val="en-GB"/>
        </w:rPr>
        <w:t xml:space="preserve"> </w:t>
      </w:r>
      <w:r w:rsidR="0075772F" w:rsidRPr="00071F91">
        <w:rPr>
          <w:color w:val="231F20"/>
          <w:spacing w:val="-3"/>
          <w:lang w:val="en-GB"/>
        </w:rPr>
        <w:t>r</w:t>
      </w:r>
      <w:r w:rsidR="0075772F" w:rsidRPr="00071F91">
        <w:rPr>
          <w:color w:val="231F20"/>
          <w:lang w:val="en-GB"/>
        </w:rPr>
        <w:t>equests</w:t>
      </w:r>
      <w:r w:rsidR="0075772F" w:rsidRPr="00071F91">
        <w:rPr>
          <w:color w:val="231F20"/>
          <w:spacing w:val="5"/>
          <w:lang w:val="en-GB"/>
        </w:rPr>
        <w:t xml:space="preserve"> </w:t>
      </w:r>
      <w:r w:rsidR="0075772F" w:rsidRPr="00071F91">
        <w:rPr>
          <w:color w:val="231F20"/>
          <w:spacing w:val="-1"/>
          <w:lang w:val="en-GB"/>
        </w:rPr>
        <w:t>f</w:t>
      </w:r>
      <w:r w:rsidR="0075772F" w:rsidRPr="00071F91">
        <w:rPr>
          <w:color w:val="231F20"/>
          <w:lang w:val="en-GB"/>
        </w:rPr>
        <w:t>or</w:t>
      </w:r>
      <w:r w:rsidR="0075772F" w:rsidRPr="00071F91">
        <w:rPr>
          <w:color w:val="231F20"/>
          <w:spacing w:val="6"/>
          <w:lang w:val="en-GB"/>
        </w:rPr>
        <w:t xml:space="preserve"> </w:t>
      </w:r>
      <w:r w:rsidR="0075772F" w:rsidRPr="00071F91">
        <w:rPr>
          <w:color w:val="231F20"/>
          <w:lang w:val="en-GB"/>
        </w:rPr>
        <w:t>tende</w:t>
      </w:r>
      <w:r w:rsidR="0075772F" w:rsidRPr="00071F91">
        <w:rPr>
          <w:color w:val="231F20"/>
          <w:spacing w:val="-7"/>
          <w:lang w:val="en-GB"/>
        </w:rPr>
        <w:t>r</w:t>
      </w:r>
      <w:r w:rsidR="0075772F" w:rsidRPr="00071F91">
        <w:rPr>
          <w:color w:val="231F20"/>
          <w:lang w:val="en-GB"/>
        </w:rPr>
        <w:t>,</w:t>
      </w:r>
      <w:r w:rsidR="0075772F" w:rsidRPr="00071F91">
        <w:rPr>
          <w:color w:val="231F20"/>
          <w:spacing w:val="5"/>
          <w:lang w:val="en-GB"/>
        </w:rPr>
        <w:t xml:space="preserve"> </w:t>
      </w:r>
      <w:r w:rsidR="0075772F">
        <w:rPr>
          <w:color w:val="231F20"/>
          <w:spacing w:val="5"/>
          <w:lang w:val="en-GB"/>
        </w:rPr>
        <w:t xml:space="preserve">notifications about community consultations and </w:t>
      </w:r>
      <w:r w:rsidR="0075772F" w:rsidRPr="00071F91">
        <w:rPr>
          <w:color w:val="231F20"/>
          <w:spacing w:val="-3"/>
          <w:lang w:val="en-GB"/>
        </w:rPr>
        <w:t>r</w:t>
      </w:r>
      <w:r w:rsidR="0075772F" w:rsidRPr="00071F91">
        <w:rPr>
          <w:color w:val="231F20"/>
          <w:lang w:val="en-GB"/>
        </w:rPr>
        <w:t>oad</w:t>
      </w:r>
      <w:r w:rsidR="0075772F" w:rsidRPr="00071F91">
        <w:rPr>
          <w:color w:val="231F20"/>
          <w:spacing w:val="5"/>
          <w:lang w:val="en-GB"/>
        </w:rPr>
        <w:t xml:space="preserve"> </w:t>
      </w:r>
      <w:r w:rsidR="0075772F" w:rsidRPr="00071F91">
        <w:rPr>
          <w:color w:val="231F20"/>
          <w:lang w:val="en-GB"/>
        </w:rPr>
        <w:t>closu</w:t>
      </w:r>
      <w:r w:rsidR="0075772F" w:rsidRPr="00071F91">
        <w:rPr>
          <w:color w:val="231F20"/>
          <w:spacing w:val="-3"/>
          <w:lang w:val="en-GB"/>
        </w:rPr>
        <w:t>r</w:t>
      </w:r>
      <w:r w:rsidR="0075772F">
        <w:rPr>
          <w:color w:val="231F20"/>
          <w:lang w:val="en-GB"/>
        </w:rPr>
        <w:t>e</w:t>
      </w:r>
      <w:r w:rsidR="0075772F" w:rsidRPr="00071F91">
        <w:rPr>
          <w:color w:val="231F20"/>
          <w:spacing w:val="6"/>
          <w:lang w:val="en-GB"/>
        </w:rPr>
        <w:t xml:space="preserve"> </w:t>
      </w:r>
      <w:r w:rsidR="0075772F" w:rsidRPr="00071F91">
        <w:rPr>
          <w:color w:val="231F20"/>
          <w:lang w:val="en-GB"/>
        </w:rPr>
        <w:t>noti</w:t>
      </w:r>
      <w:r w:rsidR="0075772F" w:rsidRPr="00071F91">
        <w:rPr>
          <w:color w:val="231F20"/>
          <w:spacing w:val="-1"/>
          <w:lang w:val="en-GB"/>
        </w:rPr>
        <w:t>c</w:t>
      </w:r>
      <w:r w:rsidR="0075772F" w:rsidRPr="00071F91">
        <w:rPr>
          <w:color w:val="231F20"/>
          <w:lang w:val="en-GB"/>
        </w:rPr>
        <w:t>es</w:t>
      </w:r>
      <w:r w:rsidR="0075772F">
        <w:rPr>
          <w:color w:val="231F20"/>
          <w:lang w:val="en-GB"/>
        </w:rPr>
        <w:t xml:space="preserve">) </w:t>
      </w:r>
      <w:r>
        <w:rPr>
          <w:lang w:val="en-GB"/>
        </w:rPr>
        <w:t xml:space="preserve">and </w:t>
      </w:r>
      <w:r w:rsidR="0075772F">
        <w:rPr>
          <w:lang w:val="en-GB"/>
        </w:rPr>
        <w:t xml:space="preserve">recruitment </w:t>
      </w:r>
      <w:r>
        <w:rPr>
          <w:lang w:val="en-GB"/>
        </w:rPr>
        <w:t>advertising</w:t>
      </w:r>
      <w:r w:rsidR="006A1C83">
        <w:rPr>
          <w:lang w:val="en-GB"/>
        </w:rPr>
        <w:t xml:space="preserve"> for specific roles</w:t>
      </w:r>
      <w:r>
        <w:rPr>
          <w:color w:val="231F20"/>
          <w:lang w:val="en-GB"/>
        </w:rPr>
        <w:t xml:space="preserve">. </w:t>
      </w:r>
    </w:p>
    <w:p w14:paraId="28360840" w14:textId="77777777" w:rsidR="00756D6C" w:rsidRDefault="00756D6C" w:rsidP="00756D6C">
      <w:pPr>
        <w:pStyle w:val="DPCbody"/>
        <w:rPr>
          <w:lang w:val="en-GB"/>
        </w:rPr>
      </w:pPr>
      <w:r>
        <w:rPr>
          <w:lang w:val="en-GB"/>
        </w:rPr>
        <w:t xml:space="preserve">While campaign </w:t>
      </w:r>
      <w:r>
        <w:t xml:space="preserve">advertising accounts for the majority of government advertising expenditure, the </w:t>
      </w:r>
      <w:r>
        <w:rPr>
          <w:lang w:val="en-GB"/>
        </w:rPr>
        <w:t xml:space="preserve">government also has measures in place to ensure non-campaign advertising is undertaken in a cost-effective manner. </w:t>
      </w:r>
    </w:p>
    <w:p w14:paraId="3BE7532C" w14:textId="5D7F4D51" w:rsidR="00756D6C" w:rsidRDefault="00DA5D79" w:rsidP="00756D6C">
      <w:pPr>
        <w:pStyle w:val="DPCbody"/>
        <w:rPr>
          <w:lang w:val="en-GB"/>
        </w:rPr>
      </w:pPr>
      <w:r>
        <w:rPr>
          <w:lang w:val="en-GB"/>
        </w:rPr>
        <w:t>For example, s</w:t>
      </w:r>
      <w:r w:rsidR="006A1C83">
        <w:rPr>
          <w:lang w:val="en-GB"/>
        </w:rPr>
        <w:t xml:space="preserve">ince July 2022, government bodies have </w:t>
      </w:r>
      <w:r w:rsidR="006D1135">
        <w:rPr>
          <w:lang w:val="en-GB"/>
        </w:rPr>
        <w:t xml:space="preserve">been able to </w:t>
      </w:r>
      <w:r w:rsidR="006A1C83">
        <w:rPr>
          <w:lang w:val="en-GB"/>
        </w:rPr>
        <w:t xml:space="preserve">post some functional public notices on the </w:t>
      </w:r>
      <w:r w:rsidR="006A1C83" w:rsidRPr="006A1C83">
        <w:rPr>
          <w:lang w:val="en-GB"/>
        </w:rPr>
        <w:t>Victorian Public Notices</w:t>
      </w:r>
      <w:r w:rsidR="006A1C83">
        <w:rPr>
          <w:lang w:val="en-GB"/>
        </w:rPr>
        <w:t xml:space="preserve"> website</w:t>
      </w:r>
      <w:r w:rsidR="006A1C83">
        <w:rPr>
          <w:rStyle w:val="FootnoteReference"/>
          <w:lang w:val="en-GB"/>
        </w:rPr>
        <w:footnoteReference w:id="1"/>
      </w:r>
      <w:r w:rsidR="006A1C83">
        <w:rPr>
          <w:lang w:val="en-GB"/>
        </w:rPr>
        <w:t xml:space="preserve">, rather than use paid advertising in print newspapers. </w:t>
      </w:r>
    </w:p>
    <w:p w14:paraId="346E833F" w14:textId="77777777" w:rsidR="00756D6C" w:rsidRPr="00756D6C" w:rsidRDefault="00756D6C" w:rsidP="00756D6C">
      <w:pPr>
        <w:pStyle w:val="Heading2"/>
        <w:rPr>
          <w:rFonts w:ascii="Arial" w:hAnsi="Arial" w:cs="Arial"/>
          <w:b/>
          <w:bCs/>
        </w:rPr>
      </w:pPr>
      <w:bookmarkStart w:id="37" w:name="_Toc46322592"/>
      <w:bookmarkStart w:id="38" w:name="_Toc101882010"/>
      <w:bookmarkStart w:id="39" w:name="_Toc120528393"/>
      <w:bookmarkStart w:id="40" w:name="_Toc120528735"/>
      <w:bookmarkStart w:id="41" w:name="_Toc120528966"/>
      <w:bookmarkStart w:id="42" w:name="_Toc120529163"/>
      <w:r w:rsidRPr="00756D6C">
        <w:rPr>
          <w:rFonts w:ascii="Arial" w:hAnsi="Arial" w:cs="Arial"/>
          <w:b/>
          <w:bCs/>
        </w:rPr>
        <w:t>Advertising standards in legislation</w:t>
      </w:r>
      <w:bookmarkEnd w:id="37"/>
      <w:bookmarkEnd w:id="38"/>
      <w:bookmarkEnd w:id="39"/>
      <w:bookmarkEnd w:id="40"/>
      <w:bookmarkEnd w:id="41"/>
      <w:bookmarkEnd w:id="42"/>
    </w:p>
    <w:p w14:paraId="4CCA5AD0" w14:textId="70B79520" w:rsidR="00E102C7" w:rsidRPr="005F7EA8" w:rsidRDefault="00756D6C" w:rsidP="00756D6C">
      <w:pPr>
        <w:pStyle w:val="DPCbody"/>
      </w:pPr>
      <w:r w:rsidRPr="005F7EA8">
        <w:t>In September 2017</w:t>
      </w:r>
      <w:r>
        <w:t>,</w:t>
      </w:r>
      <w:r w:rsidRPr="005F7EA8">
        <w:t xml:space="preserve"> the government passed legislation to strengthen governance of communication and advertising undertaken by public sector bodies, by introducing </w:t>
      </w:r>
      <w:r>
        <w:br/>
      </w:r>
      <w:r w:rsidRPr="005F7EA8">
        <w:t xml:space="preserve">Part 5A to the </w:t>
      </w:r>
      <w:r w:rsidRPr="005F7EA8">
        <w:rPr>
          <w:i/>
        </w:rPr>
        <w:t>Public Administration Act 2004</w:t>
      </w:r>
      <w:r w:rsidR="00E102C7">
        <w:t xml:space="preserve">. </w:t>
      </w:r>
    </w:p>
    <w:p w14:paraId="67C9D553" w14:textId="353A1269" w:rsidR="00756D6C" w:rsidRPr="005F7EA8" w:rsidRDefault="00756D6C" w:rsidP="00756D6C">
      <w:pPr>
        <w:pStyle w:val="DPCbody"/>
      </w:pPr>
      <w:r w:rsidRPr="005F7EA8">
        <w:t>Part 5A includes measures to restrict government television advertising to five purposes or ‘priority areas</w:t>
      </w:r>
      <w:r>
        <w:t>’.</w:t>
      </w:r>
      <w:r w:rsidRPr="005F7EA8">
        <w:t xml:space="preserve"> No other government television advertising is permitted under the Act. As detailed within this report, all </w:t>
      </w:r>
      <w:r w:rsidR="00DA5D79">
        <w:t xml:space="preserve">government </w:t>
      </w:r>
      <w:r w:rsidRPr="005F7EA8">
        <w:t xml:space="preserve">advertising campaigns in </w:t>
      </w:r>
      <w:r w:rsidR="009B41A8">
        <w:t>202</w:t>
      </w:r>
      <w:r w:rsidR="007A7763">
        <w:t>2</w:t>
      </w:r>
      <w:r w:rsidR="009B41A8">
        <w:t>–2</w:t>
      </w:r>
      <w:r w:rsidR="007A7763">
        <w:t>3</w:t>
      </w:r>
      <w:r w:rsidRPr="005F7EA8">
        <w:t xml:space="preserve"> contribute</w:t>
      </w:r>
      <w:r w:rsidR="00DA5D79">
        <w:t>d</w:t>
      </w:r>
      <w:r w:rsidRPr="005F7EA8">
        <w:t xml:space="preserve"> to one of these five communication </w:t>
      </w:r>
      <w:r w:rsidR="00E102C7">
        <w:t>‘</w:t>
      </w:r>
      <w:r w:rsidRPr="005F7EA8">
        <w:t>priority areas</w:t>
      </w:r>
      <w:r w:rsidR="00E102C7">
        <w:t>’</w:t>
      </w:r>
      <w:r w:rsidRPr="005F7EA8">
        <w:t>.</w:t>
      </w:r>
    </w:p>
    <w:p w14:paraId="1F591F4B" w14:textId="63DA3584" w:rsidR="00756D6C" w:rsidRPr="005F7EA8" w:rsidRDefault="00756D6C" w:rsidP="00756D6C">
      <w:pPr>
        <w:pStyle w:val="DPCbody"/>
      </w:pPr>
      <w:r w:rsidRPr="005F7EA8">
        <w:t>In 2018, the government also introduced Regulations under Part 5A of the Act to further strengthen governance of public sector communication and advertising.</w:t>
      </w:r>
      <w:r w:rsidR="00E102C7">
        <w:t xml:space="preserve"> </w:t>
      </w:r>
      <w:r w:rsidRPr="005F7EA8">
        <w:t>The Act</w:t>
      </w:r>
      <w:r>
        <w:rPr>
          <w:i/>
        </w:rPr>
        <w:t xml:space="preserve"> </w:t>
      </w:r>
      <w:r w:rsidRPr="005F7EA8">
        <w:t xml:space="preserve">and the Public Administration (Public Sector Communication Standards) Regulations 2018 can be viewed online at </w:t>
      </w:r>
      <w:hyperlink r:id="rId14" w:history="1">
        <w:r w:rsidR="008B0930" w:rsidRPr="00122374">
          <w:rPr>
            <w:rStyle w:val="Hyperlink"/>
          </w:rPr>
          <w:t>www.legislation.vic.gov.au</w:t>
        </w:r>
      </w:hyperlink>
      <w:r w:rsidR="008B0930">
        <w:t>.</w:t>
      </w:r>
    </w:p>
    <w:p w14:paraId="3E125A18" w14:textId="3676A3D9" w:rsidR="00A13EC5" w:rsidRPr="00A13EC5" w:rsidRDefault="00B2039F" w:rsidP="00A13EC5">
      <w:pPr>
        <w:spacing w:after="0" w:line="240" w:lineRule="auto"/>
        <w:rPr>
          <w:rFonts w:ascii="Arial" w:eastAsia="Times" w:hAnsi="Arial" w:cs="Arial"/>
          <w:color w:val="000000"/>
        </w:rPr>
      </w:pPr>
      <w:r w:rsidRPr="00B2039F">
        <w:rPr>
          <w:rFonts w:ascii="Arial" w:eastAsia="Times" w:hAnsi="Arial" w:cs="Arial"/>
          <w:color w:val="000000" w:themeColor="text1"/>
        </w:rPr>
        <w:t xml:space="preserve">Further guidance for departments and agencies is provided at </w:t>
      </w:r>
      <w:hyperlink r:id="rId15" w:history="1">
        <w:r w:rsidR="00DA5D79" w:rsidRPr="00CA1A22">
          <w:rPr>
            <w:rStyle w:val="Hyperlink"/>
            <w:rFonts w:ascii="Arial" w:eastAsia="Times" w:hAnsi="Arial" w:cs="Arial"/>
          </w:rPr>
          <w:t>www.vic.gov.au/victorian-government-communication-requirements</w:t>
        </w:r>
      </w:hyperlink>
      <w:r w:rsidRPr="00B2039F">
        <w:rPr>
          <w:rFonts w:ascii="Arial" w:eastAsia="Times" w:hAnsi="Arial" w:cs="Arial"/>
          <w:color w:val="000000" w:themeColor="text1"/>
        </w:rPr>
        <w:t>.</w:t>
      </w:r>
      <w:r w:rsidR="00A13EC5" w:rsidRPr="00A13EC5">
        <w:rPr>
          <w:rFonts w:ascii="Cambria" w:eastAsia="Times New Roman" w:hAnsi="Cambria" w:cs="Times New Roman"/>
          <w:sz w:val="20"/>
          <w:szCs w:val="20"/>
        </w:rPr>
        <w:br w:type="page"/>
      </w:r>
    </w:p>
    <w:p w14:paraId="202B051B" w14:textId="5EF21E2D" w:rsidR="00756D6C" w:rsidRDefault="00756D6C" w:rsidP="00756D6C">
      <w:pPr>
        <w:pStyle w:val="Heading1"/>
      </w:pPr>
      <w:bookmarkStart w:id="43" w:name="_Toc46322593"/>
      <w:bookmarkStart w:id="44" w:name="_Toc101882011"/>
      <w:bookmarkStart w:id="45" w:name="_Toc101882065"/>
      <w:bookmarkStart w:id="46" w:name="_Toc120528394"/>
      <w:bookmarkStart w:id="47" w:name="_Toc120528736"/>
      <w:bookmarkStart w:id="48" w:name="_Toc120528967"/>
      <w:bookmarkStart w:id="49" w:name="_Toc120529164"/>
      <w:r>
        <w:lastRenderedPageBreak/>
        <w:t xml:space="preserve">Government campaign advertising </w:t>
      </w:r>
      <w:bookmarkEnd w:id="43"/>
      <w:r w:rsidR="008B0930">
        <w:t xml:space="preserve">in </w:t>
      </w:r>
      <w:r w:rsidR="009B41A8">
        <w:t>202</w:t>
      </w:r>
      <w:r w:rsidR="007A7763">
        <w:t>2</w:t>
      </w:r>
      <w:r w:rsidR="009B41A8">
        <w:t>–2</w:t>
      </w:r>
      <w:r w:rsidR="007A7763">
        <w:t>3</w:t>
      </w:r>
      <w:bookmarkEnd w:id="44"/>
      <w:bookmarkEnd w:id="45"/>
      <w:bookmarkEnd w:id="46"/>
      <w:bookmarkEnd w:id="47"/>
      <w:bookmarkEnd w:id="48"/>
      <w:bookmarkEnd w:id="49"/>
      <w:r>
        <w:t xml:space="preserve"> </w:t>
      </w:r>
    </w:p>
    <w:p w14:paraId="2D6F9202" w14:textId="37B1524A" w:rsidR="00756D6C" w:rsidRDefault="00756D6C" w:rsidP="00756D6C">
      <w:pPr>
        <w:pStyle w:val="DPCbody"/>
      </w:pPr>
      <w:r>
        <w:t xml:space="preserve">All campaign advertising undertaken by the Victorian Government during </w:t>
      </w:r>
      <w:r w:rsidR="009B41A8">
        <w:t>202</w:t>
      </w:r>
      <w:r w:rsidR="007A7763">
        <w:t>2</w:t>
      </w:r>
      <w:r w:rsidR="009B41A8">
        <w:t>–2</w:t>
      </w:r>
      <w:r w:rsidR="007A7763">
        <w:t>3</w:t>
      </w:r>
      <w:r>
        <w:t xml:space="preserve"> fulfilled one of five </w:t>
      </w:r>
      <w:r w:rsidR="00414B3E">
        <w:t>‘</w:t>
      </w:r>
      <w:r>
        <w:t>priority areas</w:t>
      </w:r>
      <w:r w:rsidR="00414B3E">
        <w:t xml:space="preserve">’ </w:t>
      </w:r>
      <w:r>
        <w:t xml:space="preserve">for government communications: </w:t>
      </w:r>
    </w:p>
    <w:p w14:paraId="2C412F38" w14:textId="2BC976E1" w:rsidR="00756D6C" w:rsidRDefault="00756D6C" w:rsidP="007A4E85">
      <w:pPr>
        <w:pStyle w:val="DPCbody"/>
        <w:numPr>
          <w:ilvl w:val="0"/>
          <w:numId w:val="18"/>
        </w:numPr>
        <w:spacing w:line="240" w:lineRule="auto"/>
      </w:pPr>
      <w:r>
        <w:t>To promote public safety, personal security and behaviour change</w:t>
      </w:r>
    </w:p>
    <w:p w14:paraId="5BBD3EAD" w14:textId="01DC8F67" w:rsidR="00756D6C" w:rsidRDefault="00756D6C" w:rsidP="007A4E85">
      <w:pPr>
        <w:pStyle w:val="DPCbody"/>
        <w:numPr>
          <w:ilvl w:val="0"/>
          <w:numId w:val="18"/>
        </w:numPr>
        <w:spacing w:line="240" w:lineRule="auto"/>
      </w:pPr>
      <w:r>
        <w:t>To promote social cohesion, civic pride and community spirit within the general public</w:t>
      </w:r>
    </w:p>
    <w:p w14:paraId="061A49B2" w14:textId="05761A18" w:rsidR="00756D6C" w:rsidRDefault="00756D6C" w:rsidP="007A4E85">
      <w:pPr>
        <w:pStyle w:val="DPCbody"/>
        <w:numPr>
          <w:ilvl w:val="0"/>
          <w:numId w:val="18"/>
        </w:numPr>
        <w:spacing w:line="240" w:lineRule="auto"/>
      </w:pPr>
      <w:r>
        <w:t>To promote commercial and economic development within the state</w:t>
      </w:r>
    </w:p>
    <w:p w14:paraId="3989D2C8" w14:textId="1ED3BCA0" w:rsidR="00756D6C" w:rsidRDefault="00756D6C" w:rsidP="007A4E85">
      <w:pPr>
        <w:pStyle w:val="DPCbody"/>
        <w:numPr>
          <w:ilvl w:val="0"/>
          <w:numId w:val="18"/>
        </w:numPr>
        <w:spacing w:line="240" w:lineRule="auto"/>
      </w:pPr>
      <w:r>
        <w:t>To generate revenue for public sector bodies or for the state through consumption of</w:t>
      </w:r>
      <w:r w:rsidR="007A4E85">
        <w:t xml:space="preserve"> </w:t>
      </w:r>
      <w:r>
        <w:t>products, services or events delivered by or in partnership with public sector bodies</w:t>
      </w:r>
    </w:p>
    <w:p w14:paraId="7768276F" w14:textId="3BF80F8C" w:rsidR="00756D6C" w:rsidRDefault="00756D6C" w:rsidP="007A4E85">
      <w:pPr>
        <w:pStyle w:val="DPCbody"/>
        <w:numPr>
          <w:ilvl w:val="0"/>
          <w:numId w:val="18"/>
        </w:numPr>
        <w:spacing w:line="240" w:lineRule="auto"/>
      </w:pPr>
      <w:r>
        <w:t>To promote compliance with legislative requirements.</w:t>
      </w:r>
    </w:p>
    <w:p w14:paraId="71BDB2ED" w14:textId="3F63F49D" w:rsidR="00756D6C" w:rsidRDefault="00756D6C" w:rsidP="00756D6C">
      <w:pPr>
        <w:pStyle w:val="DPCbody"/>
      </w:pPr>
      <w:r>
        <w:t>These communication priority areas mirror those included in Part 5A of the Act</w:t>
      </w:r>
      <w:r>
        <w:rPr>
          <w:i/>
        </w:rPr>
        <w:t>,</w:t>
      </w:r>
      <w:r w:rsidRPr="007F746E">
        <w:t xml:space="preserve"> </w:t>
      </w:r>
      <w:r>
        <w:t xml:space="preserve">which </w:t>
      </w:r>
      <w:r w:rsidR="00AF5332">
        <w:t xml:space="preserve">set out the requirements </w:t>
      </w:r>
      <w:r>
        <w:t xml:space="preserve">for </w:t>
      </w:r>
      <w:r w:rsidRPr="007F746E">
        <w:t xml:space="preserve">government </w:t>
      </w:r>
      <w:r>
        <w:t xml:space="preserve">advertising on </w:t>
      </w:r>
      <w:r w:rsidRPr="007F746E">
        <w:t>television.</w:t>
      </w:r>
    </w:p>
    <w:p w14:paraId="5707182E" w14:textId="0B2C64A5" w:rsidR="00842ED5" w:rsidRDefault="00756D6C" w:rsidP="00756D6C">
      <w:pPr>
        <w:pStyle w:val="DPCbody"/>
      </w:pPr>
      <w:r>
        <w:t xml:space="preserve">The chart below shows spending for each priority area as a proportion of the government’s overall expenditure on campaign advertising for </w:t>
      </w:r>
      <w:r w:rsidR="009B41A8">
        <w:t>202</w:t>
      </w:r>
      <w:r w:rsidR="007A7763">
        <w:t>2</w:t>
      </w:r>
      <w:r w:rsidR="009B41A8">
        <w:t>–2</w:t>
      </w:r>
      <w:r w:rsidR="007A7763">
        <w:t>3</w:t>
      </w:r>
      <w:r>
        <w:t xml:space="preserve">. </w:t>
      </w:r>
    </w:p>
    <w:p w14:paraId="53ABBFC2" w14:textId="097C9352" w:rsidR="00756D6C" w:rsidRDefault="007A4E85" w:rsidP="00756D6C">
      <w:pPr>
        <w:pStyle w:val="DPCbody"/>
      </w:pPr>
      <w:r>
        <w:rPr>
          <w:noProof/>
        </w:rPr>
        <w:drawing>
          <wp:inline distT="0" distB="0" distL="0" distR="0" wp14:anchorId="2D3D93BA" wp14:editId="66E1B5D1">
            <wp:extent cx="6400800" cy="4400550"/>
            <wp:effectExtent l="0" t="0" r="0" b="0"/>
            <wp:docPr id="4" name="Chart 4" descr="Pie chart showing planned spending for each priority area, as a percentage of the government’s overall campaign advertising for 2021–22. &#10;Public safety, personal security and behaviour change: 62%&#10;Social cohesion, civic pride and community spirit: 2%&#10;Commercial and economic investment: 25%&#10;Generation of revenue for institutions or events: 10%&#10;Compliance with legislative requirement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CFD0FC0" w14:textId="42192AB5" w:rsidR="007A4E85" w:rsidRDefault="00756D6C" w:rsidP="00756D6C">
      <w:pPr>
        <w:pStyle w:val="DPCbody"/>
      </w:pPr>
      <w:r>
        <w:t xml:space="preserve">More information about each priority area, including examples of significant advertising campaigns </w:t>
      </w:r>
      <w:r w:rsidR="005727E1">
        <w:t xml:space="preserve">undertaken in </w:t>
      </w:r>
      <w:r w:rsidR="009B41A8">
        <w:t>202</w:t>
      </w:r>
      <w:r w:rsidR="007A7763">
        <w:t>2</w:t>
      </w:r>
      <w:r w:rsidR="009B41A8">
        <w:t>–2</w:t>
      </w:r>
      <w:r w:rsidR="007A7763">
        <w:t>3</w:t>
      </w:r>
      <w:r>
        <w:t>, is provided on the following pages</w:t>
      </w:r>
      <w:r w:rsidR="00A101FC">
        <w:t>.</w:t>
      </w:r>
    </w:p>
    <w:p w14:paraId="6AC04924" w14:textId="77777777" w:rsidR="007A4E85" w:rsidRDefault="007A4E85">
      <w:pPr>
        <w:rPr>
          <w:rFonts w:ascii="Arial" w:eastAsia="Times" w:hAnsi="Arial" w:cs="Arial"/>
          <w:color w:val="000000" w:themeColor="text1"/>
        </w:rPr>
      </w:pPr>
      <w:r>
        <w:br w:type="page"/>
      </w:r>
    </w:p>
    <w:p w14:paraId="28A5220B" w14:textId="0DD2C3F3" w:rsidR="00756D6C" w:rsidRPr="002B0D61" w:rsidRDefault="00756D6C" w:rsidP="002B0D61">
      <w:pPr>
        <w:pStyle w:val="Heading2"/>
        <w:rPr>
          <w:rFonts w:ascii="Arial" w:hAnsi="Arial" w:cs="Arial"/>
          <w:b/>
          <w:bCs/>
        </w:rPr>
      </w:pPr>
      <w:bookmarkStart w:id="50" w:name="_Toc46322594"/>
      <w:bookmarkStart w:id="51" w:name="_Toc120528395"/>
      <w:bookmarkStart w:id="52" w:name="_Toc120528737"/>
      <w:bookmarkStart w:id="53" w:name="_Toc120528968"/>
      <w:bookmarkStart w:id="54" w:name="_Toc120529165"/>
      <w:r w:rsidRPr="002B0D61">
        <w:rPr>
          <w:rFonts w:ascii="Arial" w:hAnsi="Arial" w:cs="Arial"/>
          <w:b/>
          <w:bCs/>
        </w:rPr>
        <w:lastRenderedPageBreak/>
        <w:t>Priority area 1: Public safety, personal security and behaviour change</w:t>
      </w:r>
      <w:bookmarkEnd w:id="50"/>
      <w:bookmarkEnd w:id="51"/>
      <w:bookmarkEnd w:id="52"/>
      <w:bookmarkEnd w:id="53"/>
      <w:bookmarkEnd w:id="54"/>
      <w:r w:rsidRPr="002B0D61">
        <w:rPr>
          <w:rFonts w:ascii="Arial" w:hAnsi="Arial" w:cs="Arial"/>
          <w:b/>
          <w:bCs/>
        </w:rPr>
        <w:t xml:space="preserve"> </w:t>
      </w:r>
    </w:p>
    <w:p w14:paraId="6217B9EA" w14:textId="00BBCBD0" w:rsidR="00756D6C" w:rsidRPr="006117CA" w:rsidRDefault="00730F78" w:rsidP="00756D6C">
      <w:pPr>
        <w:pStyle w:val="DPCbody"/>
      </w:pPr>
      <w:r>
        <w:rPr>
          <w:noProof/>
        </w:rPr>
        <w:drawing>
          <wp:anchor distT="0" distB="0" distL="114300" distR="114300" simplePos="0" relativeHeight="251675648" behindDoc="0" locked="0" layoutInCell="1" allowOverlap="1" wp14:anchorId="4FCE0F47" wp14:editId="5B38572A">
            <wp:simplePos x="0" y="0"/>
            <wp:positionH relativeFrom="column">
              <wp:posOffset>2696210</wp:posOffset>
            </wp:positionH>
            <wp:positionV relativeFrom="paragraph">
              <wp:posOffset>504190</wp:posOffset>
            </wp:positionV>
            <wp:extent cx="3076575" cy="3200400"/>
            <wp:effectExtent l="0" t="0" r="9525" b="0"/>
            <wp:wrapSquare wrapText="bothSides"/>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AB25D8">
        <w:t xml:space="preserve">The </w:t>
      </w:r>
      <w:r w:rsidR="002F424A">
        <w:t xml:space="preserve">Victorian </w:t>
      </w:r>
      <w:r w:rsidR="00756D6C" w:rsidRPr="006117CA">
        <w:t xml:space="preserve">Government invests significantly </w:t>
      </w:r>
      <w:r w:rsidR="00756D6C">
        <w:t xml:space="preserve">in the </w:t>
      </w:r>
      <w:r w:rsidR="00756D6C" w:rsidRPr="006117CA">
        <w:t>promot</w:t>
      </w:r>
      <w:r w:rsidR="00756D6C">
        <w:t xml:space="preserve">ion of </w:t>
      </w:r>
      <w:r w:rsidR="00756D6C" w:rsidRPr="006117CA">
        <w:t xml:space="preserve">safe and responsible behaviour, to advise of disruptions </w:t>
      </w:r>
      <w:r w:rsidR="00414B3E">
        <w:t xml:space="preserve">to government services, </w:t>
      </w:r>
      <w:r w:rsidR="00756D6C" w:rsidRPr="006117CA">
        <w:t xml:space="preserve">and </w:t>
      </w:r>
      <w:r w:rsidR="00756D6C">
        <w:t xml:space="preserve">to </w:t>
      </w:r>
      <w:r w:rsidR="00756D6C" w:rsidRPr="006117CA">
        <w:t xml:space="preserve">promote programs that help people stay safe and well. </w:t>
      </w:r>
    </w:p>
    <w:p w14:paraId="43442F82" w14:textId="7F4121D4" w:rsidR="00756D6C" w:rsidRDefault="00AB25D8" w:rsidP="00730F78">
      <w:pPr>
        <w:pStyle w:val="DPCbody"/>
      </w:pPr>
      <w:r w:rsidRPr="00057AEF">
        <w:t>Th</w:t>
      </w:r>
      <w:r w:rsidR="00756D6C" w:rsidRPr="00057AEF">
        <w:t xml:space="preserve">e </w:t>
      </w:r>
      <w:r w:rsidR="002F424A" w:rsidRPr="00057AEF">
        <w:t xml:space="preserve">government’s </w:t>
      </w:r>
      <w:r w:rsidR="009B41A8" w:rsidRPr="00057AEF">
        <w:t>202</w:t>
      </w:r>
      <w:r w:rsidR="007A7763" w:rsidRPr="00057AEF">
        <w:t>2</w:t>
      </w:r>
      <w:r w:rsidR="009B41A8" w:rsidRPr="00057AEF">
        <w:t>–2</w:t>
      </w:r>
      <w:r w:rsidR="007A7763" w:rsidRPr="00057AEF">
        <w:t>3</w:t>
      </w:r>
      <w:r w:rsidR="00756D6C" w:rsidRPr="00057AEF">
        <w:t xml:space="preserve"> advertising plan </w:t>
      </w:r>
      <w:r w:rsidR="000D1D03" w:rsidRPr="00057AEF">
        <w:t xml:space="preserve">included </w:t>
      </w:r>
      <w:r w:rsidR="00756D6C" w:rsidRPr="00057AEF">
        <w:t xml:space="preserve">campaigns </w:t>
      </w:r>
      <w:r w:rsidR="0004591D" w:rsidRPr="00057AEF">
        <w:t xml:space="preserve">that </w:t>
      </w:r>
      <w:r w:rsidR="00DF2C80" w:rsidRPr="00057AEF">
        <w:t xml:space="preserve">communicated important </w:t>
      </w:r>
      <w:r w:rsidR="0004591D" w:rsidRPr="00057AEF">
        <w:t xml:space="preserve">public health </w:t>
      </w:r>
      <w:r w:rsidR="00DF2C80" w:rsidRPr="00057AEF">
        <w:t xml:space="preserve">and vaccination </w:t>
      </w:r>
      <w:r w:rsidR="0004591D" w:rsidRPr="00057AEF">
        <w:t>messaging</w:t>
      </w:r>
      <w:r w:rsidR="00057AEF" w:rsidRPr="00057AEF">
        <w:t xml:space="preserve">. </w:t>
      </w:r>
      <w:r w:rsidR="0004591D" w:rsidRPr="00057AEF">
        <w:t xml:space="preserve">Other </w:t>
      </w:r>
      <w:r w:rsidR="00414B3E" w:rsidRPr="00057AEF">
        <w:t xml:space="preserve">ongoing </w:t>
      </w:r>
      <w:r w:rsidR="0004591D" w:rsidRPr="00057AEF">
        <w:t xml:space="preserve">campaigns </w:t>
      </w:r>
      <w:r w:rsidR="00057AEF" w:rsidRPr="00057AEF">
        <w:t xml:space="preserve">focused on </w:t>
      </w:r>
      <w:r w:rsidR="00756D6C" w:rsidRPr="00057AEF">
        <w:t xml:space="preserve">road and workplace safety, fire </w:t>
      </w:r>
      <w:r w:rsidR="00057AEF" w:rsidRPr="00057AEF">
        <w:t xml:space="preserve">season </w:t>
      </w:r>
      <w:r w:rsidR="00756D6C" w:rsidRPr="00057AEF">
        <w:t>preparedness, minimis</w:t>
      </w:r>
      <w:r w:rsidR="00057AEF" w:rsidRPr="00057AEF">
        <w:t>ing</w:t>
      </w:r>
      <w:r w:rsidR="00756D6C" w:rsidRPr="00057AEF">
        <w:t xml:space="preserve"> gambling </w:t>
      </w:r>
      <w:r w:rsidR="00057AEF" w:rsidRPr="00057AEF">
        <w:t xml:space="preserve">harm </w:t>
      </w:r>
      <w:r w:rsidR="00756D6C" w:rsidRPr="00057AEF">
        <w:t xml:space="preserve">and </w:t>
      </w:r>
      <w:r w:rsidR="00057AEF" w:rsidRPr="00057AEF">
        <w:t xml:space="preserve">communicating </w:t>
      </w:r>
      <w:r w:rsidR="00756D6C" w:rsidRPr="00057AEF">
        <w:t>disruptions caused by major transport infrastructure projects.</w:t>
      </w:r>
      <w:r w:rsidR="00756D6C">
        <w:t xml:space="preserve"> </w:t>
      </w:r>
    </w:p>
    <w:p w14:paraId="3B112DC9" w14:textId="77777777" w:rsidR="00DF2C80" w:rsidRPr="00756D6C" w:rsidRDefault="00DF2C80" w:rsidP="00DF2C80">
      <w:pPr>
        <w:pStyle w:val="Heading3"/>
        <w:keepNext w:val="0"/>
        <w:keepLines w:val="0"/>
        <w:rPr>
          <w:rFonts w:ascii="Arial" w:hAnsi="Arial" w:cs="Arial"/>
          <w:b/>
          <w:bCs/>
          <w:i/>
          <w:iCs/>
          <w:sz w:val="22"/>
          <w:szCs w:val="22"/>
        </w:rPr>
      </w:pPr>
      <w:bookmarkStart w:id="55" w:name="_Toc101882014"/>
      <w:bookmarkStart w:id="56" w:name="_Toc101882012"/>
      <w:r w:rsidRPr="00756D6C">
        <w:rPr>
          <w:rFonts w:ascii="Arial" w:hAnsi="Arial" w:cs="Arial"/>
          <w:b/>
          <w:bCs/>
          <w:i/>
          <w:iCs/>
          <w:sz w:val="22"/>
          <w:szCs w:val="22"/>
        </w:rPr>
        <w:t>Road safety and workplace safety</w:t>
      </w:r>
      <w:bookmarkEnd w:id="55"/>
      <w:r w:rsidRPr="00756D6C">
        <w:rPr>
          <w:rFonts w:ascii="Arial" w:hAnsi="Arial" w:cs="Arial"/>
          <w:b/>
          <w:bCs/>
          <w:i/>
          <w:iCs/>
          <w:sz w:val="22"/>
          <w:szCs w:val="22"/>
        </w:rPr>
        <w:t xml:space="preserve"> </w:t>
      </w:r>
    </w:p>
    <w:p w14:paraId="1D164460" w14:textId="478DBB0F" w:rsidR="00DF2C80" w:rsidRDefault="00DF2C80" w:rsidP="00DF2C80">
      <w:pPr>
        <w:pStyle w:val="DPCbody"/>
      </w:pPr>
      <w:r>
        <w:t xml:space="preserve">In 2022–23, </w:t>
      </w:r>
      <w:r w:rsidRPr="006117CA">
        <w:t xml:space="preserve">the Transport Accident Commission </w:t>
      </w:r>
      <w:r>
        <w:t xml:space="preserve">(TAC), Department of Transport </w:t>
      </w:r>
      <w:r w:rsidRPr="006117CA">
        <w:t>and WorkSafe Victoria continue</w:t>
      </w:r>
      <w:r>
        <w:t xml:space="preserve"> </w:t>
      </w:r>
      <w:r w:rsidRPr="006117CA">
        <w:t xml:space="preserve">to deliver critical safety messages to reduce the risk of deaths </w:t>
      </w:r>
      <w:r>
        <w:t xml:space="preserve">and </w:t>
      </w:r>
      <w:r w:rsidRPr="006117CA">
        <w:t>injuries. Campaigns promote</w:t>
      </w:r>
      <w:r w:rsidR="00E748BC">
        <w:t xml:space="preserve">d </w:t>
      </w:r>
      <w:r w:rsidRPr="006117CA">
        <w:t>responsible behaviour and practices and educate</w:t>
      </w:r>
      <w:r w:rsidR="00E748BC">
        <w:t>d</w:t>
      </w:r>
      <w:r>
        <w:t xml:space="preserve"> </w:t>
      </w:r>
      <w:r w:rsidRPr="006117CA">
        <w:t>Victorians about how to stay safe on the roads</w:t>
      </w:r>
      <w:r>
        <w:t>, the public transport network</w:t>
      </w:r>
      <w:r w:rsidRPr="006117CA">
        <w:t xml:space="preserve"> and </w:t>
      </w:r>
      <w:r>
        <w:t xml:space="preserve">in the </w:t>
      </w:r>
      <w:r w:rsidRPr="006117CA">
        <w:t>work</w:t>
      </w:r>
      <w:r>
        <w:t>place</w:t>
      </w:r>
      <w:r w:rsidRPr="006117CA">
        <w:t xml:space="preserve">. </w:t>
      </w:r>
      <w:r>
        <w:t xml:space="preserve">This includes campaigns from TAC highlighting </w:t>
      </w:r>
      <w:r w:rsidR="00E748BC">
        <w:t xml:space="preserve">the importance of safety gear for motorcyclists, vehicle safety, and </w:t>
      </w:r>
      <w:r>
        <w:t>the dangers of speeding</w:t>
      </w:r>
      <w:r w:rsidR="00E748BC">
        <w:t>, distractions, and drink and drug driving</w:t>
      </w:r>
      <w:r w:rsidR="00AE0D0D">
        <w:t xml:space="preserve">, </w:t>
      </w:r>
      <w:r>
        <w:t>particularly during holiday periods.</w:t>
      </w:r>
    </w:p>
    <w:p w14:paraId="7C8BDD37" w14:textId="77777777" w:rsidR="00756D6C" w:rsidRPr="00756D6C" w:rsidRDefault="00756D6C" w:rsidP="00756D6C">
      <w:pPr>
        <w:pStyle w:val="Heading3"/>
        <w:keepNext w:val="0"/>
        <w:keepLines w:val="0"/>
        <w:rPr>
          <w:rFonts w:ascii="Arial" w:hAnsi="Arial" w:cs="Arial"/>
          <w:b/>
          <w:bCs/>
          <w:i/>
          <w:iCs/>
          <w:sz w:val="22"/>
          <w:szCs w:val="22"/>
        </w:rPr>
      </w:pPr>
      <w:bookmarkStart w:id="57" w:name="_Toc101882013"/>
      <w:bookmarkEnd w:id="56"/>
      <w:r w:rsidRPr="00756D6C">
        <w:rPr>
          <w:rFonts w:ascii="Arial" w:hAnsi="Arial" w:cs="Arial"/>
          <w:b/>
          <w:bCs/>
          <w:i/>
          <w:iCs/>
          <w:sz w:val="22"/>
          <w:szCs w:val="22"/>
        </w:rPr>
        <w:t>Victoria’s Big Build</w:t>
      </w:r>
      <w:bookmarkEnd w:id="57"/>
    </w:p>
    <w:p w14:paraId="1CB2720E" w14:textId="4BA1950F" w:rsidR="00756D6C" w:rsidRPr="006B3961" w:rsidRDefault="00756D6C" w:rsidP="00756D6C">
      <w:pPr>
        <w:rPr>
          <w:rFonts w:ascii="Arial" w:eastAsia="Times" w:hAnsi="Arial" w:cs="Arial"/>
          <w:color w:val="000000" w:themeColor="text1"/>
        </w:rPr>
      </w:pPr>
      <w:r w:rsidRPr="006B3961">
        <w:rPr>
          <w:rFonts w:ascii="Arial" w:eastAsia="Times" w:hAnsi="Arial" w:cs="Arial"/>
          <w:color w:val="000000" w:themeColor="text1"/>
        </w:rPr>
        <w:t xml:space="preserve">Continuing in </w:t>
      </w:r>
      <w:r w:rsidR="009B41A8">
        <w:rPr>
          <w:rFonts w:ascii="Arial" w:eastAsia="Times" w:hAnsi="Arial" w:cs="Arial"/>
          <w:color w:val="000000" w:themeColor="text1"/>
        </w:rPr>
        <w:t>202</w:t>
      </w:r>
      <w:r w:rsidR="00C368AA">
        <w:rPr>
          <w:rFonts w:ascii="Arial" w:eastAsia="Times" w:hAnsi="Arial" w:cs="Arial"/>
          <w:color w:val="000000" w:themeColor="text1"/>
        </w:rPr>
        <w:t>2</w:t>
      </w:r>
      <w:r w:rsidR="009B41A8">
        <w:rPr>
          <w:rFonts w:ascii="Arial" w:eastAsia="Times" w:hAnsi="Arial" w:cs="Arial"/>
          <w:color w:val="000000" w:themeColor="text1"/>
        </w:rPr>
        <w:t>–2</w:t>
      </w:r>
      <w:r w:rsidR="00C368AA">
        <w:rPr>
          <w:rFonts w:ascii="Arial" w:eastAsia="Times" w:hAnsi="Arial" w:cs="Arial"/>
          <w:color w:val="000000" w:themeColor="text1"/>
        </w:rPr>
        <w:t>3</w:t>
      </w:r>
      <w:r w:rsidRPr="006B3961">
        <w:rPr>
          <w:rFonts w:ascii="Arial" w:eastAsia="Times" w:hAnsi="Arial" w:cs="Arial"/>
          <w:color w:val="000000" w:themeColor="text1"/>
        </w:rPr>
        <w:t xml:space="preserve">, government </w:t>
      </w:r>
      <w:r w:rsidR="002F424A">
        <w:rPr>
          <w:rFonts w:ascii="Arial" w:eastAsia="Times" w:hAnsi="Arial" w:cs="Arial"/>
          <w:color w:val="000000" w:themeColor="text1"/>
        </w:rPr>
        <w:t>campaigns provide</w:t>
      </w:r>
      <w:r w:rsidR="00057AEF">
        <w:rPr>
          <w:rFonts w:ascii="Arial" w:eastAsia="Times" w:hAnsi="Arial" w:cs="Arial"/>
          <w:color w:val="000000" w:themeColor="text1"/>
        </w:rPr>
        <w:t>d</w:t>
      </w:r>
      <w:r w:rsidR="00675A01">
        <w:rPr>
          <w:rFonts w:ascii="Arial" w:eastAsia="Times" w:hAnsi="Arial" w:cs="Arial"/>
          <w:color w:val="000000" w:themeColor="text1"/>
        </w:rPr>
        <w:t xml:space="preserve"> </w:t>
      </w:r>
      <w:r w:rsidR="002F424A">
        <w:rPr>
          <w:rFonts w:ascii="Arial" w:eastAsia="Times" w:hAnsi="Arial" w:cs="Arial"/>
          <w:color w:val="000000" w:themeColor="text1"/>
        </w:rPr>
        <w:t xml:space="preserve">the community with </w:t>
      </w:r>
      <w:r w:rsidRPr="006B3961">
        <w:rPr>
          <w:rFonts w:ascii="Arial" w:eastAsia="Times" w:hAnsi="Arial" w:cs="Arial"/>
          <w:color w:val="000000" w:themeColor="text1"/>
        </w:rPr>
        <w:t>information on major transport infrastructure projects</w:t>
      </w:r>
      <w:r>
        <w:rPr>
          <w:rFonts w:ascii="Arial" w:eastAsia="Times" w:hAnsi="Arial" w:cs="Arial"/>
          <w:color w:val="000000" w:themeColor="text1"/>
        </w:rPr>
        <w:t xml:space="preserve">, including </w:t>
      </w:r>
      <w:r w:rsidRPr="006B3961">
        <w:rPr>
          <w:rFonts w:ascii="Arial" w:eastAsia="Times" w:hAnsi="Arial" w:cs="Arial"/>
          <w:color w:val="000000" w:themeColor="text1"/>
        </w:rPr>
        <w:t xml:space="preserve">road and rail projects in </w:t>
      </w:r>
      <w:r w:rsidR="002F424A">
        <w:rPr>
          <w:rFonts w:ascii="Arial" w:eastAsia="Times" w:hAnsi="Arial" w:cs="Arial"/>
          <w:color w:val="000000" w:themeColor="text1"/>
        </w:rPr>
        <w:t>Melbourne</w:t>
      </w:r>
      <w:r w:rsidRPr="006B3961">
        <w:rPr>
          <w:rFonts w:ascii="Arial" w:eastAsia="Times" w:hAnsi="Arial" w:cs="Arial"/>
          <w:color w:val="000000" w:themeColor="text1"/>
        </w:rPr>
        <w:t xml:space="preserve"> and regional Victoria</w:t>
      </w:r>
      <w:r>
        <w:rPr>
          <w:rFonts w:ascii="Arial" w:eastAsia="Times" w:hAnsi="Arial" w:cs="Arial"/>
          <w:color w:val="000000" w:themeColor="text1"/>
        </w:rPr>
        <w:t>,</w:t>
      </w:r>
      <w:r w:rsidRPr="006B3961">
        <w:rPr>
          <w:rFonts w:ascii="Arial" w:eastAsia="Times" w:hAnsi="Arial" w:cs="Arial"/>
          <w:color w:val="000000" w:themeColor="text1"/>
        </w:rPr>
        <w:t xml:space="preserve"> such as </w:t>
      </w:r>
      <w:r w:rsidR="00414B3E">
        <w:rPr>
          <w:rFonts w:ascii="Arial" w:eastAsia="Times" w:hAnsi="Arial" w:cs="Arial"/>
          <w:color w:val="000000" w:themeColor="text1"/>
        </w:rPr>
        <w:t>l</w:t>
      </w:r>
      <w:r w:rsidRPr="006B3961">
        <w:rPr>
          <w:rFonts w:ascii="Arial" w:eastAsia="Times" w:hAnsi="Arial" w:cs="Arial"/>
          <w:color w:val="000000" w:themeColor="text1"/>
        </w:rPr>
        <w:t xml:space="preserve">evel </w:t>
      </w:r>
      <w:r w:rsidR="00414B3E">
        <w:rPr>
          <w:rFonts w:ascii="Arial" w:eastAsia="Times" w:hAnsi="Arial" w:cs="Arial"/>
          <w:color w:val="000000" w:themeColor="text1"/>
        </w:rPr>
        <w:t>c</w:t>
      </w:r>
      <w:r w:rsidRPr="006B3961">
        <w:rPr>
          <w:rFonts w:ascii="Arial" w:eastAsia="Times" w:hAnsi="Arial" w:cs="Arial"/>
          <w:color w:val="000000" w:themeColor="text1"/>
        </w:rPr>
        <w:t xml:space="preserve">rossing </w:t>
      </w:r>
      <w:r w:rsidR="00414B3E">
        <w:rPr>
          <w:rFonts w:ascii="Arial" w:eastAsia="Times" w:hAnsi="Arial" w:cs="Arial"/>
          <w:color w:val="000000" w:themeColor="text1"/>
        </w:rPr>
        <w:t>r</w:t>
      </w:r>
      <w:r w:rsidRPr="006B3961">
        <w:rPr>
          <w:rFonts w:ascii="Arial" w:eastAsia="Times" w:hAnsi="Arial" w:cs="Arial"/>
          <w:color w:val="000000" w:themeColor="text1"/>
        </w:rPr>
        <w:t xml:space="preserve">emovals, </w:t>
      </w:r>
      <w:r w:rsidR="00414B3E">
        <w:rPr>
          <w:rFonts w:ascii="Arial" w:eastAsia="Times" w:hAnsi="Arial" w:cs="Arial"/>
          <w:color w:val="000000" w:themeColor="text1"/>
        </w:rPr>
        <w:t xml:space="preserve">the </w:t>
      </w:r>
      <w:r w:rsidRPr="006B3961">
        <w:rPr>
          <w:rFonts w:ascii="Arial" w:eastAsia="Times" w:hAnsi="Arial" w:cs="Arial"/>
          <w:color w:val="000000" w:themeColor="text1"/>
        </w:rPr>
        <w:t xml:space="preserve">Metro Tunnel, </w:t>
      </w:r>
      <w:r w:rsidR="003E25BA">
        <w:rPr>
          <w:rFonts w:ascii="Arial" w:eastAsia="Times" w:hAnsi="Arial" w:cs="Arial"/>
          <w:color w:val="000000" w:themeColor="text1"/>
        </w:rPr>
        <w:t>West Gate Tunnel</w:t>
      </w:r>
      <w:r w:rsidR="00414B3E">
        <w:rPr>
          <w:rFonts w:ascii="Arial" w:eastAsia="Times" w:hAnsi="Arial" w:cs="Arial"/>
          <w:color w:val="000000" w:themeColor="text1"/>
        </w:rPr>
        <w:t xml:space="preserve">, </w:t>
      </w:r>
      <w:r>
        <w:rPr>
          <w:rFonts w:ascii="Arial" w:eastAsia="Times" w:hAnsi="Arial" w:cs="Arial"/>
          <w:color w:val="000000" w:themeColor="text1"/>
        </w:rPr>
        <w:t>North</w:t>
      </w:r>
      <w:r w:rsidR="008B73B2">
        <w:rPr>
          <w:rFonts w:ascii="Arial" w:eastAsia="Times" w:hAnsi="Arial" w:cs="Arial"/>
          <w:color w:val="000000" w:themeColor="text1"/>
        </w:rPr>
        <w:t>-</w:t>
      </w:r>
      <w:r>
        <w:rPr>
          <w:rFonts w:ascii="Arial" w:eastAsia="Times" w:hAnsi="Arial" w:cs="Arial"/>
          <w:color w:val="000000" w:themeColor="text1"/>
        </w:rPr>
        <w:t xml:space="preserve">East Link </w:t>
      </w:r>
      <w:r w:rsidRPr="006B3961">
        <w:rPr>
          <w:rFonts w:ascii="Arial" w:eastAsia="Times" w:hAnsi="Arial" w:cs="Arial"/>
          <w:color w:val="000000" w:themeColor="text1"/>
        </w:rPr>
        <w:t>and Regional Rail Projects</w:t>
      </w:r>
      <w:r>
        <w:rPr>
          <w:rFonts w:ascii="Arial" w:eastAsia="Times" w:hAnsi="Arial" w:cs="Arial"/>
          <w:color w:val="000000" w:themeColor="text1"/>
        </w:rPr>
        <w:t>. A</w:t>
      </w:r>
      <w:r w:rsidRPr="006B3961">
        <w:rPr>
          <w:rFonts w:ascii="Arial" w:eastAsia="Times" w:hAnsi="Arial" w:cs="Arial"/>
          <w:color w:val="000000" w:themeColor="text1"/>
        </w:rPr>
        <w:t>dvertising inform</w:t>
      </w:r>
      <w:r w:rsidR="00057AEF">
        <w:rPr>
          <w:rFonts w:ascii="Arial" w:eastAsia="Times" w:hAnsi="Arial" w:cs="Arial"/>
          <w:color w:val="000000" w:themeColor="text1"/>
        </w:rPr>
        <w:t>ed</w:t>
      </w:r>
      <w:r w:rsidR="00675A01">
        <w:rPr>
          <w:rFonts w:ascii="Arial" w:eastAsia="Times" w:hAnsi="Arial" w:cs="Arial"/>
          <w:color w:val="000000" w:themeColor="text1"/>
        </w:rPr>
        <w:t xml:space="preserve"> </w:t>
      </w:r>
      <w:r w:rsidRPr="006B3961">
        <w:rPr>
          <w:rFonts w:ascii="Arial" w:eastAsia="Times" w:hAnsi="Arial" w:cs="Arial"/>
          <w:color w:val="000000" w:themeColor="text1"/>
        </w:rPr>
        <w:t xml:space="preserve">the public of </w:t>
      </w:r>
      <w:r w:rsidR="00675A01">
        <w:rPr>
          <w:rFonts w:ascii="Arial" w:eastAsia="Times" w:hAnsi="Arial" w:cs="Arial"/>
          <w:color w:val="000000" w:themeColor="text1"/>
        </w:rPr>
        <w:t xml:space="preserve">transport </w:t>
      </w:r>
      <w:r w:rsidRPr="006B3961">
        <w:rPr>
          <w:rFonts w:ascii="Arial" w:eastAsia="Times" w:hAnsi="Arial" w:cs="Arial"/>
          <w:color w:val="000000" w:themeColor="text1"/>
        </w:rPr>
        <w:t xml:space="preserve">disruptions and </w:t>
      </w:r>
      <w:r w:rsidR="00675A01">
        <w:rPr>
          <w:rFonts w:ascii="Arial" w:eastAsia="Times" w:hAnsi="Arial" w:cs="Arial"/>
          <w:color w:val="000000" w:themeColor="text1"/>
        </w:rPr>
        <w:t xml:space="preserve">project </w:t>
      </w:r>
      <w:r w:rsidRPr="006B3961">
        <w:rPr>
          <w:rFonts w:ascii="Arial" w:eastAsia="Times" w:hAnsi="Arial" w:cs="Arial"/>
          <w:color w:val="000000" w:themeColor="text1"/>
        </w:rPr>
        <w:t>progress</w:t>
      </w:r>
      <w:r w:rsidR="00675A01">
        <w:rPr>
          <w:rFonts w:ascii="Arial" w:eastAsia="Times" w:hAnsi="Arial" w:cs="Arial"/>
          <w:color w:val="000000" w:themeColor="text1"/>
        </w:rPr>
        <w:t xml:space="preserve"> </w:t>
      </w:r>
      <w:r w:rsidRPr="006B3961">
        <w:rPr>
          <w:rFonts w:ascii="Arial" w:eastAsia="Times" w:hAnsi="Arial" w:cs="Arial"/>
          <w:color w:val="000000" w:themeColor="text1"/>
        </w:rPr>
        <w:t>and promote</w:t>
      </w:r>
      <w:r w:rsidR="00057AEF">
        <w:rPr>
          <w:rFonts w:ascii="Arial" w:eastAsia="Times" w:hAnsi="Arial" w:cs="Arial"/>
          <w:color w:val="000000" w:themeColor="text1"/>
        </w:rPr>
        <w:t xml:space="preserve">d </w:t>
      </w:r>
      <w:r w:rsidRPr="006B3961">
        <w:rPr>
          <w:rFonts w:ascii="Arial" w:eastAsia="Times" w:hAnsi="Arial" w:cs="Arial"/>
          <w:color w:val="000000" w:themeColor="text1"/>
        </w:rPr>
        <w:t>alternative transport arrangements during construction.</w:t>
      </w:r>
    </w:p>
    <w:p w14:paraId="4B39A83A" w14:textId="77777777" w:rsidR="00756D6C" w:rsidRPr="00756D6C" w:rsidRDefault="00756D6C" w:rsidP="00756D6C">
      <w:pPr>
        <w:pStyle w:val="Heading3"/>
        <w:keepNext w:val="0"/>
        <w:keepLines w:val="0"/>
        <w:rPr>
          <w:rFonts w:ascii="Arial" w:hAnsi="Arial" w:cs="Arial"/>
          <w:b/>
          <w:bCs/>
          <w:i/>
          <w:iCs/>
          <w:sz w:val="22"/>
          <w:szCs w:val="22"/>
        </w:rPr>
      </w:pPr>
      <w:bookmarkStart w:id="58" w:name="_Toc101882015"/>
      <w:r w:rsidRPr="00756D6C">
        <w:rPr>
          <w:rFonts w:ascii="Arial" w:hAnsi="Arial" w:cs="Arial"/>
          <w:b/>
          <w:bCs/>
          <w:i/>
          <w:iCs/>
          <w:sz w:val="22"/>
          <w:szCs w:val="22"/>
        </w:rPr>
        <w:t>Victorian Responsible Gambling Foundation</w:t>
      </w:r>
      <w:bookmarkEnd w:id="58"/>
      <w:r w:rsidRPr="00756D6C">
        <w:rPr>
          <w:rFonts w:ascii="Arial" w:hAnsi="Arial" w:cs="Arial"/>
          <w:b/>
          <w:bCs/>
          <w:i/>
          <w:iCs/>
          <w:sz w:val="22"/>
          <w:szCs w:val="22"/>
        </w:rPr>
        <w:t xml:space="preserve"> </w:t>
      </w:r>
    </w:p>
    <w:p w14:paraId="7DF7A749" w14:textId="2E02F968" w:rsidR="00756D6C" w:rsidRPr="006B3961" w:rsidRDefault="00756D6C" w:rsidP="00756D6C">
      <w:pPr>
        <w:pStyle w:val="DPCbody"/>
      </w:pPr>
      <w:r w:rsidRPr="006B3961">
        <w:t>To reduce harm and encourage a balanced perspective on gambling in the community, the Victorian Responsible Gambling Foundation run</w:t>
      </w:r>
      <w:r w:rsidR="000C61E8">
        <w:t xml:space="preserve">s </w:t>
      </w:r>
      <w:r w:rsidRPr="006B3961">
        <w:t xml:space="preserve">campaigns to increase community and individual understanding of harm from gambling. </w:t>
      </w:r>
      <w:r w:rsidR="000C61E8">
        <w:t xml:space="preserve">The campaigns </w:t>
      </w:r>
      <w:r w:rsidRPr="006B3961">
        <w:t>challeng</w:t>
      </w:r>
      <w:r w:rsidR="000C61E8">
        <w:t xml:space="preserve">e </w:t>
      </w:r>
      <w:r w:rsidRPr="006B3961">
        <w:t>the normalisation of gambling in sport and the impact that stigma has on people’s willingness to seek help. </w:t>
      </w:r>
      <w:r w:rsidRPr="006B3961" w:rsidDel="004A3AD2">
        <w:t xml:space="preserve"> </w:t>
      </w:r>
    </w:p>
    <w:p w14:paraId="20D9A324" w14:textId="3F6773C3" w:rsidR="00756D6C" w:rsidRPr="00756D6C" w:rsidRDefault="003D7062" w:rsidP="00756D6C">
      <w:pPr>
        <w:pStyle w:val="Heading3"/>
        <w:keepNext w:val="0"/>
        <w:keepLines w:val="0"/>
        <w:rPr>
          <w:rFonts w:ascii="Arial" w:hAnsi="Arial" w:cs="Arial"/>
          <w:b/>
          <w:bCs/>
          <w:i/>
          <w:iCs/>
          <w:sz w:val="22"/>
          <w:szCs w:val="22"/>
        </w:rPr>
      </w:pPr>
      <w:bookmarkStart w:id="59" w:name="_Toc101882016"/>
      <w:r>
        <w:rPr>
          <w:rFonts w:ascii="Arial" w:hAnsi="Arial" w:cs="Arial"/>
          <w:b/>
          <w:bCs/>
          <w:i/>
          <w:iCs/>
          <w:sz w:val="22"/>
          <w:szCs w:val="22"/>
        </w:rPr>
        <w:t>Preventing f</w:t>
      </w:r>
      <w:r w:rsidR="00756D6C" w:rsidRPr="00756D6C">
        <w:rPr>
          <w:rFonts w:ascii="Arial" w:hAnsi="Arial" w:cs="Arial"/>
          <w:b/>
          <w:bCs/>
          <w:i/>
          <w:iCs/>
          <w:sz w:val="22"/>
          <w:szCs w:val="22"/>
        </w:rPr>
        <w:t>amily violence</w:t>
      </w:r>
      <w:bookmarkEnd w:id="59"/>
      <w:r>
        <w:rPr>
          <w:rFonts w:ascii="Arial" w:hAnsi="Arial" w:cs="Arial"/>
          <w:b/>
          <w:bCs/>
          <w:i/>
          <w:iCs/>
          <w:sz w:val="22"/>
          <w:szCs w:val="22"/>
        </w:rPr>
        <w:t xml:space="preserve"> and abuse </w:t>
      </w:r>
    </w:p>
    <w:p w14:paraId="3257319A" w14:textId="234E067E" w:rsidR="00756D6C" w:rsidRDefault="00756D6C" w:rsidP="00756D6C">
      <w:pPr>
        <w:pStyle w:val="DPCbody"/>
      </w:pPr>
      <w:r w:rsidRPr="006117CA">
        <w:t xml:space="preserve">During </w:t>
      </w:r>
      <w:r w:rsidR="009B41A8">
        <w:t>202</w:t>
      </w:r>
      <w:r w:rsidR="00C368AA">
        <w:t>2</w:t>
      </w:r>
      <w:r w:rsidR="009B41A8">
        <w:t>–2</w:t>
      </w:r>
      <w:r w:rsidR="00C368AA">
        <w:t>3</w:t>
      </w:r>
      <w:r>
        <w:t>,</w:t>
      </w:r>
      <w:r w:rsidRPr="006117CA">
        <w:t xml:space="preserve"> the government continue</w:t>
      </w:r>
      <w:r w:rsidR="002C1211">
        <w:t>s</w:t>
      </w:r>
      <w:r w:rsidR="00AD642A">
        <w:t xml:space="preserve"> </w:t>
      </w:r>
      <w:r w:rsidRPr="006117CA">
        <w:t>its major, long-term initiative to prevent family violence</w:t>
      </w:r>
      <w:r w:rsidR="003D7062">
        <w:t xml:space="preserve"> and abuse</w:t>
      </w:r>
      <w:r w:rsidRPr="006117CA">
        <w:t xml:space="preserve">. The program </w:t>
      </w:r>
      <w:r>
        <w:t xml:space="preserve">is </w:t>
      </w:r>
      <w:r w:rsidRPr="006117CA">
        <w:t xml:space="preserve">supported by advertising intended to </w:t>
      </w:r>
      <w:r>
        <w:t>change behaviour through the ‘Respect Women: Call It Out’ campaign</w:t>
      </w:r>
      <w:r w:rsidR="00AD642A">
        <w:t xml:space="preserve">, as well as </w:t>
      </w:r>
      <w:r>
        <w:t>campaign</w:t>
      </w:r>
      <w:r w:rsidR="00E76A76">
        <w:t>s</w:t>
      </w:r>
      <w:r>
        <w:t xml:space="preserve"> aimed at keeping older people </w:t>
      </w:r>
      <w:r w:rsidR="00AD642A">
        <w:t xml:space="preserve">and LGBTIQ people </w:t>
      </w:r>
      <w:r>
        <w:t>safe from family abuse</w:t>
      </w:r>
      <w:r w:rsidR="003D7062">
        <w:t>.</w:t>
      </w:r>
    </w:p>
    <w:p w14:paraId="50829FB1" w14:textId="517DA0D6" w:rsidR="002D1582" w:rsidRDefault="00C04853" w:rsidP="002D1582">
      <w:pPr>
        <w:pStyle w:val="Heading3"/>
        <w:keepNext w:val="0"/>
        <w:keepLines w:val="0"/>
        <w:rPr>
          <w:rFonts w:ascii="Arial" w:hAnsi="Arial" w:cs="Arial"/>
          <w:b/>
          <w:bCs/>
          <w:i/>
          <w:iCs/>
          <w:sz w:val="22"/>
          <w:szCs w:val="22"/>
        </w:rPr>
      </w:pPr>
      <w:r>
        <w:rPr>
          <w:rFonts w:ascii="Arial" w:hAnsi="Arial" w:cs="Arial"/>
          <w:b/>
          <w:bCs/>
          <w:i/>
          <w:iCs/>
          <w:sz w:val="22"/>
          <w:szCs w:val="22"/>
        </w:rPr>
        <w:t>Emergency communications</w:t>
      </w:r>
    </w:p>
    <w:p w14:paraId="433CCC20" w14:textId="37B3E55D" w:rsidR="00DB1D7F" w:rsidRPr="00057AEF" w:rsidRDefault="00C04853" w:rsidP="00057AEF">
      <w:pPr>
        <w:rPr>
          <w:rFonts w:ascii="Arial" w:eastAsia="Times" w:hAnsi="Arial" w:cs="Arial"/>
          <w:color w:val="000000" w:themeColor="text1"/>
        </w:rPr>
      </w:pPr>
      <w:r>
        <w:rPr>
          <w:rFonts w:ascii="Arial" w:eastAsia="Times" w:hAnsi="Arial" w:cs="Arial"/>
          <w:color w:val="000000" w:themeColor="text1"/>
        </w:rPr>
        <w:t>Victoria Police r</w:t>
      </w:r>
      <w:r w:rsidR="002C1211">
        <w:rPr>
          <w:rFonts w:ascii="Arial" w:eastAsia="Times" w:hAnsi="Arial" w:cs="Arial"/>
          <w:color w:val="000000" w:themeColor="text1"/>
        </w:rPr>
        <w:t>un</w:t>
      </w:r>
      <w:r>
        <w:rPr>
          <w:rFonts w:ascii="Arial" w:eastAsia="Times" w:hAnsi="Arial" w:cs="Arial"/>
          <w:color w:val="000000" w:themeColor="text1"/>
        </w:rPr>
        <w:t xml:space="preserve"> a continuing c</w:t>
      </w:r>
      <w:r w:rsidR="002D1582" w:rsidRPr="002D1582">
        <w:rPr>
          <w:rFonts w:ascii="Arial" w:eastAsia="Times" w:hAnsi="Arial" w:cs="Arial"/>
          <w:color w:val="000000" w:themeColor="text1"/>
        </w:rPr>
        <w:t xml:space="preserve">ampaign to promote </w:t>
      </w:r>
      <w:r>
        <w:rPr>
          <w:rFonts w:ascii="Arial" w:eastAsia="Times" w:hAnsi="Arial" w:cs="Arial"/>
          <w:color w:val="000000" w:themeColor="text1"/>
        </w:rPr>
        <w:t xml:space="preserve">its </w:t>
      </w:r>
      <w:r w:rsidR="002D1582" w:rsidRPr="002D1582">
        <w:rPr>
          <w:rFonts w:ascii="Arial" w:eastAsia="Times" w:hAnsi="Arial" w:cs="Arial"/>
          <w:color w:val="000000" w:themeColor="text1"/>
        </w:rPr>
        <w:t xml:space="preserve">Police Assistance Line and Online Reporting </w:t>
      </w:r>
      <w:r>
        <w:rPr>
          <w:rFonts w:ascii="Arial" w:eastAsia="Times" w:hAnsi="Arial" w:cs="Arial"/>
          <w:color w:val="000000" w:themeColor="text1"/>
        </w:rPr>
        <w:t xml:space="preserve">service, while the Department of Health also </w:t>
      </w:r>
      <w:r w:rsidR="00AE0D0D">
        <w:rPr>
          <w:rFonts w:ascii="Arial" w:eastAsia="Times" w:hAnsi="Arial" w:cs="Arial"/>
          <w:color w:val="000000" w:themeColor="text1"/>
        </w:rPr>
        <w:t xml:space="preserve">ran </w:t>
      </w:r>
      <w:r>
        <w:rPr>
          <w:rFonts w:ascii="Arial" w:eastAsia="Times" w:hAnsi="Arial" w:cs="Arial"/>
          <w:color w:val="000000" w:themeColor="text1"/>
        </w:rPr>
        <w:t xml:space="preserve">its </w:t>
      </w:r>
      <w:r w:rsidRPr="00C04853">
        <w:rPr>
          <w:rFonts w:ascii="Arial" w:eastAsia="Times" w:hAnsi="Arial" w:cs="Arial"/>
          <w:color w:val="000000" w:themeColor="text1"/>
        </w:rPr>
        <w:t>“Save Lives, Save 000 for Emergencies</w:t>
      </w:r>
      <w:r>
        <w:rPr>
          <w:rFonts w:ascii="Arial" w:eastAsia="Times" w:hAnsi="Arial" w:cs="Arial"/>
          <w:color w:val="000000" w:themeColor="text1"/>
        </w:rPr>
        <w:t xml:space="preserve">” campaign. </w:t>
      </w:r>
    </w:p>
    <w:p w14:paraId="35757CC7" w14:textId="67050CBF" w:rsidR="00DB1D7F" w:rsidRPr="00057AEF" w:rsidRDefault="00DB1D7F" w:rsidP="00DB1D7F">
      <w:pPr>
        <w:pStyle w:val="Heading2"/>
        <w:keepNext w:val="0"/>
        <w:keepLines w:val="0"/>
        <w:rPr>
          <w:rFonts w:ascii="Arial" w:hAnsi="Arial" w:cs="Arial"/>
          <w:b/>
          <w:bCs/>
        </w:rPr>
      </w:pPr>
      <w:bookmarkStart w:id="60" w:name="_Toc46322595"/>
      <w:bookmarkStart w:id="61" w:name="_Toc101882019"/>
      <w:bookmarkStart w:id="62" w:name="_Toc120528396"/>
      <w:bookmarkStart w:id="63" w:name="_Toc120528738"/>
      <w:bookmarkStart w:id="64" w:name="_Toc120528969"/>
      <w:bookmarkStart w:id="65" w:name="_Toc120529166"/>
      <w:r w:rsidRPr="00057AEF">
        <w:rPr>
          <w:rFonts w:ascii="Arial" w:hAnsi="Arial" w:cs="Arial"/>
          <w:b/>
          <w:bCs/>
        </w:rPr>
        <w:lastRenderedPageBreak/>
        <w:t>Priority area 2: Social cohesion, civic pride and community spirit</w:t>
      </w:r>
      <w:bookmarkEnd w:id="60"/>
      <w:bookmarkEnd w:id="61"/>
      <w:bookmarkEnd w:id="62"/>
      <w:bookmarkEnd w:id="63"/>
      <w:bookmarkEnd w:id="64"/>
      <w:bookmarkEnd w:id="65"/>
      <w:r w:rsidRPr="00057AEF">
        <w:rPr>
          <w:rFonts w:ascii="Arial" w:hAnsi="Arial" w:cs="Arial"/>
          <w:b/>
          <w:bCs/>
        </w:rPr>
        <w:t xml:space="preserve"> </w:t>
      </w:r>
    </w:p>
    <w:p w14:paraId="7740B1AF" w14:textId="426DA1F4" w:rsidR="00DB1D7F" w:rsidRPr="00057AEF" w:rsidRDefault="00DB1D7F" w:rsidP="00DB1D7F">
      <w:pPr>
        <w:pStyle w:val="DPCbody"/>
      </w:pPr>
      <w:r w:rsidRPr="00057AEF">
        <w:t xml:space="preserve">Advertising in this priority area supports Victorians to participate in public life, engage with their community, understand their rights and responsibilities and contribute to Victoria’s many cultural, social and natural assets. </w:t>
      </w:r>
    </w:p>
    <w:p w14:paraId="07ED8D26" w14:textId="057E4A64" w:rsidR="00DB1D7F" w:rsidRPr="00057AEF" w:rsidRDefault="002F6733" w:rsidP="00DB1D7F">
      <w:pPr>
        <w:pStyle w:val="DPCbody"/>
      </w:pPr>
      <w:r>
        <w:rPr>
          <w:noProof/>
        </w:rPr>
        <w:drawing>
          <wp:anchor distT="0" distB="0" distL="114300" distR="114300" simplePos="0" relativeHeight="251677696" behindDoc="0" locked="0" layoutInCell="1" allowOverlap="1" wp14:anchorId="00C50821" wp14:editId="1ED5DB31">
            <wp:simplePos x="0" y="0"/>
            <wp:positionH relativeFrom="column">
              <wp:posOffset>2781935</wp:posOffset>
            </wp:positionH>
            <wp:positionV relativeFrom="paragraph">
              <wp:posOffset>41910</wp:posOffset>
            </wp:positionV>
            <wp:extent cx="3076575" cy="3200400"/>
            <wp:effectExtent l="0" t="0" r="9525" b="0"/>
            <wp:wrapSquare wrapText="bothSides"/>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00DB1D7F" w:rsidRPr="00057AEF">
        <w:t xml:space="preserve">These include annual campaigns to </w:t>
      </w:r>
      <w:r w:rsidR="002D20A3" w:rsidRPr="00057AEF">
        <w:t xml:space="preserve">promote </w:t>
      </w:r>
      <w:r w:rsidR="00DB1D7F" w:rsidRPr="00057AEF">
        <w:t xml:space="preserve">Australia Day </w:t>
      </w:r>
      <w:r w:rsidR="002D20A3" w:rsidRPr="00057AEF">
        <w:t xml:space="preserve">events </w:t>
      </w:r>
      <w:r w:rsidR="00DB1D7F" w:rsidRPr="00057AEF">
        <w:t>in Victoria</w:t>
      </w:r>
      <w:r w:rsidR="00057AEF">
        <w:t xml:space="preserve"> </w:t>
      </w:r>
      <w:r w:rsidR="002D20A3" w:rsidRPr="00057AEF">
        <w:t>and support and promote Victoria’s rich multicultural heritage</w:t>
      </w:r>
      <w:r w:rsidR="00DB1D7F" w:rsidRPr="00057AEF">
        <w:t>.</w:t>
      </w:r>
    </w:p>
    <w:p w14:paraId="4F74F627" w14:textId="00D7D4DA" w:rsidR="00DB1D7F" w:rsidRPr="00057AEF" w:rsidRDefault="00DB1D7F" w:rsidP="00DB1D7F">
      <w:pPr>
        <w:pStyle w:val="DPCbody"/>
        <w:rPr>
          <w:b/>
          <w:i/>
          <w:color w:val="1F3864" w:themeColor="accent1" w:themeShade="80"/>
        </w:rPr>
      </w:pPr>
      <w:r w:rsidRPr="00057AEF">
        <w:rPr>
          <w:b/>
          <w:i/>
          <w:color w:val="1F3864" w:themeColor="accent1" w:themeShade="80"/>
        </w:rPr>
        <w:t xml:space="preserve">Australia Day </w:t>
      </w:r>
      <w:r w:rsidR="00057AEF">
        <w:rPr>
          <w:b/>
          <w:i/>
          <w:color w:val="1F3864" w:themeColor="accent1" w:themeShade="80"/>
        </w:rPr>
        <w:t>events</w:t>
      </w:r>
    </w:p>
    <w:p w14:paraId="551418B3" w14:textId="3A02E971" w:rsidR="00DB1D7F" w:rsidRPr="00057AEF" w:rsidRDefault="00DB1D7F" w:rsidP="00DB1D7F">
      <w:pPr>
        <w:pStyle w:val="DPCbody"/>
      </w:pPr>
      <w:r w:rsidRPr="00057AEF">
        <w:t xml:space="preserve">Each year, the Victorian Government </w:t>
      </w:r>
      <w:r w:rsidR="00106F5A" w:rsidRPr="00057AEF">
        <w:t xml:space="preserve">promotes </w:t>
      </w:r>
      <w:r w:rsidRPr="00057AEF">
        <w:t xml:space="preserve">Australia Day </w:t>
      </w:r>
      <w:r w:rsidR="00106F5A" w:rsidRPr="00057AEF">
        <w:t xml:space="preserve">activities around the state, including the return of free family events in Melbourne’s CBD in 2022. </w:t>
      </w:r>
    </w:p>
    <w:p w14:paraId="442D42F0" w14:textId="48C9EC62" w:rsidR="00057AEF" w:rsidRPr="00057AEF" w:rsidRDefault="00057AEF" w:rsidP="00057AEF">
      <w:pPr>
        <w:pStyle w:val="DPCbody"/>
        <w:rPr>
          <w:b/>
          <w:i/>
          <w:color w:val="1F3864" w:themeColor="accent1" w:themeShade="80"/>
        </w:rPr>
      </w:pPr>
      <w:r w:rsidRPr="00057AEF">
        <w:rPr>
          <w:b/>
          <w:i/>
          <w:color w:val="1F3864" w:themeColor="accent1" w:themeShade="80"/>
        </w:rPr>
        <w:t>Foster Care Attraction</w:t>
      </w:r>
    </w:p>
    <w:p w14:paraId="176DBED1" w14:textId="77777777" w:rsidR="00057AEF" w:rsidRDefault="00057AEF" w:rsidP="00057AEF">
      <w:pPr>
        <w:pStyle w:val="DPCbody"/>
      </w:pPr>
      <w:r w:rsidRPr="00057AEF">
        <w:t>Campaign advertising is used to generate enquiries from potential foster carers and emphasises the rewarding role foster carers from all walks of life, cultures and communities can play in the lives of children and young people.</w:t>
      </w:r>
    </w:p>
    <w:p w14:paraId="65CC93C2" w14:textId="77777777" w:rsidR="00DB1D7F" w:rsidRDefault="00DB1D7F" w:rsidP="00AE0D0D">
      <w:pPr>
        <w:pStyle w:val="DPCbody"/>
      </w:pPr>
      <w:r>
        <w:br w:type="page"/>
      </w:r>
    </w:p>
    <w:p w14:paraId="744D733B" w14:textId="77777777" w:rsidR="00DB1D7F" w:rsidRPr="00DB1D7F" w:rsidRDefault="00DB1D7F" w:rsidP="00DB1D7F">
      <w:pPr>
        <w:pStyle w:val="Heading2"/>
        <w:keepNext w:val="0"/>
        <w:keepLines w:val="0"/>
        <w:rPr>
          <w:rFonts w:ascii="Arial" w:hAnsi="Arial" w:cs="Arial"/>
          <w:b/>
          <w:bCs/>
        </w:rPr>
      </w:pPr>
      <w:bookmarkStart w:id="66" w:name="_Toc46322596"/>
      <w:bookmarkStart w:id="67" w:name="_Toc101882020"/>
      <w:bookmarkStart w:id="68" w:name="_Toc120528397"/>
      <w:bookmarkStart w:id="69" w:name="_Toc120528739"/>
      <w:bookmarkStart w:id="70" w:name="_Toc120528970"/>
      <w:bookmarkStart w:id="71" w:name="_Toc120529167"/>
      <w:r w:rsidRPr="00DB1D7F">
        <w:rPr>
          <w:rFonts w:ascii="Arial" w:hAnsi="Arial" w:cs="Arial"/>
          <w:b/>
          <w:bCs/>
        </w:rPr>
        <w:lastRenderedPageBreak/>
        <w:t>Priority area 3: Commercial and economic investment in Victoria</w:t>
      </w:r>
      <w:bookmarkEnd w:id="66"/>
      <w:bookmarkEnd w:id="67"/>
      <w:bookmarkEnd w:id="68"/>
      <w:bookmarkEnd w:id="69"/>
      <w:bookmarkEnd w:id="70"/>
      <w:bookmarkEnd w:id="71"/>
    </w:p>
    <w:p w14:paraId="5A4AA501" w14:textId="31124F3C" w:rsidR="00DB1D7F" w:rsidRPr="009D3FEA" w:rsidRDefault="001E2735" w:rsidP="00DB1D7F">
      <w:pPr>
        <w:pStyle w:val="DPCbody"/>
      </w:pPr>
      <w:r>
        <w:rPr>
          <w:noProof/>
        </w:rPr>
        <w:drawing>
          <wp:anchor distT="0" distB="0" distL="114300" distR="114300" simplePos="0" relativeHeight="251679744" behindDoc="0" locked="0" layoutInCell="1" allowOverlap="1" wp14:anchorId="267678A8" wp14:editId="697B1838">
            <wp:simplePos x="0" y="0"/>
            <wp:positionH relativeFrom="column">
              <wp:posOffset>2581275</wp:posOffset>
            </wp:positionH>
            <wp:positionV relativeFrom="paragraph">
              <wp:posOffset>151765</wp:posOffset>
            </wp:positionV>
            <wp:extent cx="3076575" cy="3200400"/>
            <wp:effectExtent l="0" t="0" r="9525" b="0"/>
            <wp:wrapSquare wrapText="bothSides"/>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00DB1D7F" w:rsidRPr="009D3FEA">
        <w:t xml:space="preserve">This priority area includes advertising campaigns that help grow Victoria’s economy and promote investment by driving tourism, increasing employment and career opportunities, promoting business and commercial development, and encouraging regional growth. </w:t>
      </w:r>
    </w:p>
    <w:p w14:paraId="7CA8F9E4" w14:textId="77777777" w:rsidR="00DB1D7F" w:rsidRPr="008778FF" w:rsidRDefault="00DB1D7F" w:rsidP="00DB1D7F">
      <w:pPr>
        <w:pStyle w:val="Heading3"/>
        <w:keepNext w:val="0"/>
        <w:keepLines w:val="0"/>
        <w:rPr>
          <w:rFonts w:ascii="Arial" w:hAnsi="Arial" w:cs="Arial"/>
          <w:b/>
          <w:bCs/>
          <w:i/>
          <w:iCs/>
          <w:sz w:val="22"/>
          <w:szCs w:val="22"/>
        </w:rPr>
      </w:pPr>
      <w:bookmarkStart w:id="72" w:name="_Toc101882021"/>
      <w:r w:rsidRPr="008778FF">
        <w:rPr>
          <w:rFonts w:ascii="Arial" w:hAnsi="Arial" w:cs="Arial"/>
          <w:b/>
          <w:bCs/>
          <w:i/>
          <w:iCs/>
          <w:sz w:val="22"/>
          <w:szCs w:val="22"/>
        </w:rPr>
        <w:t>Tourism promotion</w:t>
      </w:r>
      <w:bookmarkEnd w:id="72"/>
      <w:r w:rsidRPr="008778FF">
        <w:rPr>
          <w:rFonts w:ascii="Arial" w:hAnsi="Arial" w:cs="Arial"/>
          <w:b/>
          <w:bCs/>
          <w:i/>
          <w:iCs/>
          <w:sz w:val="22"/>
          <w:szCs w:val="22"/>
        </w:rPr>
        <w:t xml:space="preserve"> </w:t>
      </w:r>
    </w:p>
    <w:p w14:paraId="2E14803F" w14:textId="14F46794" w:rsidR="008778FF" w:rsidRDefault="00DB1D7F" w:rsidP="008778FF">
      <w:pPr>
        <w:pStyle w:val="DPCbody"/>
      </w:pPr>
      <w:r w:rsidRPr="009D3FEA">
        <w:t xml:space="preserve">In </w:t>
      </w:r>
      <w:r w:rsidR="009B41A8">
        <w:t>202</w:t>
      </w:r>
      <w:r w:rsidR="00C368AA">
        <w:t>2</w:t>
      </w:r>
      <w:r w:rsidR="009B41A8">
        <w:t>–2</w:t>
      </w:r>
      <w:r w:rsidR="00C368AA">
        <w:t>3</w:t>
      </w:r>
      <w:r>
        <w:t>,</w:t>
      </w:r>
      <w:r w:rsidRPr="009D3FEA">
        <w:t xml:space="preserve"> advertising campaigns </w:t>
      </w:r>
      <w:r>
        <w:t xml:space="preserve">by </w:t>
      </w:r>
      <w:r w:rsidRPr="009D3FEA">
        <w:t>Visit Victoria</w:t>
      </w:r>
      <w:r w:rsidR="00E56FA4">
        <w:t xml:space="preserve">, such as the ‘Stay Close, Go Further’ </w:t>
      </w:r>
      <w:r w:rsidR="00AE0D0D">
        <w:t xml:space="preserve">campaign </w:t>
      </w:r>
      <w:r w:rsidR="008778FF">
        <w:t>encourag</w:t>
      </w:r>
      <w:r w:rsidR="0038753B">
        <w:t>e</w:t>
      </w:r>
      <w:r w:rsidR="00057AEF">
        <w:t>d</w:t>
      </w:r>
      <w:r w:rsidR="00E56FA4">
        <w:t xml:space="preserve"> </w:t>
      </w:r>
      <w:r w:rsidR="008778FF">
        <w:t xml:space="preserve">Victorians to </w:t>
      </w:r>
      <w:r w:rsidR="0038753B">
        <w:t xml:space="preserve">explore the best </w:t>
      </w:r>
      <w:r w:rsidR="008778FF">
        <w:t xml:space="preserve">their own state </w:t>
      </w:r>
      <w:r w:rsidR="0038753B">
        <w:t>has to offer</w:t>
      </w:r>
      <w:r w:rsidR="002C1211">
        <w:t>.</w:t>
      </w:r>
      <w:r w:rsidR="0038753B">
        <w:t xml:space="preserve"> </w:t>
      </w:r>
      <w:r w:rsidR="00872B71">
        <w:t>Visit Victoria’s ‘Get Set Melbourne</w:t>
      </w:r>
      <w:r w:rsidR="00AE0D0D">
        <w:t>/Victoria</w:t>
      </w:r>
      <w:r w:rsidR="00872B71">
        <w:t xml:space="preserve">’ campaign </w:t>
      </w:r>
      <w:r w:rsidR="00C85A7D">
        <w:t>promote</w:t>
      </w:r>
      <w:r w:rsidR="00057AEF">
        <w:t xml:space="preserve">d the many attractions of </w:t>
      </w:r>
      <w:r w:rsidR="00C85A7D">
        <w:t>Melbourne and Victoria</w:t>
      </w:r>
      <w:r w:rsidR="00057AEF">
        <w:t xml:space="preserve"> </w:t>
      </w:r>
      <w:r w:rsidR="00C85A7D">
        <w:t xml:space="preserve">to interstate audiences. </w:t>
      </w:r>
    </w:p>
    <w:p w14:paraId="7E60A8F3" w14:textId="55A73692" w:rsidR="00DB1D7F" w:rsidRPr="00DB1D7F" w:rsidRDefault="007355CD" w:rsidP="00DB1D7F">
      <w:pPr>
        <w:pStyle w:val="DPCbody"/>
        <w:rPr>
          <w:b/>
          <w:i/>
          <w:color w:val="1F3864" w:themeColor="accent1" w:themeShade="80"/>
        </w:rPr>
      </w:pPr>
      <w:r w:rsidRPr="00154BB3">
        <w:rPr>
          <w:b/>
          <w:i/>
          <w:color w:val="1F3864" w:themeColor="accent1" w:themeShade="80"/>
        </w:rPr>
        <w:t xml:space="preserve">Jobs and </w:t>
      </w:r>
      <w:r>
        <w:rPr>
          <w:b/>
          <w:i/>
          <w:color w:val="1F3864" w:themeColor="accent1" w:themeShade="80"/>
        </w:rPr>
        <w:t>b</w:t>
      </w:r>
      <w:r w:rsidR="00DB1D7F" w:rsidRPr="00DB1D7F">
        <w:rPr>
          <w:b/>
          <w:i/>
          <w:color w:val="1F3864" w:themeColor="accent1" w:themeShade="80"/>
        </w:rPr>
        <w:t xml:space="preserve">usiness </w:t>
      </w:r>
      <w:r>
        <w:rPr>
          <w:b/>
          <w:i/>
          <w:color w:val="1F3864" w:themeColor="accent1" w:themeShade="80"/>
        </w:rPr>
        <w:t xml:space="preserve">support </w:t>
      </w:r>
    </w:p>
    <w:p w14:paraId="5D3E709B" w14:textId="3A907733" w:rsidR="00DB1D7F" w:rsidRDefault="00DB1D7F" w:rsidP="00DB1D7F">
      <w:pPr>
        <w:pStyle w:val="DPCbody"/>
        <w:rPr>
          <w:color w:val="auto"/>
        </w:rPr>
      </w:pPr>
      <w:r>
        <w:rPr>
          <w:color w:val="auto"/>
        </w:rPr>
        <w:t xml:space="preserve">Business Victoria </w:t>
      </w:r>
      <w:r w:rsidR="00E56FA4">
        <w:rPr>
          <w:color w:val="auto"/>
        </w:rPr>
        <w:t>undert</w:t>
      </w:r>
      <w:r w:rsidR="002C1211">
        <w:rPr>
          <w:color w:val="auto"/>
        </w:rPr>
        <w:t>akes</w:t>
      </w:r>
      <w:r w:rsidR="00E56FA4">
        <w:rPr>
          <w:color w:val="auto"/>
        </w:rPr>
        <w:t xml:space="preserve"> </w:t>
      </w:r>
      <w:r w:rsidR="00611421">
        <w:rPr>
          <w:color w:val="auto"/>
        </w:rPr>
        <w:t xml:space="preserve">a variety of campaigns </w:t>
      </w:r>
      <w:r>
        <w:rPr>
          <w:color w:val="auto"/>
        </w:rPr>
        <w:t xml:space="preserve">to </w:t>
      </w:r>
      <w:r w:rsidR="00C65AE7">
        <w:rPr>
          <w:color w:val="auto"/>
        </w:rPr>
        <w:t xml:space="preserve">support </w:t>
      </w:r>
      <w:r>
        <w:rPr>
          <w:color w:val="auto"/>
        </w:rPr>
        <w:t>Victorian businesses, particularly small businesses</w:t>
      </w:r>
      <w:r w:rsidR="00AE0D0D">
        <w:rPr>
          <w:color w:val="auto"/>
        </w:rPr>
        <w:t>. C</w:t>
      </w:r>
      <w:r>
        <w:rPr>
          <w:color w:val="auto"/>
        </w:rPr>
        <w:t>ampaign</w:t>
      </w:r>
      <w:r w:rsidR="00C249C9">
        <w:rPr>
          <w:color w:val="auto"/>
        </w:rPr>
        <w:t>s</w:t>
      </w:r>
      <w:r>
        <w:rPr>
          <w:color w:val="auto"/>
        </w:rPr>
        <w:t xml:space="preserve"> </w:t>
      </w:r>
      <w:r w:rsidR="00AE0D0D">
        <w:rPr>
          <w:color w:val="auto"/>
        </w:rPr>
        <w:t xml:space="preserve">in 2022–23 </w:t>
      </w:r>
      <w:r>
        <w:rPr>
          <w:color w:val="auto"/>
        </w:rPr>
        <w:t>encourage</w:t>
      </w:r>
      <w:r w:rsidR="00057AEF">
        <w:rPr>
          <w:color w:val="auto"/>
        </w:rPr>
        <w:t>d</w:t>
      </w:r>
      <w:r w:rsidR="00E56FA4">
        <w:rPr>
          <w:color w:val="auto"/>
        </w:rPr>
        <w:t xml:space="preserve"> </w:t>
      </w:r>
      <w:r w:rsidR="00611421">
        <w:rPr>
          <w:color w:val="auto"/>
        </w:rPr>
        <w:t xml:space="preserve">small business </w:t>
      </w:r>
      <w:r>
        <w:rPr>
          <w:color w:val="auto"/>
        </w:rPr>
        <w:t xml:space="preserve">participation in workshops and mentoring programs to facilitate business </w:t>
      </w:r>
      <w:r w:rsidR="00E56FA4">
        <w:rPr>
          <w:color w:val="auto"/>
        </w:rPr>
        <w:t xml:space="preserve">recovery and </w:t>
      </w:r>
      <w:r>
        <w:rPr>
          <w:color w:val="auto"/>
        </w:rPr>
        <w:t>growth</w:t>
      </w:r>
      <w:r w:rsidR="00C65AE7">
        <w:rPr>
          <w:color w:val="auto"/>
        </w:rPr>
        <w:t>, learn new skills, and promote</w:t>
      </w:r>
      <w:r w:rsidR="004A16FC">
        <w:rPr>
          <w:color w:val="auto"/>
        </w:rPr>
        <w:t xml:space="preserve">d </w:t>
      </w:r>
      <w:r w:rsidR="00C65AE7">
        <w:rPr>
          <w:color w:val="auto"/>
        </w:rPr>
        <w:t xml:space="preserve">mental health and wellbeing for small business owners. </w:t>
      </w:r>
      <w:r w:rsidR="00B54AF5">
        <w:rPr>
          <w:color w:val="auto"/>
        </w:rPr>
        <w:t>The ‘Backing You’ campaign promote</w:t>
      </w:r>
      <w:r w:rsidR="004A16FC">
        <w:rPr>
          <w:color w:val="auto"/>
        </w:rPr>
        <w:t>d</w:t>
      </w:r>
      <w:r w:rsidR="00B54AF5">
        <w:rPr>
          <w:color w:val="auto"/>
        </w:rPr>
        <w:t xml:space="preserve"> the Jobs Victoria service, which </w:t>
      </w:r>
      <w:r w:rsidR="00B54AF5" w:rsidRPr="00B54AF5">
        <w:rPr>
          <w:color w:val="auto"/>
        </w:rPr>
        <w:t>support</w:t>
      </w:r>
      <w:r w:rsidR="00B54AF5">
        <w:rPr>
          <w:color w:val="auto"/>
        </w:rPr>
        <w:t xml:space="preserve">s </w:t>
      </w:r>
      <w:r w:rsidR="00B54AF5" w:rsidRPr="00B54AF5">
        <w:rPr>
          <w:color w:val="auto"/>
        </w:rPr>
        <w:t>people looking for work and connects employers with the staff they need.</w:t>
      </w:r>
    </w:p>
    <w:p w14:paraId="1B4F8EB8" w14:textId="12FA310A" w:rsidR="00DB1D7F" w:rsidRPr="0074710D" w:rsidRDefault="00C65AE7" w:rsidP="00DB1D7F">
      <w:pPr>
        <w:pStyle w:val="DPCbody"/>
        <w:rPr>
          <w:b/>
          <w:i/>
          <w:color w:val="1F3864" w:themeColor="accent1" w:themeShade="80"/>
        </w:rPr>
      </w:pPr>
      <w:r>
        <w:rPr>
          <w:b/>
          <w:i/>
          <w:color w:val="1F3864" w:themeColor="accent1" w:themeShade="80"/>
        </w:rPr>
        <w:t>Government r</w:t>
      </w:r>
      <w:r w:rsidR="0066527F" w:rsidRPr="0074710D">
        <w:rPr>
          <w:b/>
          <w:i/>
          <w:color w:val="1F3864" w:themeColor="accent1" w:themeShade="80"/>
        </w:rPr>
        <w:t>ecruitment</w:t>
      </w:r>
    </w:p>
    <w:p w14:paraId="5622DA4C" w14:textId="2BE71296" w:rsidR="00DB1D7F" w:rsidRPr="004A16FC" w:rsidRDefault="0066527F" w:rsidP="00D933BD">
      <w:pPr>
        <w:pStyle w:val="DPCbody"/>
        <w:rPr>
          <w:rStyle w:val="Heading2Char"/>
          <w:rFonts w:ascii="Arial" w:eastAsia="Times" w:hAnsi="Arial" w:cs="Arial"/>
          <w:color w:val="000000" w:themeColor="text1"/>
          <w:sz w:val="22"/>
          <w:szCs w:val="22"/>
        </w:rPr>
      </w:pPr>
      <w:bookmarkStart w:id="73" w:name="_Toc101882022"/>
      <w:bookmarkStart w:id="74" w:name="_Toc120528398"/>
      <w:r w:rsidRPr="00154BB3">
        <w:t>In 202</w:t>
      </w:r>
      <w:r w:rsidR="00C368AA">
        <w:t>2</w:t>
      </w:r>
      <w:r w:rsidR="00B54AF5">
        <w:t>–</w:t>
      </w:r>
      <w:r w:rsidRPr="00154BB3">
        <w:t>2</w:t>
      </w:r>
      <w:r w:rsidR="00C368AA">
        <w:t>3</w:t>
      </w:r>
      <w:r w:rsidRPr="00154BB3">
        <w:t xml:space="preserve"> the government </w:t>
      </w:r>
      <w:r w:rsidR="004A16FC">
        <w:t xml:space="preserve">undertook substantial </w:t>
      </w:r>
      <w:r w:rsidR="00B54AF5" w:rsidRPr="00154BB3">
        <w:t xml:space="preserve">recruitment </w:t>
      </w:r>
      <w:r w:rsidRPr="00154BB3">
        <w:t xml:space="preserve">campaigns </w:t>
      </w:r>
      <w:r w:rsidR="00B54AF5" w:rsidRPr="00154BB3">
        <w:t xml:space="preserve">to attract </w:t>
      </w:r>
      <w:r w:rsidR="00B54AF5">
        <w:t xml:space="preserve">workers to the important </w:t>
      </w:r>
      <w:r w:rsidR="00381B50" w:rsidRPr="00154BB3">
        <w:t>mental health</w:t>
      </w:r>
      <w:r w:rsidR="00B54AF5">
        <w:t>, child protection</w:t>
      </w:r>
      <w:r w:rsidR="00C05089">
        <w:t>, aged care</w:t>
      </w:r>
      <w:r w:rsidR="00B54AF5">
        <w:t xml:space="preserve"> and </w:t>
      </w:r>
      <w:r w:rsidR="00381B50" w:rsidRPr="00154BB3">
        <w:t xml:space="preserve">disability </w:t>
      </w:r>
      <w:r w:rsidR="00AA57C7">
        <w:t>support sectors</w:t>
      </w:r>
      <w:r w:rsidR="00B54AF5">
        <w:t xml:space="preserve">, </w:t>
      </w:r>
      <w:r w:rsidR="00381B50" w:rsidRPr="00154BB3">
        <w:t xml:space="preserve">and </w:t>
      </w:r>
      <w:r w:rsidR="00B54AF5">
        <w:t xml:space="preserve">to </w:t>
      </w:r>
      <w:r w:rsidR="00281428">
        <w:t xml:space="preserve">recruit </w:t>
      </w:r>
      <w:r w:rsidR="00281428" w:rsidRPr="00281428">
        <w:t>emergency '000' call-taker</w:t>
      </w:r>
      <w:r w:rsidR="00281428">
        <w:t>s. Recruitment campaigns also continue</w:t>
      </w:r>
      <w:r w:rsidR="004A16FC">
        <w:t xml:space="preserve">d </w:t>
      </w:r>
      <w:r w:rsidR="00281428">
        <w:t xml:space="preserve">to attract applicants for teaching roles in early childhood education and Victorian state schools. </w:t>
      </w:r>
      <w:r w:rsidR="00DB1D7F">
        <w:br w:type="page"/>
      </w:r>
      <w:bookmarkStart w:id="75" w:name="_Toc46322597"/>
      <w:r w:rsidR="00DB1D7F" w:rsidRPr="0040425D">
        <w:rPr>
          <w:rStyle w:val="Heading2Char"/>
          <w:rFonts w:ascii="Arial" w:hAnsi="Arial" w:cs="Arial"/>
          <w:b/>
          <w:bCs/>
        </w:rPr>
        <w:lastRenderedPageBreak/>
        <w:t>Priority area 4: Generation of revenue for institutions or events</w:t>
      </w:r>
      <w:bookmarkEnd w:id="73"/>
      <w:bookmarkEnd w:id="74"/>
      <w:bookmarkEnd w:id="75"/>
    </w:p>
    <w:p w14:paraId="121D6AF5" w14:textId="78E44C0C" w:rsidR="00DB1D7F" w:rsidRDefault="001E2735" w:rsidP="00DB1D7F">
      <w:pPr>
        <w:pStyle w:val="DPCbody"/>
      </w:pPr>
      <w:r>
        <w:rPr>
          <w:noProof/>
        </w:rPr>
        <w:drawing>
          <wp:anchor distT="0" distB="0" distL="114300" distR="114300" simplePos="0" relativeHeight="251681792" behindDoc="0" locked="0" layoutInCell="1" allowOverlap="1" wp14:anchorId="65EF2741" wp14:editId="3A80C2BF">
            <wp:simplePos x="0" y="0"/>
            <wp:positionH relativeFrom="column">
              <wp:posOffset>2609850</wp:posOffset>
            </wp:positionH>
            <wp:positionV relativeFrom="paragraph">
              <wp:posOffset>95250</wp:posOffset>
            </wp:positionV>
            <wp:extent cx="3076575" cy="3200400"/>
            <wp:effectExtent l="0" t="0" r="9525" b="0"/>
            <wp:wrapSquare wrapText="bothSides"/>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DB1D7F">
        <w:t xml:space="preserve">This priority area supports Victoria’s many iconic arts and educational institutions and major events, which offer world-class attractions, events and services. </w:t>
      </w:r>
    </w:p>
    <w:p w14:paraId="0D9CE836" w14:textId="3DF143BE" w:rsidR="00DB1D7F" w:rsidRDefault="00DB1D7F" w:rsidP="00DB1D7F">
      <w:pPr>
        <w:pStyle w:val="DPCbody"/>
      </w:pPr>
      <w:r>
        <w:t>Many of these institutions and events rely on advertising to attract the patronage and attendance that generates revenue for their programs and activities</w:t>
      </w:r>
      <w:r w:rsidR="00E702A6">
        <w:t xml:space="preserve">. </w:t>
      </w:r>
      <w:r w:rsidR="00EA0B53">
        <w:t xml:space="preserve">In </w:t>
      </w:r>
      <w:r w:rsidR="009B41A8">
        <w:t>202</w:t>
      </w:r>
      <w:r w:rsidR="00C05089">
        <w:t>2</w:t>
      </w:r>
      <w:r w:rsidR="009B41A8">
        <w:t>–2</w:t>
      </w:r>
      <w:r w:rsidR="00C05089">
        <w:t>3</w:t>
      </w:r>
      <w:r w:rsidR="00EA0B53">
        <w:t xml:space="preserve">, this </w:t>
      </w:r>
      <w:r w:rsidR="00E702A6">
        <w:t xml:space="preserve">advertising </w:t>
      </w:r>
      <w:r w:rsidR="00597E5E">
        <w:t xml:space="preserve">was important in </w:t>
      </w:r>
      <w:r w:rsidR="00EA0B53">
        <w:t>attract</w:t>
      </w:r>
      <w:r w:rsidR="00597E5E">
        <w:t xml:space="preserve">ing </w:t>
      </w:r>
      <w:r w:rsidR="00EA0B53">
        <w:t xml:space="preserve">patrons back to these institutions </w:t>
      </w:r>
      <w:r w:rsidR="00E56FA4">
        <w:t>as</w:t>
      </w:r>
      <w:r w:rsidR="00EA0B53">
        <w:t xml:space="preserve"> </w:t>
      </w:r>
      <w:r w:rsidR="00E702A6">
        <w:t xml:space="preserve">COVID-19 </w:t>
      </w:r>
      <w:r w:rsidR="007840F9">
        <w:t xml:space="preserve">settings </w:t>
      </w:r>
      <w:r w:rsidR="00EA0B53">
        <w:t>allow</w:t>
      </w:r>
      <w:r w:rsidR="00597E5E">
        <w:t>ed</w:t>
      </w:r>
      <w:r w:rsidR="007840F9">
        <w:t xml:space="preserve">. </w:t>
      </w:r>
    </w:p>
    <w:p w14:paraId="578523BA" w14:textId="77777777" w:rsidR="00DB1D7F" w:rsidRPr="00DB1D7F" w:rsidRDefault="00DB1D7F" w:rsidP="00DB1D7F">
      <w:pPr>
        <w:pStyle w:val="Heading3"/>
        <w:rPr>
          <w:rFonts w:ascii="Arial" w:hAnsi="Arial" w:cs="Arial"/>
          <w:b/>
          <w:bCs/>
          <w:i/>
          <w:iCs/>
          <w:color w:val="1F3864" w:themeColor="accent1" w:themeShade="80"/>
          <w:sz w:val="22"/>
          <w:szCs w:val="22"/>
        </w:rPr>
      </w:pPr>
      <w:bookmarkStart w:id="76" w:name="_Toc101882023"/>
      <w:r w:rsidRPr="00DB1D7F">
        <w:rPr>
          <w:rFonts w:ascii="Arial" w:hAnsi="Arial" w:cs="Arial"/>
          <w:b/>
          <w:bCs/>
          <w:i/>
          <w:iCs/>
          <w:color w:val="1F3864" w:themeColor="accent1" w:themeShade="80"/>
          <w:sz w:val="22"/>
          <w:szCs w:val="22"/>
        </w:rPr>
        <w:t>Creative Victoria campaigns</w:t>
      </w:r>
      <w:bookmarkEnd w:id="76"/>
      <w:r w:rsidRPr="00DB1D7F">
        <w:rPr>
          <w:rFonts w:ascii="Arial" w:hAnsi="Arial" w:cs="Arial"/>
          <w:b/>
          <w:bCs/>
          <w:i/>
          <w:iCs/>
          <w:color w:val="1F3864" w:themeColor="accent1" w:themeShade="80"/>
          <w:sz w:val="22"/>
          <w:szCs w:val="22"/>
        </w:rPr>
        <w:t xml:space="preserve"> </w:t>
      </w:r>
    </w:p>
    <w:p w14:paraId="29B874AF" w14:textId="731D3013" w:rsidR="00DB1D7F" w:rsidRPr="00CD475C" w:rsidRDefault="00DB1D7F" w:rsidP="00DB1D7F">
      <w:pPr>
        <w:pStyle w:val="DPCbody"/>
      </w:pPr>
      <w:r w:rsidRPr="00CD475C">
        <w:t xml:space="preserve">Institutions such as </w:t>
      </w:r>
      <w:r w:rsidRPr="006A6D61">
        <w:t xml:space="preserve">Museums Victoria, Arts Centre Melbourne, </w:t>
      </w:r>
      <w:r>
        <w:t xml:space="preserve">the </w:t>
      </w:r>
      <w:r w:rsidRPr="006A6D61">
        <w:t xml:space="preserve">National Gallery of Victoria and the </w:t>
      </w:r>
      <w:r>
        <w:t>Melbourne Recital Centre</w:t>
      </w:r>
      <w:r w:rsidRPr="006A6D61">
        <w:t xml:space="preserve"> </w:t>
      </w:r>
      <w:r>
        <w:t xml:space="preserve">host a diverse range of world-class </w:t>
      </w:r>
      <w:r w:rsidRPr="00CD475C">
        <w:t xml:space="preserve">programs </w:t>
      </w:r>
      <w:r>
        <w:t xml:space="preserve">each </w:t>
      </w:r>
      <w:r w:rsidRPr="00CD475C">
        <w:t xml:space="preserve">year. </w:t>
      </w:r>
      <w:r>
        <w:t xml:space="preserve">In </w:t>
      </w:r>
      <w:r w:rsidR="009B41A8">
        <w:t>202</w:t>
      </w:r>
      <w:r w:rsidR="005523E7">
        <w:t>2</w:t>
      </w:r>
      <w:r w:rsidR="009B41A8">
        <w:t>–2</w:t>
      </w:r>
      <w:r w:rsidR="005523E7">
        <w:t>3</w:t>
      </w:r>
      <w:r>
        <w:t>, a</w:t>
      </w:r>
      <w:r w:rsidRPr="00CD475C">
        <w:t xml:space="preserve">dvertising </w:t>
      </w:r>
      <w:r>
        <w:t>inform</w:t>
      </w:r>
      <w:r w:rsidR="00597E5E">
        <w:t>ed</w:t>
      </w:r>
      <w:r w:rsidR="00E56FA4">
        <w:t xml:space="preserve"> </w:t>
      </w:r>
      <w:r w:rsidRPr="00CD475C">
        <w:t xml:space="preserve">Victorians </w:t>
      </w:r>
      <w:r>
        <w:t xml:space="preserve">about </w:t>
      </w:r>
      <w:r w:rsidR="00EA0B53">
        <w:t xml:space="preserve">virtual and live </w:t>
      </w:r>
      <w:r>
        <w:t xml:space="preserve">events </w:t>
      </w:r>
      <w:r w:rsidRPr="00CD475C">
        <w:t>at these iconic venues</w:t>
      </w:r>
      <w:r w:rsidR="00597E5E">
        <w:t>.</w:t>
      </w:r>
      <w:r w:rsidR="007840F9">
        <w:t xml:space="preserve"> </w:t>
      </w:r>
      <w:r w:rsidR="00B43EEA">
        <w:t xml:space="preserve">Advertising also </w:t>
      </w:r>
      <w:r w:rsidR="00597E5E">
        <w:t xml:space="preserve">promoted </w:t>
      </w:r>
      <w:r w:rsidR="00B43EEA">
        <w:t>the w</w:t>
      </w:r>
      <w:r w:rsidR="00B43EEA" w:rsidRPr="00B43EEA">
        <w:t xml:space="preserve">orld-class art galleries and exhibitions, </w:t>
      </w:r>
      <w:r w:rsidR="00B43EEA">
        <w:t xml:space="preserve">and the </w:t>
      </w:r>
      <w:r w:rsidR="00B43EEA" w:rsidRPr="00B43EEA">
        <w:t xml:space="preserve">diverse </w:t>
      </w:r>
      <w:r w:rsidR="00B43EEA">
        <w:t xml:space="preserve">dining options </w:t>
      </w:r>
      <w:r w:rsidR="00B43EEA" w:rsidRPr="00B43EEA">
        <w:t xml:space="preserve">and events </w:t>
      </w:r>
      <w:r w:rsidR="00B43EEA">
        <w:t>available at Fed Square</w:t>
      </w:r>
      <w:r w:rsidR="00B43EEA" w:rsidRPr="00B43EEA">
        <w:t>.</w:t>
      </w:r>
    </w:p>
    <w:p w14:paraId="24611672" w14:textId="77777777" w:rsidR="00DB1D7F" w:rsidRPr="00DB1D7F" w:rsidRDefault="00DB1D7F" w:rsidP="00DB1D7F">
      <w:pPr>
        <w:pStyle w:val="Heading3"/>
        <w:rPr>
          <w:rFonts w:ascii="Arial" w:hAnsi="Arial" w:cs="Arial"/>
          <w:b/>
          <w:bCs/>
          <w:i/>
          <w:iCs/>
          <w:sz w:val="22"/>
          <w:szCs w:val="22"/>
        </w:rPr>
      </w:pPr>
      <w:bookmarkStart w:id="77" w:name="_Toc101882024"/>
      <w:r w:rsidRPr="00DB1D7F">
        <w:rPr>
          <w:rFonts w:ascii="Arial" w:hAnsi="Arial" w:cs="Arial"/>
          <w:b/>
          <w:bCs/>
          <w:i/>
          <w:iCs/>
          <w:sz w:val="22"/>
          <w:szCs w:val="22"/>
        </w:rPr>
        <w:t>TAFE and vocational institutions</w:t>
      </w:r>
      <w:bookmarkEnd w:id="77"/>
      <w:r w:rsidRPr="00DB1D7F">
        <w:rPr>
          <w:rFonts w:ascii="Arial" w:hAnsi="Arial" w:cs="Arial"/>
          <w:b/>
          <w:bCs/>
          <w:i/>
          <w:iCs/>
          <w:sz w:val="22"/>
          <w:szCs w:val="22"/>
        </w:rPr>
        <w:t xml:space="preserve"> </w:t>
      </w:r>
    </w:p>
    <w:p w14:paraId="3BA6E815" w14:textId="3E09F62C" w:rsidR="00DB1D7F" w:rsidRPr="00232A2F" w:rsidRDefault="00DB1D7F" w:rsidP="00DB1D7F">
      <w:pPr>
        <w:pStyle w:val="DPCbody"/>
      </w:pPr>
      <w:r w:rsidRPr="00F93F79">
        <w:t xml:space="preserve">Advertising in </w:t>
      </w:r>
      <w:r w:rsidR="009B41A8">
        <w:t>202</w:t>
      </w:r>
      <w:r w:rsidR="001E686D">
        <w:t>2</w:t>
      </w:r>
      <w:r w:rsidR="009B41A8">
        <w:t>–2</w:t>
      </w:r>
      <w:r w:rsidR="001E686D">
        <w:t>3</w:t>
      </w:r>
      <w:r w:rsidRPr="00F93F79">
        <w:t xml:space="preserve"> support</w:t>
      </w:r>
      <w:r w:rsidR="00597E5E">
        <w:t>ed</w:t>
      </w:r>
      <w:r w:rsidR="00E56FA4">
        <w:t xml:space="preserve"> </w:t>
      </w:r>
      <w:r w:rsidRPr="00F93F79">
        <w:t xml:space="preserve">the TAFE Victoria brand by encouraging Victorians to explore the opportunities for learning, development and advancement offered by Victorian TAFEs. Throughout </w:t>
      </w:r>
      <w:r w:rsidR="001E686D">
        <w:t>2022</w:t>
      </w:r>
      <w:r w:rsidR="00597E5E">
        <w:t>–</w:t>
      </w:r>
      <w:r w:rsidR="001E686D">
        <w:t>23</w:t>
      </w:r>
      <w:r w:rsidRPr="00F93F79">
        <w:t xml:space="preserve">, </w:t>
      </w:r>
      <w:r>
        <w:t xml:space="preserve">advertising undertaken by </w:t>
      </w:r>
      <w:r w:rsidRPr="00F93F79">
        <w:t>individual institutions inform</w:t>
      </w:r>
      <w:r w:rsidR="00E56FA4">
        <w:t xml:space="preserve">ed </w:t>
      </w:r>
      <w:r w:rsidRPr="00F93F79">
        <w:t>prospective students about their unique course offerings.</w:t>
      </w:r>
      <w:r w:rsidRPr="00232A2F">
        <w:t xml:space="preserve">   </w:t>
      </w:r>
    </w:p>
    <w:p w14:paraId="0D225136" w14:textId="1CB1CE7D" w:rsidR="00DB1D7F" w:rsidRPr="00DB1D7F" w:rsidRDefault="00440C70" w:rsidP="00DB1D7F">
      <w:pPr>
        <w:pStyle w:val="Heading3"/>
        <w:rPr>
          <w:rFonts w:ascii="Arial" w:hAnsi="Arial" w:cs="Arial"/>
          <w:b/>
          <w:bCs/>
          <w:i/>
          <w:iCs/>
          <w:sz w:val="22"/>
          <w:szCs w:val="22"/>
        </w:rPr>
      </w:pPr>
      <w:r>
        <w:rPr>
          <w:rFonts w:ascii="Arial" w:hAnsi="Arial" w:cs="Arial"/>
          <w:b/>
          <w:bCs/>
          <w:i/>
          <w:iCs/>
          <w:sz w:val="22"/>
          <w:szCs w:val="22"/>
        </w:rPr>
        <w:t>Victoria’s nature attractions</w:t>
      </w:r>
    </w:p>
    <w:p w14:paraId="78924773" w14:textId="5874332E" w:rsidR="00DB1D7F" w:rsidRDefault="00DB1D7F" w:rsidP="00DB1D7F">
      <w:pPr>
        <w:pStyle w:val="DPCbody"/>
      </w:pPr>
      <w:r w:rsidRPr="00C1023A">
        <w:t>Melbourne Zoo, Healesville Sanctuary</w:t>
      </w:r>
      <w:r w:rsidR="0074710D">
        <w:t xml:space="preserve">, </w:t>
      </w:r>
      <w:r w:rsidRPr="00C1023A">
        <w:t xml:space="preserve">Werribee Open Range Zoo </w:t>
      </w:r>
      <w:r w:rsidR="00C45D15">
        <w:t xml:space="preserve">and Phillip Island Nature Parks </w:t>
      </w:r>
      <w:r w:rsidRPr="00C1023A">
        <w:t xml:space="preserve">are iconic tourism drawcards, family destinations and centres for learning and conservation. </w:t>
      </w:r>
      <w:r w:rsidR="00AE0D0D">
        <w:t xml:space="preserve">Through advertising, these </w:t>
      </w:r>
      <w:r w:rsidR="00440C70">
        <w:t xml:space="preserve">attractions </w:t>
      </w:r>
      <w:r>
        <w:t>promote</w:t>
      </w:r>
      <w:r w:rsidR="00AE0D0D">
        <w:t>d</w:t>
      </w:r>
      <w:r w:rsidR="00440C70">
        <w:t xml:space="preserve"> the many </w:t>
      </w:r>
      <w:r w:rsidRPr="00C1023A">
        <w:t>experiences</w:t>
      </w:r>
      <w:r>
        <w:t xml:space="preserve"> offered </w:t>
      </w:r>
      <w:r w:rsidR="00AE0D0D">
        <w:t xml:space="preserve">at </w:t>
      </w:r>
      <w:r>
        <w:t xml:space="preserve">these venues </w:t>
      </w:r>
      <w:r w:rsidRPr="00C1023A">
        <w:t>and encourage</w:t>
      </w:r>
      <w:r w:rsidR="00AE0D0D">
        <w:t>d</w:t>
      </w:r>
      <w:r w:rsidR="00440C70">
        <w:t xml:space="preserve"> </w:t>
      </w:r>
      <w:r w:rsidRPr="00C1023A">
        <w:t>Victorians to visit, explore and learn about the natural heritage of Australia and the world.</w:t>
      </w:r>
      <w:r w:rsidR="00CB45D7">
        <w:t xml:space="preserve"> </w:t>
      </w:r>
    </w:p>
    <w:p w14:paraId="5501FEB4" w14:textId="1B9C769B" w:rsidR="007840F9" w:rsidRPr="00154BB3" w:rsidRDefault="007840F9" w:rsidP="007840F9">
      <w:pPr>
        <w:pStyle w:val="DPCbody"/>
        <w:rPr>
          <w:rFonts w:eastAsiaTheme="majorEastAsia"/>
          <w:b/>
          <w:bCs/>
          <w:i/>
          <w:iCs/>
          <w:color w:val="1F3763" w:themeColor="accent1" w:themeShade="7F"/>
        </w:rPr>
      </w:pPr>
      <w:r w:rsidRPr="00154BB3">
        <w:rPr>
          <w:rFonts w:eastAsiaTheme="majorEastAsia"/>
          <w:b/>
          <w:bCs/>
          <w:i/>
          <w:iCs/>
          <w:color w:val="1F3763" w:themeColor="accent1" w:themeShade="7F"/>
        </w:rPr>
        <w:t xml:space="preserve">Australian Formula 1 Grand Prix </w:t>
      </w:r>
    </w:p>
    <w:p w14:paraId="14571B62" w14:textId="577B4371" w:rsidR="00DB1D7F" w:rsidRDefault="007840F9" w:rsidP="007840F9">
      <w:pPr>
        <w:pStyle w:val="DPCbody"/>
        <w:rPr>
          <w:b/>
          <w:sz w:val="28"/>
        </w:rPr>
      </w:pPr>
      <w:r w:rsidRPr="00154BB3">
        <w:t xml:space="preserve">In </w:t>
      </w:r>
      <w:r w:rsidR="00597E5E">
        <w:t>2022–23</w:t>
      </w:r>
      <w:r w:rsidR="00AE0D0D">
        <w:t xml:space="preserve">, </w:t>
      </w:r>
      <w:r w:rsidR="00597E5E">
        <w:t xml:space="preserve">advertising </w:t>
      </w:r>
      <w:r w:rsidR="00AE0D0D">
        <w:t xml:space="preserve">campaigns </w:t>
      </w:r>
      <w:r w:rsidR="00597E5E">
        <w:t>promote</w:t>
      </w:r>
      <w:r w:rsidR="00AE0D0D">
        <w:t xml:space="preserve">d </w:t>
      </w:r>
      <w:r w:rsidR="00597E5E">
        <w:t xml:space="preserve">the </w:t>
      </w:r>
      <w:r w:rsidRPr="00154BB3">
        <w:t xml:space="preserve">Australian Formula 1 Grand Prix </w:t>
      </w:r>
      <w:r w:rsidR="00597E5E">
        <w:t xml:space="preserve">and Australian MotoGP at Phillip Island </w:t>
      </w:r>
      <w:r w:rsidRPr="00154BB3">
        <w:t xml:space="preserve">to </w:t>
      </w:r>
      <w:r w:rsidR="00597E5E">
        <w:t xml:space="preserve">both </w:t>
      </w:r>
      <w:r w:rsidRPr="00154BB3">
        <w:t>local and interstate audiences.</w:t>
      </w:r>
      <w:r>
        <w:rPr>
          <w:b/>
          <w:sz w:val="28"/>
        </w:rPr>
        <w:t xml:space="preserve"> </w:t>
      </w:r>
      <w:r w:rsidR="00DB1D7F">
        <w:rPr>
          <w:b/>
          <w:sz w:val="28"/>
        </w:rPr>
        <w:br w:type="page"/>
      </w:r>
    </w:p>
    <w:p w14:paraId="6CC22D81" w14:textId="77777777" w:rsidR="00DB1D7F" w:rsidRPr="00DB1D7F" w:rsidRDefault="00DB1D7F" w:rsidP="00DB1D7F">
      <w:pPr>
        <w:pStyle w:val="Heading2"/>
        <w:rPr>
          <w:rFonts w:ascii="Arial" w:hAnsi="Arial" w:cs="Arial"/>
          <w:b/>
          <w:bCs/>
        </w:rPr>
      </w:pPr>
      <w:bookmarkStart w:id="78" w:name="_Toc46322598"/>
      <w:bookmarkStart w:id="79" w:name="_Toc101882026"/>
      <w:bookmarkStart w:id="80" w:name="_Toc120528399"/>
      <w:bookmarkStart w:id="81" w:name="_Toc120528740"/>
      <w:bookmarkStart w:id="82" w:name="_Toc120528971"/>
      <w:bookmarkStart w:id="83" w:name="_Toc120529168"/>
      <w:r w:rsidRPr="00DB1D7F">
        <w:rPr>
          <w:rFonts w:ascii="Arial" w:hAnsi="Arial" w:cs="Arial"/>
          <w:b/>
          <w:bCs/>
        </w:rPr>
        <w:lastRenderedPageBreak/>
        <w:t>Priority area 5: Compliance with legislative requirements</w:t>
      </w:r>
      <w:bookmarkEnd w:id="78"/>
      <w:bookmarkEnd w:id="79"/>
      <w:bookmarkEnd w:id="80"/>
      <w:bookmarkEnd w:id="81"/>
      <w:bookmarkEnd w:id="82"/>
      <w:bookmarkEnd w:id="83"/>
    </w:p>
    <w:p w14:paraId="7058A2D3" w14:textId="0B6A35A0" w:rsidR="00DB1D7F" w:rsidRDefault="001E2735" w:rsidP="00DB1D7F">
      <w:pPr>
        <w:pStyle w:val="DPCbody"/>
      </w:pPr>
      <w:r>
        <w:rPr>
          <w:noProof/>
        </w:rPr>
        <w:drawing>
          <wp:anchor distT="0" distB="0" distL="114300" distR="114300" simplePos="0" relativeHeight="251683840" behindDoc="0" locked="0" layoutInCell="1" allowOverlap="1" wp14:anchorId="7DDA8C54" wp14:editId="2BB4CD80">
            <wp:simplePos x="0" y="0"/>
            <wp:positionH relativeFrom="column">
              <wp:posOffset>2762885</wp:posOffset>
            </wp:positionH>
            <wp:positionV relativeFrom="paragraph">
              <wp:posOffset>105410</wp:posOffset>
            </wp:positionV>
            <wp:extent cx="3076575" cy="3200400"/>
            <wp:effectExtent l="0" t="0" r="9525" b="0"/>
            <wp:wrapSquare wrapText="bothSides"/>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00DB1D7F">
        <w:t>When there are changes to laws or regulations that affect Victorians, government has a responsibility to communicate the changes to assist the transition to new requirements.</w:t>
      </w:r>
    </w:p>
    <w:p w14:paraId="136B6753" w14:textId="77777777" w:rsidR="00DB1D7F" w:rsidRPr="00C55D9B" w:rsidRDefault="00DB1D7F" w:rsidP="00DB1D7F">
      <w:pPr>
        <w:pStyle w:val="DPCbody"/>
      </w:pPr>
      <w:r>
        <w:t xml:space="preserve">For wide-ranging changes, advertising provides an essential means of reaching as many affected people as possible. </w:t>
      </w:r>
    </w:p>
    <w:p w14:paraId="139E5C20" w14:textId="77777777" w:rsidR="00B50F63" w:rsidRPr="001E686D" w:rsidRDefault="00B50F63" w:rsidP="00B50F63">
      <w:pPr>
        <w:pStyle w:val="DPCbody"/>
        <w:rPr>
          <w:rFonts w:eastAsiaTheme="majorEastAsia"/>
          <w:b/>
          <w:bCs/>
          <w:i/>
          <w:iCs/>
          <w:color w:val="1F3763" w:themeColor="accent1" w:themeShade="7F"/>
        </w:rPr>
      </w:pPr>
      <w:bookmarkStart w:id="84" w:name="_Toc101882027"/>
      <w:r w:rsidRPr="001E686D">
        <w:rPr>
          <w:rFonts w:eastAsiaTheme="majorEastAsia"/>
          <w:b/>
          <w:bCs/>
          <w:i/>
          <w:iCs/>
          <w:color w:val="1F3763" w:themeColor="accent1" w:themeShade="7F"/>
        </w:rPr>
        <w:t>Victorian 2022 State Election</w:t>
      </w:r>
    </w:p>
    <w:p w14:paraId="3D40F49E" w14:textId="224785C1" w:rsidR="00B50F63" w:rsidRPr="00C51B95" w:rsidRDefault="00AE0D0D" w:rsidP="00B50F63">
      <w:pPr>
        <w:pStyle w:val="DPCbody"/>
      </w:pPr>
      <w:r>
        <w:t xml:space="preserve">The </w:t>
      </w:r>
      <w:r w:rsidR="00B50F63">
        <w:t xml:space="preserve">Victorian Electoral Commission conducted a mass-media campaign ahead of the November 2022 State Election to </w:t>
      </w:r>
      <w:r w:rsidR="00424485">
        <w:t xml:space="preserve">remind Victorians of the </w:t>
      </w:r>
      <w:r w:rsidR="00424485" w:rsidRPr="006D1135">
        <w:t>requirement to be correctly enrolled and vote in the election</w:t>
      </w:r>
      <w:r w:rsidR="00424485">
        <w:t>.</w:t>
      </w:r>
    </w:p>
    <w:p w14:paraId="2BA5E045" w14:textId="331421F2" w:rsidR="00FE3C3E" w:rsidRPr="00FE1750" w:rsidRDefault="00FE3C3E" w:rsidP="00FE3C3E">
      <w:pPr>
        <w:pStyle w:val="DPCbody"/>
        <w:rPr>
          <w:rFonts w:eastAsiaTheme="majorEastAsia"/>
          <w:b/>
          <w:bCs/>
          <w:i/>
          <w:iCs/>
          <w:color w:val="1F3763" w:themeColor="accent1" w:themeShade="7F"/>
        </w:rPr>
      </w:pPr>
      <w:r w:rsidRPr="00FE1750">
        <w:rPr>
          <w:rFonts w:eastAsiaTheme="majorEastAsia"/>
          <w:b/>
          <w:bCs/>
          <w:i/>
          <w:iCs/>
          <w:color w:val="1F3763" w:themeColor="accent1" w:themeShade="7F"/>
        </w:rPr>
        <w:t xml:space="preserve">Raising awareness of </w:t>
      </w:r>
      <w:r>
        <w:rPr>
          <w:rFonts w:eastAsiaTheme="majorEastAsia"/>
          <w:b/>
          <w:bCs/>
          <w:i/>
          <w:iCs/>
          <w:color w:val="1F3763" w:themeColor="accent1" w:themeShade="7F"/>
        </w:rPr>
        <w:t xml:space="preserve">workplace </w:t>
      </w:r>
      <w:r w:rsidRPr="00FE1750">
        <w:rPr>
          <w:rFonts w:eastAsiaTheme="majorEastAsia"/>
          <w:b/>
          <w:bCs/>
          <w:i/>
          <w:iCs/>
          <w:color w:val="1F3763" w:themeColor="accent1" w:themeShade="7F"/>
        </w:rPr>
        <w:t xml:space="preserve">rights </w:t>
      </w:r>
      <w:r>
        <w:rPr>
          <w:rFonts w:eastAsiaTheme="majorEastAsia"/>
          <w:b/>
          <w:bCs/>
          <w:i/>
          <w:iCs/>
          <w:color w:val="1F3763" w:themeColor="accent1" w:themeShade="7F"/>
        </w:rPr>
        <w:t xml:space="preserve">and responsibilities </w:t>
      </w:r>
    </w:p>
    <w:p w14:paraId="15996EE4" w14:textId="77777777" w:rsidR="00FE3C3E" w:rsidRDefault="00FE3C3E" w:rsidP="00FE3C3E">
      <w:pPr>
        <w:pStyle w:val="DPCbody"/>
      </w:pPr>
      <w:r>
        <w:t xml:space="preserve">In 2022–23, Industrial Relations Victoria and Wage Inspectorate Victoria undertook advertising to enhance compliance and deter wage theft, as well as to raise awareness of Victoria’s new child employment laws. </w:t>
      </w:r>
    </w:p>
    <w:p w14:paraId="37ADEF50" w14:textId="7A5F3D8E" w:rsidR="001D2433" w:rsidRPr="00FE3C3E" w:rsidRDefault="001D2433" w:rsidP="00FE3C3E">
      <w:pPr>
        <w:pStyle w:val="DPCbody"/>
        <w:rPr>
          <w:rFonts w:eastAsiaTheme="majorEastAsia"/>
          <w:b/>
          <w:bCs/>
          <w:i/>
          <w:iCs/>
          <w:color w:val="1F3763" w:themeColor="accent1" w:themeShade="7F"/>
        </w:rPr>
      </w:pPr>
      <w:r w:rsidRPr="00FE3C3E">
        <w:rPr>
          <w:rFonts w:eastAsiaTheme="majorEastAsia"/>
          <w:b/>
          <w:bCs/>
          <w:i/>
          <w:iCs/>
          <w:color w:val="1F3763" w:themeColor="accent1" w:themeShade="7F"/>
        </w:rPr>
        <w:t>Agriculture Victoria</w:t>
      </w:r>
      <w:bookmarkEnd w:id="84"/>
    </w:p>
    <w:p w14:paraId="0F078AFD" w14:textId="2C651FD6" w:rsidR="001D2433" w:rsidRPr="001D2433" w:rsidRDefault="00AE0D0D" w:rsidP="0074710D">
      <w:r w:rsidRPr="001D2433">
        <w:rPr>
          <w:rFonts w:ascii="Arial" w:eastAsia="Times" w:hAnsi="Arial" w:cs="Arial"/>
          <w:color w:val="000000" w:themeColor="text1"/>
        </w:rPr>
        <w:t xml:space="preserve">Agriculture Victoria </w:t>
      </w:r>
      <w:r>
        <w:rPr>
          <w:rFonts w:ascii="Arial" w:eastAsia="Times" w:hAnsi="Arial" w:cs="Arial"/>
          <w:color w:val="000000" w:themeColor="text1"/>
        </w:rPr>
        <w:t>undertakes a</w:t>
      </w:r>
      <w:r w:rsidR="001D2433" w:rsidRPr="001D2433">
        <w:rPr>
          <w:rFonts w:ascii="Arial" w:eastAsia="Times" w:hAnsi="Arial" w:cs="Arial"/>
          <w:color w:val="000000" w:themeColor="text1"/>
        </w:rPr>
        <w:t xml:space="preserve">dvertising aimed at protecting </w:t>
      </w:r>
      <w:r w:rsidR="00EB2DC4">
        <w:rPr>
          <w:rFonts w:ascii="Arial" w:eastAsia="Times" w:hAnsi="Arial" w:cs="Arial"/>
          <w:color w:val="000000" w:themeColor="text1"/>
        </w:rPr>
        <w:t xml:space="preserve">Victoria’s </w:t>
      </w:r>
      <w:r w:rsidR="001D2433" w:rsidRPr="001D2433">
        <w:rPr>
          <w:rFonts w:ascii="Arial" w:eastAsia="Times" w:hAnsi="Arial" w:cs="Arial"/>
          <w:color w:val="000000" w:themeColor="text1"/>
        </w:rPr>
        <w:t>biosecurity</w:t>
      </w:r>
      <w:r>
        <w:rPr>
          <w:rFonts w:ascii="Arial" w:eastAsia="Times" w:hAnsi="Arial" w:cs="Arial"/>
          <w:color w:val="000000" w:themeColor="text1"/>
        </w:rPr>
        <w:t xml:space="preserve">. During </w:t>
      </w:r>
      <w:r w:rsidR="00EB2DC4">
        <w:rPr>
          <w:rFonts w:ascii="Arial" w:eastAsia="Times" w:hAnsi="Arial" w:cs="Arial"/>
          <w:color w:val="000000" w:themeColor="text1"/>
        </w:rPr>
        <w:t>202</w:t>
      </w:r>
      <w:r w:rsidR="00262374">
        <w:rPr>
          <w:rFonts w:ascii="Arial" w:eastAsia="Times" w:hAnsi="Arial" w:cs="Arial"/>
          <w:color w:val="000000" w:themeColor="text1"/>
        </w:rPr>
        <w:t>2</w:t>
      </w:r>
      <w:r w:rsidR="00EB2DC4">
        <w:rPr>
          <w:rFonts w:ascii="Arial" w:eastAsia="Times" w:hAnsi="Arial" w:cs="Arial"/>
          <w:color w:val="000000" w:themeColor="text1"/>
        </w:rPr>
        <w:t>–2</w:t>
      </w:r>
      <w:r w:rsidR="00262374">
        <w:rPr>
          <w:rFonts w:ascii="Arial" w:eastAsia="Times" w:hAnsi="Arial" w:cs="Arial"/>
          <w:color w:val="000000" w:themeColor="text1"/>
        </w:rPr>
        <w:t>3</w:t>
      </w:r>
      <w:r w:rsidR="00EB2DC4">
        <w:rPr>
          <w:rFonts w:ascii="Arial" w:eastAsia="Times" w:hAnsi="Arial" w:cs="Arial"/>
          <w:color w:val="000000" w:themeColor="text1"/>
        </w:rPr>
        <w:t xml:space="preserve"> this include</w:t>
      </w:r>
      <w:r w:rsidR="00FE3C3E">
        <w:rPr>
          <w:rFonts w:ascii="Arial" w:eastAsia="Times" w:hAnsi="Arial" w:cs="Arial"/>
          <w:color w:val="000000" w:themeColor="text1"/>
        </w:rPr>
        <w:t xml:space="preserve">d </w:t>
      </w:r>
      <w:r w:rsidR="00EB2DC4">
        <w:rPr>
          <w:rFonts w:ascii="Arial" w:eastAsia="Times" w:hAnsi="Arial" w:cs="Arial"/>
          <w:color w:val="000000" w:themeColor="text1"/>
        </w:rPr>
        <w:t xml:space="preserve">campaigns </w:t>
      </w:r>
      <w:r>
        <w:rPr>
          <w:rFonts w:ascii="Arial" w:eastAsia="Times" w:hAnsi="Arial" w:cs="Arial"/>
          <w:color w:val="000000" w:themeColor="text1"/>
        </w:rPr>
        <w:t xml:space="preserve">to </w:t>
      </w:r>
      <w:r w:rsidR="00EB2DC4">
        <w:rPr>
          <w:rFonts w:ascii="Arial" w:eastAsia="Times" w:hAnsi="Arial" w:cs="Arial"/>
          <w:color w:val="000000" w:themeColor="text1"/>
        </w:rPr>
        <w:t>protect</w:t>
      </w:r>
      <w:r>
        <w:rPr>
          <w:rFonts w:ascii="Arial" w:eastAsia="Times" w:hAnsi="Arial" w:cs="Arial"/>
          <w:color w:val="000000" w:themeColor="text1"/>
        </w:rPr>
        <w:t xml:space="preserve"> </w:t>
      </w:r>
      <w:r w:rsidR="00EB2DC4">
        <w:rPr>
          <w:rFonts w:ascii="Arial" w:eastAsia="Times" w:hAnsi="Arial" w:cs="Arial"/>
          <w:color w:val="000000" w:themeColor="text1"/>
        </w:rPr>
        <w:t>Victorian waterways from harmful weeds</w:t>
      </w:r>
      <w:r w:rsidR="006540AE">
        <w:rPr>
          <w:rFonts w:ascii="Arial" w:eastAsia="Times" w:hAnsi="Arial" w:cs="Arial"/>
          <w:color w:val="000000" w:themeColor="text1"/>
        </w:rPr>
        <w:t xml:space="preserve"> </w:t>
      </w:r>
      <w:r w:rsidR="00EB2DC4">
        <w:rPr>
          <w:rFonts w:ascii="Arial" w:eastAsia="Times" w:hAnsi="Arial" w:cs="Arial"/>
          <w:color w:val="000000" w:themeColor="text1"/>
        </w:rPr>
        <w:t>and</w:t>
      </w:r>
      <w:r>
        <w:rPr>
          <w:rFonts w:ascii="Arial" w:eastAsia="Times" w:hAnsi="Arial" w:cs="Arial"/>
          <w:color w:val="000000" w:themeColor="text1"/>
        </w:rPr>
        <w:t xml:space="preserve"> </w:t>
      </w:r>
      <w:r w:rsidR="00262374">
        <w:rPr>
          <w:rFonts w:ascii="Arial" w:eastAsia="Times" w:hAnsi="Arial" w:cs="Arial"/>
          <w:color w:val="000000" w:themeColor="text1"/>
        </w:rPr>
        <w:t>strengthen</w:t>
      </w:r>
      <w:r>
        <w:rPr>
          <w:rFonts w:ascii="Arial" w:eastAsia="Times" w:hAnsi="Arial" w:cs="Arial"/>
          <w:color w:val="000000" w:themeColor="text1"/>
        </w:rPr>
        <w:t xml:space="preserve"> </w:t>
      </w:r>
      <w:r w:rsidR="00262374">
        <w:rPr>
          <w:rFonts w:ascii="Arial" w:eastAsia="Times" w:hAnsi="Arial" w:cs="Arial"/>
          <w:color w:val="000000" w:themeColor="text1"/>
        </w:rPr>
        <w:t>Victoria’s biosecurity system.</w:t>
      </w:r>
    </w:p>
    <w:sectPr w:rsidR="001D2433" w:rsidRPr="001D2433" w:rsidSect="00FE34F1">
      <w:headerReference w:type="even" r:id="rId22"/>
      <w:headerReference w:type="default" r:id="rId23"/>
      <w:footerReference w:type="even" r:id="rId24"/>
      <w:footerReference w:type="default" r:id="rId25"/>
      <w:footerReference w:type="first" r:id="rId26"/>
      <w:pgSz w:w="11906" w:h="16838" w:code="9"/>
      <w:pgMar w:top="1701" w:right="1304" w:bottom="1134" w:left="1304"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06D06" w14:textId="77777777" w:rsidR="002E1A7C" w:rsidRDefault="002E1A7C" w:rsidP="00A13EC5">
      <w:pPr>
        <w:spacing w:after="0" w:line="240" w:lineRule="auto"/>
      </w:pPr>
      <w:r>
        <w:separator/>
      </w:r>
    </w:p>
  </w:endnote>
  <w:endnote w:type="continuationSeparator" w:id="0">
    <w:p w14:paraId="4666300F" w14:textId="77777777" w:rsidR="002E1A7C" w:rsidRDefault="002E1A7C" w:rsidP="00A13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CE84" w14:textId="670576AF" w:rsidR="00E2240B" w:rsidRDefault="00E2240B">
    <w:pPr>
      <w:pStyle w:val="Footer"/>
    </w:pPr>
    <w:r>
      <w:rPr>
        <w:noProof/>
      </w:rPr>
      <mc:AlternateContent>
        <mc:Choice Requires="wps">
          <w:drawing>
            <wp:anchor distT="0" distB="0" distL="114300" distR="114300" simplePos="0" relativeHeight="251661312" behindDoc="0" locked="0" layoutInCell="0" allowOverlap="1" wp14:anchorId="57A6F502" wp14:editId="08A7ADA6">
              <wp:simplePos x="0" y="0"/>
              <wp:positionH relativeFrom="page">
                <wp:posOffset>0</wp:posOffset>
              </wp:positionH>
              <wp:positionV relativeFrom="page">
                <wp:posOffset>10234930</wp:posOffset>
              </wp:positionV>
              <wp:extent cx="7560310" cy="266700"/>
              <wp:effectExtent l="0" t="0" r="0" b="0"/>
              <wp:wrapNone/>
              <wp:docPr id="5" name="MSIPCM79f1445e8afdd045e895099b"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296DF2" w14:textId="4B164C58" w:rsidR="00E2240B" w:rsidRPr="00E2240B" w:rsidRDefault="00E2240B" w:rsidP="00E2240B">
                          <w:pPr>
                            <w:spacing w:after="0"/>
                            <w:rPr>
                              <w:rFonts w:ascii="Calibri" w:hAnsi="Calibri" w:cs="Calibri"/>
                              <w:color w:val="000000"/>
                            </w:rPr>
                          </w:pPr>
                          <w:r w:rsidRPr="00E2240B">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7A6F502" id="_x0000_t202" coordsize="21600,21600" o:spt="202" path="m,l,21600r21600,l21600,xe">
              <v:stroke joinstyle="miter"/>
              <v:path gradientshapeok="t" o:connecttype="rect"/>
            </v:shapetype>
            <v:shape id="MSIPCM79f1445e8afdd045e895099b"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6B296DF2" w14:textId="4B164C58" w:rsidR="00E2240B" w:rsidRPr="00E2240B" w:rsidRDefault="00E2240B" w:rsidP="00E2240B">
                    <w:pPr>
                      <w:spacing w:after="0"/>
                      <w:rPr>
                        <w:rFonts w:ascii="Calibri" w:hAnsi="Calibri" w:cs="Calibri"/>
                        <w:color w:val="000000"/>
                      </w:rPr>
                    </w:pPr>
                    <w:r w:rsidRPr="00E2240B">
                      <w:rPr>
                        <w:rFonts w:ascii="Calibri" w:hAnsi="Calibri" w:cs="Calibri"/>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A777D" w14:textId="77777777" w:rsidR="001C2844" w:rsidRDefault="00A13EC5" w:rsidP="00331C46">
    <w:pPr>
      <w:pStyle w:val="Footer"/>
    </w:pPr>
    <w:r w:rsidRPr="0099618E">
      <w:fldChar w:fldCharType="begin"/>
    </w:r>
    <w:r w:rsidRPr="0099618E">
      <w:instrText xml:space="preserve"> PAGE </w:instrText>
    </w:r>
    <w:r w:rsidRPr="0099618E">
      <w:fldChar w:fldCharType="separate"/>
    </w:r>
    <w:r>
      <w:rPr>
        <w:noProof/>
      </w:rPr>
      <w:t>2</w:t>
    </w:r>
    <w:r w:rsidRPr="0099618E">
      <w:fldChar w:fldCharType="end"/>
    </w:r>
    <w:r w:rsidRPr="0099618E">
      <w:tab/>
      <w:t>Document title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A6AD8" w14:textId="1614BF6E" w:rsidR="001C2844" w:rsidRPr="00E91C18" w:rsidRDefault="00E91C18" w:rsidP="00331C46">
    <w:pPr>
      <w:pStyle w:val="Footer"/>
      <w:rPr>
        <w:sz w:val="18"/>
        <w:szCs w:val="18"/>
      </w:rPr>
    </w:pPr>
    <w:r w:rsidRPr="00E91C18">
      <w:rPr>
        <w:sz w:val="18"/>
        <w:szCs w:val="18"/>
      </w:rPr>
      <w:t xml:space="preserve">Victorian Government Advertising Plan – </w:t>
    </w:r>
    <w:r w:rsidR="009A1D4D">
      <w:rPr>
        <w:sz w:val="18"/>
        <w:szCs w:val="18"/>
      </w:rPr>
      <w:t>2022–23</w:t>
    </w:r>
    <w:r w:rsidRPr="00E91C18">
      <w:rPr>
        <w:sz w:val="18"/>
        <w:szCs w:val="18"/>
      </w:rPr>
      <w:tab/>
    </w:r>
    <w:r w:rsidR="00A13EC5" w:rsidRPr="00E91C18">
      <w:rPr>
        <w:sz w:val="18"/>
        <w:szCs w:val="18"/>
      </w:rPr>
      <w:tab/>
    </w:r>
    <w:r w:rsidR="00A13EC5" w:rsidRPr="00E91C18">
      <w:rPr>
        <w:sz w:val="18"/>
        <w:szCs w:val="18"/>
      </w:rPr>
      <w:fldChar w:fldCharType="begin"/>
    </w:r>
    <w:r w:rsidR="00A13EC5" w:rsidRPr="00E91C18">
      <w:rPr>
        <w:sz w:val="18"/>
        <w:szCs w:val="18"/>
      </w:rPr>
      <w:instrText xml:space="preserve"> PAGE </w:instrText>
    </w:r>
    <w:r w:rsidR="00A13EC5" w:rsidRPr="00E91C18">
      <w:rPr>
        <w:sz w:val="18"/>
        <w:szCs w:val="18"/>
      </w:rPr>
      <w:fldChar w:fldCharType="separate"/>
    </w:r>
    <w:r w:rsidR="00A13EC5" w:rsidRPr="00E91C18">
      <w:rPr>
        <w:noProof/>
        <w:sz w:val="18"/>
        <w:szCs w:val="18"/>
      </w:rPr>
      <w:t>3</w:t>
    </w:r>
    <w:r w:rsidR="00A13EC5" w:rsidRPr="00E91C18">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05E95" w14:textId="77777777" w:rsidR="001C2844" w:rsidRPr="001A7E04" w:rsidRDefault="001C2844" w:rsidP="00996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B48FD" w14:textId="77777777" w:rsidR="002E1A7C" w:rsidRDefault="002E1A7C" w:rsidP="00A13EC5">
      <w:pPr>
        <w:spacing w:after="0" w:line="240" w:lineRule="auto"/>
      </w:pPr>
      <w:r>
        <w:separator/>
      </w:r>
    </w:p>
  </w:footnote>
  <w:footnote w:type="continuationSeparator" w:id="0">
    <w:p w14:paraId="4A9BBC5F" w14:textId="77777777" w:rsidR="002E1A7C" w:rsidRDefault="002E1A7C" w:rsidP="00A13EC5">
      <w:pPr>
        <w:spacing w:after="0" w:line="240" w:lineRule="auto"/>
      </w:pPr>
      <w:r>
        <w:continuationSeparator/>
      </w:r>
    </w:p>
  </w:footnote>
  <w:footnote w:id="1">
    <w:p w14:paraId="54640D83" w14:textId="5B8FC775" w:rsidR="006A1C83" w:rsidRPr="007A4E85" w:rsidRDefault="006A1C83">
      <w:pPr>
        <w:pStyle w:val="FootnoteText"/>
        <w:rPr>
          <w:rFonts w:ascii="Arial" w:hAnsi="Arial" w:cs="Arial"/>
        </w:rPr>
      </w:pPr>
      <w:r w:rsidRPr="007A4E85">
        <w:rPr>
          <w:rStyle w:val="FootnoteReference"/>
          <w:rFonts w:ascii="Arial" w:hAnsi="Arial" w:cs="Arial"/>
        </w:rPr>
        <w:footnoteRef/>
      </w:r>
      <w:r w:rsidRPr="007A4E85">
        <w:rPr>
          <w:rFonts w:ascii="Arial" w:hAnsi="Arial" w:cs="Arial"/>
        </w:rPr>
        <w:t xml:space="preserve"> Refer https://publicnotices.vic.gov.au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ACF3C" w14:textId="77777777" w:rsidR="001C2844" w:rsidRDefault="00A13EC5">
    <w:pPr>
      <w:pStyle w:val="Header"/>
    </w:pPr>
    <w:r>
      <w:rPr>
        <w:noProof/>
        <w:lang w:eastAsia="en-AU"/>
      </w:rPr>
      <w:drawing>
        <wp:anchor distT="0" distB="0" distL="114300" distR="114300" simplePos="0" relativeHeight="251660288" behindDoc="0" locked="1" layoutInCell="0" allowOverlap="1" wp14:anchorId="4FF7A2E0" wp14:editId="6A3051F3">
          <wp:simplePos x="0" y="0"/>
          <wp:positionH relativeFrom="page">
            <wp:posOffset>0</wp:posOffset>
          </wp:positionH>
          <wp:positionV relativeFrom="page">
            <wp:posOffset>360045</wp:posOffset>
          </wp:positionV>
          <wp:extent cx="7566840" cy="503256"/>
          <wp:effectExtent l="0" t="0" r="0" b="0"/>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66840" cy="503256"/>
                  </a:xfrm>
                  <a:prstGeom prst="rect">
                    <a:avLst/>
                  </a:prstGeom>
                </pic:spPr>
              </pic:pic>
            </a:graphicData>
          </a:graphic>
          <wp14:sizeRelH relativeFrom="margin">
            <wp14:pctWidth>0</wp14:pctWidth>
          </wp14:sizeRelH>
          <wp14:sizeRelV relativeFrom="margin">
            <wp14:pctHeight>0</wp14:pctHeight>
          </wp14:sizeRelV>
        </wp:anchor>
      </w:drawing>
    </w:r>
  </w:p>
  <w:p w14:paraId="6B4D1726" w14:textId="77777777" w:rsidR="001C2844" w:rsidRDefault="001C28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1FA85" w14:textId="77777777" w:rsidR="001C2844" w:rsidRPr="007A4E85" w:rsidRDefault="001C2844" w:rsidP="007A4E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C7E1E"/>
    <w:multiLevelType w:val="hybridMultilevel"/>
    <w:tmpl w:val="4BC06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AA66A5"/>
    <w:multiLevelType w:val="hybridMultilevel"/>
    <w:tmpl w:val="0B201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AD2E30"/>
    <w:multiLevelType w:val="multilevel"/>
    <w:tmpl w:val="69D0DEFE"/>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80778ED"/>
    <w:multiLevelType w:val="hybridMultilevel"/>
    <w:tmpl w:val="D9E85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797DDC"/>
    <w:multiLevelType w:val="hybridMultilevel"/>
    <w:tmpl w:val="6F8A9C76"/>
    <w:lvl w:ilvl="0" w:tplc="C33EAAA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7BC2120"/>
    <w:multiLevelType w:val="hybridMultilevel"/>
    <w:tmpl w:val="129687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53C7B3A"/>
    <w:multiLevelType w:val="hybridMultilevel"/>
    <w:tmpl w:val="7CBE1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6C306E6"/>
    <w:multiLevelType w:val="hybridMultilevel"/>
    <w:tmpl w:val="952E7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49423DA"/>
    <w:multiLevelType w:val="multilevel"/>
    <w:tmpl w:val="306C070E"/>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2087991113">
    <w:abstractNumId w:val="6"/>
  </w:num>
  <w:num w:numId="2" w16cid:durableId="2087025456">
    <w:abstractNumId w:val="9"/>
  </w:num>
  <w:num w:numId="3" w16cid:durableId="2367915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9867762">
    <w:abstractNumId w:val="2"/>
  </w:num>
  <w:num w:numId="5" w16cid:durableId="11758769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13966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07333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03559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5070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95796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00175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9987448">
    <w:abstractNumId w:val="8"/>
  </w:num>
  <w:num w:numId="13" w16cid:durableId="1687904036">
    <w:abstractNumId w:val="1"/>
  </w:num>
  <w:num w:numId="14" w16cid:durableId="747532375">
    <w:abstractNumId w:val="7"/>
  </w:num>
  <w:num w:numId="15" w16cid:durableId="1425953910">
    <w:abstractNumId w:val="3"/>
  </w:num>
  <w:num w:numId="16" w16cid:durableId="853609698">
    <w:abstractNumId w:val="0"/>
  </w:num>
  <w:num w:numId="17" w16cid:durableId="174003565">
    <w:abstractNumId w:val="5"/>
  </w:num>
  <w:num w:numId="18" w16cid:durableId="6640870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801"/>
    <w:rsid w:val="000374B1"/>
    <w:rsid w:val="0004591D"/>
    <w:rsid w:val="00057AEF"/>
    <w:rsid w:val="00083786"/>
    <w:rsid w:val="000A171A"/>
    <w:rsid w:val="000A6194"/>
    <w:rsid w:val="000B2936"/>
    <w:rsid w:val="000B3F47"/>
    <w:rsid w:val="000C0393"/>
    <w:rsid w:val="000C61E8"/>
    <w:rsid w:val="000D02B7"/>
    <w:rsid w:val="000D1D03"/>
    <w:rsid w:val="000E4068"/>
    <w:rsid w:val="000E51FA"/>
    <w:rsid w:val="000F655B"/>
    <w:rsid w:val="001012FD"/>
    <w:rsid w:val="00106F5A"/>
    <w:rsid w:val="00136338"/>
    <w:rsid w:val="00151A67"/>
    <w:rsid w:val="00154BB3"/>
    <w:rsid w:val="00171D28"/>
    <w:rsid w:val="0018185D"/>
    <w:rsid w:val="00181C8A"/>
    <w:rsid w:val="00184B50"/>
    <w:rsid w:val="00185909"/>
    <w:rsid w:val="00197BF0"/>
    <w:rsid w:val="001B315B"/>
    <w:rsid w:val="001B4C17"/>
    <w:rsid w:val="001C2844"/>
    <w:rsid w:val="001C56B4"/>
    <w:rsid w:val="001D2433"/>
    <w:rsid w:val="001E2735"/>
    <w:rsid w:val="001E686D"/>
    <w:rsid w:val="00235983"/>
    <w:rsid w:val="002400F8"/>
    <w:rsid w:val="002419EF"/>
    <w:rsid w:val="002543C8"/>
    <w:rsid w:val="00262374"/>
    <w:rsid w:val="00281428"/>
    <w:rsid w:val="00296F90"/>
    <w:rsid w:val="002B0D61"/>
    <w:rsid w:val="002C1211"/>
    <w:rsid w:val="002D1582"/>
    <w:rsid w:val="002D20A3"/>
    <w:rsid w:val="002E1A7C"/>
    <w:rsid w:val="002F424A"/>
    <w:rsid w:val="002F57E6"/>
    <w:rsid w:val="002F6733"/>
    <w:rsid w:val="0031454F"/>
    <w:rsid w:val="00323FFE"/>
    <w:rsid w:val="0033056C"/>
    <w:rsid w:val="00347DC9"/>
    <w:rsid w:val="003507D3"/>
    <w:rsid w:val="00381B50"/>
    <w:rsid w:val="0038753B"/>
    <w:rsid w:val="003938B7"/>
    <w:rsid w:val="003D7062"/>
    <w:rsid w:val="003E0CF6"/>
    <w:rsid w:val="003E25BA"/>
    <w:rsid w:val="003F4C66"/>
    <w:rsid w:val="003F5156"/>
    <w:rsid w:val="0040425D"/>
    <w:rsid w:val="00414B3E"/>
    <w:rsid w:val="00415621"/>
    <w:rsid w:val="00422FA6"/>
    <w:rsid w:val="00424485"/>
    <w:rsid w:val="00440C70"/>
    <w:rsid w:val="00454D75"/>
    <w:rsid w:val="00492B15"/>
    <w:rsid w:val="004A16FC"/>
    <w:rsid w:val="00505801"/>
    <w:rsid w:val="00544A26"/>
    <w:rsid w:val="005523E7"/>
    <w:rsid w:val="00562087"/>
    <w:rsid w:val="005727E1"/>
    <w:rsid w:val="005847ED"/>
    <w:rsid w:val="00591C00"/>
    <w:rsid w:val="00597E5E"/>
    <w:rsid w:val="005B40D3"/>
    <w:rsid w:val="005D3EB8"/>
    <w:rsid w:val="005D566A"/>
    <w:rsid w:val="005E36D8"/>
    <w:rsid w:val="005F7150"/>
    <w:rsid w:val="00601F4C"/>
    <w:rsid w:val="00611421"/>
    <w:rsid w:val="0062453C"/>
    <w:rsid w:val="006464D2"/>
    <w:rsid w:val="006540AE"/>
    <w:rsid w:val="0066527F"/>
    <w:rsid w:val="00675938"/>
    <w:rsid w:val="00675A01"/>
    <w:rsid w:val="00680C5A"/>
    <w:rsid w:val="006A1C83"/>
    <w:rsid w:val="006D1135"/>
    <w:rsid w:val="006E4D17"/>
    <w:rsid w:val="00702459"/>
    <w:rsid w:val="007121A6"/>
    <w:rsid w:val="00712604"/>
    <w:rsid w:val="00715306"/>
    <w:rsid w:val="007303D8"/>
    <w:rsid w:val="00730F78"/>
    <w:rsid w:val="007355CD"/>
    <w:rsid w:val="00746844"/>
    <w:rsid w:val="0074710D"/>
    <w:rsid w:val="00756D6C"/>
    <w:rsid w:val="0075772F"/>
    <w:rsid w:val="00771946"/>
    <w:rsid w:val="007840F9"/>
    <w:rsid w:val="00794959"/>
    <w:rsid w:val="007A4E85"/>
    <w:rsid w:val="007A7763"/>
    <w:rsid w:val="00803FC6"/>
    <w:rsid w:val="0082013B"/>
    <w:rsid w:val="00836706"/>
    <w:rsid w:val="00842ED5"/>
    <w:rsid w:val="00857F3D"/>
    <w:rsid w:val="00866C09"/>
    <w:rsid w:val="00872B71"/>
    <w:rsid w:val="008771F3"/>
    <w:rsid w:val="008778FF"/>
    <w:rsid w:val="00886ECD"/>
    <w:rsid w:val="008B0930"/>
    <w:rsid w:val="008B5FA9"/>
    <w:rsid w:val="008B73B2"/>
    <w:rsid w:val="008B78D0"/>
    <w:rsid w:val="008C0B7C"/>
    <w:rsid w:val="008D36C6"/>
    <w:rsid w:val="0090781B"/>
    <w:rsid w:val="009545BA"/>
    <w:rsid w:val="009753C0"/>
    <w:rsid w:val="00990064"/>
    <w:rsid w:val="009A1AE2"/>
    <w:rsid w:val="009A1D4D"/>
    <w:rsid w:val="009B41A8"/>
    <w:rsid w:val="009E2639"/>
    <w:rsid w:val="00A032BD"/>
    <w:rsid w:val="00A101FC"/>
    <w:rsid w:val="00A13EC5"/>
    <w:rsid w:val="00A378A3"/>
    <w:rsid w:val="00A47143"/>
    <w:rsid w:val="00A51097"/>
    <w:rsid w:val="00A811A9"/>
    <w:rsid w:val="00A86ADA"/>
    <w:rsid w:val="00AA2D92"/>
    <w:rsid w:val="00AA46A9"/>
    <w:rsid w:val="00AA4A44"/>
    <w:rsid w:val="00AA57C7"/>
    <w:rsid w:val="00AB25D8"/>
    <w:rsid w:val="00AD642A"/>
    <w:rsid w:val="00AE0D0D"/>
    <w:rsid w:val="00AF5332"/>
    <w:rsid w:val="00B12B71"/>
    <w:rsid w:val="00B2039F"/>
    <w:rsid w:val="00B2678D"/>
    <w:rsid w:val="00B43EEA"/>
    <w:rsid w:val="00B443B3"/>
    <w:rsid w:val="00B50F63"/>
    <w:rsid w:val="00B54AF5"/>
    <w:rsid w:val="00B65E3D"/>
    <w:rsid w:val="00BD1158"/>
    <w:rsid w:val="00BF5FBD"/>
    <w:rsid w:val="00BF7376"/>
    <w:rsid w:val="00C04853"/>
    <w:rsid w:val="00C05089"/>
    <w:rsid w:val="00C249C9"/>
    <w:rsid w:val="00C368AA"/>
    <w:rsid w:val="00C45D15"/>
    <w:rsid w:val="00C65AE7"/>
    <w:rsid w:val="00C85A7D"/>
    <w:rsid w:val="00C957F3"/>
    <w:rsid w:val="00CB45D7"/>
    <w:rsid w:val="00CB749C"/>
    <w:rsid w:val="00CE252F"/>
    <w:rsid w:val="00D24055"/>
    <w:rsid w:val="00D933BD"/>
    <w:rsid w:val="00DA4068"/>
    <w:rsid w:val="00DA5B69"/>
    <w:rsid w:val="00DA5D79"/>
    <w:rsid w:val="00DA6A1D"/>
    <w:rsid w:val="00DB1D7F"/>
    <w:rsid w:val="00DC4BAD"/>
    <w:rsid w:val="00DE5415"/>
    <w:rsid w:val="00DF2C80"/>
    <w:rsid w:val="00E102C7"/>
    <w:rsid w:val="00E16FC3"/>
    <w:rsid w:val="00E21FB5"/>
    <w:rsid w:val="00E2240B"/>
    <w:rsid w:val="00E226C0"/>
    <w:rsid w:val="00E22725"/>
    <w:rsid w:val="00E321E8"/>
    <w:rsid w:val="00E32D5E"/>
    <w:rsid w:val="00E56F89"/>
    <w:rsid w:val="00E56FA4"/>
    <w:rsid w:val="00E56FE3"/>
    <w:rsid w:val="00E702A6"/>
    <w:rsid w:val="00E748BC"/>
    <w:rsid w:val="00E76A76"/>
    <w:rsid w:val="00E91C18"/>
    <w:rsid w:val="00E94D46"/>
    <w:rsid w:val="00EA0B53"/>
    <w:rsid w:val="00EB2DC4"/>
    <w:rsid w:val="00EB6C4F"/>
    <w:rsid w:val="00EE0DC1"/>
    <w:rsid w:val="00EE4CC3"/>
    <w:rsid w:val="00EF0901"/>
    <w:rsid w:val="00F010D4"/>
    <w:rsid w:val="00F108BD"/>
    <w:rsid w:val="00F42E0E"/>
    <w:rsid w:val="00F93CC8"/>
    <w:rsid w:val="00FB226E"/>
    <w:rsid w:val="00FE1750"/>
    <w:rsid w:val="00FE3C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3F4BF"/>
  <w15:chartTrackingRefBased/>
  <w15:docId w15:val="{F9C69BA2-08BE-4B04-9EA9-5D1A4AD6E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240B"/>
    <w:pPr>
      <w:keepNext/>
      <w:keepLines/>
      <w:spacing w:before="480" w:after="0" w:line="276" w:lineRule="auto"/>
      <w:outlineLvl w:val="0"/>
    </w:pPr>
    <w:rPr>
      <w:rFonts w:ascii="Arial" w:eastAsiaTheme="majorEastAsia" w:hAnsi="Arial" w:cstheme="majorBidi"/>
      <w:b/>
      <w:bCs/>
      <w:color w:val="2F5496" w:themeColor="accent1" w:themeShade="BF"/>
      <w:sz w:val="36"/>
      <w:szCs w:val="28"/>
    </w:rPr>
  </w:style>
  <w:style w:type="paragraph" w:styleId="Heading2">
    <w:name w:val="heading 2"/>
    <w:basedOn w:val="Normal"/>
    <w:next w:val="Normal"/>
    <w:link w:val="Heading2Char"/>
    <w:uiPriority w:val="9"/>
    <w:unhideWhenUsed/>
    <w:qFormat/>
    <w:rsid w:val="00E224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56D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E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EC5"/>
  </w:style>
  <w:style w:type="paragraph" w:styleId="Footer">
    <w:name w:val="footer"/>
    <w:basedOn w:val="Normal"/>
    <w:link w:val="FooterChar"/>
    <w:uiPriority w:val="99"/>
    <w:unhideWhenUsed/>
    <w:rsid w:val="00A13E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EC5"/>
  </w:style>
  <w:style w:type="paragraph" w:styleId="FootnoteText">
    <w:name w:val="footnote text"/>
    <w:basedOn w:val="Normal"/>
    <w:link w:val="FootnoteTextChar"/>
    <w:uiPriority w:val="99"/>
    <w:semiHidden/>
    <w:unhideWhenUsed/>
    <w:rsid w:val="00A13E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3EC5"/>
    <w:rPr>
      <w:sz w:val="20"/>
      <w:szCs w:val="20"/>
    </w:rPr>
  </w:style>
  <w:style w:type="table" w:styleId="TableGrid">
    <w:name w:val="Table Grid"/>
    <w:basedOn w:val="TableNormal"/>
    <w:rsid w:val="00A13EC5"/>
    <w:pPr>
      <w:spacing w:after="0" w:line="240" w:lineRule="auto"/>
    </w:pPr>
    <w:rPr>
      <w:rFonts w:ascii="Times New Roman" w:eastAsia="Times New Roman" w:hAnsi="Times New Roman" w:cs="Times New Roman"/>
      <w:sz w:val="20"/>
      <w:szCs w:val="20"/>
      <w:lang w:eastAsia="en-AU"/>
    </w:rPr>
    <w:tblPr>
      <w:tblInd w:w="108" w:type="dxa"/>
      <w:tblBorders>
        <w:top w:val="single" w:sz="4" w:space="0" w:color="auto"/>
        <w:bottom w:val="single" w:sz="4" w:space="0" w:color="auto"/>
        <w:insideH w:val="single" w:sz="4" w:space="0" w:color="auto"/>
      </w:tblBorders>
    </w:tblPr>
  </w:style>
  <w:style w:type="character" w:styleId="FootnoteReference">
    <w:name w:val="footnote reference"/>
    <w:uiPriority w:val="99"/>
    <w:rsid w:val="00A13EC5"/>
    <w:rPr>
      <w:vertAlign w:val="superscript"/>
    </w:rPr>
  </w:style>
  <w:style w:type="paragraph" w:customStyle="1" w:styleId="DPCnumberdigit">
    <w:name w:val="DPC number digit"/>
    <w:basedOn w:val="Normal"/>
    <w:uiPriority w:val="4"/>
    <w:rsid w:val="00A13EC5"/>
    <w:pPr>
      <w:numPr>
        <w:numId w:val="2"/>
      </w:numPr>
      <w:tabs>
        <w:tab w:val="clear" w:pos="397"/>
        <w:tab w:val="num" w:pos="360"/>
      </w:tabs>
      <w:spacing w:line="300" w:lineRule="atLeast"/>
      <w:ind w:left="0" w:firstLine="0"/>
    </w:pPr>
    <w:rPr>
      <w:rFonts w:eastAsia="Times" w:cs="Arial"/>
      <w:color w:val="000000"/>
    </w:rPr>
  </w:style>
  <w:style w:type="paragraph" w:customStyle="1" w:styleId="DPCnumberdigitindent">
    <w:name w:val="DPC number digit indent"/>
    <w:basedOn w:val="Normal"/>
    <w:uiPriority w:val="4"/>
    <w:qFormat/>
    <w:rsid w:val="00A13EC5"/>
    <w:pPr>
      <w:numPr>
        <w:ilvl w:val="1"/>
        <w:numId w:val="2"/>
      </w:numPr>
      <w:tabs>
        <w:tab w:val="clear" w:pos="794"/>
        <w:tab w:val="num" w:pos="360"/>
      </w:tabs>
      <w:spacing w:line="300" w:lineRule="atLeast"/>
      <w:ind w:left="0" w:firstLine="0"/>
    </w:pPr>
    <w:rPr>
      <w:rFonts w:eastAsia="Times" w:cs="Arial"/>
      <w:color w:val="000000"/>
    </w:rPr>
  </w:style>
  <w:style w:type="paragraph" w:customStyle="1" w:styleId="DPCnumberlowerroman">
    <w:name w:val="DPC number lower roman"/>
    <w:basedOn w:val="Normal"/>
    <w:uiPriority w:val="4"/>
    <w:qFormat/>
    <w:rsid w:val="00A13EC5"/>
    <w:pPr>
      <w:numPr>
        <w:numId w:val="1"/>
      </w:numPr>
      <w:tabs>
        <w:tab w:val="clear" w:pos="397"/>
        <w:tab w:val="num" w:pos="360"/>
      </w:tabs>
      <w:spacing w:line="300" w:lineRule="atLeast"/>
      <w:ind w:left="0" w:firstLine="0"/>
    </w:pPr>
    <w:rPr>
      <w:rFonts w:eastAsia="Times" w:cs="Arial"/>
      <w:color w:val="000000"/>
    </w:rPr>
  </w:style>
  <w:style w:type="paragraph" w:customStyle="1" w:styleId="DPCnumberlowerromanindent">
    <w:name w:val="DPC number lower roman indent"/>
    <w:basedOn w:val="Normal"/>
    <w:uiPriority w:val="4"/>
    <w:qFormat/>
    <w:rsid w:val="00A13EC5"/>
    <w:pPr>
      <w:numPr>
        <w:ilvl w:val="1"/>
        <w:numId w:val="1"/>
      </w:numPr>
      <w:tabs>
        <w:tab w:val="clear" w:pos="794"/>
        <w:tab w:val="num" w:pos="360"/>
      </w:tabs>
      <w:spacing w:line="300" w:lineRule="atLeast"/>
      <w:ind w:left="0" w:firstLine="0"/>
    </w:pPr>
    <w:rPr>
      <w:rFonts w:eastAsia="Times" w:cs="Arial"/>
      <w:color w:val="000000"/>
    </w:rPr>
  </w:style>
  <w:style w:type="numbering" w:customStyle="1" w:styleId="ZZNumberslowerroman">
    <w:name w:val="ZZ Numbers lower roman"/>
    <w:basedOn w:val="NoList"/>
    <w:uiPriority w:val="99"/>
    <w:rsid w:val="00A13EC5"/>
    <w:pPr>
      <w:numPr>
        <w:numId w:val="1"/>
      </w:numPr>
    </w:pPr>
  </w:style>
  <w:style w:type="numbering" w:customStyle="1" w:styleId="ZZNumbersloweralpha">
    <w:name w:val="ZZ Numbers lower alpha"/>
    <w:basedOn w:val="NoList"/>
    <w:rsid w:val="00A13EC5"/>
    <w:pPr>
      <w:numPr>
        <w:numId w:val="4"/>
      </w:numPr>
    </w:pPr>
  </w:style>
  <w:style w:type="numbering" w:customStyle="1" w:styleId="ZZNumbersdigit">
    <w:name w:val="ZZ Numbers digit"/>
    <w:basedOn w:val="NoList"/>
    <w:uiPriority w:val="99"/>
    <w:rsid w:val="00A13EC5"/>
    <w:pPr>
      <w:numPr>
        <w:numId w:val="2"/>
      </w:numPr>
    </w:pPr>
  </w:style>
  <w:style w:type="paragraph" w:customStyle="1" w:styleId="DPCbulletafternumbers1">
    <w:name w:val="DPC bullet after numbers 1"/>
    <w:basedOn w:val="Normal"/>
    <w:rsid w:val="00A13EC5"/>
    <w:pPr>
      <w:numPr>
        <w:ilvl w:val="2"/>
        <w:numId w:val="2"/>
      </w:numPr>
      <w:tabs>
        <w:tab w:val="num" w:pos="360"/>
      </w:tabs>
      <w:spacing w:line="300" w:lineRule="atLeast"/>
      <w:ind w:left="0" w:firstLine="0"/>
    </w:pPr>
    <w:rPr>
      <w:rFonts w:eastAsia="Times" w:cs="Arial"/>
      <w:color w:val="000000"/>
    </w:rPr>
  </w:style>
  <w:style w:type="paragraph" w:customStyle="1" w:styleId="DPCbulletafternumbers2">
    <w:name w:val="DPC bullet after numbers 2"/>
    <w:basedOn w:val="Normal"/>
    <w:rsid w:val="00A13EC5"/>
    <w:pPr>
      <w:numPr>
        <w:ilvl w:val="3"/>
        <w:numId w:val="2"/>
      </w:numPr>
      <w:tabs>
        <w:tab w:val="num" w:pos="360"/>
      </w:tabs>
      <w:spacing w:line="300" w:lineRule="atLeast"/>
      <w:ind w:left="0" w:firstLine="0"/>
    </w:pPr>
    <w:rPr>
      <w:rFonts w:eastAsia="Times" w:cs="Arial"/>
      <w:color w:val="000000"/>
    </w:rPr>
  </w:style>
  <w:style w:type="paragraph" w:customStyle="1" w:styleId="DPCnumberloweralpha">
    <w:name w:val="DPC number lower alpha"/>
    <w:basedOn w:val="Normal"/>
    <w:uiPriority w:val="3"/>
    <w:rsid w:val="00A13EC5"/>
    <w:pPr>
      <w:numPr>
        <w:numId w:val="4"/>
      </w:numPr>
      <w:tabs>
        <w:tab w:val="clear" w:pos="397"/>
        <w:tab w:val="num" w:pos="360"/>
      </w:tabs>
      <w:spacing w:line="300" w:lineRule="atLeast"/>
      <w:ind w:left="0" w:firstLine="0"/>
    </w:pPr>
    <w:rPr>
      <w:rFonts w:ascii="Arial" w:eastAsia="Times" w:hAnsi="Arial" w:cs="Arial"/>
      <w:color w:val="000000"/>
    </w:rPr>
  </w:style>
  <w:style w:type="paragraph" w:customStyle="1" w:styleId="DPCnumberloweralphaindent">
    <w:name w:val="DPC number lower alpha indent"/>
    <w:basedOn w:val="Normal"/>
    <w:uiPriority w:val="3"/>
    <w:rsid w:val="00A13EC5"/>
    <w:pPr>
      <w:numPr>
        <w:ilvl w:val="1"/>
        <w:numId w:val="4"/>
      </w:numPr>
      <w:tabs>
        <w:tab w:val="clear" w:pos="794"/>
        <w:tab w:val="num" w:pos="360"/>
      </w:tabs>
      <w:spacing w:line="300" w:lineRule="atLeast"/>
      <w:ind w:left="0" w:firstLine="0"/>
    </w:pPr>
    <w:rPr>
      <w:rFonts w:ascii="Arial" w:eastAsia="Times" w:hAnsi="Arial" w:cs="Arial"/>
      <w:color w:val="000000"/>
    </w:rPr>
  </w:style>
  <w:style w:type="paragraph" w:styleId="Title">
    <w:name w:val="Title"/>
    <w:basedOn w:val="Normal"/>
    <w:link w:val="TitleChar"/>
    <w:qFormat/>
    <w:rsid w:val="00E91C18"/>
    <w:pPr>
      <w:suppressLineNumbers/>
      <w:overflowPunct w:val="0"/>
      <w:autoSpaceDE w:val="0"/>
      <w:autoSpaceDN w:val="0"/>
      <w:adjustRightInd w:val="0"/>
      <w:spacing w:after="0" w:line="360" w:lineRule="auto"/>
      <w:jc w:val="center"/>
      <w:textAlignment w:val="baseline"/>
    </w:pPr>
    <w:rPr>
      <w:rFonts w:ascii="Arial" w:eastAsia="Times New Roman" w:hAnsi="Arial" w:cs="Times New Roman"/>
      <w:b/>
      <w:sz w:val="40"/>
      <w:szCs w:val="20"/>
    </w:rPr>
  </w:style>
  <w:style w:type="character" w:customStyle="1" w:styleId="TitleChar">
    <w:name w:val="Title Char"/>
    <w:basedOn w:val="DefaultParagraphFont"/>
    <w:link w:val="Title"/>
    <w:rsid w:val="00E91C18"/>
    <w:rPr>
      <w:rFonts w:ascii="Arial" w:eastAsia="Times New Roman" w:hAnsi="Arial" w:cs="Times New Roman"/>
      <w:b/>
      <w:sz w:val="40"/>
      <w:szCs w:val="20"/>
    </w:rPr>
  </w:style>
  <w:style w:type="character" w:styleId="Hyperlink">
    <w:name w:val="Hyperlink"/>
    <w:basedOn w:val="DefaultParagraphFont"/>
    <w:uiPriority w:val="99"/>
    <w:unhideWhenUsed/>
    <w:rsid w:val="00E91C18"/>
    <w:rPr>
      <w:color w:val="0000FF"/>
      <w:u w:val="single"/>
    </w:rPr>
  </w:style>
  <w:style w:type="paragraph" w:customStyle="1" w:styleId="DPCbody">
    <w:name w:val="DPC body"/>
    <w:qFormat/>
    <w:rsid w:val="00E91C18"/>
    <w:pPr>
      <w:spacing w:line="300" w:lineRule="atLeast"/>
    </w:pPr>
    <w:rPr>
      <w:rFonts w:ascii="Arial" w:eastAsia="Times" w:hAnsi="Arial" w:cs="Arial"/>
      <w:color w:val="000000" w:themeColor="text1"/>
    </w:rPr>
  </w:style>
  <w:style w:type="paragraph" w:styleId="TOC1">
    <w:name w:val="toc 1"/>
    <w:basedOn w:val="Normal"/>
    <w:next w:val="Normal"/>
    <w:autoRedefine/>
    <w:uiPriority w:val="39"/>
    <w:unhideWhenUsed/>
    <w:rsid w:val="008D36C6"/>
    <w:pPr>
      <w:tabs>
        <w:tab w:val="right" w:leader="dot" w:pos="9016"/>
      </w:tabs>
      <w:spacing w:before="180" w:after="180" w:line="240" w:lineRule="auto"/>
    </w:pPr>
    <w:rPr>
      <w:rFonts w:ascii="Arial" w:hAnsi="Arial" w:cs="Arial"/>
      <w:noProof/>
    </w:rPr>
  </w:style>
  <w:style w:type="paragraph" w:styleId="TOC2">
    <w:name w:val="toc 2"/>
    <w:basedOn w:val="Normal"/>
    <w:next w:val="Normal"/>
    <w:autoRedefine/>
    <w:uiPriority w:val="39"/>
    <w:unhideWhenUsed/>
    <w:rsid w:val="00E91C18"/>
    <w:pPr>
      <w:spacing w:after="100" w:line="276" w:lineRule="auto"/>
      <w:ind w:left="220"/>
    </w:pPr>
  </w:style>
  <w:style w:type="character" w:customStyle="1" w:styleId="Heading1Char">
    <w:name w:val="Heading 1 Char"/>
    <w:basedOn w:val="DefaultParagraphFont"/>
    <w:link w:val="Heading1"/>
    <w:uiPriority w:val="9"/>
    <w:rsid w:val="00E2240B"/>
    <w:rPr>
      <w:rFonts w:ascii="Arial" w:eastAsiaTheme="majorEastAsia" w:hAnsi="Arial" w:cstheme="majorBidi"/>
      <w:b/>
      <w:bCs/>
      <w:color w:val="2F5496" w:themeColor="accent1" w:themeShade="BF"/>
      <w:sz w:val="36"/>
      <w:szCs w:val="28"/>
    </w:rPr>
  </w:style>
  <w:style w:type="character" w:customStyle="1" w:styleId="Heading2Char">
    <w:name w:val="Heading 2 Char"/>
    <w:basedOn w:val="DefaultParagraphFont"/>
    <w:link w:val="Heading2"/>
    <w:uiPriority w:val="9"/>
    <w:rsid w:val="00E2240B"/>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756D6C"/>
    <w:pPr>
      <w:spacing w:before="240" w:line="259" w:lineRule="auto"/>
      <w:outlineLvl w:val="9"/>
    </w:pPr>
    <w:rPr>
      <w:rFonts w:asciiTheme="majorHAnsi" w:hAnsiTheme="majorHAnsi"/>
      <w:b w:val="0"/>
      <w:bCs w:val="0"/>
      <w:sz w:val="32"/>
      <w:szCs w:val="32"/>
      <w:lang w:val="en-US"/>
    </w:rPr>
  </w:style>
  <w:style w:type="character" w:customStyle="1" w:styleId="Heading3Char">
    <w:name w:val="Heading 3 Char"/>
    <w:basedOn w:val="DefaultParagraphFont"/>
    <w:link w:val="Heading3"/>
    <w:uiPriority w:val="9"/>
    <w:rsid w:val="00756D6C"/>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DB1D7F"/>
    <w:pPr>
      <w:spacing w:after="200" w:line="276" w:lineRule="auto"/>
      <w:ind w:left="720"/>
      <w:contextualSpacing/>
    </w:pPr>
  </w:style>
  <w:style w:type="character" w:styleId="CommentReference">
    <w:name w:val="annotation reference"/>
    <w:basedOn w:val="DefaultParagraphFont"/>
    <w:uiPriority w:val="99"/>
    <w:semiHidden/>
    <w:unhideWhenUsed/>
    <w:rsid w:val="009B41A8"/>
    <w:rPr>
      <w:sz w:val="16"/>
      <w:szCs w:val="16"/>
    </w:rPr>
  </w:style>
  <w:style w:type="paragraph" w:styleId="CommentText">
    <w:name w:val="annotation text"/>
    <w:basedOn w:val="Normal"/>
    <w:link w:val="CommentTextChar"/>
    <w:uiPriority w:val="99"/>
    <w:semiHidden/>
    <w:unhideWhenUsed/>
    <w:rsid w:val="009B41A8"/>
    <w:pPr>
      <w:spacing w:line="240" w:lineRule="auto"/>
    </w:pPr>
    <w:rPr>
      <w:sz w:val="20"/>
      <w:szCs w:val="20"/>
    </w:rPr>
  </w:style>
  <w:style w:type="character" w:customStyle="1" w:styleId="CommentTextChar">
    <w:name w:val="Comment Text Char"/>
    <w:basedOn w:val="DefaultParagraphFont"/>
    <w:link w:val="CommentText"/>
    <w:uiPriority w:val="99"/>
    <w:semiHidden/>
    <w:rsid w:val="009B41A8"/>
    <w:rPr>
      <w:sz w:val="20"/>
      <w:szCs w:val="20"/>
    </w:rPr>
  </w:style>
  <w:style w:type="paragraph" w:styleId="CommentSubject">
    <w:name w:val="annotation subject"/>
    <w:basedOn w:val="CommentText"/>
    <w:next w:val="CommentText"/>
    <w:link w:val="CommentSubjectChar"/>
    <w:uiPriority w:val="99"/>
    <w:semiHidden/>
    <w:unhideWhenUsed/>
    <w:rsid w:val="009B41A8"/>
    <w:rPr>
      <w:b/>
      <w:bCs/>
    </w:rPr>
  </w:style>
  <w:style w:type="character" w:customStyle="1" w:styleId="CommentSubjectChar">
    <w:name w:val="Comment Subject Char"/>
    <w:basedOn w:val="CommentTextChar"/>
    <w:link w:val="CommentSubject"/>
    <w:uiPriority w:val="99"/>
    <w:semiHidden/>
    <w:rsid w:val="009B41A8"/>
    <w:rPr>
      <w:b/>
      <w:bCs/>
      <w:sz w:val="20"/>
      <w:szCs w:val="20"/>
    </w:rPr>
  </w:style>
  <w:style w:type="character" w:styleId="UnresolvedMention">
    <w:name w:val="Unresolved Mention"/>
    <w:basedOn w:val="DefaultParagraphFont"/>
    <w:uiPriority w:val="99"/>
    <w:semiHidden/>
    <w:unhideWhenUsed/>
    <w:rsid w:val="009B41A8"/>
    <w:rPr>
      <w:color w:val="605E5C"/>
      <w:shd w:val="clear" w:color="auto" w:fill="E1DFDD"/>
    </w:rPr>
  </w:style>
  <w:style w:type="paragraph" w:styleId="TOC3">
    <w:name w:val="toc 3"/>
    <w:basedOn w:val="Normal"/>
    <w:next w:val="Normal"/>
    <w:autoRedefine/>
    <w:uiPriority w:val="39"/>
    <w:unhideWhenUsed/>
    <w:rsid w:val="0033056C"/>
    <w:pPr>
      <w:spacing w:after="100"/>
      <w:ind w:left="440"/>
    </w:pPr>
  </w:style>
  <w:style w:type="paragraph" w:styleId="Revision">
    <w:name w:val="Revision"/>
    <w:hidden/>
    <w:uiPriority w:val="99"/>
    <w:semiHidden/>
    <w:rsid w:val="00E321E8"/>
    <w:pPr>
      <w:spacing w:after="0" w:line="240" w:lineRule="auto"/>
    </w:pPr>
  </w:style>
  <w:style w:type="character" w:styleId="FollowedHyperlink">
    <w:name w:val="FollowedHyperlink"/>
    <w:basedOn w:val="DefaultParagraphFont"/>
    <w:uiPriority w:val="99"/>
    <w:semiHidden/>
    <w:unhideWhenUsed/>
    <w:rsid w:val="007A4E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vertising@dpc.vic.gov.au" TargetMode="External"/><Relationship Id="rId18" Type="http://schemas.openxmlformats.org/officeDocument/2006/relationships/chart" Target="charts/chart3.xm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chart" Target="charts/chart6.xml"/><Relationship Id="rId7" Type="http://schemas.openxmlformats.org/officeDocument/2006/relationships/footnotes" Target="footnotes.xml"/><Relationship Id="rId12" Type="http://schemas.openxmlformats.org/officeDocument/2006/relationships/hyperlink" Target="https://creativecommons.org/licenses/by/4.0/" TargetMode="External"/><Relationship Id="rId17" Type="http://schemas.openxmlformats.org/officeDocument/2006/relationships/chart" Target="charts/chart2.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vic.gov.au/victorian-government-communication-requirements"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legislation.vic.gov.au"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en-AU" sz="1800" b="1"/>
              <a:t>Percentage of total campaign expenditure in 2022-23</a:t>
            </a:r>
          </a:p>
        </c:rich>
      </c:tx>
      <c:layout>
        <c:manualLayout>
          <c:xMode val="edge"/>
          <c:yMode val="edge"/>
          <c:x val="0.16799374029042313"/>
          <c:y val="3.1249957391689676E-2"/>
        </c:manualLayout>
      </c:layout>
      <c:overlay val="0"/>
      <c:spPr>
        <a:noFill/>
        <a:ln>
          <a:noFill/>
        </a:ln>
        <a:effectLst/>
      </c:spPr>
      <c:txPr>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3417505156283845E-2"/>
          <c:y val="0.20864891888513937"/>
          <c:w val="0.48597452814780207"/>
          <c:h val="0.72685800638556541"/>
        </c:manualLayout>
      </c:layout>
      <c:pieChart>
        <c:varyColors val="1"/>
        <c:ser>
          <c:idx val="0"/>
          <c:order val="0"/>
          <c:tx>
            <c:strRef>
              <c:f>Sheet1!$B$1</c:f>
              <c:strCache>
                <c:ptCount val="1"/>
                <c:pt idx="0">
                  <c:v>Percentage of total campaign expenditure - 2022-23</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867-4BCC-9AF6-9A8C231A138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867-4BCC-9AF6-9A8C231A138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867-4BCC-9AF6-9A8C231A138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867-4BCC-9AF6-9A8C231A138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867-4BCC-9AF6-9A8C231A1383}"/>
              </c:ext>
            </c:extLst>
          </c:dPt>
          <c:dLbls>
            <c:dLbl>
              <c:idx val="0"/>
              <c:layout>
                <c:manualLayout>
                  <c:x val="-4.0244058034412363E-3"/>
                  <c:y val="3.4470691163604548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867-4BCC-9AF6-9A8C231A1383}"/>
                </c:ext>
              </c:extLst>
            </c:dLbl>
            <c:dLbl>
              <c:idx val="1"/>
              <c:layout>
                <c:manualLayout>
                  <c:x val="-2.7365610153161236E-2"/>
                  <c:y val="2.249398512685914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867-4BCC-9AF6-9A8C231A1383}"/>
                </c:ext>
              </c:extLst>
            </c:dLbl>
            <c:dLbl>
              <c:idx val="2"/>
              <c:layout>
                <c:manualLayout>
                  <c:x val="-2.3406591581115656E-2"/>
                  <c:y val="3.2950021872265964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867-4BCC-9AF6-9A8C231A1383}"/>
                </c:ext>
              </c:extLst>
            </c:dLbl>
            <c:dLbl>
              <c:idx val="3"/>
              <c:layout>
                <c:manualLayout>
                  <c:x val="3.1101450860309128E-3"/>
                  <c:y val="1.3863892013498314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867-4BCC-9AF6-9A8C231A1383}"/>
                </c:ext>
              </c:extLst>
            </c:dLbl>
            <c:dLbl>
              <c:idx val="4"/>
              <c:layout>
                <c:manualLayout>
                  <c:x val="1.7943785507824179E-2"/>
                  <c:y val="-8.4388670166229227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2867-4BCC-9AF6-9A8C231A1383}"/>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Public safety, personal security and behaviour change</c:v>
                </c:pt>
                <c:pt idx="1">
                  <c:v>Social cohesion, civic pride and community spirit</c:v>
                </c:pt>
                <c:pt idx="2">
                  <c:v>Commercial and economic investment</c:v>
                </c:pt>
                <c:pt idx="3">
                  <c:v>Generation of revenue for institutions or events</c:v>
                </c:pt>
                <c:pt idx="4">
                  <c:v>Compliance with legislative requirements</c:v>
                </c:pt>
              </c:strCache>
            </c:strRef>
          </c:cat>
          <c:val>
            <c:numRef>
              <c:f>Sheet1!$B$2:$B$6</c:f>
              <c:numCache>
                <c:formatCode>0%</c:formatCode>
                <c:ptCount val="5"/>
                <c:pt idx="0">
                  <c:v>0.47</c:v>
                </c:pt>
                <c:pt idx="1">
                  <c:v>0.01</c:v>
                </c:pt>
                <c:pt idx="2">
                  <c:v>0.25</c:v>
                </c:pt>
                <c:pt idx="3">
                  <c:v>0.22</c:v>
                </c:pt>
                <c:pt idx="4">
                  <c:v>0.04</c:v>
                </c:pt>
              </c:numCache>
            </c:numRef>
          </c:val>
          <c:extLst>
            <c:ext xmlns:c16="http://schemas.microsoft.com/office/drawing/2014/chart" uri="{C3380CC4-5D6E-409C-BE32-E72D297353CC}">
              <c16:uniqueId val="{0000000A-2867-4BCC-9AF6-9A8C231A1383}"/>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5033672527547648"/>
          <c:y val="0.21106338980354727"/>
          <c:w val="0.34028677674335572"/>
          <c:h val="0.57552493438320207"/>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Priority area 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BD3-4F50-8E6D-C55DBC46251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2-5BD3-4F50-8E6D-C55DBC462518}"/>
              </c:ext>
            </c:extLst>
          </c:dPt>
          <c:dLbls>
            <c:dLbl>
              <c:idx val="0"/>
              <c:layout>
                <c:manualLayout>
                  <c:x val="-3.8651747478933553E-2"/>
                  <c:y val="-0.16257061617297838"/>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BD3-4F50-8E6D-C55DBC462518}"/>
                </c:ext>
              </c:extLst>
            </c:dLbl>
            <c:dLbl>
              <c:idx val="1"/>
              <c:delete val="1"/>
              <c:extLst>
                <c:ext xmlns:c15="http://schemas.microsoft.com/office/drawing/2012/chart" uri="{CE6537A1-D6FC-4f65-9D91-7224C49458BB}"/>
                <c:ext xmlns:c16="http://schemas.microsoft.com/office/drawing/2014/chart" uri="{C3380CC4-5D6E-409C-BE32-E72D297353CC}">
                  <c16:uniqueId val="{00000002-5BD3-4F50-8E6D-C55DBC46251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1"/>
                <c:pt idx="0">
                  <c:v>Public safety, personal security and behaviour change</c:v>
                </c:pt>
              </c:strCache>
            </c:strRef>
          </c:cat>
          <c:val>
            <c:numRef>
              <c:f>Sheet1!$B$2:$B$3</c:f>
              <c:numCache>
                <c:formatCode>0%</c:formatCode>
                <c:ptCount val="2"/>
                <c:pt idx="0">
                  <c:v>0.48</c:v>
                </c:pt>
                <c:pt idx="1">
                  <c:v>0.52</c:v>
                </c:pt>
              </c:numCache>
            </c:numRef>
          </c:val>
          <c:extLst>
            <c:ext xmlns:c16="http://schemas.microsoft.com/office/drawing/2014/chart" uri="{C3380CC4-5D6E-409C-BE32-E72D297353CC}">
              <c16:uniqueId val="{00000000-5BD3-4F50-8E6D-C55DBC462518}"/>
            </c:ext>
          </c:extLst>
        </c:ser>
        <c:dLbls>
          <c:showLegendKey val="0"/>
          <c:showVal val="0"/>
          <c:showCatName val="0"/>
          <c:showSerName val="0"/>
          <c:showPercent val="1"/>
          <c:showBubbleSize val="0"/>
          <c:showLeaderLines val="1"/>
        </c:dLbls>
        <c:firstSliceAng val="0"/>
      </c:pieChart>
      <c:spPr>
        <a:noFill/>
        <a:ln>
          <a:noFill/>
        </a:ln>
        <a:effectLst/>
      </c:spPr>
    </c:plotArea>
    <c:legend>
      <c:legendPos val="t"/>
      <c:legendEntry>
        <c:idx val="1"/>
        <c:delete val="1"/>
      </c:legendEntry>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Priority area 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19A-4764-8190-5970DBFFF77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19A-4764-8190-5970DBFFF771}"/>
              </c:ext>
            </c:extLst>
          </c:dPt>
          <c:dLbls>
            <c:dLbl>
              <c:idx val="0"/>
              <c:layout>
                <c:manualLayout>
                  <c:x val="0.27094577574088069"/>
                  <c:y val="1.6000812398450193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19A-4764-8190-5970DBFFF771}"/>
                </c:ext>
              </c:extLst>
            </c:dLbl>
            <c:dLbl>
              <c:idx val="1"/>
              <c:delete val="1"/>
              <c:extLst>
                <c:ext xmlns:c15="http://schemas.microsoft.com/office/drawing/2012/chart" uri="{CE6537A1-D6FC-4f65-9D91-7224C49458BB}"/>
                <c:ext xmlns:c16="http://schemas.microsoft.com/office/drawing/2014/chart" uri="{C3380CC4-5D6E-409C-BE32-E72D297353CC}">
                  <c16:uniqueId val="{00000003-319A-4764-8190-5970DBFFF77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1"/>
                <c:pt idx="0">
                  <c:v>Public safety, personal security and behaviour change</c:v>
                </c:pt>
              </c:strCache>
            </c:strRef>
          </c:cat>
          <c:val>
            <c:numRef>
              <c:f>Sheet1!$B$2:$B$3</c:f>
              <c:numCache>
                <c:formatCode>0%</c:formatCode>
                <c:ptCount val="2"/>
                <c:pt idx="0">
                  <c:v>0.01</c:v>
                </c:pt>
                <c:pt idx="1">
                  <c:v>0.99</c:v>
                </c:pt>
              </c:numCache>
            </c:numRef>
          </c:val>
          <c:extLst>
            <c:ext xmlns:c16="http://schemas.microsoft.com/office/drawing/2014/chart" uri="{C3380CC4-5D6E-409C-BE32-E72D297353CC}">
              <c16:uniqueId val="{00000004-319A-4764-8190-5970DBFFF771}"/>
            </c:ext>
          </c:extLst>
        </c:ser>
        <c:dLbls>
          <c:showLegendKey val="0"/>
          <c:showVal val="0"/>
          <c:showCatName val="0"/>
          <c:showSerName val="0"/>
          <c:showPercent val="1"/>
          <c:showBubbleSize val="0"/>
          <c:showLeaderLines val="1"/>
        </c:dLbls>
        <c:firstSliceAng val="0"/>
      </c:pieChart>
      <c:spPr>
        <a:noFill/>
        <a:ln>
          <a:noFill/>
        </a:ln>
        <a:effectLst/>
      </c:spPr>
    </c:plotArea>
    <c:legend>
      <c:legendPos val="t"/>
      <c:legendEntry>
        <c:idx val="1"/>
        <c:delete val="1"/>
      </c:legendEntry>
      <c:layout>
        <c:manualLayout>
          <c:xMode val="edge"/>
          <c:yMode val="edge"/>
          <c:x val="8.4047032820587814E-2"/>
          <c:y val="0.14718253968253969"/>
          <c:w val="0.84016186831135276"/>
          <c:h val="0.12933070866141733"/>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Priority area 3</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049-4E25-8C83-D644F4F0C3C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049-4E25-8C83-D644F4F0C3C7}"/>
              </c:ext>
            </c:extLst>
          </c:dPt>
          <c:dLbls>
            <c:dLbl>
              <c:idx val="0"/>
              <c:layout>
                <c:manualLayout>
                  <c:x val="8.5180436036826665E-2"/>
                  <c:y val="1.60008123984501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049-4E25-8C83-D644F4F0C3C7}"/>
                </c:ext>
              </c:extLst>
            </c:dLbl>
            <c:dLbl>
              <c:idx val="1"/>
              <c:delete val="1"/>
              <c:extLst>
                <c:ext xmlns:c15="http://schemas.microsoft.com/office/drawing/2012/chart" uri="{CE6537A1-D6FC-4f65-9D91-7224C49458BB}"/>
                <c:ext xmlns:c16="http://schemas.microsoft.com/office/drawing/2014/chart" uri="{C3380CC4-5D6E-409C-BE32-E72D297353CC}">
                  <c16:uniqueId val="{00000003-C049-4E25-8C83-D644F4F0C3C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1"/>
                <c:pt idx="0">
                  <c:v>Commercial and economic investment in Victoria</c:v>
                </c:pt>
              </c:strCache>
            </c:strRef>
          </c:cat>
          <c:val>
            <c:numRef>
              <c:f>Sheet1!$B$2:$B$3</c:f>
              <c:numCache>
                <c:formatCode>0%</c:formatCode>
                <c:ptCount val="2"/>
                <c:pt idx="0">
                  <c:v>0.25</c:v>
                </c:pt>
                <c:pt idx="1">
                  <c:v>0.75</c:v>
                </c:pt>
              </c:numCache>
            </c:numRef>
          </c:val>
          <c:extLst>
            <c:ext xmlns:c16="http://schemas.microsoft.com/office/drawing/2014/chart" uri="{C3380CC4-5D6E-409C-BE32-E72D297353CC}">
              <c16:uniqueId val="{00000004-C049-4E25-8C83-D644F4F0C3C7}"/>
            </c:ext>
          </c:extLst>
        </c:ser>
        <c:dLbls>
          <c:showLegendKey val="0"/>
          <c:showVal val="0"/>
          <c:showCatName val="0"/>
          <c:showSerName val="0"/>
          <c:showPercent val="1"/>
          <c:showBubbleSize val="0"/>
          <c:showLeaderLines val="1"/>
        </c:dLbls>
        <c:firstSliceAng val="0"/>
      </c:pieChart>
      <c:spPr>
        <a:noFill/>
        <a:ln>
          <a:noFill/>
        </a:ln>
        <a:effectLst/>
      </c:spPr>
    </c:plotArea>
    <c:legend>
      <c:legendPos val="t"/>
      <c:legendEntry>
        <c:idx val="1"/>
        <c:delete val="1"/>
      </c:legendEntry>
      <c:layout>
        <c:manualLayout>
          <c:xMode val="edge"/>
          <c:yMode val="edge"/>
          <c:x val="8.4047032820587814E-2"/>
          <c:y val="0.14718253968253969"/>
          <c:w val="0.84016186831135276"/>
          <c:h val="0.12933070866141733"/>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Priority area 4</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362-44A6-9E4A-1A7F28F7011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362-44A6-9E4A-1A7F28F70118}"/>
              </c:ext>
            </c:extLst>
          </c:dPt>
          <c:dLbls>
            <c:dLbl>
              <c:idx val="0"/>
              <c:layout>
                <c:manualLayout>
                  <c:x val="8.5180436036826665E-2"/>
                  <c:y val="1.60008123984501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362-44A6-9E4A-1A7F28F70118}"/>
                </c:ext>
              </c:extLst>
            </c:dLbl>
            <c:dLbl>
              <c:idx val="1"/>
              <c:delete val="1"/>
              <c:extLst>
                <c:ext xmlns:c15="http://schemas.microsoft.com/office/drawing/2012/chart" uri="{CE6537A1-D6FC-4f65-9D91-7224C49458BB}"/>
                <c:ext xmlns:c16="http://schemas.microsoft.com/office/drawing/2014/chart" uri="{C3380CC4-5D6E-409C-BE32-E72D297353CC}">
                  <c16:uniqueId val="{00000003-1362-44A6-9E4A-1A7F28F7011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1"/>
                <c:pt idx="0">
                  <c:v>Generation of revenue for institutions or events</c:v>
                </c:pt>
              </c:strCache>
            </c:strRef>
          </c:cat>
          <c:val>
            <c:numRef>
              <c:f>Sheet1!$B$2:$B$3</c:f>
              <c:numCache>
                <c:formatCode>0%</c:formatCode>
                <c:ptCount val="2"/>
                <c:pt idx="0">
                  <c:v>0.22</c:v>
                </c:pt>
                <c:pt idx="1">
                  <c:v>0.78</c:v>
                </c:pt>
              </c:numCache>
            </c:numRef>
          </c:val>
          <c:extLst>
            <c:ext xmlns:c16="http://schemas.microsoft.com/office/drawing/2014/chart" uri="{C3380CC4-5D6E-409C-BE32-E72D297353CC}">
              <c16:uniqueId val="{00000004-1362-44A6-9E4A-1A7F28F70118}"/>
            </c:ext>
          </c:extLst>
        </c:ser>
        <c:dLbls>
          <c:showLegendKey val="0"/>
          <c:showVal val="0"/>
          <c:showCatName val="0"/>
          <c:showSerName val="0"/>
          <c:showPercent val="1"/>
          <c:showBubbleSize val="0"/>
          <c:showLeaderLines val="1"/>
        </c:dLbls>
        <c:firstSliceAng val="0"/>
      </c:pieChart>
      <c:spPr>
        <a:noFill/>
        <a:ln>
          <a:noFill/>
        </a:ln>
        <a:effectLst/>
      </c:spPr>
    </c:plotArea>
    <c:legend>
      <c:legendPos val="t"/>
      <c:legendEntry>
        <c:idx val="1"/>
        <c:delete val="1"/>
      </c:legendEntry>
      <c:layout>
        <c:manualLayout>
          <c:xMode val="edge"/>
          <c:yMode val="edge"/>
          <c:x val="8.4047032820587814E-2"/>
          <c:y val="0.14718253968253969"/>
          <c:w val="0.84016186831135276"/>
          <c:h val="0.12933070866141733"/>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Priority area 5</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2EF-4AA1-AAE5-DCEDD8A498E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2EF-4AA1-AAE5-DCEDD8A498EF}"/>
              </c:ext>
            </c:extLst>
          </c:dPt>
          <c:dLbls>
            <c:dLbl>
              <c:idx val="0"/>
              <c:layout>
                <c:manualLayout>
                  <c:x val="8.5180436036826665E-2"/>
                  <c:y val="1.60008123984501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2EF-4AA1-AAE5-DCEDD8A498EF}"/>
                </c:ext>
              </c:extLst>
            </c:dLbl>
            <c:dLbl>
              <c:idx val="1"/>
              <c:delete val="1"/>
              <c:extLst>
                <c:ext xmlns:c15="http://schemas.microsoft.com/office/drawing/2012/chart" uri="{CE6537A1-D6FC-4f65-9D91-7224C49458BB}"/>
                <c:ext xmlns:c16="http://schemas.microsoft.com/office/drawing/2014/chart" uri="{C3380CC4-5D6E-409C-BE32-E72D297353CC}">
                  <c16:uniqueId val="{00000003-02EF-4AA1-AAE5-DCEDD8A498E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1"/>
                <c:pt idx="0">
                  <c:v>Compliance with legislative requirements</c:v>
                </c:pt>
              </c:strCache>
            </c:strRef>
          </c:cat>
          <c:val>
            <c:numRef>
              <c:f>Sheet1!$B$2:$B$3</c:f>
              <c:numCache>
                <c:formatCode>0%</c:formatCode>
                <c:ptCount val="2"/>
                <c:pt idx="0">
                  <c:v>0.04</c:v>
                </c:pt>
                <c:pt idx="1">
                  <c:v>0.96</c:v>
                </c:pt>
              </c:numCache>
            </c:numRef>
          </c:val>
          <c:extLst>
            <c:ext xmlns:c16="http://schemas.microsoft.com/office/drawing/2014/chart" uri="{C3380CC4-5D6E-409C-BE32-E72D297353CC}">
              <c16:uniqueId val="{00000004-02EF-4AA1-AAE5-DCEDD8A498EF}"/>
            </c:ext>
          </c:extLst>
        </c:ser>
        <c:dLbls>
          <c:showLegendKey val="0"/>
          <c:showVal val="0"/>
          <c:showCatName val="0"/>
          <c:showSerName val="0"/>
          <c:showPercent val="1"/>
          <c:showBubbleSize val="0"/>
          <c:showLeaderLines val="1"/>
        </c:dLbls>
        <c:firstSliceAng val="0"/>
      </c:pieChart>
      <c:spPr>
        <a:noFill/>
        <a:ln>
          <a:noFill/>
        </a:ln>
        <a:effectLst/>
      </c:spPr>
    </c:plotArea>
    <c:legend>
      <c:legendPos val="t"/>
      <c:legendEntry>
        <c:idx val="1"/>
        <c:delete val="1"/>
      </c:legendEntry>
      <c:layout>
        <c:manualLayout>
          <c:xMode val="edge"/>
          <c:yMode val="edge"/>
          <c:x val="8.4047032820587814E-2"/>
          <c:y val="0.14718253968253969"/>
          <c:w val="0.84016186831135276"/>
          <c:h val="0.12933070866141733"/>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32A1E01-95DE-47F9-A81B-1C1FC1B95209}">
  <ds:schemaRefs>
    <ds:schemaRef ds:uri="http://schemas.openxmlformats.org/officeDocument/2006/bibliography"/>
  </ds:schemaRefs>
</ds:datastoreItem>
</file>

<file path=customXml/itemProps2.xml><?xml version="1.0" encoding="utf-8"?>
<ds:datastoreItem xmlns:ds="http://schemas.openxmlformats.org/officeDocument/2006/customXml" ds:itemID="{137148D1-66EB-4900-AE81-29EA812E467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1426</TotalTime>
  <Pages>11</Pages>
  <Words>2445</Words>
  <Characters>13940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Dwyght Tuffnell (DPC)</dc:creator>
  <cp:keywords/>
  <dc:description/>
  <cp:lastModifiedBy>Jonathan McGrath (DPC)</cp:lastModifiedBy>
  <cp:revision>31</cp:revision>
  <dcterms:created xsi:type="dcterms:W3CDTF">2022-11-24T02:59:00Z</dcterms:created>
  <dcterms:modified xsi:type="dcterms:W3CDTF">2024-03-27T06:25:00Z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2023-01-04T10:03:28Z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e548f3e9-29ec-4c22-9dda-9074e0206540</vt:lpwstr>
  </property>
  <property fmtid="{D5CDD505-2E9C-101B-9397-08002B2CF9AE}" pid="8" name="MSIP_Label_7158ebbd-6c5e-441f-bfc9-4eb8c11e3978_ContentBits">
    <vt:lpwstr>2</vt:lpwstr>
  </property>
</Properties>
</file>