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8C9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641B6E59" wp14:editId="0B653E87">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63D1D464" w14:textId="77777777" w:rsidR="00A62D44" w:rsidRPr="004C6EEE" w:rsidRDefault="00A62D44" w:rsidP="004C6EEE">
      <w:pPr>
        <w:pStyle w:val="Sectionbreakfirstpage"/>
        <w:sectPr w:rsidR="00A62D44" w:rsidRPr="004C6EEE" w:rsidSect="00B04489">
          <w:headerReference w:type="default"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078B8C6" w14:textId="77777777" w:rsidTr="002600C0">
        <w:trPr>
          <w:trHeight w:val="1418"/>
        </w:trPr>
        <w:tc>
          <w:tcPr>
            <w:tcW w:w="7655" w:type="dxa"/>
            <w:vAlign w:val="bottom"/>
          </w:tcPr>
          <w:p w14:paraId="03CDFD3D" w14:textId="40FF50D2" w:rsidR="00AD784C" w:rsidRPr="00161AA0" w:rsidRDefault="002B401F" w:rsidP="00EC20FF">
            <w:pPr>
              <w:pStyle w:val="Documenttitle"/>
            </w:pPr>
            <w:bookmarkStart w:id="0" w:name="_Hlk149296951"/>
            <w:r>
              <w:t>Pride Events and Festivals Fund 202</w:t>
            </w:r>
            <w:r w:rsidR="00661120">
              <w:t>4</w:t>
            </w:r>
            <w:r>
              <w:t>-2</w:t>
            </w:r>
            <w:r w:rsidR="00661120">
              <w:t>5</w:t>
            </w:r>
            <w:bookmarkEnd w:id="0"/>
          </w:p>
        </w:tc>
      </w:tr>
      <w:tr w:rsidR="000B2117" w14:paraId="1897B556" w14:textId="77777777" w:rsidTr="002600C0">
        <w:trPr>
          <w:trHeight w:val="1247"/>
        </w:trPr>
        <w:tc>
          <w:tcPr>
            <w:tcW w:w="7655" w:type="dxa"/>
          </w:tcPr>
          <w:p w14:paraId="02552C78" w14:textId="5CE3314E" w:rsidR="000B2117" w:rsidRPr="00A1389F" w:rsidRDefault="00543E16" w:rsidP="00CF4148">
            <w:pPr>
              <w:pStyle w:val="Documentsubtitle"/>
            </w:pPr>
            <w:r>
              <w:t xml:space="preserve">Frequently Asked Questions </w:t>
            </w:r>
          </w:p>
        </w:tc>
      </w:tr>
    </w:tbl>
    <w:sdt>
      <w:sdtPr>
        <w:id w:val="408046333"/>
        <w:docPartObj>
          <w:docPartGallery w:val="Table of Contents"/>
          <w:docPartUnique/>
        </w:docPartObj>
      </w:sdtPr>
      <w:sdtEndPr>
        <w:rPr>
          <w:bCs/>
          <w:szCs w:val="21"/>
        </w:rPr>
      </w:sdtEndPr>
      <w:sdtContent>
        <w:p w14:paraId="45EC8AE2" w14:textId="40B60EE9" w:rsidR="006711ED" w:rsidRDefault="002600C0">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75576102" w:history="1">
            <w:r w:rsidR="006711ED" w:rsidRPr="00EB6190">
              <w:rPr>
                <w:rStyle w:val="Hyperlink"/>
              </w:rPr>
              <w:t>Introduction</w:t>
            </w:r>
            <w:r w:rsidR="006711ED">
              <w:rPr>
                <w:webHidden/>
              </w:rPr>
              <w:tab/>
            </w:r>
            <w:r w:rsidR="006711ED">
              <w:rPr>
                <w:webHidden/>
              </w:rPr>
              <w:fldChar w:fldCharType="begin"/>
            </w:r>
            <w:r w:rsidR="006711ED">
              <w:rPr>
                <w:webHidden/>
              </w:rPr>
              <w:instrText xml:space="preserve"> PAGEREF _Toc175576102 \h </w:instrText>
            </w:r>
            <w:r w:rsidR="006711ED">
              <w:rPr>
                <w:webHidden/>
              </w:rPr>
            </w:r>
            <w:r w:rsidR="006711ED">
              <w:rPr>
                <w:webHidden/>
              </w:rPr>
              <w:fldChar w:fldCharType="separate"/>
            </w:r>
            <w:r w:rsidR="006711ED">
              <w:rPr>
                <w:webHidden/>
              </w:rPr>
              <w:t>3</w:t>
            </w:r>
            <w:r w:rsidR="006711ED">
              <w:rPr>
                <w:webHidden/>
              </w:rPr>
              <w:fldChar w:fldCharType="end"/>
            </w:r>
          </w:hyperlink>
        </w:p>
        <w:p w14:paraId="1E98EA21" w14:textId="4C02A8DD"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03" w:history="1">
            <w:r w:rsidRPr="00EB6190">
              <w:rPr>
                <w:rStyle w:val="Hyperlink"/>
              </w:rPr>
              <w:t>What are the key program dates?</w:t>
            </w:r>
            <w:r>
              <w:rPr>
                <w:webHidden/>
              </w:rPr>
              <w:tab/>
            </w:r>
            <w:r>
              <w:rPr>
                <w:webHidden/>
              </w:rPr>
              <w:fldChar w:fldCharType="begin"/>
            </w:r>
            <w:r>
              <w:rPr>
                <w:webHidden/>
              </w:rPr>
              <w:instrText xml:space="preserve"> PAGEREF _Toc175576103 \h </w:instrText>
            </w:r>
            <w:r>
              <w:rPr>
                <w:webHidden/>
              </w:rPr>
            </w:r>
            <w:r>
              <w:rPr>
                <w:webHidden/>
              </w:rPr>
              <w:fldChar w:fldCharType="separate"/>
            </w:r>
            <w:r>
              <w:rPr>
                <w:webHidden/>
              </w:rPr>
              <w:t>3</w:t>
            </w:r>
            <w:r>
              <w:rPr>
                <w:webHidden/>
              </w:rPr>
              <w:fldChar w:fldCharType="end"/>
            </w:r>
          </w:hyperlink>
        </w:p>
        <w:p w14:paraId="6B5AA849" w14:textId="11DA7813"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04" w:history="1">
            <w:r w:rsidRPr="00EB6190">
              <w:rPr>
                <w:rStyle w:val="Hyperlink"/>
                <w:rFonts w:eastAsia="MS Gothic"/>
              </w:rPr>
              <w:t>When does the application period close?</w:t>
            </w:r>
            <w:r>
              <w:rPr>
                <w:webHidden/>
              </w:rPr>
              <w:tab/>
            </w:r>
            <w:r>
              <w:rPr>
                <w:webHidden/>
              </w:rPr>
              <w:fldChar w:fldCharType="begin"/>
            </w:r>
            <w:r>
              <w:rPr>
                <w:webHidden/>
              </w:rPr>
              <w:instrText xml:space="preserve"> PAGEREF _Toc175576104 \h </w:instrText>
            </w:r>
            <w:r>
              <w:rPr>
                <w:webHidden/>
              </w:rPr>
            </w:r>
            <w:r>
              <w:rPr>
                <w:webHidden/>
              </w:rPr>
              <w:fldChar w:fldCharType="separate"/>
            </w:r>
            <w:r>
              <w:rPr>
                <w:webHidden/>
              </w:rPr>
              <w:t>3</w:t>
            </w:r>
            <w:r>
              <w:rPr>
                <w:webHidden/>
              </w:rPr>
              <w:fldChar w:fldCharType="end"/>
            </w:r>
          </w:hyperlink>
        </w:p>
        <w:p w14:paraId="0FF6F07C" w14:textId="58EC2762"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05" w:history="1">
            <w:r w:rsidRPr="00EB6190">
              <w:rPr>
                <w:rStyle w:val="Hyperlink"/>
              </w:rPr>
              <w:t>When will successful applicants be announced?</w:t>
            </w:r>
            <w:r>
              <w:rPr>
                <w:webHidden/>
              </w:rPr>
              <w:tab/>
            </w:r>
            <w:r>
              <w:rPr>
                <w:webHidden/>
              </w:rPr>
              <w:fldChar w:fldCharType="begin"/>
            </w:r>
            <w:r>
              <w:rPr>
                <w:webHidden/>
              </w:rPr>
              <w:instrText xml:space="preserve"> PAGEREF _Toc175576105 \h </w:instrText>
            </w:r>
            <w:r>
              <w:rPr>
                <w:webHidden/>
              </w:rPr>
            </w:r>
            <w:r>
              <w:rPr>
                <w:webHidden/>
              </w:rPr>
              <w:fldChar w:fldCharType="separate"/>
            </w:r>
            <w:r>
              <w:rPr>
                <w:webHidden/>
              </w:rPr>
              <w:t>4</w:t>
            </w:r>
            <w:r>
              <w:rPr>
                <w:webHidden/>
              </w:rPr>
              <w:fldChar w:fldCharType="end"/>
            </w:r>
          </w:hyperlink>
        </w:p>
        <w:p w14:paraId="0F74712F" w14:textId="5E22E458"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06" w:history="1">
            <w:r w:rsidRPr="00EB6190">
              <w:rPr>
                <w:rStyle w:val="Hyperlink"/>
              </w:rPr>
              <w:t>When should we receive funds and be able to start our activities?</w:t>
            </w:r>
            <w:r>
              <w:rPr>
                <w:webHidden/>
              </w:rPr>
              <w:tab/>
            </w:r>
            <w:r>
              <w:rPr>
                <w:webHidden/>
              </w:rPr>
              <w:fldChar w:fldCharType="begin"/>
            </w:r>
            <w:r>
              <w:rPr>
                <w:webHidden/>
              </w:rPr>
              <w:instrText xml:space="preserve"> PAGEREF _Toc175576106 \h </w:instrText>
            </w:r>
            <w:r>
              <w:rPr>
                <w:webHidden/>
              </w:rPr>
            </w:r>
            <w:r>
              <w:rPr>
                <w:webHidden/>
              </w:rPr>
              <w:fldChar w:fldCharType="separate"/>
            </w:r>
            <w:r>
              <w:rPr>
                <w:webHidden/>
              </w:rPr>
              <w:t>4</w:t>
            </w:r>
            <w:r>
              <w:rPr>
                <w:webHidden/>
              </w:rPr>
              <w:fldChar w:fldCharType="end"/>
            </w:r>
          </w:hyperlink>
        </w:p>
        <w:p w14:paraId="0126CB08" w14:textId="78D6169D"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07" w:history="1">
            <w:r w:rsidRPr="00EB6190">
              <w:rPr>
                <w:rStyle w:val="Hyperlink"/>
              </w:rPr>
              <w:t>When will we need to complete grant activities?</w:t>
            </w:r>
            <w:r>
              <w:rPr>
                <w:webHidden/>
              </w:rPr>
              <w:tab/>
            </w:r>
            <w:r>
              <w:rPr>
                <w:webHidden/>
              </w:rPr>
              <w:fldChar w:fldCharType="begin"/>
            </w:r>
            <w:r>
              <w:rPr>
                <w:webHidden/>
              </w:rPr>
              <w:instrText xml:space="preserve"> PAGEREF _Toc175576107 \h </w:instrText>
            </w:r>
            <w:r>
              <w:rPr>
                <w:webHidden/>
              </w:rPr>
            </w:r>
            <w:r>
              <w:rPr>
                <w:webHidden/>
              </w:rPr>
              <w:fldChar w:fldCharType="separate"/>
            </w:r>
            <w:r>
              <w:rPr>
                <w:webHidden/>
              </w:rPr>
              <w:t>4</w:t>
            </w:r>
            <w:r>
              <w:rPr>
                <w:webHidden/>
              </w:rPr>
              <w:fldChar w:fldCharType="end"/>
            </w:r>
          </w:hyperlink>
        </w:p>
        <w:p w14:paraId="484792CD" w14:textId="049118FD" w:rsidR="006711ED" w:rsidRDefault="006711ED">
          <w:pPr>
            <w:pStyle w:val="TOC1"/>
            <w:rPr>
              <w:rFonts w:asciiTheme="minorHAnsi" w:eastAsiaTheme="minorEastAsia" w:hAnsiTheme="minorHAnsi" w:cstheme="minorBidi"/>
              <w:b w:val="0"/>
              <w:kern w:val="2"/>
              <w:sz w:val="24"/>
              <w:szCs w:val="24"/>
              <w:lang w:eastAsia="en-AU"/>
              <w14:ligatures w14:val="standardContextual"/>
            </w:rPr>
          </w:pPr>
          <w:hyperlink w:anchor="_Toc175576108" w:history="1">
            <w:r w:rsidRPr="00EB6190">
              <w:rPr>
                <w:rStyle w:val="Hyperlink"/>
              </w:rPr>
              <w:t>What support is available to applicants?</w:t>
            </w:r>
            <w:r>
              <w:rPr>
                <w:webHidden/>
              </w:rPr>
              <w:tab/>
            </w:r>
            <w:r>
              <w:rPr>
                <w:webHidden/>
              </w:rPr>
              <w:fldChar w:fldCharType="begin"/>
            </w:r>
            <w:r>
              <w:rPr>
                <w:webHidden/>
              </w:rPr>
              <w:instrText xml:space="preserve"> PAGEREF _Toc175576108 \h </w:instrText>
            </w:r>
            <w:r>
              <w:rPr>
                <w:webHidden/>
              </w:rPr>
            </w:r>
            <w:r>
              <w:rPr>
                <w:webHidden/>
              </w:rPr>
              <w:fldChar w:fldCharType="separate"/>
            </w:r>
            <w:r>
              <w:rPr>
                <w:webHidden/>
              </w:rPr>
              <w:t>4</w:t>
            </w:r>
            <w:r>
              <w:rPr>
                <w:webHidden/>
              </w:rPr>
              <w:fldChar w:fldCharType="end"/>
            </w:r>
          </w:hyperlink>
        </w:p>
        <w:p w14:paraId="7CD79258" w14:textId="755A2A00"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09" w:history="1">
            <w:r w:rsidRPr="00EB6190">
              <w:rPr>
                <w:rStyle w:val="Hyperlink"/>
              </w:rPr>
              <w:t>Guidelines</w:t>
            </w:r>
            <w:r>
              <w:rPr>
                <w:webHidden/>
              </w:rPr>
              <w:tab/>
            </w:r>
            <w:r>
              <w:rPr>
                <w:webHidden/>
              </w:rPr>
              <w:fldChar w:fldCharType="begin"/>
            </w:r>
            <w:r>
              <w:rPr>
                <w:webHidden/>
              </w:rPr>
              <w:instrText xml:space="preserve"> PAGEREF _Toc175576109 \h </w:instrText>
            </w:r>
            <w:r>
              <w:rPr>
                <w:webHidden/>
              </w:rPr>
            </w:r>
            <w:r>
              <w:rPr>
                <w:webHidden/>
              </w:rPr>
              <w:fldChar w:fldCharType="separate"/>
            </w:r>
            <w:r>
              <w:rPr>
                <w:webHidden/>
              </w:rPr>
              <w:t>4</w:t>
            </w:r>
            <w:r>
              <w:rPr>
                <w:webHidden/>
              </w:rPr>
              <w:fldChar w:fldCharType="end"/>
            </w:r>
          </w:hyperlink>
        </w:p>
        <w:p w14:paraId="75163765" w14:textId="1B4B876C"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10" w:history="1">
            <w:r w:rsidRPr="00EB6190">
              <w:rPr>
                <w:rStyle w:val="Hyperlink"/>
              </w:rPr>
              <w:t>Equality website resources</w:t>
            </w:r>
            <w:r>
              <w:rPr>
                <w:webHidden/>
              </w:rPr>
              <w:tab/>
            </w:r>
            <w:r>
              <w:rPr>
                <w:webHidden/>
              </w:rPr>
              <w:fldChar w:fldCharType="begin"/>
            </w:r>
            <w:r>
              <w:rPr>
                <w:webHidden/>
              </w:rPr>
              <w:instrText xml:space="preserve"> PAGEREF _Toc175576110 \h </w:instrText>
            </w:r>
            <w:r>
              <w:rPr>
                <w:webHidden/>
              </w:rPr>
            </w:r>
            <w:r>
              <w:rPr>
                <w:webHidden/>
              </w:rPr>
              <w:fldChar w:fldCharType="separate"/>
            </w:r>
            <w:r>
              <w:rPr>
                <w:webHidden/>
              </w:rPr>
              <w:t>4</w:t>
            </w:r>
            <w:r>
              <w:rPr>
                <w:webHidden/>
              </w:rPr>
              <w:fldChar w:fldCharType="end"/>
            </w:r>
          </w:hyperlink>
        </w:p>
        <w:p w14:paraId="70582097" w14:textId="0AC895B1"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11" w:history="1">
            <w:r w:rsidRPr="00EB6190">
              <w:rPr>
                <w:rStyle w:val="Hyperlink"/>
              </w:rPr>
              <w:t>Webinars</w:t>
            </w:r>
            <w:r>
              <w:rPr>
                <w:webHidden/>
              </w:rPr>
              <w:tab/>
            </w:r>
            <w:r>
              <w:rPr>
                <w:webHidden/>
              </w:rPr>
              <w:fldChar w:fldCharType="begin"/>
            </w:r>
            <w:r>
              <w:rPr>
                <w:webHidden/>
              </w:rPr>
              <w:instrText xml:space="preserve"> PAGEREF _Toc175576111 \h </w:instrText>
            </w:r>
            <w:r>
              <w:rPr>
                <w:webHidden/>
              </w:rPr>
            </w:r>
            <w:r>
              <w:rPr>
                <w:webHidden/>
              </w:rPr>
              <w:fldChar w:fldCharType="separate"/>
            </w:r>
            <w:r>
              <w:rPr>
                <w:webHidden/>
              </w:rPr>
              <w:t>4</w:t>
            </w:r>
            <w:r>
              <w:rPr>
                <w:webHidden/>
              </w:rPr>
              <w:fldChar w:fldCharType="end"/>
            </w:r>
          </w:hyperlink>
        </w:p>
        <w:p w14:paraId="7FE72747" w14:textId="609D339C"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12" w:history="1">
            <w:r w:rsidRPr="00EB6190">
              <w:rPr>
                <w:rStyle w:val="Hyperlink"/>
              </w:rPr>
              <w:t>Support</w:t>
            </w:r>
            <w:r>
              <w:rPr>
                <w:webHidden/>
              </w:rPr>
              <w:tab/>
            </w:r>
            <w:r>
              <w:rPr>
                <w:webHidden/>
              </w:rPr>
              <w:fldChar w:fldCharType="begin"/>
            </w:r>
            <w:r>
              <w:rPr>
                <w:webHidden/>
              </w:rPr>
              <w:instrText xml:space="preserve"> PAGEREF _Toc175576112 \h </w:instrText>
            </w:r>
            <w:r>
              <w:rPr>
                <w:webHidden/>
              </w:rPr>
            </w:r>
            <w:r>
              <w:rPr>
                <w:webHidden/>
              </w:rPr>
              <w:fldChar w:fldCharType="separate"/>
            </w:r>
            <w:r>
              <w:rPr>
                <w:webHidden/>
              </w:rPr>
              <w:t>4</w:t>
            </w:r>
            <w:r>
              <w:rPr>
                <w:webHidden/>
              </w:rPr>
              <w:fldChar w:fldCharType="end"/>
            </w:r>
          </w:hyperlink>
        </w:p>
        <w:p w14:paraId="61DADAAF" w14:textId="3F549A1C" w:rsidR="006711ED" w:rsidRDefault="006711ED">
          <w:pPr>
            <w:pStyle w:val="TOC1"/>
            <w:rPr>
              <w:rFonts w:asciiTheme="minorHAnsi" w:eastAsiaTheme="minorEastAsia" w:hAnsiTheme="minorHAnsi" w:cstheme="minorBidi"/>
              <w:b w:val="0"/>
              <w:kern w:val="2"/>
              <w:sz w:val="24"/>
              <w:szCs w:val="24"/>
              <w:lang w:eastAsia="en-AU"/>
              <w14:ligatures w14:val="standardContextual"/>
            </w:rPr>
          </w:pPr>
          <w:hyperlink w:anchor="_Toc175576113" w:history="1">
            <w:r w:rsidRPr="00EB6190">
              <w:rPr>
                <w:rStyle w:val="Hyperlink"/>
              </w:rPr>
              <w:t>Funding</w:t>
            </w:r>
            <w:r>
              <w:rPr>
                <w:webHidden/>
              </w:rPr>
              <w:tab/>
            </w:r>
            <w:r>
              <w:rPr>
                <w:webHidden/>
              </w:rPr>
              <w:fldChar w:fldCharType="begin"/>
            </w:r>
            <w:r>
              <w:rPr>
                <w:webHidden/>
              </w:rPr>
              <w:instrText xml:space="preserve"> PAGEREF _Toc175576113 \h </w:instrText>
            </w:r>
            <w:r>
              <w:rPr>
                <w:webHidden/>
              </w:rPr>
            </w:r>
            <w:r>
              <w:rPr>
                <w:webHidden/>
              </w:rPr>
              <w:fldChar w:fldCharType="separate"/>
            </w:r>
            <w:r>
              <w:rPr>
                <w:webHidden/>
              </w:rPr>
              <w:t>5</w:t>
            </w:r>
            <w:r>
              <w:rPr>
                <w:webHidden/>
              </w:rPr>
              <w:fldChar w:fldCharType="end"/>
            </w:r>
          </w:hyperlink>
        </w:p>
        <w:p w14:paraId="24044A36" w14:textId="2BD94F0D"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14" w:history="1">
            <w:r w:rsidRPr="00EB6190">
              <w:rPr>
                <w:rStyle w:val="Hyperlink"/>
              </w:rPr>
              <w:t>What amount of funding is available?</w:t>
            </w:r>
            <w:r>
              <w:rPr>
                <w:webHidden/>
              </w:rPr>
              <w:tab/>
            </w:r>
            <w:r>
              <w:rPr>
                <w:webHidden/>
              </w:rPr>
              <w:fldChar w:fldCharType="begin"/>
            </w:r>
            <w:r>
              <w:rPr>
                <w:webHidden/>
              </w:rPr>
              <w:instrText xml:space="preserve"> PAGEREF _Toc175576114 \h </w:instrText>
            </w:r>
            <w:r>
              <w:rPr>
                <w:webHidden/>
              </w:rPr>
            </w:r>
            <w:r>
              <w:rPr>
                <w:webHidden/>
              </w:rPr>
              <w:fldChar w:fldCharType="separate"/>
            </w:r>
            <w:r>
              <w:rPr>
                <w:webHidden/>
              </w:rPr>
              <w:t>5</w:t>
            </w:r>
            <w:r>
              <w:rPr>
                <w:webHidden/>
              </w:rPr>
              <w:fldChar w:fldCharType="end"/>
            </w:r>
          </w:hyperlink>
        </w:p>
        <w:p w14:paraId="539FBCE7" w14:textId="19B5FE06"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15" w:history="1">
            <w:r w:rsidRPr="00EB6190">
              <w:rPr>
                <w:rStyle w:val="Hyperlink"/>
              </w:rPr>
              <w:t>What activities will not be funded?</w:t>
            </w:r>
            <w:r>
              <w:rPr>
                <w:webHidden/>
              </w:rPr>
              <w:tab/>
            </w:r>
            <w:r>
              <w:rPr>
                <w:webHidden/>
              </w:rPr>
              <w:fldChar w:fldCharType="begin"/>
            </w:r>
            <w:r>
              <w:rPr>
                <w:webHidden/>
              </w:rPr>
              <w:instrText xml:space="preserve"> PAGEREF _Toc175576115 \h </w:instrText>
            </w:r>
            <w:r>
              <w:rPr>
                <w:webHidden/>
              </w:rPr>
            </w:r>
            <w:r>
              <w:rPr>
                <w:webHidden/>
              </w:rPr>
              <w:fldChar w:fldCharType="separate"/>
            </w:r>
            <w:r>
              <w:rPr>
                <w:webHidden/>
              </w:rPr>
              <w:t>5</w:t>
            </w:r>
            <w:r>
              <w:rPr>
                <w:webHidden/>
              </w:rPr>
              <w:fldChar w:fldCharType="end"/>
            </w:r>
          </w:hyperlink>
        </w:p>
        <w:p w14:paraId="321EC81B" w14:textId="7996B23E" w:rsidR="006711ED" w:rsidRDefault="006711ED">
          <w:pPr>
            <w:pStyle w:val="TOC1"/>
            <w:rPr>
              <w:rFonts w:asciiTheme="minorHAnsi" w:eastAsiaTheme="minorEastAsia" w:hAnsiTheme="minorHAnsi" w:cstheme="minorBidi"/>
              <w:b w:val="0"/>
              <w:kern w:val="2"/>
              <w:sz w:val="24"/>
              <w:szCs w:val="24"/>
              <w:lang w:eastAsia="en-AU"/>
              <w14:ligatures w14:val="standardContextual"/>
            </w:rPr>
          </w:pPr>
          <w:hyperlink w:anchor="_Toc175576116" w:history="1">
            <w:r w:rsidRPr="00EB6190">
              <w:rPr>
                <w:rStyle w:val="Hyperlink"/>
              </w:rPr>
              <w:t>Organisational eligibility</w:t>
            </w:r>
            <w:r>
              <w:rPr>
                <w:webHidden/>
              </w:rPr>
              <w:tab/>
            </w:r>
            <w:r>
              <w:rPr>
                <w:webHidden/>
              </w:rPr>
              <w:fldChar w:fldCharType="begin"/>
            </w:r>
            <w:r>
              <w:rPr>
                <w:webHidden/>
              </w:rPr>
              <w:instrText xml:space="preserve"> PAGEREF _Toc175576116 \h </w:instrText>
            </w:r>
            <w:r>
              <w:rPr>
                <w:webHidden/>
              </w:rPr>
            </w:r>
            <w:r>
              <w:rPr>
                <w:webHidden/>
              </w:rPr>
              <w:fldChar w:fldCharType="separate"/>
            </w:r>
            <w:r>
              <w:rPr>
                <w:webHidden/>
              </w:rPr>
              <w:t>6</w:t>
            </w:r>
            <w:r>
              <w:rPr>
                <w:webHidden/>
              </w:rPr>
              <w:fldChar w:fldCharType="end"/>
            </w:r>
          </w:hyperlink>
        </w:p>
        <w:p w14:paraId="61EF73A5" w14:textId="13F3F33F"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17" w:history="1">
            <w:r w:rsidRPr="00EB6190">
              <w:rPr>
                <w:rStyle w:val="Hyperlink"/>
              </w:rPr>
              <w:t>My group/organisation is based in another state, are we eligible to apply?</w:t>
            </w:r>
            <w:r>
              <w:rPr>
                <w:webHidden/>
              </w:rPr>
              <w:tab/>
            </w:r>
            <w:r>
              <w:rPr>
                <w:webHidden/>
              </w:rPr>
              <w:fldChar w:fldCharType="begin"/>
            </w:r>
            <w:r>
              <w:rPr>
                <w:webHidden/>
              </w:rPr>
              <w:instrText xml:space="preserve"> PAGEREF _Toc175576117 \h </w:instrText>
            </w:r>
            <w:r>
              <w:rPr>
                <w:webHidden/>
              </w:rPr>
            </w:r>
            <w:r>
              <w:rPr>
                <w:webHidden/>
              </w:rPr>
              <w:fldChar w:fldCharType="separate"/>
            </w:r>
            <w:r>
              <w:rPr>
                <w:webHidden/>
              </w:rPr>
              <w:t>6</w:t>
            </w:r>
            <w:r>
              <w:rPr>
                <w:webHidden/>
              </w:rPr>
              <w:fldChar w:fldCharType="end"/>
            </w:r>
          </w:hyperlink>
        </w:p>
        <w:p w14:paraId="3A3477DA" w14:textId="17DE7888"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18" w:history="1">
            <w:r w:rsidRPr="00EB6190">
              <w:rPr>
                <w:rStyle w:val="Hyperlink"/>
              </w:rPr>
              <w:t>Can councils apply?</w:t>
            </w:r>
            <w:r>
              <w:rPr>
                <w:webHidden/>
              </w:rPr>
              <w:tab/>
            </w:r>
            <w:r>
              <w:rPr>
                <w:webHidden/>
              </w:rPr>
              <w:fldChar w:fldCharType="begin"/>
            </w:r>
            <w:r>
              <w:rPr>
                <w:webHidden/>
              </w:rPr>
              <w:instrText xml:space="preserve"> PAGEREF _Toc175576118 \h </w:instrText>
            </w:r>
            <w:r>
              <w:rPr>
                <w:webHidden/>
              </w:rPr>
            </w:r>
            <w:r>
              <w:rPr>
                <w:webHidden/>
              </w:rPr>
              <w:fldChar w:fldCharType="separate"/>
            </w:r>
            <w:r>
              <w:rPr>
                <w:webHidden/>
              </w:rPr>
              <w:t>6</w:t>
            </w:r>
            <w:r>
              <w:rPr>
                <w:webHidden/>
              </w:rPr>
              <w:fldChar w:fldCharType="end"/>
            </w:r>
          </w:hyperlink>
        </w:p>
        <w:p w14:paraId="09E6CA27" w14:textId="0BB54866"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19" w:history="1">
            <w:r w:rsidRPr="00EB6190">
              <w:rPr>
                <w:rStyle w:val="Hyperlink"/>
                <w:rFonts w:eastAsia="MS Gothic"/>
              </w:rPr>
              <w:t>How do I know if my organisation or group is a ‘legal entity’?</w:t>
            </w:r>
            <w:r>
              <w:rPr>
                <w:webHidden/>
              </w:rPr>
              <w:tab/>
            </w:r>
            <w:r>
              <w:rPr>
                <w:webHidden/>
              </w:rPr>
              <w:fldChar w:fldCharType="begin"/>
            </w:r>
            <w:r>
              <w:rPr>
                <w:webHidden/>
              </w:rPr>
              <w:instrText xml:space="preserve"> PAGEREF _Toc175576119 \h </w:instrText>
            </w:r>
            <w:r>
              <w:rPr>
                <w:webHidden/>
              </w:rPr>
            </w:r>
            <w:r>
              <w:rPr>
                <w:webHidden/>
              </w:rPr>
              <w:fldChar w:fldCharType="separate"/>
            </w:r>
            <w:r>
              <w:rPr>
                <w:webHidden/>
              </w:rPr>
              <w:t>6</w:t>
            </w:r>
            <w:r>
              <w:rPr>
                <w:webHidden/>
              </w:rPr>
              <w:fldChar w:fldCharType="end"/>
            </w:r>
          </w:hyperlink>
        </w:p>
        <w:p w14:paraId="75E5F97B" w14:textId="68910302"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20" w:history="1">
            <w:r w:rsidRPr="00EB6190">
              <w:rPr>
                <w:rStyle w:val="Hyperlink"/>
              </w:rPr>
              <w:t>Can I have an auspice arrangement?</w:t>
            </w:r>
            <w:r>
              <w:rPr>
                <w:webHidden/>
              </w:rPr>
              <w:tab/>
            </w:r>
            <w:r>
              <w:rPr>
                <w:webHidden/>
              </w:rPr>
              <w:fldChar w:fldCharType="begin"/>
            </w:r>
            <w:r>
              <w:rPr>
                <w:webHidden/>
              </w:rPr>
              <w:instrText xml:space="preserve"> PAGEREF _Toc175576120 \h </w:instrText>
            </w:r>
            <w:r>
              <w:rPr>
                <w:webHidden/>
              </w:rPr>
            </w:r>
            <w:r>
              <w:rPr>
                <w:webHidden/>
              </w:rPr>
              <w:fldChar w:fldCharType="separate"/>
            </w:r>
            <w:r>
              <w:rPr>
                <w:webHidden/>
              </w:rPr>
              <w:t>7</w:t>
            </w:r>
            <w:r>
              <w:rPr>
                <w:webHidden/>
              </w:rPr>
              <w:fldChar w:fldCharType="end"/>
            </w:r>
          </w:hyperlink>
        </w:p>
        <w:p w14:paraId="12A0D02F" w14:textId="20052067" w:rsidR="006711ED" w:rsidRDefault="006711ED">
          <w:pPr>
            <w:pStyle w:val="TOC1"/>
            <w:rPr>
              <w:rFonts w:asciiTheme="minorHAnsi" w:eastAsiaTheme="minorEastAsia" w:hAnsiTheme="minorHAnsi" w:cstheme="minorBidi"/>
              <w:b w:val="0"/>
              <w:kern w:val="2"/>
              <w:sz w:val="24"/>
              <w:szCs w:val="24"/>
              <w:lang w:eastAsia="en-AU"/>
              <w14:ligatures w14:val="standardContextual"/>
            </w:rPr>
          </w:pPr>
          <w:hyperlink w:anchor="_Toc175576121" w:history="1">
            <w:r w:rsidRPr="00EB6190">
              <w:rPr>
                <w:rStyle w:val="Hyperlink"/>
                <w:lang w:val="en-GB"/>
              </w:rPr>
              <w:t>Event eligibility</w:t>
            </w:r>
            <w:r>
              <w:rPr>
                <w:webHidden/>
              </w:rPr>
              <w:tab/>
            </w:r>
            <w:r>
              <w:rPr>
                <w:webHidden/>
              </w:rPr>
              <w:fldChar w:fldCharType="begin"/>
            </w:r>
            <w:r>
              <w:rPr>
                <w:webHidden/>
              </w:rPr>
              <w:instrText xml:space="preserve"> PAGEREF _Toc175576121 \h </w:instrText>
            </w:r>
            <w:r>
              <w:rPr>
                <w:webHidden/>
              </w:rPr>
            </w:r>
            <w:r>
              <w:rPr>
                <w:webHidden/>
              </w:rPr>
              <w:fldChar w:fldCharType="separate"/>
            </w:r>
            <w:r>
              <w:rPr>
                <w:webHidden/>
              </w:rPr>
              <w:t>7</w:t>
            </w:r>
            <w:r>
              <w:rPr>
                <w:webHidden/>
              </w:rPr>
              <w:fldChar w:fldCharType="end"/>
            </w:r>
          </w:hyperlink>
        </w:p>
        <w:p w14:paraId="3E5F4F26" w14:textId="3C56AD23"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22" w:history="1">
            <w:r w:rsidRPr="00EB6190">
              <w:rPr>
                <w:rStyle w:val="Hyperlink"/>
                <w:lang w:val="en-GB"/>
              </w:rPr>
              <w:t>We would like to host an event for a specific group of our community that would be safer for participants if it were exclusively for this group (e.g. a Rainbow Mob or transgender exclusive event). Is this type of event eligible?</w:t>
            </w:r>
            <w:r>
              <w:rPr>
                <w:webHidden/>
              </w:rPr>
              <w:tab/>
            </w:r>
            <w:r>
              <w:rPr>
                <w:webHidden/>
              </w:rPr>
              <w:fldChar w:fldCharType="begin"/>
            </w:r>
            <w:r>
              <w:rPr>
                <w:webHidden/>
              </w:rPr>
              <w:instrText xml:space="preserve"> PAGEREF _Toc175576122 \h </w:instrText>
            </w:r>
            <w:r>
              <w:rPr>
                <w:webHidden/>
              </w:rPr>
            </w:r>
            <w:r>
              <w:rPr>
                <w:webHidden/>
              </w:rPr>
              <w:fldChar w:fldCharType="separate"/>
            </w:r>
            <w:r>
              <w:rPr>
                <w:webHidden/>
              </w:rPr>
              <w:t>7</w:t>
            </w:r>
            <w:r>
              <w:rPr>
                <w:webHidden/>
              </w:rPr>
              <w:fldChar w:fldCharType="end"/>
            </w:r>
          </w:hyperlink>
        </w:p>
        <w:p w14:paraId="696C47DC" w14:textId="7742766D"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23" w:history="1">
            <w:r w:rsidRPr="00EB6190">
              <w:rPr>
                <w:rStyle w:val="Hyperlink"/>
                <w:lang w:val="en-GB"/>
              </w:rPr>
              <w:t>For ticketed events, is there a maximum ticket price for eligible events?</w:t>
            </w:r>
            <w:r>
              <w:rPr>
                <w:webHidden/>
              </w:rPr>
              <w:tab/>
            </w:r>
            <w:r>
              <w:rPr>
                <w:webHidden/>
              </w:rPr>
              <w:fldChar w:fldCharType="begin"/>
            </w:r>
            <w:r>
              <w:rPr>
                <w:webHidden/>
              </w:rPr>
              <w:instrText xml:space="preserve"> PAGEREF _Toc175576123 \h </w:instrText>
            </w:r>
            <w:r>
              <w:rPr>
                <w:webHidden/>
              </w:rPr>
            </w:r>
            <w:r>
              <w:rPr>
                <w:webHidden/>
              </w:rPr>
              <w:fldChar w:fldCharType="separate"/>
            </w:r>
            <w:r>
              <w:rPr>
                <w:webHidden/>
              </w:rPr>
              <w:t>7</w:t>
            </w:r>
            <w:r>
              <w:rPr>
                <w:webHidden/>
              </w:rPr>
              <w:fldChar w:fldCharType="end"/>
            </w:r>
          </w:hyperlink>
        </w:p>
        <w:p w14:paraId="7A0DA1B4" w14:textId="3C808C16"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24" w:history="1">
            <w:r w:rsidRPr="00EB6190">
              <w:rPr>
                <w:rStyle w:val="Hyperlink"/>
                <w:rFonts w:eastAsia="Arial"/>
                <w:lang w:val="en-GB"/>
              </w:rPr>
              <w:t>Can our event/s run over several months?</w:t>
            </w:r>
            <w:r>
              <w:rPr>
                <w:webHidden/>
              </w:rPr>
              <w:tab/>
            </w:r>
            <w:r>
              <w:rPr>
                <w:webHidden/>
              </w:rPr>
              <w:fldChar w:fldCharType="begin"/>
            </w:r>
            <w:r>
              <w:rPr>
                <w:webHidden/>
              </w:rPr>
              <w:instrText xml:space="preserve"> PAGEREF _Toc175576124 \h </w:instrText>
            </w:r>
            <w:r>
              <w:rPr>
                <w:webHidden/>
              </w:rPr>
            </w:r>
            <w:r>
              <w:rPr>
                <w:webHidden/>
              </w:rPr>
              <w:fldChar w:fldCharType="separate"/>
            </w:r>
            <w:r>
              <w:rPr>
                <w:webHidden/>
              </w:rPr>
              <w:t>7</w:t>
            </w:r>
            <w:r>
              <w:rPr>
                <w:webHidden/>
              </w:rPr>
              <w:fldChar w:fldCharType="end"/>
            </w:r>
          </w:hyperlink>
        </w:p>
        <w:p w14:paraId="78016DF9" w14:textId="66635C63" w:rsidR="006711ED" w:rsidRDefault="006711ED">
          <w:pPr>
            <w:pStyle w:val="TOC1"/>
            <w:rPr>
              <w:rFonts w:asciiTheme="minorHAnsi" w:eastAsiaTheme="minorEastAsia" w:hAnsiTheme="minorHAnsi" w:cstheme="minorBidi"/>
              <w:b w:val="0"/>
              <w:kern w:val="2"/>
              <w:sz w:val="24"/>
              <w:szCs w:val="24"/>
              <w:lang w:eastAsia="en-AU"/>
              <w14:ligatures w14:val="standardContextual"/>
            </w:rPr>
          </w:pPr>
          <w:hyperlink w:anchor="_Toc175576125" w:history="1">
            <w:r w:rsidRPr="00EB6190">
              <w:rPr>
                <w:rStyle w:val="Hyperlink"/>
              </w:rPr>
              <w:t>Completing your application</w:t>
            </w:r>
            <w:r>
              <w:rPr>
                <w:webHidden/>
              </w:rPr>
              <w:tab/>
            </w:r>
            <w:r>
              <w:rPr>
                <w:webHidden/>
              </w:rPr>
              <w:fldChar w:fldCharType="begin"/>
            </w:r>
            <w:r>
              <w:rPr>
                <w:webHidden/>
              </w:rPr>
              <w:instrText xml:space="preserve"> PAGEREF _Toc175576125 \h </w:instrText>
            </w:r>
            <w:r>
              <w:rPr>
                <w:webHidden/>
              </w:rPr>
            </w:r>
            <w:r>
              <w:rPr>
                <w:webHidden/>
              </w:rPr>
              <w:fldChar w:fldCharType="separate"/>
            </w:r>
            <w:r>
              <w:rPr>
                <w:webHidden/>
              </w:rPr>
              <w:t>7</w:t>
            </w:r>
            <w:r>
              <w:rPr>
                <w:webHidden/>
              </w:rPr>
              <w:fldChar w:fldCharType="end"/>
            </w:r>
          </w:hyperlink>
        </w:p>
        <w:p w14:paraId="69E4E5C3" w14:textId="139E81FE"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26" w:history="1">
            <w:r w:rsidRPr="00EB6190">
              <w:rPr>
                <w:rStyle w:val="Hyperlink"/>
              </w:rPr>
              <w:t>What should we think about when creating a budget?</w:t>
            </w:r>
            <w:r>
              <w:rPr>
                <w:webHidden/>
              </w:rPr>
              <w:tab/>
            </w:r>
            <w:r>
              <w:rPr>
                <w:webHidden/>
              </w:rPr>
              <w:fldChar w:fldCharType="begin"/>
            </w:r>
            <w:r>
              <w:rPr>
                <w:webHidden/>
              </w:rPr>
              <w:instrText xml:space="preserve"> PAGEREF _Toc175576126 \h </w:instrText>
            </w:r>
            <w:r>
              <w:rPr>
                <w:webHidden/>
              </w:rPr>
            </w:r>
            <w:r>
              <w:rPr>
                <w:webHidden/>
              </w:rPr>
              <w:fldChar w:fldCharType="separate"/>
            </w:r>
            <w:r>
              <w:rPr>
                <w:webHidden/>
              </w:rPr>
              <w:t>7</w:t>
            </w:r>
            <w:r>
              <w:rPr>
                <w:webHidden/>
              </w:rPr>
              <w:fldChar w:fldCharType="end"/>
            </w:r>
          </w:hyperlink>
        </w:p>
        <w:p w14:paraId="0D4F50DF" w14:textId="74F34262"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27" w:history="1">
            <w:r w:rsidRPr="00EB6190">
              <w:rPr>
                <w:rStyle w:val="Hyperlink"/>
              </w:rPr>
              <w:t>Will my grant application be fully funded?</w:t>
            </w:r>
            <w:r>
              <w:rPr>
                <w:webHidden/>
              </w:rPr>
              <w:tab/>
            </w:r>
            <w:r>
              <w:rPr>
                <w:webHidden/>
              </w:rPr>
              <w:fldChar w:fldCharType="begin"/>
            </w:r>
            <w:r>
              <w:rPr>
                <w:webHidden/>
              </w:rPr>
              <w:instrText xml:space="preserve"> PAGEREF _Toc175576127 \h </w:instrText>
            </w:r>
            <w:r>
              <w:rPr>
                <w:webHidden/>
              </w:rPr>
            </w:r>
            <w:r>
              <w:rPr>
                <w:webHidden/>
              </w:rPr>
              <w:fldChar w:fldCharType="separate"/>
            </w:r>
            <w:r>
              <w:rPr>
                <w:webHidden/>
              </w:rPr>
              <w:t>8</w:t>
            </w:r>
            <w:r>
              <w:rPr>
                <w:webHidden/>
              </w:rPr>
              <w:fldChar w:fldCharType="end"/>
            </w:r>
          </w:hyperlink>
        </w:p>
        <w:p w14:paraId="36DE251F" w14:textId="51563A50" w:rsidR="006711ED" w:rsidRDefault="006711ED">
          <w:pPr>
            <w:pStyle w:val="TOC1"/>
            <w:rPr>
              <w:rFonts w:asciiTheme="minorHAnsi" w:eastAsiaTheme="minorEastAsia" w:hAnsiTheme="minorHAnsi" w:cstheme="minorBidi"/>
              <w:b w:val="0"/>
              <w:kern w:val="2"/>
              <w:sz w:val="24"/>
              <w:szCs w:val="24"/>
              <w:lang w:eastAsia="en-AU"/>
              <w14:ligatures w14:val="standardContextual"/>
            </w:rPr>
          </w:pPr>
          <w:hyperlink w:anchor="_Toc175576128" w:history="1">
            <w:r w:rsidRPr="00EB6190">
              <w:rPr>
                <w:rStyle w:val="Hyperlink"/>
              </w:rPr>
              <w:t>Application process</w:t>
            </w:r>
            <w:r>
              <w:rPr>
                <w:webHidden/>
              </w:rPr>
              <w:tab/>
            </w:r>
            <w:r>
              <w:rPr>
                <w:webHidden/>
              </w:rPr>
              <w:fldChar w:fldCharType="begin"/>
            </w:r>
            <w:r>
              <w:rPr>
                <w:webHidden/>
              </w:rPr>
              <w:instrText xml:space="preserve"> PAGEREF _Toc175576128 \h </w:instrText>
            </w:r>
            <w:r>
              <w:rPr>
                <w:webHidden/>
              </w:rPr>
            </w:r>
            <w:r>
              <w:rPr>
                <w:webHidden/>
              </w:rPr>
              <w:fldChar w:fldCharType="separate"/>
            </w:r>
            <w:r>
              <w:rPr>
                <w:webHidden/>
              </w:rPr>
              <w:t>8</w:t>
            </w:r>
            <w:r>
              <w:rPr>
                <w:webHidden/>
              </w:rPr>
              <w:fldChar w:fldCharType="end"/>
            </w:r>
          </w:hyperlink>
        </w:p>
        <w:p w14:paraId="0342F340" w14:textId="162FBFB8"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29" w:history="1">
            <w:r w:rsidRPr="00EB6190">
              <w:rPr>
                <w:rStyle w:val="Hyperlink"/>
              </w:rPr>
              <w:t>How do we apply?</w:t>
            </w:r>
            <w:r>
              <w:rPr>
                <w:webHidden/>
              </w:rPr>
              <w:tab/>
            </w:r>
            <w:r>
              <w:rPr>
                <w:webHidden/>
              </w:rPr>
              <w:fldChar w:fldCharType="begin"/>
            </w:r>
            <w:r>
              <w:rPr>
                <w:webHidden/>
              </w:rPr>
              <w:instrText xml:space="preserve"> PAGEREF _Toc175576129 \h </w:instrText>
            </w:r>
            <w:r>
              <w:rPr>
                <w:webHidden/>
              </w:rPr>
            </w:r>
            <w:r>
              <w:rPr>
                <w:webHidden/>
              </w:rPr>
              <w:fldChar w:fldCharType="separate"/>
            </w:r>
            <w:r>
              <w:rPr>
                <w:webHidden/>
              </w:rPr>
              <w:t>8</w:t>
            </w:r>
            <w:r>
              <w:rPr>
                <w:webHidden/>
              </w:rPr>
              <w:fldChar w:fldCharType="end"/>
            </w:r>
          </w:hyperlink>
        </w:p>
        <w:p w14:paraId="3A7AA1B0" w14:textId="6F984970"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30" w:history="1">
            <w:r w:rsidRPr="00EB6190">
              <w:rPr>
                <w:rStyle w:val="Hyperlink"/>
              </w:rPr>
              <w:t>What do we do if we have technical problems when trying to submit the online form?</w:t>
            </w:r>
            <w:r>
              <w:rPr>
                <w:webHidden/>
              </w:rPr>
              <w:tab/>
            </w:r>
            <w:r>
              <w:rPr>
                <w:webHidden/>
              </w:rPr>
              <w:fldChar w:fldCharType="begin"/>
            </w:r>
            <w:r>
              <w:rPr>
                <w:webHidden/>
              </w:rPr>
              <w:instrText xml:space="preserve"> PAGEREF _Toc175576130 \h </w:instrText>
            </w:r>
            <w:r>
              <w:rPr>
                <w:webHidden/>
              </w:rPr>
            </w:r>
            <w:r>
              <w:rPr>
                <w:webHidden/>
              </w:rPr>
              <w:fldChar w:fldCharType="separate"/>
            </w:r>
            <w:r>
              <w:rPr>
                <w:webHidden/>
              </w:rPr>
              <w:t>8</w:t>
            </w:r>
            <w:r>
              <w:rPr>
                <w:webHidden/>
              </w:rPr>
              <w:fldChar w:fldCharType="end"/>
            </w:r>
          </w:hyperlink>
        </w:p>
        <w:p w14:paraId="0D99A2B4" w14:textId="2250F9C8" w:rsidR="006711ED" w:rsidRDefault="006711ED">
          <w:pPr>
            <w:pStyle w:val="TOC2"/>
            <w:rPr>
              <w:rFonts w:asciiTheme="minorHAnsi" w:eastAsiaTheme="minorEastAsia" w:hAnsiTheme="minorHAnsi" w:cstheme="minorBidi"/>
              <w:kern w:val="2"/>
              <w:sz w:val="24"/>
              <w:szCs w:val="24"/>
              <w:lang w:eastAsia="en-AU"/>
              <w14:ligatures w14:val="standardContextual"/>
            </w:rPr>
          </w:pPr>
          <w:hyperlink w:anchor="_Toc175576131" w:history="1">
            <w:r w:rsidRPr="00EB6190">
              <w:rPr>
                <w:rStyle w:val="Hyperlink"/>
              </w:rPr>
              <w:t>Will we get feedback on our applications?</w:t>
            </w:r>
            <w:r>
              <w:rPr>
                <w:webHidden/>
              </w:rPr>
              <w:tab/>
            </w:r>
            <w:r>
              <w:rPr>
                <w:webHidden/>
              </w:rPr>
              <w:fldChar w:fldCharType="begin"/>
            </w:r>
            <w:r>
              <w:rPr>
                <w:webHidden/>
              </w:rPr>
              <w:instrText xml:space="preserve"> PAGEREF _Toc175576131 \h </w:instrText>
            </w:r>
            <w:r>
              <w:rPr>
                <w:webHidden/>
              </w:rPr>
            </w:r>
            <w:r>
              <w:rPr>
                <w:webHidden/>
              </w:rPr>
              <w:fldChar w:fldCharType="separate"/>
            </w:r>
            <w:r>
              <w:rPr>
                <w:webHidden/>
              </w:rPr>
              <w:t>9</w:t>
            </w:r>
            <w:r>
              <w:rPr>
                <w:webHidden/>
              </w:rPr>
              <w:fldChar w:fldCharType="end"/>
            </w:r>
          </w:hyperlink>
        </w:p>
        <w:p w14:paraId="5A037BA0" w14:textId="037309FB" w:rsidR="006711ED" w:rsidRDefault="006711ED">
          <w:pPr>
            <w:pStyle w:val="TOC1"/>
            <w:rPr>
              <w:rFonts w:asciiTheme="minorHAnsi" w:eastAsiaTheme="minorEastAsia" w:hAnsiTheme="minorHAnsi" w:cstheme="minorBidi"/>
              <w:b w:val="0"/>
              <w:kern w:val="2"/>
              <w:sz w:val="24"/>
              <w:szCs w:val="24"/>
              <w:lang w:eastAsia="en-AU"/>
              <w14:ligatures w14:val="standardContextual"/>
            </w:rPr>
          </w:pPr>
          <w:hyperlink w:anchor="_Toc175576132" w:history="1">
            <w:r w:rsidRPr="00EB6190">
              <w:rPr>
                <w:rStyle w:val="Hyperlink"/>
              </w:rPr>
              <w:t>How do we contact the Department?</w:t>
            </w:r>
            <w:r>
              <w:rPr>
                <w:webHidden/>
              </w:rPr>
              <w:tab/>
            </w:r>
            <w:r>
              <w:rPr>
                <w:webHidden/>
              </w:rPr>
              <w:fldChar w:fldCharType="begin"/>
            </w:r>
            <w:r>
              <w:rPr>
                <w:webHidden/>
              </w:rPr>
              <w:instrText xml:space="preserve"> PAGEREF _Toc175576132 \h </w:instrText>
            </w:r>
            <w:r>
              <w:rPr>
                <w:webHidden/>
              </w:rPr>
            </w:r>
            <w:r>
              <w:rPr>
                <w:webHidden/>
              </w:rPr>
              <w:fldChar w:fldCharType="separate"/>
            </w:r>
            <w:r>
              <w:rPr>
                <w:webHidden/>
              </w:rPr>
              <w:t>9</w:t>
            </w:r>
            <w:r>
              <w:rPr>
                <w:webHidden/>
              </w:rPr>
              <w:fldChar w:fldCharType="end"/>
            </w:r>
          </w:hyperlink>
        </w:p>
        <w:p w14:paraId="2213305C" w14:textId="52AA97B8" w:rsidR="00580394" w:rsidRPr="00B519CD" w:rsidRDefault="002600C0" w:rsidP="00103630">
          <w:pPr>
            <w:sectPr w:rsidR="00580394" w:rsidRPr="00B519CD" w:rsidSect="00B04489">
              <w:headerReference w:type="default" r:id="rId16"/>
              <w:type w:val="continuous"/>
              <w:pgSz w:w="11906" w:h="16838" w:code="9"/>
              <w:pgMar w:top="1418" w:right="851" w:bottom="1418" w:left="851" w:header="851" w:footer="851" w:gutter="0"/>
              <w:cols w:space="340"/>
              <w:titlePg/>
              <w:docGrid w:linePitch="360"/>
            </w:sectPr>
          </w:pPr>
          <w:r>
            <w:rPr>
              <w:b/>
              <w:bCs/>
              <w:noProof/>
            </w:rPr>
            <w:fldChar w:fldCharType="end"/>
          </w:r>
        </w:p>
      </w:sdtContent>
    </w:sdt>
    <w:p w14:paraId="6ACB686A" w14:textId="2583731C" w:rsidR="002600C0" w:rsidRPr="00C46434" w:rsidRDefault="002600C0" w:rsidP="00C46434">
      <w:pPr>
        <w:spacing w:after="0" w:line="240" w:lineRule="auto"/>
        <w:rPr>
          <w:rFonts w:eastAsia="Times"/>
        </w:rPr>
      </w:pPr>
    </w:p>
    <w:p w14:paraId="2FD153F8" w14:textId="77777777" w:rsidR="001A707E" w:rsidRPr="00B179DE" w:rsidRDefault="001A707E" w:rsidP="001A707E">
      <w:pPr>
        <w:pStyle w:val="Body"/>
        <w:spacing w:before="1200"/>
      </w:pPr>
      <w:r w:rsidRPr="00B179DE">
        <w:t>To receive this document in another format, email the Equality Unit </w:t>
      </w:r>
      <w:r w:rsidRPr="00B179DE">
        <w:br/>
      </w:r>
      <w:hyperlink r:id="rId17" w:tgtFrame="_blank" w:history="1">
        <w:r w:rsidRPr="00B179DE">
          <w:rPr>
            <w:rStyle w:val="Hyperlink"/>
          </w:rPr>
          <w:t>equality-grants@dffh.vic.gov.au</w:t>
        </w:r>
      </w:hyperlink>
      <w:r w:rsidRPr="00B179DE">
        <w:t> </w:t>
      </w:r>
    </w:p>
    <w:p w14:paraId="0C8F2B89" w14:textId="77777777" w:rsidR="001A707E" w:rsidRPr="00B179DE" w:rsidRDefault="001A707E" w:rsidP="001A707E">
      <w:pPr>
        <w:pStyle w:val="Body"/>
      </w:pPr>
      <w:r w:rsidRPr="00B179DE">
        <w:t>Authorised and published by the Victorian Government, 1 Treasury Place, Melbourne. </w:t>
      </w:r>
    </w:p>
    <w:p w14:paraId="6B85E376" w14:textId="77777777" w:rsidR="001A707E" w:rsidRPr="00B179DE" w:rsidRDefault="001A707E" w:rsidP="001A707E">
      <w:pPr>
        <w:pStyle w:val="Body"/>
      </w:pPr>
      <w:r w:rsidRPr="00B179DE">
        <w:t>© State of Victoria, Australia, Department of Families, Fairness and Housing, August 2024. </w:t>
      </w:r>
    </w:p>
    <w:p w14:paraId="0A7404A8" w14:textId="77777777" w:rsidR="001A707E" w:rsidRPr="00B179DE" w:rsidRDefault="001A707E" w:rsidP="001A707E">
      <w:pPr>
        <w:pStyle w:val="Body"/>
        <w:rPr>
          <w:b/>
          <w:bCs/>
        </w:rPr>
      </w:pPr>
      <w:r w:rsidRPr="00B179DE">
        <w:rPr>
          <w:b/>
          <w:bCs/>
          <w:noProof/>
        </w:rPr>
        <w:drawing>
          <wp:inline distT="0" distB="0" distL="0" distR="0" wp14:anchorId="77F947E9" wp14:editId="3148A789">
            <wp:extent cx="1225550" cy="431800"/>
            <wp:effectExtent l="0" t="0" r="0" b="6350"/>
            <wp:docPr id="413591147" name="Picture 6" descr="Description: CC (Creative commons)_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 (Creative commons)_b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r w:rsidRPr="00B179DE">
        <w:rPr>
          <w:b/>
          <w:bCs/>
        </w:rPr>
        <w:t> </w:t>
      </w:r>
    </w:p>
    <w:p w14:paraId="1FE34BF8" w14:textId="77777777" w:rsidR="001A707E" w:rsidRPr="00B179DE" w:rsidRDefault="001A707E" w:rsidP="001A707E">
      <w:pPr>
        <w:pStyle w:val="Body"/>
      </w:pPr>
      <w:proofErr w:type="gramStart"/>
      <w:r w:rsidRPr="00B179DE">
        <w:t>With the exception of</w:t>
      </w:r>
      <w:proofErr w:type="gramEnd"/>
      <w:r w:rsidRPr="00B179DE">
        <w:t xml:space="preserve"> any images, photographs or branding (including, but not limited to the</w:t>
      </w:r>
      <w:r w:rsidRPr="00B179DE">
        <w:rPr>
          <w:b/>
          <w:bCs/>
        </w:rPr>
        <w:t xml:space="preserve"> </w:t>
      </w:r>
      <w:r w:rsidRPr="00B179DE">
        <w:t xml:space="preserve">Victorian Coat of Arms, the Victorian Government logo or the Department of Families, Fairness and Housing logo), this work, </w:t>
      </w:r>
      <w:r w:rsidRPr="00B179DE">
        <w:rPr>
          <w:i/>
          <w:iCs/>
        </w:rPr>
        <w:t xml:space="preserve">Pride Events and Festivals Fund 2024-2025 program guidelines: celebrating diversity and connection grants </w:t>
      </w:r>
      <w:r w:rsidRPr="00B179DE">
        <w:t>is licensed under a Creative Commons Attribution 4.0 licence. </w:t>
      </w:r>
    </w:p>
    <w:p w14:paraId="6DE61FA4" w14:textId="77777777" w:rsidR="001A707E" w:rsidRPr="00B179DE" w:rsidRDefault="001A707E" w:rsidP="001A707E">
      <w:pPr>
        <w:pStyle w:val="Body"/>
      </w:pPr>
      <w:r>
        <w:t xml:space="preserve">The terms and conditions of this licence, including disclaimer of warranties and limitation of liability are available at the Creative Commons website's Attribution 4.0 International (CC BY 4.0) page </w:t>
      </w:r>
      <w:hyperlink r:id="rId19">
        <w:r w:rsidRPr="5AA22EC8">
          <w:rPr>
            <w:rStyle w:val="Hyperlink"/>
          </w:rPr>
          <w:t>https://creativecommons.org/licenses/by/4.0/</w:t>
        </w:r>
      </w:hyperlink>
      <w:r>
        <w:t xml:space="preserve">  </w:t>
      </w:r>
    </w:p>
    <w:p w14:paraId="3058B969" w14:textId="77777777" w:rsidR="001A707E" w:rsidRPr="00B179DE" w:rsidRDefault="001A707E" w:rsidP="001A707E">
      <w:pPr>
        <w:pStyle w:val="Body"/>
      </w:pPr>
      <w:r w:rsidRPr="00B179DE">
        <w:t>You are free to re-use the work under that licence, on the condition that you credit the State of Victoria, Australia (Department of Families, Fairness and Housing) as the author, indicate if any changes have been made to the work and comply with the other licence terms. </w:t>
      </w:r>
    </w:p>
    <w:p w14:paraId="56CDBB19" w14:textId="77777777" w:rsidR="001A707E" w:rsidRPr="00B179DE" w:rsidRDefault="001A707E" w:rsidP="001A707E">
      <w:pPr>
        <w:pStyle w:val="Body"/>
      </w:pPr>
      <w:r w:rsidRPr="00B179DE">
        <w:t>In this document, ‘Aboriginal’ refers to both Aboriginal and Torres Strait Islander people. ‘Indigenous’ or ‘Koori/Koorie’ is retained when part of the title of a report, program or quotation. </w:t>
      </w:r>
    </w:p>
    <w:p w14:paraId="2D8F92A3" w14:textId="1A9A99BD" w:rsidR="001A707E" w:rsidRDefault="001A707E" w:rsidP="001A707E">
      <w:pPr>
        <w:pStyle w:val="Body"/>
      </w:pPr>
      <w:r>
        <w:t xml:space="preserve">Available at </w:t>
      </w:r>
      <w:hyperlink r:id="rId20" w:history="1">
        <w:r w:rsidRPr="006711ED">
          <w:rPr>
            <w:rStyle w:val="Hyperlink"/>
          </w:rPr>
          <w:t>Victorian Government's Pride Events and Festivals Fund page</w:t>
        </w:r>
      </w:hyperlink>
      <w:r>
        <w:t xml:space="preserve"> </w:t>
      </w:r>
      <w:r w:rsidRPr="006711ED">
        <w:rPr>
          <w:lang w:val="en-GB"/>
        </w:rPr>
        <w:t>https://</w:t>
      </w:r>
      <w:r w:rsidRPr="006711ED">
        <w:t>www.vic.gov.au/pride-events-and-festivals-fund</w:t>
      </w:r>
      <w:r>
        <w:t xml:space="preserve">  </w:t>
      </w:r>
    </w:p>
    <w:p w14:paraId="52ED59FD" w14:textId="77777777" w:rsidR="001A707E" w:rsidRDefault="001A707E">
      <w:pPr>
        <w:spacing w:after="0" w:line="240" w:lineRule="auto"/>
        <w:rPr>
          <w:rFonts w:eastAsia="MS Gothic" w:cs="Arial"/>
          <w:bCs/>
          <w:color w:val="201547"/>
          <w:kern w:val="32"/>
          <w:sz w:val="40"/>
          <w:szCs w:val="40"/>
        </w:rPr>
      </w:pPr>
      <w:r>
        <w:br w:type="page"/>
      </w:r>
    </w:p>
    <w:p w14:paraId="3BC3DAE9" w14:textId="3703BD4E" w:rsidR="001A202A" w:rsidRDefault="00543E16" w:rsidP="001A202A">
      <w:pPr>
        <w:pStyle w:val="Heading1"/>
      </w:pPr>
      <w:bookmarkStart w:id="1" w:name="_Toc175576102"/>
      <w:r>
        <w:lastRenderedPageBreak/>
        <w:t>Introduction</w:t>
      </w:r>
      <w:bookmarkEnd w:id="1"/>
    </w:p>
    <w:p w14:paraId="1E5E16C6" w14:textId="191D7B86" w:rsidR="001A707E" w:rsidRPr="001A707E" w:rsidRDefault="001A707E" w:rsidP="001A707E">
      <w:pPr>
        <w:pStyle w:val="TOCHeading"/>
        <w:rPr>
          <w:rFonts w:ascii="Arial" w:eastAsia="Times" w:hAnsi="Arial"/>
          <w:color w:val="000000" w:themeColor="text1"/>
          <w:sz w:val="21"/>
        </w:rPr>
      </w:pPr>
      <w:r w:rsidRPr="00C46434">
        <w:rPr>
          <w:rStyle w:val="BodyChar"/>
          <w:color w:val="000000" w:themeColor="text1"/>
        </w:rPr>
        <w:t xml:space="preserve">These frequently asked questions are for the </w:t>
      </w:r>
      <w:r w:rsidRPr="002B401F">
        <w:rPr>
          <w:rStyle w:val="BodyChar"/>
          <w:color w:val="000000" w:themeColor="text1"/>
        </w:rPr>
        <w:t>Pride Events and Festivals Fund 202</w:t>
      </w:r>
      <w:r>
        <w:rPr>
          <w:rStyle w:val="BodyChar"/>
          <w:color w:val="000000" w:themeColor="text1"/>
        </w:rPr>
        <w:t>4</w:t>
      </w:r>
      <w:r w:rsidRPr="002B401F">
        <w:rPr>
          <w:rStyle w:val="BodyChar"/>
          <w:color w:val="000000" w:themeColor="text1"/>
        </w:rPr>
        <w:t>-2</w:t>
      </w:r>
      <w:r>
        <w:rPr>
          <w:rStyle w:val="BodyChar"/>
          <w:color w:val="000000" w:themeColor="text1"/>
        </w:rPr>
        <w:t xml:space="preserve">5 </w:t>
      </w:r>
      <w:r w:rsidRPr="00C46434">
        <w:rPr>
          <w:rStyle w:val="BodyChar"/>
          <w:color w:val="000000" w:themeColor="text1"/>
        </w:rPr>
        <w:t xml:space="preserve">are to be read in conjunction with the program </w:t>
      </w:r>
      <w:bookmarkStart w:id="2" w:name="_Hlk175573607"/>
      <w:r w:rsidRPr="006711ED">
        <w:rPr>
          <w:rFonts w:ascii="Arial" w:hAnsi="Arial" w:cs="Arial"/>
          <w:color w:val="auto"/>
          <w:sz w:val="21"/>
          <w:szCs w:val="21"/>
        </w:rPr>
        <w:t>Funding Guidelines</w:t>
      </w:r>
      <w:bookmarkEnd w:id="2"/>
      <w:r w:rsidRPr="00C46434">
        <w:rPr>
          <w:rFonts w:ascii="Arial" w:hAnsi="Arial" w:cs="Arial"/>
          <w:sz w:val="21"/>
          <w:szCs w:val="21"/>
        </w:rPr>
        <w:t>.</w:t>
      </w:r>
      <w:r>
        <w:rPr>
          <w:rFonts w:ascii="Arial" w:hAnsi="Arial" w:cs="Arial"/>
          <w:sz w:val="21"/>
          <w:szCs w:val="21"/>
        </w:rPr>
        <w:t xml:space="preserve"> </w:t>
      </w:r>
      <w:r w:rsidRPr="00DF4026">
        <w:rPr>
          <w:rFonts w:ascii="Arial" w:hAnsi="Arial" w:cs="Arial"/>
          <w:color w:val="auto"/>
          <w:sz w:val="21"/>
          <w:szCs w:val="21"/>
        </w:rPr>
        <w:t>https://www.vic.gov.au/pride-events-and-festivals-fund</w:t>
      </w:r>
    </w:p>
    <w:p w14:paraId="0B2B9ECB" w14:textId="57F64912" w:rsidR="00543E16" w:rsidRPr="00543E16" w:rsidRDefault="00543E16" w:rsidP="00543E16">
      <w:pPr>
        <w:pStyle w:val="Heading2"/>
      </w:pPr>
      <w:bookmarkStart w:id="3" w:name="_Toc175576103"/>
      <w:r>
        <w:t>What are the key program dates?</w:t>
      </w:r>
      <w:bookmarkEnd w:id="3"/>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681"/>
        <w:gridCol w:w="6520"/>
      </w:tblGrid>
      <w:tr w:rsidR="00543E16" w14:paraId="335DE327" w14:textId="77777777" w:rsidTr="770E2361">
        <w:trPr>
          <w:tblHeader/>
        </w:trPr>
        <w:tc>
          <w:tcPr>
            <w:tcW w:w="3681" w:type="dxa"/>
            <w:tcBorders>
              <w:bottom w:val="single" w:sz="4" w:space="0" w:color="auto"/>
            </w:tcBorders>
          </w:tcPr>
          <w:p w14:paraId="439887C6" w14:textId="22F7DCE2" w:rsidR="00543E16" w:rsidRPr="00CB3285" w:rsidRDefault="00543E16" w:rsidP="002600C0">
            <w:pPr>
              <w:pStyle w:val="Tablecolhead"/>
            </w:pPr>
            <w:bookmarkStart w:id="4" w:name="_Toc63257286"/>
            <w:bookmarkStart w:id="5" w:name="_Toc63265747"/>
            <w:r>
              <w:t xml:space="preserve">Date </w:t>
            </w:r>
          </w:p>
        </w:tc>
        <w:tc>
          <w:tcPr>
            <w:tcW w:w="6520" w:type="dxa"/>
            <w:tcBorders>
              <w:bottom w:val="single" w:sz="4" w:space="0" w:color="auto"/>
            </w:tcBorders>
          </w:tcPr>
          <w:p w14:paraId="4D9D835B" w14:textId="3FD1490B" w:rsidR="00543E16" w:rsidRPr="00543E16" w:rsidRDefault="00543E16" w:rsidP="002600C0">
            <w:pPr>
              <w:pStyle w:val="Tablecolhead"/>
              <w:rPr>
                <w:b w:val="0"/>
                <w:color w:val="auto"/>
              </w:rPr>
            </w:pPr>
            <w:r w:rsidRPr="00543E16">
              <w:t>Activity</w:t>
            </w:r>
          </w:p>
        </w:tc>
      </w:tr>
      <w:tr w:rsidR="00543E16" w14:paraId="65D7EBA3" w14:textId="77777777" w:rsidTr="770E2361">
        <w:trPr>
          <w:tblHeader/>
        </w:trPr>
        <w:tc>
          <w:tcPr>
            <w:tcW w:w="3681" w:type="dxa"/>
            <w:tcBorders>
              <w:top w:val="single" w:sz="4" w:space="0" w:color="auto"/>
              <w:bottom w:val="single" w:sz="4" w:space="0" w:color="auto"/>
            </w:tcBorders>
          </w:tcPr>
          <w:p w14:paraId="78967021" w14:textId="1C937655" w:rsidR="00543E16" w:rsidRDefault="00EE4D41" w:rsidP="00543E16">
            <w:pPr>
              <w:pStyle w:val="Tabletext"/>
            </w:pPr>
            <w:r>
              <w:t xml:space="preserve">Wednesday, </w:t>
            </w:r>
            <w:r w:rsidR="00630582">
              <w:t>14</w:t>
            </w:r>
            <w:r>
              <w:t xml:space="preserve"> </w:t>
            </w:r>
            <w:r w:rsidR="00630582">
              <w:t>August</w:t>
            </w:r>
            <w:r>
              <w:t xml:space="preserve"> 202</w:t>
            </w:r>
            <w:r w:rsidR="00630582">
              <w:t>4</w:t>
            </w:r>
          </w:p>
        </w:tc>
        <w:tc>
          <w:tcPr>
            <w:tcW w:w="6520" w:type="dxa"/>
            <w:tcBorders>
              <w:top w:val="single" w:sz="4" w:space="0" w:color="auto"/>
              <w:bottom w:val="single" w:sz="4" w:space="0" w:color="auto"/>
            </w:tcBorders>
            <w:vAlign w:val="center"/>
          </w:tcPr>
          <w:p w14:paraId="3E588AF7" w14:textId="290759AB" w:rsidR="00543E16" w:rsidRPr="00543E16" w:rsidRDefault="00543E16" w:rsidP="00543E16">
            <w:pPr>
              <w:pStyle w:val="Tablecolhead"/>
              <w:rPr>
                <w:b w:val="0"/>
                <w:color w:val="auto"/>
              </w:rPr>
            </w:pPr>
            <w:r w:rsidRPr="00543E16">
              <w:rPr>
                <w:b w:val="0"/>
                <w:color w:val="auto"/>
              </w:rPr>
              <w:t>Applications open</w:t>
            </w:r>
          </w:p>
        </w:tc>
      </w:tr>
      <w:tr w:rsidR="00543E16" w14:paraId="4F956420" w14:textId="77777777" w:rsidTr="770E2361">
        <w:trPr>
          <w:tblHeader/>
        </w:trPr>
        <w:tc>
          <w:tcPr>
            <w:tcW w:w="3681" w:type="dxa"/>
            <w:tcBorders>
              <w:top w:val="single" w:sz="4" w:space="0" w:color="auto"/>
              <w:bottom w:val="single" w:sz="4" w:space="0" w:color="auto"/>
            </w:tcBorders>
          </w:tcPr>
          <w:p w14:paraId="4DE8CC63" w14:textId="1C795D80" w:rsidR="00543E16" w:rsidRDefault="00630582" w:rsidP="00543E16">
            <w:pPr>
              <w:pStyle w:val="Tabletext"/>
            </w:pPr>
            <w:r>
              <w:t>19</w:t>
            </w:r>
            <w:r w:rsidR="00003E24">
              <w:t xml:space="preserve"> </w:t>
            </w:r>
            <w:r>
              <w:t>August</w:t>
            </w:r>
            <w:r w:rsidR="00003E24">
              <w:t xml:space="preserve"> 202</w:t>
            </w:r>
            <w:r>
              <w:t>4</w:t>
            </w:r>
            <w:r w:rsidR="00E90A3F">
              <w:t>,</w:t>
            </w:r>
            <w:r w:rsidR="00003E24">
              <w:t xml:space="preserve"> </w:t>
            </w:r>
            <w:r w:rsidR="004167D0">
              <w:t>2</w:t>
            </w:r>
            <w:r>
              <w:t>1</w:t>
            </w:r>
            <w:r w:rsidR="004167D0">
              <w:t xml:space="preserve"> </w:t>
            </w:r>
            <w:r>
              <w:t>August</w:t>
            </w:r>
            <w:r w:rsidR="004167D0">
              <w:t xml:space="preserve"> 202</w:t>
            </w:r>
            <w:r>
              <w:t>4</w:t>
            </w:r>
          </w:p>
        </w:tc>
        <w:tc>
          <w:tcPr>
            <w:tcW w:w="6520" w:type="dxa"/>
            <w:tcBorders>
              <w:top w:val="single" w:sz="4" w:space="0" w:color="auto"/>
              <w:bottom w:val="single" w:sz="4" w:space="0" w:color="auto"/>
            </w:tcBorders>
            <w:vAlign w:val="center"/>
          </w:tcPr>
          <w:p w14:paraId="76F5D265" w14:textId="49219065" w:rsidR="00543E16" w:rsidRPr="00543E16" w:rsidRDefault="00543E16" w:rsidP="00543E16">
            <w:pPr>
              <w:pStyle w:val="Tablecolhead"/>
              <w:rPr>
                <w:b w:val="0"/>
                <w:color w:val="auto"/>
              </w:rPr>
            </w:pPr>
            <w:r w:rsidRPr="00543E16">
              <w:rPr>
                <w:b w:val="0"/>
                <w:color w:val="auto"/>
              </w:rPr>
              <w:t>Applicant Information Session</w:t>
            </w:r>
            <w:r w:rsidR="00B62B0E">
              <w:rPr>
                <w:b w:val="0"/>
                <w:color w:val="auto"/>
              </w:rPr>
              <w:t>s</w:t>
            </w:r>
          </w:p>
        </w:tc>
      </w:tr>
      <w:tr w:rsidR="00543E16" w14:paraId="5449DE02" w14:textId="77777777" w:rsidTr="770E2361">
        <w:tc>
          <w:tcPr>
            <w:tcW w:w="3681" w:type="dxa"/>
            <w:tcBorders>
              <w:top w:val="single" w:sz="4" w:space="0" w:color="auto"/>
              <w:bottom w:val="single" w:sz="4" w:space="0" w:color="auto"/>
            </w:tcBorders>
          </w:tcPr>
          <w:p w14:paraId="39F0DF22" w14:textId="781FA9F4" w:rsidR="00543E16" w:rsidRDefault="00B62B0E" w:rsidP="00543E16">
            <w:pPr>
              <w:pStyle w:val="Tabletext"/>
            </w:pPr>
            <w:bookmarkStart w:id="6" w:name="_Hlk174365633"/>
            <w:r>
              <w:t xml:space="preserve">5pm, </w:t>
            </w:r>
            <w:r w:rsidR="007439B4">
              <w:t>Wednesday, 1</w:t>
            </w:r>
            <w:r w:rsidR="00630582">
              <w:t>1</w:t>
            </w:r>
            <w:r w:rsidR="007439B4">
              <w:t xml:space="preserve"> </w:t>
            </w:r>
            <w:r w:rsidR="00630582">
              <w:t>September 2024</w:t>
            </w:r>
            <w:bookmarkEnd w:id="6"/>
          </w:p>
        </w:tc>
        <w:tc>
          <w:tcPr>
            <w:tcW w:w="6520" w:type="dxa"/>
            <w:tcBorders>
              <w:top w:val="single" w:sz="4" w:space="0" w:color="auto"/>
              <w:bottom w:val="single" w:sz="4" w:space="0" w:color="auto"/>
            </w:tcBorders>
            <w:vAlign w:val="center"/>
          </w:tcPr>
          <w:p w14:paraId="4B13EF55" w14:textId="3770927D" w:rsidR="00543E16" w:rsidRDefault="00543E16" w:rsidP="00543E16">
            <w:pPr>
              <w:pStyle w:val="Tabletext"/>
            </w:pPr>
            <w:r>
              <w:t>Applications close</w:t>
            </w:r>
          </w:p>
        </w:tc>
      </w:tr>
      <w:tr w:rsidR="00543E16" w14:paraId="54C6C157" w14:textId="77777777" w:rsidTr="770E2361">
        <w:tc>
          <w:tcPr>
            <w:tcW w:w="3681" w:type="dxa"/>
            <w:tcBorders>
              <w:top w:val="single" w:sz="4" w:space="0" w:color="auto"/>
              <w:bottom w:val="single" w:sz="4" w:space="0" w:color="auto"/>
            </w:tcBorders>
          </w:tcPr>
          <w:p w14:paraId="4F0AD091" w14:textId="46180F2D" w:rsidR="00543E16" w:rsidRDefault="00630582" w:rsidP="00543E16">
            <w:pPr>
              <w:pStyle w:val="Tabletext"/>
            </w:pPr>
            <w:r>
              <w:t>September</w:t>
            </w:r>
            <w:r w:rsidR="007439B4">
              <w:t xml:space="preserve"> </w:t>
            </w:r>
            <w:r w:rsidR="00E90A3F">
              <w:t>to</w:t>
            </w:r>
            <w:r w:rsidR="007439B4">
              <w:t xml:space="preserve"> </w:t>
            </w:r>
            <w:r>
              <w:t>November</w:t>
            </w:r>
            <w:r w:rsidR="007439B4">
              <w:t xml:space="preserve"> 2024</w:t>
            </w:r>
            <w:r w:rsidR="00543E16" w:rsidRPr="00CC4255">
              <w:t xml:space="preserve">  </w:t>
            </w:r>
          </w:p>
        </w:tc>
        <w:tc>
          <w:tcPr>
            <w:tcW w:w="6520" w:type="dxa"/>
            <w:tcBorders>
              <w:top w:val="single" w:sz="4" w:space="0" w:color="auto"/>
              <w:bottom w:val="single" w:sz="4" w:space="0" w:color="auto"/>
            </w:tcBorders>
            <w:vAlign w:val="center"/>
          </w:tcPr>
          <w:p w14:paraId="6CF02BA1" w14:textId="74B0A564" w:rsidR="00543E16" w:rsidRDefault="00543E16" w:rsidP="00543E16">
            <w:pPr>
              <w:pStyle w:val="Tabletext"/>
            </w:pPr>
            <w:r w:rsidRPr="00543E16">
              <w:t>Assessments, approvals, notification and contracting</w:t>
            </w:r>
          </w:p>
        </w:tc>
      </w:tr>
      <w:tr w:rsidR="00543E16" w14:paraId="48D9FF2E" w14:textId="77777777" w:rsidTr="770E2361">
        <w:tc>
          <w:tcPr>
            <w:tcW w:w="3681" w:type="dxa"/>
            <w:tcBorders>
              <w:top w:val="single" w:sz="4" w:space="0" w:color="auto"/>
              <w:bottom w:val="single" w:sz="4" w:space="0" w:color="auto"/>
            </w:tcBorders>
          </w:tcPr>
          <w:p w14:paraId="45899069" w14:textId="267179F3" w:rsidR="00543E16" w:rsidRDefault="00360E65" w:rsidP="00543E16">
            <w:pPr>
              <w:pStyle w:val="Tabletext"/>
            </w:pPr>
            <w:r>
              <w:t xml:space="preserve">1 </w:t>
            </w:r>
            <w:r w:rsidR="00A51E9B">
              <w:t>November</w:t>
            </w:r>
            <w:r>
              <w:t xml:space="preserve"> </w:t>
            </w:r>
            <w:r w:rsidR="003C0C69">
              <w:t xml:space="preserve">2024 </w:t>
            </w:r>
            <w:r w:rsidR="00E90A3F">
              <w:t>to</w:t>
            </w:r>
            <w:r>
              <w:t xml:space="preserve"> 3</w:t>
            </w:r>
            <w:r w:rsidR="00D33520">
              <w:t>0</w:t>
            </w:r>
            <w:r>
              <w:t xml:space="preserve"> </w:t>
            </w:r>
            <w:r w:rsidR="00D33520">
              <w:t>November</w:t>
            </w:r>
            <w:r>
              <w:t xml:space="preserve"> 202</w:t>
            </w:r>
            <w:r w:rsidR="00630582">
              <w:t>5</w:t>
            </w:r>
          </w:p>
        </w:tc>
        <w:tc>
          <w:tcPr>
            <w:tcW w:w="6520" w:type="dxa"/>
            <w:tcBorders>
              <w:top w:val="single" w:sz="4" w:space="0" w:color="auto"/>
              <w:bottom w:val="single" w:sz="4" w:space="0" w:color="auto"/>
            </w:tcBorders>
            <w:vAlign w:val="center"/>
          </w:tcPr>
          <w:p w14:paraId="4975D786" w14:textId="37C5E151" w:rsidR="00543E16" w:rsidRDefault="00543E16" w:rsidP="00543E16">
            <w:pPr>
              <w:pStyle w:val="Tabletext"/>
            </w:pPr>
            <w:r w:rsidRPr="00836BC0">
              <w:t xml:space="preserve">Grant activities to be delivered  </w:t>
            </w:r>
          </w:p>
        </w:tc>
      </w:tr>
      <w:tr w:rsidR="00360E65" w14:paraId="46EDFDFF" w14:textId="77777777" w:rsidTr="770E2361">
        <w:tc>
          <w:tcPr>
            <w:tcW w:w="3681" w:type="dxa"/>
            <w:tcBorders>
              <w:top w:val="single" w:sz="4" w:space="0" w:color="auto"/>
              <w:bottom w:val="single" w:sz="4" w:space="0" w:color="auto"/>
            </w:tcBorders>
          </w:tcPr>
          <w:p w14:paraId="0E109586" w14:textId="32C8CB20" w:rsidR="00360E65" w:rsidRDefault="00360E65" w:rsidP="00543E16">
            <w:pPr>
              <w:pStyle w:val="Tabletext"/>
            </w:pPr>
            <w:r w:rsidRPr="00360E65">
              <w:t>Approximately one month before event</w:t>
            </w:r>
          </w:p>
        </w:tc>
        <w:tc>
          <w:tcPr>
            <w:tcW w:w="6520" w:type="dxa"/>
            <w:tcBorders>
              <w:top w:val="single" w:sz="4" w:space="0" w:color="auto"/>
              <w:bottom w:val="single" w:sz="4" w:space="0" w:color="auto"/>
            </w:tcBorders>
            <w:vAlign w:val="center"/>
          </w:tcPr>
          <w:p w14:paraId="2D44E410" w14:textId="590BA9AF" w:rsidR="00360E65" w:rsidRPr="00836BC0" w:rsidRDefault="00360E65" w:rsidP="00543E16">
            <w:pPr>
              <w:pStyle w:val="Tabletext"/>
            </w:pPr>
            <w:r>
              <w:t>Progress report (</w:t>
            </w:r>
            <w:r w:rsidR="00C676CD">
              <w:t>large stream only)</w:t>
            </w:r>
          </w:p>
        </w:tc>
      </w:tr>
      <w:tr w:rsidR="00543E16" w14:paraId="12C0C9F0" w14:textId="77777777" w:rsidTr="770E2361">
        <w:tc>
          <w:tcPr>
            <w:tcW w:w="3681" w:type="dxa"/>
            <w:tcBorders>
              <w:top w:val="single" w:sz="4" w:space="0" w:color="auto"/>
              <w:bottom w:val="single" w:sz="4" w:space="0" w:color="auto"/>
            </w:tcBorders>
          </w:tcPr>
          <w:p w14:paraId="675B174A" w14:textId="7BE9D343" w:rsidR="00543E16" w:rsidRDefault="344335B6" w:rsidP="00543E16">
            <w:pPr>
              <w:pStyle w:val="Tabletext"/>
            </w:pPr>
            <w:r>
              <w:t>14</w:t>
            </w:r>
            <w:r w:rsidR="00C676CD">
              <w:t xml:space="preserve"> November 202</w:t>
            </w:r>
            <w:r w:rsidR="00630582">
              <w:t>5</w:t>
            </w:r>
          </w:p>
        </w:tc>
        <w:tc>
          <w:tcPr>
            <w:tcW w:w="6520" w:type="dxa"/>
            <w:tcBorders>
              <w:top w:val="single" w:sz="4" w:space="0" w:color="auto"/>
              <w:bottom w:val="single" w:sz="4" w:space="0" w:color="auto"/>
            </w:tcBorders>
            <w:vAlign w:val="center"/>
          </w:tcPr>
          <w:p w14:paraId="2C995E3B" w14:textId="3D61C129" w:rsidR="00543E16" w:rsidRDefault="00543E16" w:rsidP="00543E16">
            <w:pPr>
              <w:pStyle w:val="Tabletext"/>
            </w:pPr>
            <w:r>
              <w:t>Final reports due</w:t>
            </w:r>
          </w:p>
        </w:tc>
      </w:tr>
    </w:tbl>
    <w:bookmarkEnd w:id="4"/>
    <w:bookmarkEnd w:id="5"/>
    <w:p w14:paraId="52EB454D" w14:textId="3EE68A85" w:rsidR="001A202A" w:rsidRDefault="00543E16" w:rsidP="001A202A">
      <w:pPr>
        <w:pStyle w:val="Body"/>
        <w:rPr>
          <w:i/>
          <w:iCs/>
        </w:rPr>
      </w:pPr>
      <w:r w:rsidRPr="00E90A3F">
        <w:t>These dates are subject to change</w:t>
      </w:r>
      <w:r>
        <w:rPr>
          <w:i/>
          <w:iCs/>
        </w:rPr>
        <w:t xml:space="preserve">. </w:t>
      </w:r>
    </w:p>
    <w:p w14:paraId="6E9AA33C" w14:textId="3916A1D1" w:rsidR="00543E16" w:rsidRDefault="00543E16" w:rsidP="00543E16">
      <w:pPr>
        <w:pStyle w:val="Heading2"/>
        <w:rPr>
          <w:rFonts w:eastAsia="MS Gothic"/>
        </w:rPr>
      </w:pPr>
      <w:bookmarkStart w:id="7" w:name="_Toc175576104"/>
      <w:r w:rsidRPr="00543E16">
        <w:rPr>
          <w:rFonts w:eastAsia="MS Gothic"/>
        </w:rPr>
        <w:t xml:space="preserve">When does the application </w:t>
      </w:r>
      <w:r w:rsidRPr="00C05868">
        <w:rPr>
          <w:rFonts w:eastAsia="MS Gothic"/>
        </w:rPr>
        <w:t>period</w:t>
      </w:r>
      <w:r w:rsidRPr="00543E16">
        <w:rPr>
          <w:rFonts w:eastAsia="MS Gothic"/>
        </w:rPr>
        <w:t xml:space="preserve"> close?</w:t>
      </w:r>
      <w:bookmarkEnd w:id="7"/>
      <w:r w:rsidRPr="00543E16">
        <w:rPr>
          <w:rFonts w:eastAsia="MS Gothic"/>
        </w:rPr>
        <w:t xml:space="preserve"> </w:t>
      </w:r>
    </w:p>
    <w:p w14:paraId="62D53521" w14:textId="77777777" w:rsidR="002D346E" w:rsidRDefault="00543E16" w:rsidP="002600C0">
      <w:pPr>
        <w:pStyle w:val="Body"/>
      </w:pPr>
      <w:r w:rsidRPr="00543E16">
        <w:t xml:space="preserve">The application period is open for </w:t>
      </w:r>
      <w:r w:rsidR="004E0262">
        <w:t>four</w:t>
      </w:r>
      <w:r w:rsidRPr="00543E16">
        <w:t xml:space="preserve"> weeks from </w:t>
      </w:r>
      <w:r w:rsidR="00630582" w:rsidRPr="00630582">
        <w:t>Wednesday, 14 August 2024</w:t>
      </w:r>
      <w:r w:rsidR="00630582">
        <w:t xml:space="preserve"> </w:t>
      </w:r>
      <w:r w:rsidRPr="00543E16">
        <w:t xml:space="preserve">to </w:t>
      </w:r>
      <w:r w:rsidR="00630582" w:rsidRPr="00630582">
        <w:t>Wednesday, 11 September 2024</w:t>
      </w:r>
      <w:r w:rsidR="00630582">
        <w:t xml:space="preserve"> </w:t>
      </w:r>
      <w:r w:rsidRPr="00543E16">
        <w:t xml:space="preserve">at </w:t>
      </w:r>
      <w:r w:rsidR="00E03DB1">
        <w:t>5:00pm</w:t>
      </w:r>
      <w:r w:rsidRPr="00543E16">
        <w:t xml:space="preserve">. No applications will be accepted after this time. </w:t>
      </w:r>
    </w:p>
    <w:p w14:paraId="040ADE34" w14:textId="677A888B" w:rsidR="00543E16" w:rsidRPr="00543E16" w:rsidRDefault="00543E16" w:rsidP="002600C0">
      <w:pPr>
        <w:pStyle w:val="Body"/>
      </w:pPr>
      <w:r w:rsidRPr="00543E16">
        <w:t xml:space="preserve">Please </w:t>
      </w:r>
      <w:r w:rsidRPr="002D346E">
        <w:t>note</w:t>
      </w:r>
      <w:r w:rsidRPr="00543E16">
        <w:t xml:space="preserve"> that the Equality Unit is staffed 9am </w:t>
      </w:r>
      <w:r w:rsidR="00E90A3F">
        <w:t>to</w:t>
      </w:r>
      <w:r w:rsidRPr="00543E16">
        <w:t xml:space="preserve"> 5pm Monday to Friday.</w:t>
      </w:r>
    </w:p>
    <w:p w14:paraId="7FB7FF88" w14:textId="1C8E920D" w:rsidR="00543E16" w:rsidRPr="00543E16" w:rsidRDefault="00543E16" w:rsidP="002600C0">
      <w:pPr>
        <w:pStyle w:val="Body"/>
        <w:rPr>
          <w:b/>
          <w:i/>
          <w:iCs/>
        </w:rPr>
      </w:pPr>
      <w:r w:rsidRPr="00C103E9">
        <w:t>See also</w:t>
      </w:r>
      <w:r w:rsidRPr="00543E16">
        <w:rPr>
          <w:i/>
          <w:iCs/>
        </w:rPr>
        <w:t xml:space="preserve"> ‘</w:t>
      </w:r>
      <w:hyperlink w:anchor="_What_do_we" w:history="1">
        <w:r w:rsidRPr="002D346E">
          <w:rPr>
            <w:rStyle w:val="Hyperlink"/>
          </w:rPr>
          <w:t xml:space="preserve">What do </w:t>
        </w:r>
        <w:r w:rsidR="002D346E">
          <w:rPr>
            <w:rStyle w:val="Hyperlink"/>
          </w:rPr>
          <w:t>we</w:t>
        </w:r>
        <w:r w:rsidRPr="002D346E">
          <w:rPr>
            <w:rStyle w:val="Hyperlink"/>
          </w:rPr>
          <w:t xml:space="preserve"> do if</w:t>
        </w:r>
        <w:r w:rsidR="002D346E">
          <w:rPr>
            <w:rStyle w:val="Hyperlink"/>
          </w:rPr>
          <w:t xml:space="preserve"> we</w:t>
        </w:r>
        <w:r w:rsidRPr="002D346E">
          <w:rPr>
            <w:rStyle w:val="Hyperlink"/>
          </w:rPr>
          <w:t xml:space="preserve"> have technical problems when trying to submit the online form?</w:t>
        </w:r>
      </w:hyperlink>
    </w:p>
    <w:p w14:paraId="3827E24E" w14:textId="3A3EB69F" w:rsidR="006B062A" w:rsidRPr="00C46434" w:rsidRDefault="006B062A" w:rsidP="00C46434">
      <w:pPr>
        <w:pStyle w:val="Body"/>
        <w:rPr>
          <w:rFonts w:eastAsia="Times New Roman"/>
          <w:b/>
          <w:color w:val="201547"/>
          <w:sz w:val="32"/>
          <w:szCs w:val="28"/>
        </w:rPr>
      </w:pPr>
      <w:r w:rsidRPr="00C46434">
        <w:rPr>
          <w:rFonts w:eastAsia="Times New Roman"/>
          <w:b/>
          <w:color w:val="201547"/>
          <w:sz w:val="32"/>
          <w:szCs w:val="28"/>
        </w:rPr>
        <w:t xml:space="preserve">Can I make changes to my application once submitted? </w:t>
      </w:r>
    </w:p>
    <w:p w14:paraId="08552E6F" w14:textId="6F6E9919" w:rsidR="006B062A" w:rsidRPr="006B062A" w:rsidRDefault="006B062A" w:rsidP="006B062A">
      <w:pPr>
        <w:pStyle w:val="Body"/>
      </w:pPr>
      <w:r w:rsidRPr="006B062A">
        <w:t xml:space="preserve">No, you will not be able to make any further changes or provide any missing documentation once the application has been submitted through the online </w:t>
      </w:r>
      <w:proofErr w:type="gramStart"/>
      <w:r w:rsidRPr="006B062A">
        <w:t>grants</w:t>
      </w:r>
      <w:proofErr w:type="gramEnd"/>
      <w:r w:rsidRPr="006B062A">
        <w:t xml:space="preserve"> portal. </w:t>
      </w:r>
    </w:p>
    <w:p w14:paraId="16684E36" w14:textId="46E316E4" w:rsidR="001A202A" w:rsidRPr="006B062A" w:rsidRDefault="006B062A" w:rsidP="006B062A">
      <w:pPr>
        <w:pStyle w:val="Body"/>
      </w:pPr>
      <w:r w:rsidRPr="006B062A">
        <w:t>You will be able to save a draft of your application and copies of the required supporting documentation within the online portal as you develop your application. However, once you submit your application it is considered final and is what your application will be assessed against.</w:t>
      </w:r>
    </w:p>
    <w:p w14:paraId="0AE20DB5" w14:textId="44B6E054" w:rsidR="006B062A" w:rsidRPr="00C46434" w:rsidRDefault="006B062A" w:rsidP="00C46434">
      <w:pPr>
        <w:pStyle w:val="Body"/>
        <w:rPr>
          <w:rFonts w:eastAsia="Times New Roman"/>
          <w:b/>
          <w:color w:val="201547"/>
          <w:sz w:val="32"/>
          <w:szCs w:val="28"/>
        </w:rPr>
      </w:pPr>
      <w:bookmarkStart w:id="8" w:name="_Toc63686844"/>
      <w:r w:rsidRPr="00C46434">
        <w:rPr>
          <w:rFonts w:eastAsia="Times New Roman"/>
          <w:b/>
          <w:color w:val="201547"/>
          <w:sz w:val="32"/>
          <w:szCs w:val="28"/>
        </w:rPr>
        <w:t>Can we submit multiple applications?</w:t>
      </w:r>
      <w:bookmarkEnd w:id="8"/>
      <w:r w:rsidRPr="00C46434">
        <w:rPr>
          <w:rFonts w:eastAsia="Times New Roman"/>
          <w:b/>
          <w:color w:val="201547"/>
          <w:sz w:val="32"/>
          <w:szCs w:val="28"/>
        </w:rPr>
        <w:t xml:space="preserve"> </w:t>
      </w:r>
    </w:p>
    <w:p w14:paraId="61AFAAB9" w14:textId="3981CCDE" w:rsidR="00543E16" w:rsidRDefault="000D165B" w:rsidP="002600C0">
      <w:pPr>
        <w:pStyle w:val="Body"/>
        <w:rPr>
          <w:b/>
        </w:rPr>
      </w:pPr>
      <w:r>
        <w:t>Yes, however we strongly encourage you to submit only one application</w:t>
      </w:r>
      <w:r w:rsidR="006B062A" w:rsidRPr="006B062A">
        <w:t xml:space="preserve">. </w:t>
      </w:r>
      <w:r>
        <w:t>P</w:t>
      </w:r>
      <w:r w:rsidR="002D346E">
        <w:t xml:space="preserve">ride </w:t>
      </w:r>
      <w:r>
        <w:t>E</w:t>
      </w:r>
      <w:r w:rsidR="002D346E">
        <w:t xml:space="preserve">vents and </w:t>
      </w:r>
      <w:r>
        <w:t>F</w:t>
      </w:r>
      <w:r w:rsidR="002D346E">
        <w:t xml:space="preserve">estivals </w:t>
      </w:r>
      <w:r>
        <w:t>F</w:t>
      </w:r>
      <w:r w:rsidR="002D346E">
        <w:t>und</w:t>
      </w:r>
      <w:r>
        <w:t xml:space="preserve"> is a heavily oversubscribed program</w:t>
      </w:r>
      <w:r w:rsidR="002D346E">
        <w:t>. I</w:t>
      </w:r>
      <w:r w:rsidR="006B062A" w:rsidRPr="006B062A">
        <w:t xml:space="preserve">t is anticipated that only </w:t>
      </w:r>
      <w:r>
        <w:rPr>
          <w:bCs/>
        </w:rPr>
        <w:t>one</w:t>
      </w:r>
      <w:r w:rsidR="006B062A" w:rsidRPr="006B062A">
        <w:t xml:space="preserve"> application from an organisation or business </w:t>
      </w:r>
      <w:r>
        <w:t>will be successful</w:t>
      </w:r>
      <w:r w:rsidR="006B062A" w:rsidRPr="006B062A">
        <w:t>. It</w:t>
      </w:r>
      <w:r w:rsidR="002D346E">
        <w:t xml:space="preserve"> is</w:t>
      </w:r>
      <w:r w:rsidR="006B062A" w:rsidRPr="006B062A">
        <w:t xml:space="preserve"> important to note however, that the application can include multiple activities and services across your organisation.</w:t>
      </w:r>
    </w:p>
    <w:p w14:paraId="1CBFA1DA" w14:textId="24CE8294" w:rsidR="006B062A" w:rsidRPr="00C46434" w:rsidRDefault="006B062A" w:rsidP="00C46434">
      <w:pPr>
        <w:pStyle w:val="Body"/>
        <w:rPr>
          <w:rFonts w:eastAsia="Times New Roman"/>
          <w:b/>
          <w:color w:val="201547"/>
          <w:sz w:val="32"/>
          <w:szCs w:val="28"/>
        </w:rPr>
      </w:pPr>
      <w:bookmarkStart w:id="9" w:name="_Toc63686845"/>
      <w:r w:rsidRPr="00C46434">
        <w:rPr>
          <w:rFonts w:eastAsia="Times New Roman"/>
          <w:b/>
          <w:color w:val="201547"/>
          <w:sz w:val="32"/>
          <w:szCs w:val="28"/>
        </w:rPr>
        <w:t>Where do I locate the application form?</w:t>
      </w:r>
      <w:bookmarkEnd w:id="9"/>
    </w:p>
    <w:p w14:paraId="08D80D6B" w14:textId="11EDF983" w:rsidR="006B062A" w:rsidRPr="006B062A" w:rsidRDefault="006B062A" w:rsidP="006B062A">
      <w:pPr>
        <w:rPr>
          <w:rFonts w:eastAsia="Times"/>
        </w:rPr>
      </w:pPr>
      <w:r w:rsidRPr="006B062A">
        <w:rPr>
          <w:rFonts w:eastAsia="Times"/>
        </w:rPr>
        <w:t xml:space="preserve">The application form can be location within the </w:t>
      </w:r>
      <w:hyperlink r:id="rId21" w:history="1">
        <w:r w:rsidRPr="006B062A">
          <w:rPr>
            <w:rStyle w:val="Hyperlink"/>
            <w:szCs w:val="21"/>
          </w:rPr>
          <w:t>Online Grant Application Portal</w:t>
        </w:r>
      </w:hyperlink>
      <w:r w:rsidRPr="006B062A">
        <w:rPr>
          <w:rFonts w:eastAsia="Times"/>
        </w:rPr>
        <w:t xml:space="preserve"> </w:t>
      </w:r>
      <w:r w:rsidR="00DF4026" w:rsidRPr="00DF4026">
        <w:rPr>
          <w:rFonts w:eastAsia="Times"/>
        </w:rPr>
        <w:t>https://grantsgateway.dffh.vic.gov.au/s/login/SelfRegister</w:t>
      </w:r>
      <w:r w:rsidR="00DF4026">
        <w:rPr>
          <w:rFonts w:eastAsia="Times"/>
        </w:rPr>
        <w:t xml:space="preserve">. </w:t>
      </w:r>
      <w:r w:rsidRPr="006B062A">
        <w:rPr>
          <w:rFonts w:eastAsia="Times"/>
        </w:rPr>
        <w:t xml:space="preserve">If this is the first time you have </w:t>
      </w:r>
      <w:r w:rsidR="00C103E9" w:rsidRPr="006B062A">
        <w:rPr>
          <w:rFonts w:eastAsia="Times"/>
        </w:rPr>
        <w:t>applied</w:t>
      </w:r>
      <w:r w:rsidRPr="006B062A">
        <w:rPr>
          <w:rFonts w:eastAsia="Times"/>
        </w:rPr>
        <w:t xml:space="preserve"> through this </w:t>
      </w:r>
      <w:r w:rsidR="00D26AB6">
        <w:rPr>
          <w:rFonts w:eastAsia="Times"/>
        </w:rPr>
        <w:t>gateway</w:t>
      </w:r>
      <w:r w:rsidRPr="006B062A">
        <w:rPr>
          <w:rFonts w:eastAsia="Times"/>
        </w:rPr>
        <w:t>, you will be required to create a log in account.</w:t>
      </w:r>
    </w:p>
    <w:p w14:paraId="0A998867" w14:textId="063D0AD6" w:rsidR="006B062A" w:rsidRDefault="006B062A" w:rsidP="00103630">
      <w:pPr>
        <w:pStyle w:val="Heading2"/>
      </w:pPr>
      <w:bookmarkStart w:id="10" w:name="_Toc63686846"/>
      <w:bookmarkStart w:id="11" w:name="_Toc175576105"/>
      <w:r w:rsidRPr="006B062A">
        <w:lastRenderedPageBreak/>
        <w:t>When will successful applicants be announced?</w:t>
      </w:r>
      <w:bookmarkEnd w:id="10"/>
      <w:bookmarkEnd w:id="11"/>
    </w:p>
    <w:p w14:paraId="7A9F42EB" w14:textId="00B55200" w:rsidR="006B062A" w:rsidRDefault="006B062A" w:rsidP="006B062A">
      <w:pPr>
        <w:pStyle w:val="Body"/>
      </w:pPr>
      <w:r w:rsidRPr="006B062A">
        <w:t>The notification date for the outcome of your application will be confirmed closer to the date. We anticipate this to be in</w:t>
      </w:r>
      <w:r w:rsidR="00774EEF">
        <w:t xml:space="preserve"> </w:t>
      </w:r>
      <w:r w:rsidR="00DA2A21">
        <w:t xml:space="preserve">late October </w:t>
      </w:r>
      <w:r w:rsidR="00AD0117" w:rsidRPr="008A5016">
        <w:t>202</w:t>
      </w:r>
      <w:r w:rsidR="007F7151" w:rsidRPr="008A5016">
        <w:t>4</w:t>
      </w:r>
      <w:r w:rsidRPr="006B062A">
        <w:t xml:space="preserve">. Once all applicants are notified, a full list of successful projects will be available on the </w:t>
      </w:r>
      <w:hyperlink r:id="rId22" w:history="1">
        <w:r w:rsidR="003C0C69" w:rsidRPr="00C103E9">
          <w:rPr>
            <w:rStyle w:val="Hyperlink"/>
            <w:rFonts w:cs="Arial"/>
            <w:szCs w:val="21"/>
          </w:rPr>
          <w:t>Pride Events and Festivals fund 2024-25</w:t>
        </w:r>
      </w:hyperlink>
      <w:r w:rsidR="00C103E9" w:rsidRPr="00C103E9">
        <w:rPr>
          <w:rStyle w:val="Hyperlink"/>
          <w:rFonts w:cs="Arial"/>
          <w:color w:val="auto"/>
          <w:szCs w:val="21"/>
        </w:rPr>
        <w:t>,</w:t>
      </w:r>
      <w:r w:rsidR="002D346E" w:rsidRPr="002D346E">
        <w:rPr>
          <w:color w:val="000000" w:themeColor="text1"/>
          <w:u w:val="dotted"/>
        </w:rPr>
        <w:t xml:space="preserve"> </w:t>
      </w:r>
      <w:r w:rsidR="002D346E" w:rsidRPr="002600C0">
        <w:rPr>
          <w:color w:val="000000" w:themeColor="text1"/>
          <w:u w:val="dotted"/>
        </w:rPr>
        <w:t>information page</w:t>
      </w:r>
      <w:r w:rsidR="002D346E" w:rsidRPr="006B062A">
        <w:rPr>
          <w:u w:val="dotted"/>
        </w:rPr>
        <w:t xml:space="preserve"> on the </w:t>
      </w:r>
      <w:r w:rsidR="002D346E" w:rsidRPr="006B062A">
        <w:t>Victorian Government’s website</w:t>
      </w:r>
      <w:r w:rsidR="002D346E" w:rsidRPr="00C103E9">
        <w:rPr>
          <w:rStyle w:val="Hyperlink"/>
          <w:rFonts w:cs="Arial"/>
          <w:color w:val="auto"/>
          <w:szCs w:val="21"/>
        </w:rPr>
        <w:t xml:space="preserve"> </w:t>
      </w:r>
      <w:r w:rsidR="00C103E9" w:rsidRPr="00C103E9">
        <w:rPr>
          <w:rStyle w:val="Hyperlink"/>
          <w:rFonts w:cs="Arial"/>
          <w:color w:val="auto"/>
          <w:szCs w:val="21"/>
        </w:rPr>
        <w:t>https://www.vic.gov.au/pride-events-and-festivals-fund</w:t>
      </w:r>
      <w:r w:rsidR="002D346E">
        <w:rPr>
          <w:rStyle w:val="Hyperlink"/>
          <w:rFonts w:cs="Arial"/>
          <w:color w:val="auto"/>
          <w:szCs w:val="21"/>
        </w:rPr>
        <w:t>.</w:t>
      </w:r>
    </w:p>
    <w:p w14:paraId="0104FF3C" w14:textId="1444CB01" w:rsidR="006B062A" w:rsidRPr="00F40F2D" w:rsidRDefault="006B062A" w:rsidP="006B062A">
      <w:pPr>
        <w:pStyle w:val="Heading2"/>
      </w:pPr>
      <w:bookmarkStart w:id="12" w:name="_Toc63686847"/>
      <w:bookmarkStart w:id="13" w:name="_Toc175576106"/>
      <w:r w:rsidRPr="00F40F2D">
        <w:t xml:space="preserve">When </w:t>
      </w:r>
      <w:r>
        <w:t>should</w:t>
      </w:r>
      <w:r w:rsidRPr="00F40F2D">
        <w:t xml:space="preserve"> we </w:t>
      </w:r>
      <w:r>
        <w:t>receive</w:t>
      </w:r>
      <w:r w:rsidRPr="00F40F2D">
        <w:t xml:space="preserve"> funds and be able to start our a</w:t>
      </w:r>
      <w:r>
        <w:t>ct</w:t>
      </w:r>
      <w:r w:rsidRPr="00F40F2D">
        <w:t>ivities?</w:t>
      </w:r>
      <w:bookmarkEnd w:id="12"/>
      <w:bookmarkEnd w:id="13"/>
    </w:p>
    <w:p w14:paraId="62381A30" w14:textId="462A8045" w:rsidR="006B062A" w:rsidRPr="007B7A6D" w:rsidRDefault="006B062A" w:rsidP="006B062A">
      <w:pPr>
        <w:pStyle w:val="Body"/>
      </w:pPr>
      <w:r>
        <w:t xml:space="preserve">First payments are expected to be released in </w:t>
      </w:r>
      <w:r w:rsidR="00DA2A21">
        <w:t>later October</w:t>
      </w:r>
      <w:r w:rsidR="00B61999" w:rsidRPr="003C0C69">
        <w:t xml:space="preserve"> 202</w:t>
      </w:r>
      <w:r w:rsidR="005479EE" w:rsidRPr="003C0C69">
        <w:t>4</w:t>
      </w:r>
      <w:r w:rsidRPr="000A41C1">
        <w:t xml:space="preserve">. Successful grant recipients may commence grant activities from </w:t>
      </w:r>
      <w:r w:rsidR="00B61999" w:rsidRPr="003C0C69">
        <w:t xml:space="preserve">1 </w:t>
      </w:r>
      <w:r w:rsidR="000E0100" w:rsidRPr="003C0C69">
        <w:t>November</w:t>
      </w:r>
      <w:r w:rsidR="00B61999" w:rsidRPr="003C0C69">
        <w:t xml:space="preserve"> 202</w:t>
      </w:r>
      <w:r w:rsidR="005479EE" w:rsidRPr="003C0C69">
        <w:t>4</w:t>
      </w:r>
      <w:r w:rsidRPr="003C0C69">
        <w:t>.</w:t>
      </w:r>
    </w:p>
    <w:p w14:paraId="36BF70DC" w14:textId="4E69EA29" w:rsidR="006B062A" w:rsidRDefault="006B062A" w:rsidP="006B062A">
      <w:pPr>
        <w:pStyle w:val="Heading2"/>
      </w:pPr>
      <w:bookmarkStart w:id="14" w:name="_Toc63686848"/>
      <w:bookmarkStart w:id="15" w:name="_Toc175576107"/>
      <w:r>
        <w:t>When will we need to complete grant activities?</w:t>
      </w:r>
      <w:bookmarkEnd w:id="14"/>
      <w:bookmarkEnd w:id="15"/>
    </w:p>
    <w:p w14:paraId="4C8BE7BB" w14:textId="6F10D60A" w:rsidR="006B062A" w:rsidRDefault="006B062A" w:rsidP="006B062A">
      <w:pPr>
        <w:pStyle w:val="Body"/>
      </w:pPr>
      <w:r w:rsidRPr="000A41C1">
        <w:t xml:space="preserve">Successful </w:t>
      </w:r>
      <w:r>
        <w:t xml:space="preserve">applicants </w:t>
      </w:r>
      <w:r w:rsidRPr="000A41C1">
        <w:t>will need to complete all grant activities b</w:t>
      </w:r>
      <w:r>
        <w:t xml:space="preserve">y </w:t>
      </w:r>
      <w:r w:rsidR="005479EE" w:rsidRPr="003C0C69">
        <w:t>3</w:t>
      </w:r>
      <w:r w:rsidR="00996CB4">
        <w:t>0 November</w:t>
      </w:r>
      <w:r w:rsidR="005479EE" w:rsidRPr="003C0C69">
        <w:t xml:space="preserve"> 202</w:t>
      </w:r>
      <w:r w:rsidR="00572EFE" w:rsidRPr="003C0C69">
        <w:t>5</w:t>
      </w:r>
      <w:r>
        <w:t xml:space="preserve">. </w:t>
      </w:r>
    </w:p>
    <w:p w14:paraId="63C7ED6A" w14:textId="5636FCF5" w:rsidR="006B062A" w:rsidRPr="006B062A" w:rsidRDefault="006B062A" w:rsidP="006B062A">
      <w:pPr>
        <w:pStyle w:val="Body"/>
      </w:pPr>
      <w:r>
        <w:t>Final reports will be due by</w:t>
      </w:r>
      <w:r w:rsidR="00425C64">
        <w:t xml:space="preserve"> </w:t>
      </w:r>
      <w:r w:rsidR="00425C64" w:rsidRPr="003C0C69">
        <w:t>30 November 202</w:t>
      </w:r>
      <w:r w:rsidR="00572EFE" w:rsidRPr="003C0C69">
        <w:t>5</w:t>
      </w:r>
      <w:r w:rsidR="00DA2A21">
        <w:t xml:space="preserve"> but can be submitted earlier if your event</w:t>
      </w:r>
      <w:r w:rsidR="00D46B61">
        <w:t xml:space="preserve">s occur earlier in the funding period. </w:t>
      </w:r>
    </w:p>
    <w:p w14:paraId="63AA3605" w14:textId="57D4CF11" w:rsidR="006B062A" w:rsidRDefault="006B062A" w:rsidP="006B062A">
      <w:pPr>
        <w:pStyle w:val="Heading1"/>
      </w:pPr>
      <w:bookmarkStart w:id="16" w:name="_Toc63686849"/>
      <w:bookmarkStart w:id="17" w:name="_What_support_is"/>
      <w:bookmarkStart w:id="18" w:name="_Toc175576108"/>
      <w:bookmarkEnd w:id="17"/>
      <w:r w:rsidRPr="00F40F2D">
        <w:t>What support is available to applicants?</w:t>
      </w:r>
      <w:bookmarkEnd w:id="16"/>
      <w:bookmarkEnd w:id="18"/>
    </w:p>
    <w:p w14:paraId="2353D0DC" w14:textId="261793E8" w:rsidR="006B062A" w:rsidRPr="00B45F13" w:rsidRDefault="006B062A" w:rsidP="006B062A">
      <w:pPr>
        <w:pStyle w:val="Heading2"/>
      </w:pPr>
      <w:bookmarkStart w:id="19" w:name="_Toc63686850"/>
      <w:bookmarkStart w:id="20" w:name="_Toc175576109"/>
      <w:r w:rsidRPr="00B45F13">
        <w:t>Guidelines</w:t>
      </w:r>
      <w:bookmarkEnd w:id="19"/>
      <w:bookmarkEnd w:id="20"/>
    </w:p>
    <w:p w14:paraId="14AE105A" w14:textId="77777777" w:rsidR="006B062A" w:rsidRPr="006B062A" w:rsidRDefault="006B062A" w:rsidP="006B062A">
      <w:pPr>
        <w:pStyle w:val="Body"/>
        <w:rPr>
          <w:szCs w:val="21"/>
        </w:rPr>
      </w:pPr>
      <w:r w:rsidRPr="006B062A">
        <w:rPr>
          <w:szCs w:val="21"/>
        </w:rPr>
        <w:t xml:space="preserve">The program Guidelines are available to assist with the application process. Additionally, the Department will provide support throughout the application process and encourages applicants to reach out with any questions. Contact details are on the final page of these FAQs. </w:t>
      </w:r>
    </w:p>
    <w:p w14:paraId="74B615F9" w14:textId="795A48A4" w:rsidR="006B062A" w:rsidRPr="006B062A" w:rsidRDefault="006B062A" w:rsidP="00C103E9">
      <w:pPr>
        <w:pStyle w:val="Body"/>
        <w:rPr>
          <w:color w:val="000000" w:themeColor="text1"/>
          <w:szCs w:val="21"/>
        </w:rPr>
      </w:pPr>
      <w:r w:rsidRPr="006B062A">
        <w:rPr>
          <w:szCs w:val="21"/>
        </w:rPr>
        <w:t>The Guidelines are available on the Victorian Government’s</w:t>
      </w:r>
      <w:r w:rsidRPr="002600C0">
        <w:rPr>
          <w:szCs w:val="21"/>
        </w:rPr>
        <w:t xml:space="preserve"> </w:t>
      </w:r>
      <w:bookmarkStart w:id="21" w:name="_Hlk175574389"/>
      <w:r w:rsidR="00000000" w:rsidRPr="00E90A3F">
        <w:fldChar w:fldCharType="begin"/>
      </w:r>
      <w:r w:rsidR="00000000" w:rsidRPr="00E90A3F">
        <w:instrText>HYPERLINK "https://www.vic.gov.au/pride-events-and-festivals-fund"</w:instrText>
      </w:r>
      <w:r w:rsidR="00000000" w:rsidRPr="00E90A3F">
        <w:fldChar w:fldCharType="separate"/>
      </w:r>
      <w:r w:rsidR="003C0C69" w:rsidRPr="00E90A3F">
        <w:rPr>
          <w:rStyle w:val="Hyperlink"/>
          <w:rFonts w:cs="Arial"/>
          <w:szCs w:val="21"/>
        </w:rPr>
        <w:t>Pride Events and Festivals fund 2024-25</w:t>
      </w:r>
      <w:r w:rsidR="00000000" w:rsidRPr="00E90A3F">
        <w:rPr>
          <w:rStyle w:val="Hyperlink"/>
          <w:rFonts w:cs="Arial"/>
          <w:szCs w:val="21"/>
        </w:rPr>
        <w:fldChar w:fldCharType="end"/>
      </w:r>
      <w:bookmarkEnd w:id="21"/>
      <w:r w:rsidR="003C0C69" w:rsidRPr="00E90A3F">
        <w:rPr>
          <w:color w:val="000000" w:themeColor="text1"/>
        </w:rPr>
        <w:t xml:space="preserve"> </w:t>
      </w:r>
      <w:r w:rsidR="002D346E" w:rsidRPr="002600C0">
        <w:rPr>
          <w:color w:val="000000" w:themeColor="text1"/>
          <w:u w:val="dotted"/>
        </w:rPr>
        <w:t>information page</w:t>
      </w:r>
      <w:r w:rsidR="002D346E" w:rsidRPr="00C103E9">
        <w:t xml:space="preserve"> </w:t>
      </w:r>
      <w:hyperlink r:id="rId23" w:history="1">
        <w:r w:rsidR="00C103E9" w:rsidRPr="00C103E9">
          <w:rPr>
            <w:rStyle w:val="Hyperlink"/>
            <w:color w:val="auto"/>
          </w:rPr>
          <w:t>https://www.vic.gov.au/pride-events-and-festivals-fund</w:t>
        </w:r>
      </w:hyperlink>
    </w:p>
    <w:p w14:paraId="79FCBE46" w14:textId="02E77114" w:rsidR="006B062A" w:rsidRPr="00F40F2D" w:rsidRDefault="006B062A" w:rsidP="006B062A">
      <w:pPr>
        <w:pStyle w:val="Heading2"/>
      </w:pPr>
      <w:bookmarkStart w:id="22" w:name="_Toc63686851"/>
      <w:bookmarkStart w:id="23" w:name="_Toc175576110"/>
      <w:r w:rsidRPr="00F40F2D">
        <w:t>Equality website resources</w:t>
      </w:r>
      <w:bookmarkEnd w:id="22"/>
      <w:bookmarkEnd w:id="23"/>
      <w:r w:rsidRPr="00F40F2D">
        <w:t xml:space="preserve"> </w:t>
      </w:r>
    </w:p>
    <w:p w14:paraId="0B84B608" w14:textId="2737EB7D" w:rsidR="006B062A" w:rsidRPr="006B062A" w:rsidRDefault="006B062A" w:rsidP="006B062A">
      <w:pPr>
        <w:pStyle w:val="Body"/>
        <w:rPr>
          <w:szCs w:val="21"/>
        </w:rPr>
      </w:pPr>
      <w:r w:rsidRPr="006B062A">
        <w:rPr>
          <w:szCs w:val="21"/>
        </w:rPr>
        <w:t xml:space="preserve">The Guidelines and these FAQs contain additional information that may be required to </w:t>
      </w:r>
      <w:r w:rsidR="00D46B61" w:rsidRPr="006B062A">
        <w:rPr>
          <w:szCs w:val="21"/>
        </w:rPr>
        <w:t>apply</w:t>
      </w:r>
      <w:r w:rsidRPr="006B062A">
        <w:rPr>
          <w:szCs w:val="21"/>
        </w:rPr>
        <w:t xml:space="preserve">. Please ensure you have read both documents carefully and discussed any questions with the Equality Unit before </w:t>
      </w:r>
      <w:r w:rsidR="00D46B61" w:rsidRPr="006B062A">
        <w:rPr>
          <w:szCs w:val="21"/>
        </w:rPr>
        <w:t>applying</w:t>
      </w:r>
      <w:r w:rsidRPr="006B062A">
        <w:rPr>
          <w:szCs w:val="21"/>
        </w:rPr>
        <w:t xml:space="preserve">. </w:t>
      </w:r>
    </w:p>
    <w:p w14:paraId="7D48031B" w14:textId="6D319FA3" w:rsidR="006B062A" w:rsidRPr="006B062A" w:rsidRDefault="006B062A" w:rsidP="006B062A">
      <w:pPr>
        <w:pStyle w:val="Body"/>
        <w:rPr>
          <w:rFonts w:asciiTheme="minorHAnsi" w:hAnsiTheme="minorHAnsi" w:cs="Arial"/>
          <w:color w:val="000000" w:themeColor="text1"/>
          <w:szCs w:val="21"/>
          <w:u w:val="dotted"/>
        </w:rPr>
      </w:pPr>
      <w:r w:rsidRPr="006B062A">
        <w:rPr>
          <w:szCs w:val="21"/>
        </w:rPr>
        <w:t xml:space="preserve">Resources are available on the Victorian Government’s </w:t>
      </w:r>
      <w:hyperlink r:id="rId24" w:history="1">
        <w:r w:rsidR="003C0C69" w:rsidRPr="00E90A3F">
          <w:rPr>
            <w:rStyle w:val="Hyperlink"/>
            <w:rFonts w:cs="Arial"/>
            <w:szCs w:val="21"/>
          </w:rPr>
          <w:t>Pride Events and Festivals fund 2024-25</w:t>
        </w:r>
      </w:hyperlink>
      <w:r w:rsidR="003C0C69" w:rsidRPr="002600C0">
        <w:rPr>
          <w:color w:val="000000" w:themeColor="text1"/>
          <w:u w:val="dotted"/>
        </w:rPr>
        <w:t xml:space="preserve"> </w:t>
      </w:r>
      <w:r w:rsidR="002D346E" w:rsidRPr="002600C0">
        <w:rPr>
          <w:color w:val="000000" w:themeColor="text1"/>
          <w:u w:val="dotted"/>
        </w:rPr>
        <w:t>information page</w:t>
      </w:r>
      <w:r w:rsidR="002D346E" w:rsidRPr="00C103E9">
        <w:t xml:space="preserve"> </w:t>
      </w:r>
      <w:hyperlink r:id="rId25" w:history="1">
        <w:r w:rsidR="00C103E9" w:rsidRPr="00C103E9">
          <w:rPr>
            <w:rStyle w:val="Hyperlink"/>
            <w:color w:val="auto"/>
          </w:rPr>
          <w:t>https://www.vic.gov.au/pride-events-and-festivals-fund</w:t>
        </w:r>
      </w:hyperlink>
      <w:r w:rsidR="00C103E9" w:rsidRPr="002600C0">
        <w:rPr>
          <w:color w:val="000000" w:themeColor="text1"/>
          <w:u w:val="dotted"/>
        </w:rPr>
        <w:t xml:space="preserve"> </w:t>
      </w:r>
    </w:p>
    <w:p w14:paraId="10692014" w14:textId="6C8DF4D3" w:rsidR="00311229" w:rsidRDefault="00311229" w:rsidP="00311229">
      <w:pPr>
        <w:pStyle w:val="Heading2"/>
      </w:pPr>
      <w:bookmarkStart w:id="24" w:name="_Toc63686852"/>
      <w:bookmarkStart w:id="25" w:name="_Toc175576111"/>
      <w:r>
        <w:t>Webinars</w:t>
      </w:r>
      <w:bookmarkEnd w:id="24"/>
      <w:bookmarkEnd w:id="25"/>
    </w:p>
    <w:p w14:paraId="62212EE6" w14:textId="44F44C85" w:rsidR="00311229" w:rsidRPr="007350AE" w:rsidRDefault="00311229" w:rsidP="00311229">
      <w:pPr>
        <w:pStyle w:val="Body"/>
      </w:pPr>
      <w:r>
        <w:t>To support organisations with the application process there will be t</w:t>
      </w:r>
      <w:r w:rsidR="00D46B61">
        <w:t>wo</w:t>
      </w:r>
      <w:r>
        <w:t xml:space="preserve"> webinars. For more details, including webinar dates and times, please visit the </w:t>
      </w:r>
      <w:hyperlink r:id="rId26" w:history="1">
        <w:r w:rsidR="003C0C69" w:rsidRPr="00E90A3F">
          <w:rPr>
            <w:rStyle w:val="Hyperlink"/>
            <w:rFonts w:cs="Arial"/>
            <w:szCs w:val="21"/>
          </w:rPr>
          <w:t>Pride Events and Festivals fund 2024-25</w:t>
        </w:r>
      </w:hyperlink>
      <w:r w:rsidR="00C103E9">
        <w:rPr>
          <w:rStyle w:val="Hyperlink"/>
          <w:rFonts w:cs="Arial"/>
          <w:szCs w:val="21"/>
        </w:rPr>
        <w:t xml:space="preserve"> </w:t>
      </w:r>
      <w:r w:rsidR="002D346E" w:rsidRPr="002600C0">
        <w:rPr>
          <w:color w:val="000000" w:themeColor="text1"/>
          <w:u w:val="dotted"/>
        </w:rPr>
        <w:t>information page</w:t>
      </w:r>
      <w:r w:rsidR="002D346E" w:rsidRPr="00C103E9">
        <w:t xml:space="preserve"> </w:t>
      </w:r>
      <w:hyperlink r:id="rId27" w:history="1">
        <w:r w:rsidR="00C103E9" w:rsidRPr="00C103E9">
          <w:rPr>
            <w:rStyle w:val="Hyperlink"/>
            <w:color w:val="auto"/>
          </w:rPr>
          <w:t>https://www.vic.gov.au/pride-events-and-festivals-fund</w:t>
        </w:r>
      </w:hyperlink>
      <w:r w:rsidR="003C0C69" w:rsidRPr="002600C0">
        <w:rPr>
          <w:color w:val="000000" w:themeColor="text1"/>
          <w:u w:val="dotted"/>
        </w:rPr>
        <w:t xml:space="preserve"> </w:t>
      </w:r>
    </w:p>
    <w:p w14:paraId="57D8F018" w14:textId="6DEA69B3" w:rsidR="00311229" w:rsidRPr="00D25BCC" w:rsidRDefault="00311229" w:rsidP="00311229">
      <w:pPr>
        <w:pStyle w:val="Heading2"/>
      </w:pPr>
      <w:bookmarkStart w:id="26" w:name="_Toc63686853"/>
      <w:bookmarkStart w:id="27" w:name="_Toc175576112"/>
      <w:r>
        <w:t>S</w:t>
      </w:r>
      <w:r w:rsidRPr="00F40F2D">
        <w:t>upport</w:t>
      </w:r>
      <w:bookmarkEnd w:id="26"/>
      <w:bookmarkEnd w:id="27"/>
    </w:p>
    <w:p w14:paraId="4F464568" w14:textId="77777777" w:rsidR="00311229" w:rsidRDefault="00311229" w:rsidP="00311229">
      <w:pPr>
        <w:pStyle w:val="Body"/>
      </w:pPr>
      <w:r w:rsidRPr="00F40F2D">
        <w:t xml:space="preserve">Throughout the application process, </w:t>
      </w:r>
      <w:r>
        <w:t>th</w:t>
      </w:r>
      <w:r w:rsidRPr="0040325A">
        <w:t xml:space="preserve">e Equality </w:t>
      </w:r>
      <w:r>
        <w:t>Unit</w:t>
      </w:r>
      <w:r w:rsidRPr="00F40F2D">
        <w:t xml:space="preserve"> is available to respond t</w:t>
      </w:r>
      <w:r>
        <w:t>o questions about your application and eli</w:t>
      </w:r>
      <w:r w:rsidRPr="00F40F2D">
        <w:t>gibility, as well as</w:t>
      </w:r>
      <w:r>
        <w:t xml:space="preserve"> to</w:t>
      </w:r>
      <w:r w:rsidRPr="00F40F2D">
        <w:t xml:space="preserve"> provide information, general advice and support as you navigate the application process. </w:t>
      </w:r>
    </w:p>
    <w:p w14:paraId="55E185DD" w14:textId="6BF5C008" w:rsidR="00311229" w:rsidRPr="00135C59" w:rsidRDefault="00311229" w:rsidP="00311229">
      <w:pPr>
        <w:pStyle w:val="Body"/>
        <w:rPr>
          <w:rFonts w:eastAsia="MS Gothic"/>
          <w:color w:val="53565A"/>
        </w:rPr>
      </w:pPr>
      <w:r w:rsidRPr="00135C59">
        <w:rPr>
          <w:rFonts w:eastAsia="MS Gothic"/>
        </w:rPr>
        <w:t xml:space="preserve">For more information, help with your application or to check if you have an outstanding final report, </w:t>
      </w:r>
      <w:r w:rsidRPr="0040325A">
        <w:rPr>
          <w:rFonts w:eastAsia="MS Gothic"/>
        </w:rPr>
        <w:t xml:space="preserve">contact the Equality </w:t>
      </w:r>
      <w:r w:rsidRPr="00E93BD2">
        <w:rPr>
          <w:rFonts w:eastAsia="MS Gothic"/>
        </w:rPr>
        <w:t>Unit at</w:t>
      </w:r>
      <w:r w:rsidRPr="00C05868">
        <w:rPr>
          <w:rFonts w:eastAsia="MS Gothic" w:cs="Arial"/>
        </w:rPr>
        <w:t xml:space="preserve"> </w:t>
      </w:r>
      <w:hyperlink r:id="rId28" w:history="1">
        <w:r w:rsidR="00C97EA3" w:rsidRPr="00BE629E">
          <w:rPr>
            <w:rStyle w:val="Hyperlink"/>
            <w:rFonts w:eastAsia="MS Gothic" w:cs="Arial"/>
          </w:rPr>
          <w:t>equality-grants@dffh.vic.gov.au</w:t>
        </w:r>
      </w:hyperlink>
      <w:r w:rsidRPr="00E93BD2">
        <w:rPr>
          <w:rFonts w:eastAsia="MS Gothic"/>
          <w:color w:val="53565A"/>
        </w:rPr>
        <w:t xml:space="preserve"> </w:t>
      </w:r>
      <w:r w:rsidRPr="00E93BD2">
        <w:rPr>
          <w:rFonts w:eastAsia="MS Gothic"/>
        </w:rPr>
        <w:t>and request a call</w:t>
      </w:r>
      <w:r w:rsidRPr="00135C59">
        <w:rPr>
          <w:rFonts w:eastAsia="MS Gothic"/>
        </w:rPr>
        <w:t xml:space="preserve"> back. </w:t>
      </w:r>
    </w:p>
    <w:p w14:paraId="30E79490" w14:textId="2A2EFBB1" w:rsidR="00311229" w:rsidRPr="00F40F2D" w:rsidRDefault="00311229" w:rsidP="00311229">
      <w:pPr>
        <w:pStyle w:val="Body"/>
      </w:pPr>
      <w:r w:rsidRPr="00F40F2D">
        <w:rPr>
          <w:b/>
        </w:rPr>
        <w:lastRenderedPageBreak/>
        <w:t>Please note</w:t>
      </w:r>
      <w:r>
        <w:rPr>
          <w:b/>
        </w:rPr>
        <w:t>:</w:t>
      </w:r>
      <w:r w:rsidRPr="00F40F2D">
        <w:t xml:space="preserve"> </w:t>
      </w:r>
      <w:r>
        <w:t>The Department is unable</w:t>
      </w:r>
      <w:r w:rsidRPr="00F40F2D">
        <w:t xml:space="preserve"> </w:t>
      </w:r>
      <w:r>
        <w:t xml:space="preserve">to </w:t>
      </w:r>
      <w:r w:rsidRPr="00F40F2D">
        <w:t>tell you what to apply for</w:t>
      </w:r>
      <w:r>
        <w:t xml:space="preserve"> </w:t>
      </w:r>
      <w:r w:rsidRPr="00F40F2D">
        <w:t xml:space="preserve">and cannot assist with drafting or proofreading your application. </w:t>
      </w:r>
      <w:r w:rsidRPr="00D25BCC">
        <w:rPr>
          <w:szCs w:val="22"/>
        </w:rPr>
        <w:t xml:space="preserve">For more information regarding what feedback is available and how your application will be assessed, </w:t>
      </w:r>
      <w:r>
        <w:rPr>
          <w:szCs w:val="22"/>
        </w:rPr>
        <w:t>see</w:t>
      </w:r>
      <w:r w:rsidRPr="00D25BCC">
        <w:rPr>
          <w:szCs w:val="22"/>
        </w:rPr>
        <w:t xml:space="preserve"> ‘</w:t>
      </w:r>
      <w:r w:rsidRPr="00C103E9">
        <w:rPr>
          <w:iCs/>
          <w:szCs w:val="22"/>
        </w:rPr>
        <w:t>Will I get feedback on my application?</w:t>
      </w:r>
      <w:r w:rsidRPr="00FA0690">
        <w:t>’ and the Guidelines.</w:t>
      </w:r>
    </w:p>
    <w:p w14:paraId="7BBFA436" w14:textId="72108371" w:rsidR="00311229" w:rsidRPr="00CD6111" w:rsidRDefault="00311229" w:rsidP="00311229">
      <w:pPr>
        <w:pStyle w:val="Heading1"/>
      </w:pPr>
      <w:bookmarkStart w:id="28" w:name="_Toc63686854"/>
      <w:bookmarkStart w:id="29" w:name="_Toc175576113"/>
      <w:r w:rsidRPr="00CD6111">
        <w:t>Funding</w:t>
      </w:r>
      <w:bookmarkEnd w:id="28"/>
      <w:bookmarkEnd w:id="29"/>
    </w:p>
    <w:p w14:paraId="3EA68F1E" w14:textId="05EFE995" w:rsidR="00311229" w:rsidRPr="00F40F2D" w:rsidRDefault="00311229" w:rsidP="00311229">
      <w:pPr>
        <w:pStyle w:val="Heading2"/>
      </w:pPr>
      <w:bookmarkStart w:id="30" w:name="_Toc63686855"/>
      <w:bookmarkStart w:id="31" w:name="_Toc175576114"/>
      <w:r w:rsidRPr="00F40F2D">
        <w:t>What amount of funding is available?</w:t>
      </w:r>
      <w:bookmarkEnd w:id="30"/>
      <w:bookmarkEnd w:id="31"/>
      <w:r w:rsidRPr="00F40F2D">
        <w:t xml:space="preserve"> </w:t>
      </w:r>
    </w:p>
    <w:p w14:paraId="0AA7FD6C" w14:textId="77777777" w:rsidR="00C97EA3" w:rsidRPr="002359E3" w:rsidRDefault="00C97EA3" w:rsidP="00C97EA3">
      <w:pPr>
        <w:pStyle w:val="Body"/>
      </w:pPr>
      <w:r w:rsidRPr="002359E3">
        <w:t>The total available funding is $400,000.</w:t>
      </w:r>
    </w:p>
    <w:p w14:paraId="69B1CCD5" w14:textId="77777777" w:rsidR="00C97EA3" w:rsidRPr="00790A86" w:rsidRDefault="00C97EA3" w:rsidP="00C97EA3">
      <w:pPr>
        <w:pStyle w:val="Body"/>
      </w:pPr>
      <w:r w:rsidRPr="002359E3">
        <w:t>You can apply for funding for e</w:t>
      </w:r>
      <w:r w:rsidRPr="00790A86">
        <w:t xml:space="preserve">ligible events under </w:t>
      </w:r>
      <w:r w:rsidRPr="00790A86">
        <w:rPr>
          <w:rStyle w:val="Strong"/>
        </w:rPr>
        <w:t>one of 2 program streams</w:t>
      </w:r>
      <w:r w:rsidRPr="00790A86">
        <w:t>.</w:t>
      </w:r>
    </w:p>
    <w:p w14:paraId="650BF4D9" w14:textId="05CE89AE" w:rsidR="00C97EA3" w:rsidRDefault="00C97EA3" w:rsidP="00C97EA3">
      <w:pPr>
        <w:pStyle w:val="Body"/>
        <w:rPr>
          <w:b/>
          <w:bCs/>
        </w:rPr>
      </w:pPr>
      <w:r>
        <w:t xml:space="preserve">The </w:t>
      </w:r>
      <w:r w:rsidRPr="002359E3">
        <w:rPr>
          <w:rStyle w:val="Strong"/>
        </w:rPr>
        <w:t>small stream</w:t>
      </w:r>
      <w:r w:rsidRPr="00952663">
        <w:t xml:space="preserve"> </w:t>
      </w:r>
      <w:r>
        <w:t xml:space="preserve">provides grants of </w:t>
      </w:r>
      <w:r w:rsidRPr="002359E3">
        <w:rPr>
          <w:rStyle w:val="Strong"/>
        </w:rPr>
        <w:t>up to $10,000</w:t>
      </w:r>
      <w:r>
        <w:t xml:space="preserve"> for small </w:t>
      </w:r>
      <w:bookmarkStart w:id="32" w:name="_Hlk139295170"/>
      <w:r>
        <w:t xml:space="preserve">events and festivals </w:t>
      </w:r>
      <w:bookmarkEnd w:id="32"/>
    </w:p>
    <w:p w14:paraId="2F6609BE" w14:textId="62375C50" w:rsidR="002D346E" w:rsidRPr="002D346E" w:rsidRDefault="00C97EA3" w:rsidP="002D346E">
      <w:pPr>
        <w:pStyle w:val="Body"/>
      </w:pPr>
      <w:r>
        <w:t xml:space="preserve">The </w:t>
      </w:r>
      <w:r w:rsidRPr="002359E3">
        <w:rPr>
          <w:rStyle w:val="Strong"/>
        </w:rPr>
        <w:t>large stream</w:t>
      </w:r>
      <w:r w:rsidDel="006D73DB">
        <w:t xml:space="preserve"> </w:t>
      </w:r>
      <w:r w:rsidRPr="00B82636">
        <w:t>provide</w:t>
      </w:r>
      <w:r>
        <w:t xml:space="preserve">s </w:t>
      </w:r>
      <w:r w:rsidRPr="00B82636">
        <w:t>grants</w:t>
      </w:r>
      <w:r>
        <w:t xml:space="preserve"> </w:t>
      </w:r>
      <w:r w:rsidRPr="00B82636">
        <w:t>of</w:t>
      </w:r>
      <w:r>
        <w:t xml:space="preserve"> </w:t>
      </w:r>
      <w:r w:rsidRPr="002359E3">
        <w:rPr>
          <w:rStyle w:val="Strong"/>
        </w:rPr>
        <w:t>between $10,001 and $25,000</w:t>
      </w:r>
      <w:r>
        <w:t xml:space="preserve"> for</w:t>
      </w:r>
      <w:r w:rsidDel="00B82636">
        <w:t xml:space="preserve"> </w:t>
      </w:r>
      <w:r>
        <w:t xml:space="preserve">large </w:t>
      </w:r>
      <w:r w:rsidRPr="00AB5BE8">
        <w:t xml:space="preserve">events and festivals </w:t>
      </w:r>
      <w:r>
        <w:t>Organisations applying under the large stream must</w:t>
      </w:r>
      <w:r w:rsidR="002D346E">
        <w:t xml:space="preserve"> </w:t>
      </w:r>
      <w:r>
        <w:t>demonstrate consideration for</w:t>
      </w:r>
      <w:r w:rsidDel="00F73FE9">
        <w:t xml:space="preserve"> </w:t>
      </w:r>
      <w:r>
        <w:t>capacity building and event sustainability in their application.</w:t>
      </w:r>
    </w:p>
    <w:p w14:paraId="5C2F0E0C" w14:textId="0D3E7047" w:rsidR="00311229" w:rsidRPr="002D346E" w:rsidRDefault="00311229" w:rsidP="002D346E">
      <w:pPr>
        <w:pStyle w:val="Body"/>
        <w:rPr>
          <w:lang w:val="en-GB"/>
        </w:rPr>
      </w:pPr>
      <w:r w:rsidRPr="002D346E">
        <w:rPr>
          <w:b/>
          <w:bCs/>
        </w:rPr>
        <w:t xml:space="preserve">Please </w:t>
      </w:r>
      <w:proofErr w:type="gramStart"/>
      <w:r w:rsidRPr="002D346E">
        <w:rPr>
          <w:b/>
          <w:bCs/>
        </w:rPr>
        <w:t>note</w:t>
      </w:r>
      <w:r w:rsidR="001A707E" w:rsidRPr="002D346E">
        <w:rPr>
          <w:b/>
          <w:bCs/>
        </w:rPr>
        <w:t>:</w:t>
      </w:r>
      <w:proofErr w:type="gramEnd"/>
      <w:r w:rsidRPr="002D346E">
        <w:rPr>
          <w:b/>
          <w:bCs/>
        </w:rPr>
        <w:t xml:space="preserve"> </w:t>
      </w:r>
      <w:r w:rsidRPr="001A707E">
        <w:t>this is a competitive grant round and not all applicants will be successful in obtaining funding</w:t>
      </w:r>
      <w:r w:rsidRPr="002D346E">
        <w:rPr>
          <w:i/>
          <w:iCs/>
        </w:rPr>
        <w:t>.</w:t>
      </w:r>
      <w:r w:rsidR="005E76EB" w:rsidRPr="002D346E">
        <w:rPr>
          <w:i/>
          <w:iCs/>
        </w:rPr>
        <w:t xml:space="preserve"> </w:t>
      </w:r>
    </w:p>
    <w:p w14:paraId="5A7C415E" w14:textId="38278EE4" w:rsidR="00311229" w:rsidRPr="00F40F2D" w:rsidRDefault="00311229" w:rsidP="00311229">
      <w:pPr>
        <w:pStyle w:val="Heading2"/>
      </w:pPr>
      <w:bookmarkStart w:id="33" w:name="_Toc63686857"/>
      <w:bookmarkStart w:id="34" w:name="_Toc175576115"/>
      <w:r w:rsidRPr="00F40F2D">
        <w:t xml:space="preserve">What activities </w:t>
      </w:r>
      <w:r w:rsidRPr="00EF1984">
        <w:t>will not be</w:t>
      </w:r>
      <w:r w:rsidRPr="00F40F2D">
        <w:t xml:space="preserve"> funded?</w:t>
      </w:r>
      <w:bookmarkEnd w:id="33"/>
      <w:bookmarkEnd w:id="34"/>
      <w:r w:rsidRPr="00F40F2D">
        <w:t xml:space="preserve"> </w:t>
      </w:r>
    </w:p>
    <w:p w14:paraId="2A3A6811" w14:textId="77777777" w:rsidR="00527E0F" w:rsidRPr="00527E0F" w:rsidRDefault="00527E0F" w:rsidP="00527E0F">
      <w:pPr>
        <w:rPr>
          <w:rFonts w:eastAsia="Times"/>
        </w:rPr>
      </w:pPr>
      <w:r w:rsidRPr="00527E0F">
        <w:rPr>
          <w:rFonts w:eastAsia="Times"/>
        </w:rPr>
        <w:t xml:space="preserve">The following activities will </w:t>
      </w:r>
      <w:r w:rsidRPr="00527E0F">
        <w:rPr>
          <w:rFonts w:eastAsia="Times"/>
          <w:b/>
          <w:bCs/>
        </w:rPr>
        <w:t>not</w:t>
      </w:r>
      <w:r w:rsidRPr="00527E0F">
        <w:rPr>
          <w:rFonts w:eastAsia="Times"/>
        </w:rPr>
        <w:t xml:space="preserve"> be eligible for funding:</w:t>
      </w:r>
    </w:p>
    <w:p w14:paraId="1DB71943" w14:textId="77777777" w:rsidR="00527E0F" w:rsidRPr="00527E0F" w:rsidRDefault="00527E0F" w:rsidP="008A5016">
      <w:pPr>
        <w:pStyle w:val="Bullet1"/>
        <w:numPr>
          <w:ilvl w:val="0"/>
          <w:numId w:val="11"/>
        </w:numPr>
      </w:pPr>
      <w:r w:rsidRPr="00527E0F">
        <w:t>activities that do not align with the program’s principles and goals</w:t>
      </w:r>
    </w:p>
    <w:p w14:paraId="1450E4F4" w14:textId="77777777" w:rsidR="00527E0F" w:rsidRPr="00527E0F" w:rsidRDefault="00527E0F" w:rsidP="008A5016">
      <w:pPr>
        <w:pStyle w:val="Bullet1"/>
        <w:numPr>
          <w:ilvl w:val="0"/>
          <w:numId w:val="11"/>
        </w:numPr>
        <w:rPr>
          <w:lang w:val="en-GB"/>
        </w:rPr>
      </w:pPr>
      <w:r w:rsidRPr="00527E0F">
        <w:rPr>
          <w:lang w:val="en-GB"/>
        </w:rPr>
        <w:t>the creation or commissioning of new artistic works or other creative endeavours (note: events that present or display existing artistic works are eligible)</w:t>
      </w:r>
    </w:p>
    <w:p w14:paraId="7E6C0E4C" w14:textId="77777777" w:rsidR="00527E0F" w:rsidRPr="00527E0F" w:rsidRDefault="00527E0F" w:rsidP="008A5016">
      <w:pPr>
        <w:pStyle w:val="Bullet1"/>
        <w:numPr>
          <w:ilvl w:val="0"/>
          <w:numId w:val="11"/>
        </w:numPr>
        <w:rPr>
          <w:lang w:val="en-GB"/>
        </w:rPr>
      </w:pPr>
      <w:r w:rsidRPr="00527E0F">
        <w:rPr>
          <w:lang w:val="en-GB"/>
        </w:rPr>
        <w:t>costs associated with applicants attending events hosted by other organisations (e.g. the costs of a community stall at a regional festival)</w:t>
      </w:r>
    </w:p>
    <w:p w14:paraId="126D7984" w14:textId="77777777" w:rsidR="00527E0F" w:rsidRPr="00527E0F" w:rsidRDefault="00527E0F" w:rsidP="008A5016">
      <w:pPr>
        <w:pStyle w:val="Bullet1"/>
        <w:numPr>
          <w:ilvl w:val="0"/>
          <w:numId w:val="11"/>
        </w:numPr>
        <w:rPr>
          <w:lang w:val="en-GB"/>
        </w:rPr>
      </w:pPr>
      <w:r w:rsidRPr="00527E0F">
        <w:rPr>
          <w:lang w:val="en-GB"/>
        </w:rPr>
        <w:t>commercial or fundraising activities</w:t>
      </w:r>
    </w:p>
    <w:p w14:paraId="0CDB72D4" w14:textId="77777777" w:rsidR="00527E0F" w:rsidRPr="00527E0F" w:rsidRDefault="00527E0F" w:rsidP="008A5016">
      <w:pPr>
        <w:pStyle w:val="Bullet1"/>
        <w:numPr>
          <w:ilvl w:val="0"/>
          <w:numId w:val="11"/>
        </w:numPr>
        <w:rPr>
          <w:lang w:val="en-GB"/>
        </w:rPr>
      </w:pPr>
      <w:r w:rsidRPr="00527E0F">
        <w:rPr>
          <w:lang w:val="en-GB"/>
        </w:rPr>
        <w:t xml:space="preserve">activities that promote or are held for </w:t>
      </w:r>
      <w:proofErr w:type="gramStart"/>
      <w:r w:rsidRPr="00527E0F">
        <w:rPr>
          <w:lang w:val="en-GB"/>
        </w:rPr>
        <w:t>politically-partisan</w:t>
      </w:r>
      <w:proofErr w:type="gramEnd"/>
      <w:r w:rsidRPr="00527E0F">
        <w:rPr>
          <w:lang w:val="en-GB"/>
        </w:rPr>
        <w:t xml:space="preserve"> purposes</w:t>
      </w:r>
    </w:p>
    <w:p w14:paraId="59D0F97E" w14:textId="77777777" w:rsidR="00527E0F" w:rsidRPr="00527E0F" w:rsidRDefault="00527E0F" w:rsidP="008A5016">
      <w:pPr>
        <w:pStyle w:val="Bullet1"/>
        <w:numPr>
          <w:ilvl w:val="0"/>
          <w:numId w:val="11"/>
        </w:numPr>
        <w:rPr>
          <w:lang w:val="en-GB"/>
        </w:rPr>
      </w:pPr>
      <w:r w:rsidRPr="00527E0F">
        <w:rPr>
          <w:lang w:val="en-GB"/>
        </w:rPr>
        <w:t>invite-only or members-only events</w:t>
      </w:r>
    </w:p>
    <w:p w14:paraId="410045BE" w14:textId="77777777" w:rsidR="00527E0F" w:rsidRPr="00527E0F" w:rsidRDefault="00527E0F" w:rsidP="008A5016">
      <w:pPr>
        <w:pStyle w:val="Bullet1"/>
        <w:numPr>
          <w:ilvl w:val="0"/>
          <w:numId w:val="11"/>
        </w:numPr>
        <w:rPr>
          <w:lang w:val="en-GB"/>
        </w:rPr>
      </w:pPr>
      <w:r w:rsidRPr="00527E0F">
        <w:rPr>
          <w:lang w:val="en-GB"/>
        </w:rPr>
        <w:t>activities that pollute the environment or purposefully destroy or waste natural resources</w:t>
      </w:r>
    </w:p>
    <w:p w14:paraId="4280643D" w14:textId="77777777" w:rsidR="00527E0F" w:rsidRPr="00527E0F" w:rsidRDefault="00527E0F" w:rsidP="008A5016">
      <w:pPr>
        <w:pStyle w:val="Bullet1"/>
        <w:numPr>
          <w:ilvl w:val="0"/>
          <w:numId w:val="11"/>
        </w:numPr>
        <w:rPr>
          <w:lang w:val="en-GB"/>
        </w:rPr>
      </w:pPr>
      <w:r w:rsidRPr="00527E0F">
        <w:rPr>
          <w:lang w:val="en-GB"/>
        </w:rPr>
        <w:t>events that supplement an organisation’s recurrent or ongoing costs</w:t>
      </w:r>
    </w:p>
    <w:p w14:paraId="5292464F" w14:textId="77777777" w:rsidR="00527E0F" w:rsidRPr="00527E0F" w:rsidRDefault="00527E0F" w:rsidP="008A5016">
      <w:pPr>
        <w:pStyle w:val="Bullet1"/>
        <w:numPr>
          <w:ilvl w:val="0"/>
          <w:numId w:val="11"/>
        </w:numPr>
        <w:rPr>
          <w:lang w:val="en-GB"/>
        </w:rPr>
      </w:pPr>
      <w:r w:rsidRPr="00527E0F">
        <w:rPr>
          <w:lang w:val="en-GB"/>
        </w:rPr>
        <w:t>events that are dependent on recurrent annual funding</w:t>
      </w:r>
    </w:p>
    <w:p w14:paraId="50A02FD9" w14:textId="77777777" w:rsidR="00527E0F" w:rsidRPr="00527E0F" w:rsidRDefault="00527E0F" w:rsidP="008A5016">
      <w:pPr>
        <w:pStyle w:val="Bullet1"/>
        <w:numPr>
          <w:ilvl w:val="0"/>
          <w:numId w:val="11"/>
        </w:numPr>
        <w:rPr>
          <w:lang w:val="en-GB"/>
        </w:rPr>
      </w:pPr>
      <w:r w:rsidRPr="00527E0F">
        <w:rPr>
          <w:lang w:val="en-GB"/>
        </w:rPr>
        <w:t xml:space="preserve">activities that take place outside of Victoria </w:t>
      </w:r>
    </w:p>
    <w:p w14:paraId="2C5867EF" w14:textId="77777777" w:rsidR="00527E0F" w:rsidRPr="00527E0F" w:rsidRDefault="00527E0F" w:rsidP="008A5016">
      <w:pPr>
        <w:pStyle w:val="Bullet1"/>
        <w:numPr>
          <w:ilvl w:val="0"/>
          <w:numId w:val="11"/>
        </w:numPr>
        <w:rPr>
          <w:lang w:val="en-GB"/>
        </w:rPr>
      </w:pPr>
      <w:r w:rsidRPr="00527E0F">
        <w:rPr>
          <w:lang w:val="en-GB"/>
        </w:rPr>
        <w:t>activities occurring outside the funding period</w:t>
      </w:r>
    </w:p>
    <w:p w14:paraId="5697F5F8" w14:textId="77777777" w:rsidR="00527E0F" w:rsidRPr="00527E0F" w:rsidRDefault="00527E0F" w:rsidP="008A5016">
      <w:pPr>
        <w:pStyle w:val="Bullet1"/>
        <w:numPr>
          <w:ilvl w:val="0"/>
          <w:numId w:val="11"/>
        </w:numPr>
        <w:rPr>
          <w:lang w:val="en-GB"/>
        </w:rPr>
      </w:pPr>
      <w:r w:rsidRPr="00527E0F">
        <w:t>salaries for staff (not including event-specific staff contracted for the project period)</w:t>
      </w:r>
    </w:p>
    <w:p w14:paraId="1EC40323" w14:textId="77777777" w:rsidR="00527E0F" w:rsidRPr="00527E0F" w:rsidRDefault="00527E0F" w:rsidP="008A5016">
      <w:pPr>
        <w:pStyle w:val="Bullet1"/>
        <w:numPr>
          <w:ilvl w:val="0"/>
          <w:numId w:val="11"/>
        </w:numPr>
        <w:rPr>
          <w:lang w:val="en-GB"/>
        </w:rPr>
      </w:pPr>
      <w:r w:rsidRPr="00527E0F">
        <w:t>buying alcohol</w:t>
      </w:r>
    </w:p>
    <w:p w14:paraId="60B91999" w14:textId="77777777" w:rsidR="00527E0F" w:rsidRPr="00527E0F" w:rsidRDefault="00527E0F" w:rsidP="008A5016">
      <w:pPr>
        <w:pStyle w:val="Bullet1"/>
        <w:numPr>
          <w:ilvl w:val="0"/>
          <w:numId w:val="11"/>
        </w:numPr>
        <w:rPr>
          <w:lang w:val="en-GB"/>
        </w:rPr>
      </w:pPr>
      <w:r w:rsidRPr="00527E0F">
        <w:rPr>
          <w:lang w:val="en-GB"/>
        </w:rPr>
        <w:t>building works</w:t>
      </w:r>
    </w:p>
    <w:p w14:paraId="3817F227" w14:textId="77777777" w:rsidR="00527E0F" w:rsidRPr="00527E0F" w:rsidRDefault="00527E0F" w:rsidP="008A5016">
      <w:pPr>
        <w:pStyle w:val="Bullet1"/>
        <w:numPr>
          <w:ilvl w:val="0"/>
          <w:numId w:val="11"/>
        </w:numPr>
        <w:rPr>
          <w:lang w:val="en-GB"/>
        </w:rPr>
      </w:pPr>
      <w:r w:rsidRPr="00527E0F">
        <w:rPr>
          <w:lang w:val="en-GB"/>
        </w:rPr>
        <w:t>interstate and international travel</w:t>
      </w:r>
    </w:p>
    <w:p w14:paraId="09B18768" w14:textId="77777777" w:rsidR="00527E0F" w:rsidRPr="00527E0F" w:rsidRDefault="00527E0F" w:rsidP="008A5016">
      <w:pPr>
        <w:pStyle w:val="Bullet1"/>
        <w:numPr>
          <w:ilvl w:val="0"/>
          <w:numId w:val="11"/>
        </w:numPr>
        <w:rPr>
          <w:lang w:val="en-GB"/>
        </w:rPr>
      </w:pPr>
      <w:r w:rsidRPr="00527E0F">
        <w:rPr>
          <w:lang w:val="en-GB"/>
        </w:rPr>
        <w:t>items not clearly described or noted as ‘miscellaneous’ or ‘contingency’ in the application and/or budget</w:t>
      </w:r>
    </w:p>
    <w:p w14:paraId="7AA44DF6" w14:textId="77777777" w:rsidR="00527E0F" w:rsidRPr="00527E0F" w:rsidRDefault="00527E0F" w:rsidP="008A5016">
      <w:pPr>
        <w:pStyle w:val="Bullet1"/>
        <w:numPr>
          <w:ilvl w:val="0"/>
          <w:numId w:val="11"/>
        </w:numPr>
        <w:rPr>
          <w:lang w:val="en-GB"/>
        </w:rPr>
      </w:pPr>
      <w:r w:rsidRPr="00527E0F">
        <w:rPr>
          <w:lang w:val="en-GB"/>
        </w:rPr>
        <w:t>retrospective funding for projects or programs that have already started or are complete</w:t>
      </w:r>
    </w:p>
    <w:p w14:paraId="0C4FC484" w14:textId="77777777" w:rsidR="00527E0F" w:rsidRDefault="00527E0F" w:rsidP="008A5016">
      <w:pPr>
        <w:pStyle w:val="Bullet1"/>
        <w:numPr>
          <w:ilvl w:val="0"/>
          <w:numId w:val="11"/>
        </w:numPr>
        <w:rPr>
          <w:lang w:val="en-GB"/>
        </w:rPr>
      </w:pPr>
      <w:r w:rsidRPr="00527E0F">
        <w:rPr>
          <w:lang w:val="en-GB"/>
        </w:rPr>
        <w:t>applications from organisations that failed to meet the terms and conditions of other DFFH grants.</w:t>
      </w:r>
    </w:p>
    <w:p w14:paraId="43556FC8" w14:textId="77777777" w:rsidR="00527E0F" w:rsidRPr="00527E0F" w:rsidRDefault="00527E0F" w:rsidP="00527E0F">
      <w:pPr>
        <w:pStyle w:val="Bullet1"/>
        <w:numPr>
          <w:ilvl w:val="0"/>
          <w:numId w:val="0"/>
        </w:numPr>
        <w:ind w:left="284" w:hanging="284"/>
        <w:rPr>
          <w:lang w:val="en-GB"/>
        </w:rPr>
      </w:pPr>
    </w:p>
    <w:p w14:paraId="0C32B01A" w14:textId="6B22BF9B" w:rsidR="00311229" w:rsidRPr="00311229" w:rsidRDefault="00311229" w:rsidP="006711ED">
      <w:pPr>
        <w:pStyle w:val="Body"/>
        <w:rPr>
          <w:lang w:eastAsia="en-AU"/>
        </w:rPr>
      </w:pPr>
      <w:r w:rsidRPr="00311229">
        <w:rPr>
          <w:lang w:eastAsia="en-AU"/>
        </w:rPr>
        <w:t xml:space="preserve">If you are unsure whether your proposed activities are eligible, please contact the Equality Unit to discuss at </w:t>
      </w:r>
      <w:hyperlink r:id="rId29" w:history="1">
        <w:r w:rsidR="00144C92" w:rsidRPr="00BE629E">
          <w:rPr>
            <w:rStyle w:val="Hyperlink"/>
            <w:rFonts w:eastAsia="Times New Roman"/>
            <w:szCs w:val="21"/>
            <w:lang w:eastAsia="en-AU"/>
          </w:rPr>
          <w:t>equality-grants@dffh.vic.gov.au</w:t>
        </w:r>
      </w:hyperlink>
      <w:r w:rsidRPr="00311229">
        <w:rPr>
          <w:lang w:eastAsia="en-AU"/>
        </w:rPr>
        <w:t xml:space="preserve"> and request a call back.</w:t>
      </w:r>
    </w:p>
    <w:p w14:paraId="438E8802" w14:textId="20D3EFB0" w:rsidR="00311229" w:rsidRPr="00311229" w:rsidRDefault="00ED4815" w:rsidP="00311229">
      <w:pPr>
        <w:pStyle w:val="Heading1"/>
        <w:rPr>
          <w:rStyle w:val="Heading3Char"/>
          <w:b w:val="0"/>
          <w:bCs/>
          <w:sz w:val="40"/>
          <w:szCs w:val="40"/>
        </w:rPr>
      </w:pPr>
      <w:bookmarkStart w:id="35" w:name="_Toc63686860"/>
      <w:bookmarkStart w:id="36" w:name="_Toc175576116"/>
      <w:r>
        <w:rPr>
          <w:rStyle w:val="Heading3Char"/>
          <w:b w:val="0"/>
          <w:bCs/>
          <w:sz w:val="40"/>
          <w:szCs w:val="40"/>
        </w:rPr>
        <w:lastRenderedPageBreak/>
        <w:t>Organisational e</w:t>
      </w:r>
      <w:r w:rsidR="00311229" w:rsidRPr="00311229">
        <w:rPr>
          <w:rStyle w:val="Heading3Char"/>
          <w:b w:val="0"/>
          <w:bCs/>
          <w:sz w:val="40"/>
          <w:szCs w:val="40"/>
        </w:rPr>
        <w:t>ligibility</w:t>
      </w:r>
      <w:bookmarkEnd w:id="35"/>
      <w:bookmarkEnd w:id="36"/>
    </w:p>
    <w:p w14:paraId="1F8FF2F5" w14:textId="77777777" w:rsidR="00F83B8C" w:rsidRDefault="00F83B8C" w:rsidP="00F83B8C">
      <w:pPr>
        <w:pStyle w:val="Body"/>
        <w:rPr>
          <w:rStyle w:val="Strong"/>
        </w:rPr>
      </w:pPr>
      <w:r>
        <w:t>Y</w:t>
      </w:r>
      <w:r w:rsidRPr="00ED7AC6">
        <w:t>our</w:t>
      </w:r>
      <w:r>
        <w:t xml:space="preserve"> </w:t>
      </w:r>
      <w:r w:rsidRPr="00ED7AC6">
        <w:t>organisation</w:t>
      </w:r>
      <w:r>
        <w:t xml:space="preserve"> must </w:t>
      </w:r>
      <w:r w:rsidRPr="00ED7AC6">
        <w:t>meet</w:t>
      </w:r>
      <w:r>
        <w:t xml:space="preserve"> </w:t>
      </w:r>
      <w:r w:rsidRPr="00ED7AC6">
        <w:t>the</w:t>
      </w:r>
      <w:r>
        <w:t xml:space="preserve"> </w:t>
      </w:r>
      <w:r w:rsidRPr="00ED7AC6">
        <w:t>following</w:t>
      </w:r>
      <w:r>
        <w:t xml:space="preserve"> </w:t>
      </w:r>
      <w:r w:rsidRPr="00ED7AC6">
        <w:t>eligibility</w:t>
      </w:r>
      <w:r>
        <w:t xml:space="preserve"> </w:t>
      </w:r>
      <w:r w:rsidRPr="00ED7AC6">
        <w:t>criteria</w:t>
      </w:r>
      <w:r>
        <w:t>.</w:t>
      </w:r>
    </w:p>
    <w:p w14:paraId="706864A9" w14:textId="77777777" w:rsidR="00F83B8C" w:rsidRPr="002D346E" w:rsidRDefault="00F83B8C" w:rsidP="00F83B8C">
      <w:pPr>
        <w:pStyle w:val="Body"/>
        <w:rPr>
          <w:rStyle w:val="Strong"/>
          <w:b w:val="0"/>
          <w:bCs w:val="0"/>
        </w:rPr>
      </w:pPr>
      <w:r w:rsidRPr="002D346E">
        <w:rPr>
          <w:rStyle w:val="Strong"/>
          <w:b w:val="0"/>
          <w:bCs w:val="0"/>
        </w:rPr>
        <w:t xml:space="preserve">You </w:t>
      </w:r>
      <w:r w:rsidRPr="002D346E">
        <w:rPr>
          <w:rStyle w:val="Strong"/>
        </w:rPr>
        <w:t>must</w:t>
      </w:r>
      <w:r w:rsidRPr="002D346E">
        <w:rPr>
          <w:rStyle w:val="Strong"/>
          <w:b w:val="0"/>
          <w:bCs w:val="0"/>
        </w:rPr>
        <w:t xml:space="preserve"> be either:</w:t>
      </w:r>
    </w:p>
    <w:p w14:paraId="6FEAA86B" w14:textId="17C40D38" w:rsidR="00F83B8C" w:rsidRPr="00D25DFD" w:rsidRDefault="00F83B8C" w:rsidP="00C103E9">
      <w:pPr>
        <w:pStyle w:val="Tablebullet1"/>
        <w:rPr>
          <w:lang w:val="en-GB"/>
        </w:rPr>
      </w:pPr>
      <w:r>
        <w:t>a</w:t>
      </w:r>
      <w:r w:rsidR="001815A6">
        <w:t xml:space="preserve"> </w:t>
      </w:r>
      <w:r w:rsidRPr="00D25DFD">
        <w:rPr>
          <w:lang w:val="en-GB"/>
        </w:rPr>
        <w:t xml:space="preserve">not-for-profit or peak community body based in Victoria that is an incorporated legal entity under the </w:t>
      </w:r>
      <w:r w:rsidRPr="00D25DFD">
        <w:rPr>
          <w:i/>
          <w:iCs/>
          <w:lang w:val="en-GB"/>
        </w:rPr>
        <w:t>Corporations Act 2001</w:t>
      </w:r>
      <w:r w:rsidRPr="00D25DFD">
        <w:rPr>
          <w:lang w:val="en-GB"/>
        </w:rPr>
        <w:t xml:space="preserve"> (</w:t>
      </w:r>
      <w:proofErr w:type="spellStart"/>
      <w:r w:rsidRPr="00D25DFD">
        <w:rPr>
          <w:lang w:val="en-GB"/>
        </w:rPr>
        <w:t>Cth</w:t>
      </w:r>
      <w:proofErr w:type="spellEnd"/>
      <w:r w:rsidRPr="00D25DFD">
        <w:rPr>
          <w:lang w:val="en-GB"/>
        </w:rPr>
        <w:t xml:space="preserve">) or the </w:t>
      </w:r>
      <w:r w:rsidRPr="00D25DFD">
        <w:rPr>
          <w:i/>
          <w:iCs/>
          <w:lang w:val="en-GB"/>
        </w:rPr>
        <w:t>Associations Incorporation Reform Act 2001</w:t>
      </w:r>
      <w:r w:rsidRPr="00D25DFD">
        <w:rPr>
          <w:lang w:val="en-GB"/>
        </w:rPr>
        <w:t xml:space="preserve"> (Vic) or a similar type of organisation, or</w:t>
      </w:r>
    </w:p>
    <w:p w14:paraId="184C08FC" w14:textId="77777777" w:rsidR="00F83B8C" w:rsidRPr="00D25DFD" w:rsidRDefault="00F83B8C" w:rsidP="00C103E9">
      <w:pPr>
        <w:pStyle w:val="Tablebullet1"/>
        <w:rPr>
          <w:lang w:val="en-GB"/>
        </w:rPr>
      </w:pPr>
      <w:r w:rsidRPr="00D25DFD">
        <w:rPr>
          <w:lang w:val="en-GB"/>
        </w:rPr>
        <w:t xml:space="preserve">a social enterprise with a clearly stated purpose or mission related specifically to supporting </w:t>
      </w:r>
      <w:r>
        <w:rPr>
          <w:lang w:val="en-GB"/>
        </w:rPr>
        <w:t>LGBTIQA+</w:t>
      </w:r>
      <w:r w:rsidRPr="00D25DFD">
        <w:rPr>
          <w:lang w:val="en-GB"/>
        </w:rPr>
        <w:t xml:space="preserve"> communities.</w:t>
      </w:r>
    </w:p>
    <w:p w14:paraId="3801659E" w14:textId="77777777" w:rsidR="00F83B8C" w:rsidRPr="002D346E" w:rsidRDefault="00F83B8C" w:rsidP="00F83B8C">
      <w:pPr>
        <w:pStyle w:val="Bodyafterbullets"/>
        <w:rPr>
          <w:rStyle w:val="Strong"/>
          <w:b w:val="0"/>
          <w:bCs w:val="0"/>
        </w:rPr>
      </w:pPr>
      <w:r w:rsidRPr="002D346E">
        <w:rPr>
          <w:rStyle w:val="Strong"/>
          <w:b w:val="0"/>
          <w:bCs w:val="0"/>
        </w:rPr>
        <w:t xml:space="preserve">You </w:t>
      </w:r>
      <w:r w:rsidRPr="002D346E">
        <w:rPr>
          <w:rStyle w:val="Strong"/>
        </w:rPr>
        <w:t>must</w:t>
      </w:r>
      <w:r w:rsidRPr="002D346E">
        <w:rPr>
          <w:rStyle w:val="Strong"/>
          <w:b w:val="0"/>
          <w:bCs w:val="0"/>
        </w:rPr>
        <w:t xml:space="preserve"> have:</w:t>
      </w:r>
    </w:p>
    <w:p w14:paraId="28A42F79" w14:textId="77777777" w:rsidR="00F83B8C" w:rsidRPr="00D25DFD" w:rsidRDefault="00F83B8C" w:rsidP="00C103E9">
      <w:pPr>
        <w:pStyle w:val="Tablebullet1"/>
        <w:rPr>
          <w:lang w:val="en-GB"/>
        </w:rPr>
      </w:pPr>
      <w:r w:rsidRPr="00D25DFD">
        <w:rPr>
          <w:lang w:val="en-GB"/>
        </w:rPr>
        <w:t>a current Australian Business Number (ABN)</w:t>
      </w:r>
    </w:p>
    <w:p w14:paraId="3DBDFCF7" w14:textId="77777777" w:rsidR="00F83B8C" w:rsidRPr="009E385F" w:rsidRDefault="00F83B8C" w:rsidP="00C103E9">
      <w:pPr>
        <w:pStyle w:val="Tablebullet1"/>
        <w:rPr>
          <w:lang w:val="en-GB"/>
        </w:rPr>
      </w:pPr>
      <w:r w:rsidRPr="009E385F">
        <w:rPr>
          <w:lang w:val="en-GB"/>
        </w:rPr>
        <w:t xml:space="preserve">at least $10 million in public liability </w:t>
      </w:r>
      <w:r>
        <w:rPr>
          <w:lang w:val="en-GB"/>
        </w:rPr>
        <w:t>i</w:t>
      </w:r>
      <w:r w:rsidRPr="009E385F">
        <w:rPr>
          <w:lang w:val="en-GB"/>
        </w:rPr>
        <w:t>nsurance to cover all aspects of funded activity for the term of the funding agreement – or an auspice arrangement with this insurance cover</w:t>
      </w:r>
    </w:p>
    <w:p w14:paraId="3C9E5890" w14:textId="77777777" w:rsidR="00F83B8C" w:rsidRDefault="00F83B8C" w:rsidP="00C103E9">
      <w:pPr>
        <w:pStyle w:val="Tablebullet1"/>
        <w:rPr>
          <w:lang w:val="en-GB"/>
        </w:rPr>
      </w:pPr>
      <w:r w:rsidRPr="0062183F">
        <w:rPr>
          <w:lang w:val="en-GB"/>
        </w:rPr>
        <w:t>no overdue</w:t>
      </w:r>
      <w:r>
        <w:rPr>
          <w:lang w:val="en-GB"/>
        </w:rPr>
        <w:t xml:space="preserve"> reporting requirements</w:t>
      </w:r>
      <w:r w:rsidRPr="0062183F">
        <w:rPr>
          <w:lang w:val="en-GB"/>
        </w:rPr>
        <w:t xml:space="preserve"> from </w:t>
      </w:r>
      <w:r>
        <w:rPr>
          <w:lang w:val="en-GB"/>
        </w:rPr>
        <w:t>previously funded grants from DFFH</w:t>
      </w:r>
      <w:r w:rsidRPr="00D25DFD">
        <w:rPr>
          <w:lang w:val="en-GB"/>
        </w:rPr>
        <w:t>.</w:t>
      </w:r>
      <w:r>
        <w:rPr>
          <w:lang w:val="en-GB"/>
        </w:rPr>
        <w:t xml:space="preserve"> This includes reports, acquittals, evaluations and any requests DFFH has made of your organisation.</w:t>
      </w:r>
    </w:p>
    <w:p w14:paraId="21B85512" w14:textId="68DED9D0" w:rsidR="00F83B8C" w:rsidRPr="00703678" w:rsidRDefault="00F83B8C" w:rsidP="00F83B8C">
      <w:pPr>
        <w:pStyle w:val="Bodyafterbullets"/>
        <w:rPr>
          <w:b/>
          <w:bCs/>
        </w:rPr>
      </w:pPr>
      <w:r>
        <w:t>Unincorporated associations and community organisations with no ABN are not eligible. However, they can apply using an auspice (</w:t>
      </w:r>
      <w:r w:rsidR="002D346E">
        <w:t xml:space="preserve">see </w:t>
      </w:r>
      <w:hyperlink w:anchor="_Can_I_have" w:history="1">
        <w:r w:rsidR="002D346E" w:rsidRPr="002D346E">
          <w:rPr>
            <w:rStyle w:val="Hyperlink"/>
          </w:rPr>
          <w:t>Can I have an auspice arrangement?</w:t>
        </w:r>
        <w:r w:rsidRPr="002D346E">
          <w:rPr>
            <w:rStyle w:val="Hyperlink"/>
          </w:rPr>
          <w:t>).</w:t>
        </w:r>
      </w:hyperlink>
    </w:p>
    <w:p w14:paraId="411E6980" w14:textId="3A0E8BBE" w:rsidR="008F17DC" w:rsidRDefault="00286C7D" w:rsidP="00FF5EB8">
      <w:pPr>
        <w:pStyle w:val="Heading2"/>
      </w:pPr>
      <w:bookmarkStart w:id="37" w:name="_Toc175576117"/>
      <w:r>
        <w:t>My group/organisation is based in another state, are we eligible to apply?</w:t>
      </w:r>
      <w:bookmarkEnd w:id="37"/>
    </w:p>
    <w:p w14:paraId="22A61A1D" w14:textId="22DA1CB0" w:rsidR="00286C7D" w:rsidRDefault="00CC18D6" w:rsidP="00286C7D">
      <w:pPr>
        <w:pStyle w:val="Body"/>
      </w:pPr>
      <w:r>
        <w:t>This will depend on the specific structure of your organisation, however if you have staff, volunteers or operations that are based in Victoria then you may be eligible to apply for funding</w:t>
      </w:r>
      <w:r w:rsidR="0013011C">
        <w:t xml:space="preserve"> through P</w:t>
      </w:r>
      <w:r w:rsidR="00C103E9">
        <w:t xml:space="preserve">ride </w:t>
      </w:r>
      <w:r w:rsidR="0013011C">
        <w:t>E</w:t>
      </w:r>
      <w:r w:rsidR="00C103E9">
        <w:t xml:space="preserve">vents </w:t>
      </w:r>
      <w:r w:rsidR="0013011C">
        <w:t>F</w:t>
      </w:r>
      <w:r w:rsidR="00C103E9">
        <w:t xml:space="preserve">estival </w:t>
      </w:r>
      <w:r w:rsidR="0013011C">
        <w:t>F</w:t>
      </w:r>
      <w:r w:rsidR="00C103E9">
        <w:t>und</w:t>
      </w:r>
      <w:r w:rsidR="0013011C">
        <w:t xml:space="preserve">. </w:t>
      </w:r>
    </w:p>
    <w:p w14:paraId="4FD189F9" w14:textId="142907BE" w:rsidR="0013011C" w:rsidRDefault="0013011C" w:rsidP="00286C7D">
      <w:pPr>
        <w:pStyle w:val="Body"/>
      </w:pPr>
      <w:r>
        <w:t xml:space="preserve">We would strongly </w:t>
      </w:r>
      <w:r w:rsidRPr="0013011C">
        <w:t>encourage partnerships between organisations, so if there is a fully Victorian-based community organisation or group who you could partner with on this event, this approach may help to strengthen your application.</w:t>
      </w:r>
    </w:p>
    <w:p w14:paraId="6EECE4ED" w14:textId="21E7A739" w:rsidR="0013011C" w:rsidRPr="00286C7D" w:rsidRDefault="0013011C" w:rsidP="00286C7D">
      <w:pPr>
        <w:pStyle w:val="Body"/>
      </w:pPr>
      <w:r>
        <w:t xml:space="preserve">Please email </w:t>
      </w:r>
      <w:hyperlink r:id="rId30" w:history="1">
        <w:r w:rsidRPr="00396F1C">
          <w:rPr>
            <w:rStyle w:val="Hyperlink"/>
          </w:rPr>
          <w:t>equality-grants@dffh.vic.gov.au</w:t>
        </w:r>
      </w:hyperlink>
      <w:r>
        <w:t xml:space="preserve"> </w:t>
      </w:r>
      <w:r w:rsidR="00FA727C">
        <w:t>for more specific advice on your organisation’s eligibility.</w:t>
      </w:r>
    </w:p>
    <w:p w14:paraId="25FEDCAD" w14:textId="20C1AD34" w:rsidR="00FF5EB8" w:rsidRDefault="00FF5EB8" w:rsidP="00FF5EB8">
      <w:pPr>
        <w:pStyle w:val="Heading2"/>
      </w:pPr>
      <w:bookmarkStart w:id="38" w:name="_Toc175576118"/>
      <w:r>
        <w:t>Can councils apply</w:t>
      </w:r>
      <w:r w:rsidRPr="00DF57E1">
        <w:t>?</w:t>
      </w:r>
      <w:bookmarkEnd w:id="38"/>
    </w:p>
    <w:p w14:paraId="313F6C0C" w14:textId="18AB4BBB" w:rsidR="0008339A" w:rsidRPr="00FA727C" w:rsidRDefault="00D53A16" w:rsidP="00D53A16">
      <w:r>
        <w:t>No, however</w:t>
      </w:r>
      <w:r w:rsidR="007C11DF">
        <w:t xml:space="preserve"> </w:t>
      </w:r>
      <w:r w:rsidR="00690D08">
        <w:t>c</w:t>
      </w:r>
      <w:r w:rsidR="007C11DF">
        <w:t>ouncils</w:t>
      </w:r>
      <w:bookmarkStart w:id="39" w:name="_Toc63686862"/>
      <w:r>
        <w:t xml:space="preserve"> can </w:t>
      </w:r>
      <w:r w:rsidR="00B47022">
        <w:t>partner</w:t>
      </w:r>
      <w:r>
        <w:t xml:space="preserve"> with an LGBTIQA+ organisation that wants to run an eligible event or activity. Check the section on Auspice agreements in the guidelines for more info</w:t>
      </w:r>
      <w:r w:rsidR="00427AF1">
        <w:t>rmation</w:t>
      </w:r>
      <w:r>
        <w:t>.</w:t>
      </w:r>
    </w:p>
    <w:p w14:paraId="2E8CF2FC" w14:textId="13D63632" w:rsidR="00311229" w:rsidRPr="0064660B" w:rsidRDefault="00311229" w:rsidP="00852936">
      <w:pPr>
        <w:pStyle w:val="Heading2"/>
      </w:pPr>
      <w:bookmarkStart w:id="40" w:name="_Toc175576119"/>
      <w:r w:rsidRPr="0064660B">
        <w:rPr>
          <w:rStyle w:val="Heading3Char"/>
          <w:b/>
          <w:bCs w:val="0"/>
          <w:sz w:val="32"/>
          <w:szCs w:val="28"/>
        </w:rPr>
        <w:t>How do I know if my organisation or group is a ‘legal entity’?</w:t>
      </w:r>
      <w:bookmarkEnd w:id="39"/>
      <w:bookmarkEnd w:id="40"/>
    </w:p>
    <w:p w14:paraId="2ECEC321" w14:textId="77777777" w:rsidR="00311229" w:rsidRPr="00F40F2D" w:rsidRDefault="00311229" w:rsidP="00311229">
      <w:pPr>
        <w:pStyle w:val="Body"/>
      </w:pPr>
      <w:r w:rsidRPr="00F40F2D">
        <w:t>If you are unsure about your entity status, you can check online by searching your legal name or Australian Business Number (ABN) on the Australian Bus</w:t>
      </w:r>
      <w:r>
        <w:t xml:space="preserve">iness Register using the ABN Lookup at </w:t>
      </w:r>
      <w:hyperlink r:id="rId31" w:history="1">
        <w:r w:rsidRPr="00311229">
          <w:rPr>
            <w:rStyle w:val="Hyperlink"/>
            <w:rFonts w:eastAsiaTheme="minorHAnsi" w:cs="Arial"/>
            <w:szCs w:val="21"/>
          </w:rPr>
          <w:t>www.abr.business.gov.au</w:t>
        </w:r>
      </w:hyperlink>
      <w:r w:rsidRPr="00311229">
        <w:rPr>
          <w:rFonts w:cs="Arial"/>
          <w:szCs w:val="21"/>
        </w:rPr>
        <w:t>.</w:t>
      </w:r>
      <w:r w:rsidRPr="00F40F2D">
        <w:t xml:space="preserve"> If you are registered</w:t>
      </w:r>
      <w:r>
        <w:t>,</w:t>
      </w:r>
      <w:r w:rsidRPr="00F40F2D">
        <w:t xml:space="preserve"> your entity status will be listed. Common examples of a legal entity include an incorporated association, company, partnership or trust. </w:t>
      </w:r>
    </w:p>
    <w:p w14:paraId="4D209C29" w14:textId="77777777" w:rsidR="00311229" w:rsidRPr="00F40F2D" w:rsidRDefault="00311229" w:rsidP="00311229">
      <w:pPr>
        <w:pStyle w:val="Body"/>
      </w:pPr>
      <w:r w:rsidRPr="00F40F2D">
        <w:t xml:space="preserve">If your organisation or group is not a legal entity, you will need to </w:t>
      </w:r>
      <w:proofErr w:type="gramStart"/>
      <w:r w:rsidRPr="00F40F2D">
        <w:t>enter into</w:t>
      </w:r>
      <w:proofErr w:type="gramEnd"/>
      <w:r w:rsidRPr="00F40F2D">
        <w:t xml:space="preserve"> an auspice arrangement with a legal entity </w:t>
      </w:r>
      <w:r>
        <w:t xml:space="preserve">who will enter </w:t>
      </w:r>
      <w:r w:rsidRPr="00F40F2D">
        <w:t xml:space="preserve">into a funding agreement on your behalf. If your application does not have an associated legal entity when the full application period closes, your application will not be eligible for funding. </w:t>
      </w:r>
    </w:p>
    <w:p w14:paraId="77139C32" w14:textId="6B13BCFB" w:rsidR="00311229" w:rsidRDefault="00311229" w:rsidP="00311229">
      <w:pPr>
        <w:pStyle w:val="Body"/>
      </w:pPr>
      <w:r w:rsidRPr="00E93BD2">
        <w:t xml:space="preserve">If you have any questions or are unsure about your organisation's ability to enter into a funding agreement with the Department, please contact the Equality Unit at </w:t>
      </w:r>
      <w:hyperlink r:id="rId32" w:history="1">
        <w:r w:rsidR="003759F9" w:rsidRPr="00BE629E">
          <w:rPr>
            <w:rStyle w:val="Hyperlink"/>
            <w:rFonts w:cs="Arial"/>
          </w:rPr>
          <w:t>equality-grants@dffh.vic.gov.au</w:t>
        </w:r>
      </w:hyperlink>
      <w:r w:rsidRPr="00E93BD2">
        <w:t xml:space="preserve"> and request a call back to discuss.</w:t>
      </w:r>
      <w:r w:rsidRPr="00F40F2D">
        <w:t xml:space="preserve"> </w:t>
      </w:r>
    </w:p>
    <w:p w14:paraId="21CDE01A" w14:textId="54211A3C" w:rsidR="00311229" w:rsidRPr="00434EEE" w:rsidRDefault="00311229" w:rsidP="00311229">
      <w:pPr>
        <w:pStyle w:val="Heading2"/>
      </w:pPr>
      <w:bookmarkStart w:id="41" w:name="_Toc63686863"/>
      <w:bookmarkStart w:id="42" w:name="_Can_I_have"/>
      <w:bookmarkStart w:id="43" w:name="_Toc175576120"/>
      <w:bookmarkEnd w:id="42"/>
      <w:r w:rsidRPr="00434EEE">
        <w:lastRenderedPageBreak/>
        <w:t>Can I have an auspice arrangement?</w:t>
      </w:r>
      <w:bookmarkEnd w:id="41"/>
      <w:bookmarkEnd w:id="43"/>
    </w:p>
    <w:p w14:paraId="1636CAE7" w14:textId="7D0A1D0D" w:rsidR="00311229" w:rsidRDefault="003759F9" w:rsidP="00311229">
      <w:pPr>
        <w:pStyle w:val="Body"/>
        <w:rPr>
          <w:lang w:val="en-GB"/>
        </w:rPr>
      </w:pPr>
      <w:r>
        <w:rPr>
          <w:lang w:val="en-GB"/>
        </w:rPr>
        <w:t>Yes</w:t>
      </w:r>
      <w:r w:rsidR="00311229" w:rsidRPr="005C188B">
        <w:rPr>
          <w:lang w:val="en-GB"/>
        </w:rPr>
        <w:t xml:space="preserve">, auspice arrangements are available to applicants of the </w:t>
      </w:r>
      <w:r>
        <w:rPr>
          <w:lang w:val="en-GB"/>
        </w:rPr>
        <w:t>Pride Events and Festivals</w:t>
      </w:r>
      <w:r w:rsidR="00311229" w:rsidRPr="005C188B">
        <w:rPr>
          <w:lang w:val="en-GB"/>
        </w:rPr>
        <w:t xml:space="preserve"> Fund</w:t>
      </w:r>
      <w:r w:rsidR="00FF5EB8">
        <w:rPr>
          <w:lang w:val="en-GB"/>
        </w:rPr>
        <w:t xml:space="preserve"> 202</w:t>
      </w:r>
      <w:r w:rsidR="003C0C69">
        <w:rPr>
          <w:lang w:val="en-GB"/>
        </w:rPr>
        <w:t>4</w:t>
      </w:r>
      <w:r w:rsidR="00FF5EB8">
        <w:rPr>
          <w:lang w:val="en-GB"/>
        </w:rPr>
        <w:t>-2</w:t>
      </w:r>
      <w:r w:rsidR="003C0C69">
        <w:rPr>
          <w:lang w:val="en-GB"/>
        </w:rPr>
        <w:t>5</w:t>
      </w:r>
      <w:r w:rsidR="00311229" w:rsidRPr="005C188B">
        <w:rPr>
          <w:lang w:val="en-GB"/>
        </w:rPr>
        <w:t xml:space="preserve">. </w:t>
      </w:r>
    </w:p>
    <w:p w14:paraId="55FCCB08" w14:textId="0B7E6236" w:rsidR="00ED4815" w:rsidRDefault="00ED4815" w:rsidP="00ED4815">
      <w:pPr>
        <w:pStyle w:val="Heading1"/>
        <w:rPr>
          <w:lang w:val="en-GB"/>
        </w:rPr>
      </w:pPr>
      <w:bookmarkStart w:id="44" w:name="_Toc175576121"/>
      <w:r>
        <w:rPr>
          <w:lang w:val="en-GB"/>
        </w:rPr>
        <w:t>Event eligibility</w:t>
      </w:r>
      <w:bookmarkEnd w:id="44"/>
    </w:p>
    <w:p w14:paraId="78FF0AC7" w14:textId="00628574" w:rsidR="00ED4815" w:rsidRDefault="00013AAF" w:rsidP="00B346A9">
      <w:pPr>
        <w:pStyle w:val="Heading2"/>
        <w:rPr>
          <w:lang w:val="en-GB"/>
        </w:rPr>
      </w:pPr>
      <w:bookmarkStart w:id="45" w:name="_Toc175576122"/>
      <w:r>
        <w:rPr>
          <w:lang w:val="en-GB"/>
        </w:rPr>
        <w:t>We would like to host a</w:t>
      </w:r>
      <w:r w:rsidR="003B1FAA">
        <w:rPr>
          <w:lang w:val="en-GB"/>
        </w:rPr>
        <w:t xml:space="preserve">n </w:t>
      </w:r>
      <w:r>
        <w:rPr>
          <w:lang w:val="en-GB"/>
        </w:rPr>
        <w:t xml:space="preserve">event for a specific </w:t>
      </w:r>
      <w:r w:rsidR="00695BEF">
        <w:rPr>
          <w:lang w:val="en-GB"/>
        </w:rPr>
        <w:t xml:space="preserve">group </w:t>
      </w:r>
      <w:r>
        <w:rPr>
          <w:lang w:val="en-GB"/>
        </w:rPr>
        <w:t xml:space="preserve">of our community </w:t>
      </w:r>
      <w:r w:rsidR="003B1FAA">
        <w:rPr>
          <w:lang w:val="en-GB"/>
        </w:rPr>
        <w:t>that</w:t>
      </w:r>
      <w:r w:rsidR="00196E7C">
        <w:rPr>
          <w:lang w:val="en-GB"/>
        </w:rPr>
        <w:t xml:space="preserve"> would be safer for participants if it were exclusively for this group (e.g.</w:t>
      </w:r>
      <w:r w:rsidR="00B41D58">
        <w:rPr>
          <w:lang w:val="en-GB"/>
        </w:rPr>
        <w:t xml:space="preserve"> a </w:t>
      </w:r>
      <w:r w:rsidR="00E0702A">
        <w:rPr>
          <w:lang w:val="en-GB"/>
        </w:rPr>
        <w:t>R</w:t>
      </w:r>
      <w:r w:rsidR="00B41D58">
        <w:rPr>
          <w:lang w:val="en-GB"/>
        </w:rPr>
        <w:t>ainbow Mob or transgender exclusive event). Is this type of event eligible?</w:t>
      </w:r>
      <w:bookmarkEnd w:id="45"/>
      <w:r>
        <w:rPr>
          <w:lang w:val="en-GB"/>
        </w:rPr>
        <w:t xml:space="preserve"> </w:t>
      </w:r>
    </w:p>
    <w:p w14:paraId="49D9C3F7" w14:textId="64F1AA08" w:rsidR="00E0702A" w:rsidRDefault="00E0702A" w:rsidP="00E0702A">
      <w:pPr>
        <w:pStyle w:val="Body"/>
        <w:rPr>
          <w:lang w:val="en-GB"/>
        </w:rPr>
      </w:pPr>
      <w:r>
        <w:rPr>
          <w:lang w:val="en-GB"/>
        </w:rPr>
        <w:t xml:space="preserve">Events funded through </w:t>
      </w:r>
      <w:r w:rsidR="00C103E9">
        <w:rPr>
          <w:lang w:val="en-GB"/>
        </w:rPr>
        <w:t>Pride Events and Festivals</w:t>
      </w:r>
      <w:r w:rsidR="00C103E9" w:rsidRPr="005C188B">
        <w:rPr>
          <w:lang w:val="en-GB"/>
        </w:rPr>
        <w:t xml:space="preserve"> Fund</w:t>
      </w:r>
      <w:r w:rsidR="00C103E9">
        <w:rPr>
          <w:lang w:val="en-GB"/>
        </w:rPr>
        <w:t xml:space="preserve"> </w:t>
      </w:r>
      <w:r>
        <w:rPr>
          <w:lang w:val="en-GB"/>
        </w:rPr>
        <w:t>should be open to the public for any</w:t>
      </w:r>
      <w:r w:rsidR="00DB6B48">
        <w:rPr>
          <w:lang w:val="en-GB"/>
        </w:rPr>
        <w:t xml:space="preserve"> person across the state to attend or participate. </w:t>
      </w:r>
      <w:r w:rsidR="00844298">
        <w:rPr>
          <w:lang w:val="en-GB"/>
        </w:rPr>
        <w:t xml:space="preserve">Events cannot be invite-only or members-only events. </w:t>
      </w:r>
      <w:r w:rsidR="00DB6B48">
        <w:rPr>
          <w:lang w:val="en-GB"/>
        </w:rPr>
        <w:t xml:space="preserve">However, the department notes the importance of culturally safe events for specific </w:t>
      </w:r>
      <w:r w:rsidR="006A35DA">
        <w:rPr>
          <w:lang w:val="en-GB"/>
        </w:rPr>
        <w:t xml:space="preserve">groups within </w:t>
      </w:r>
      <w:r w:rsidR="002E05BC">
        <w:rPr>
          <w:lang w:val="en-GB"/>
        </w:rPr>
        <w:t xml:space="preserve">Victoria’s </w:t>
      </w:r>
      <w:r w:rsidR="006A35DA">
        <w:rPr>
          <w:lang w:val="en-GB"/>
        </w:rPr>
        <w:t xml:space="preserve">LGBTIQA+ communities that would benefit from </w:t>
      </w:r>
      <w:r w:rsidR="00931502">
        <w:rPr>
          <w:lang w:val="en-GB"/>
        </w:rPr>
        <w:t>events</w:t>
      </w:r>
      <w:r w:rsidR="00323354">
        <w:rPr>
          <w:lang w:val="en-GB"/>
        </w:rPr>
        <w:t xml:space="preserve"> exclusively for people from th</w:t>
      </w:r>
      <w:r w:rsidR="002E05BC">
        <w:rPr>
          <w:lang w:val="en-GB"/>
        </w:rPr>
        <w:t>at</w:t>
      </w:r>
      <w:r w:rsidR="00323354">
        <w:rPr>
          <w:lang w:val="en-GB"/>
        </w:rPr>
        <w:t xml:space="preserve"> specific group</w:t>
      </w:r>
      <w:r w:rsidR="00931502">
        <w:rPr>
          <w:lang w:val="en-GB"/>
        </w:rPr>
        <w:t xml:space="preserve">. </w:t>
      </w:r>
    </w:p>
    <w:p w14:paraId="7D836C2B" w14:textId="61E3C601" w:rsidR="007711A3" w:rsidRDefault="008F0703" w:rsidP="00E0702A">
      <w:pPr>
        <w:pStyle w:val="Body"/>
        <w:rPr>
          <w:lang w:val="en-GB"/>
        </w:rPr>
      </w:pPr>
      <w:r>
        <w:rPr>
          <w:lang w:val="en-GB"/>
        </w:rPr>
        <w:t xml:space="preserve">We would encourage applicants to </w:t>
      </w:r>
      <w:r w:rsidR="00F61C1A">
        <w:rPr>
          <w:lang w:val="en-GB"/>
        </w:rPr>
        <w:t>apply</w:t>
      </w:r>
      <w:r>
        <w:rPr>
          <w:lang w:val="en-GB"/>
        </w:rPr>
        <w:t xml:space="preserve"> for these events and note in their application why the event should be </w:t>
      </w:r>
      <w:r w:rsidR="00844298">
        <w:rPr>
          <w:lang w:val="en-GB"/>
        </w:rPr>
        <w:t xml:space="preserve">exclusive to </w:t>
      </w:r>
      <w:r w:rsidR="002E05BC">
        <w:rPr>
          <w:lang w:val="en-GB"/>
        </w:rPr>
        <w:t xml:space="preserve">the </w:t>
      </w:r>
      <w:r w:rsidR="00576A23">
        <w:rPr>
          <w:lang w:val="en-GB"/>
        </w:rPr>
        <w:t>identified</w:t>
      </w:r>
      <w:r w:rsidR="002E05BC">
        <w:rPr>
          <w:lang w:val="en-GB"/>
        </w:rPr>
        <w:t xml:space="preserve"> </w:t>
      </w:r>
      <w:r w:rsidR="00844298">
        <w:rPr>
          <w:lang w:val="en-GB"/>
        </w:rPr>
        <w:t>specific group.</w:t>
      </w:r>
      <w:r w:rsidR="003A51E7">
        <w:rPr>
          <w:lang w:val="en-GB"/>
        </w:rPr>
        <w:t xml:space="preserve"> It should be clear in the application that any person who meets the criteria for that group would be able to attend, even if they do not have a history or affiliation with the hosting organisation</w:t>
      </w:r>
      <w:r w:rsidR="00C940EC">
        <w:rPr>
          <w:lang w:val="en-GB"/>
        </w:rPr>
        <w:t xml:space="preserve">. </w:t>
      </w:r>
    </w:p>
    <w:p w14:paraId="29673E33" w14:textId="139FA381" w:rsidR="008F0703" w:rsidRPr="00E0702A" w:rsidRDefault="00C940EC" w:rsidP="00E0702A">
      <w:pPr>
        <w:pStyle w:val="Body"/>
        <w:rPr>
          <w:lang w:val="en-GB"/>
        </w:rPr>
      </w:pPr>
      <w:r>
        <w:rPr>
          <w:lang w:val="en-GB"/>
        </w:rPr>
        <w:t>For example, if</w:t>
      </w:r>
      <w:r w:rsidR="00E206CF">
        <w:rPr>
          <w:lang w:val="en-GB"/>
        </w:rPr>
        <w:t xml:space="preserve"> a transgender peak body is proposing</w:t>
      </w:r>
      <w:r>
        <w:rPr>
          <w:lang w:val="en-GB"/>
        </w:rPr>
        <w:t xml:space="preserve"> </w:t>
      </w:r>
      <w:r w:rsidR="007711A3">
        <w:rPr>
          <w:lang w:val="en-GB"/>
        </w:rPr>
        <w:t>to host</w:t>
      </w:r>
      <w:r>
        <w:rPr>
          <w:lang w:val="en-GB"/>
        </w:rPr>
        <w:t xml:space="preserve"> </w:t>
      </w:r>
      <w:r w:rsidR="004A264B">
        <w:rPr>
          <w:lang w:val="en-GB"/>
        </w:rPr>
        <w:t xml:space="preserve">a games night </w:t>
      </w:r>
      <w:r w:rsidR="00E206CF">
        <w:rPr>
          <w:lang w:val="en-GB"/>
        </w:rPr>
        <w:t xml:space="preserve">for trans and gender diverse </w:t>
      </w:r>
      <w:r w:rsidR="005013BA">
        <w:rPr>
          <w:lang w:val="en-GB"/>
        </w:rPr>
        <w:t>young people under 25, any trans or gender diverse young person should be able to attend this event</w:t>
      </w:r>
      <w:r w:rsidR="007711A3">
        <w:rPr>
          <w:lang w:val="en-GB"/>
        </w:rPr>
        <w:t xml:space="preserve">. </w:t>
      </w:r>
      <w:r w:rsidR="00B337DD">
        <w:rPr>
          <w:lang w:val="en-GB"/>
        </w:rPr>
        <w:t>It cannot be exclusive to only staff, members, volunteers or supporters of th</w:t>
      </w:r>
      <w:r w:rsidR="002A26B7">
        <w:rPr>
          <w:lang w:val="en-GB"/>
        </w:rPr>
        <w:t xml:space="preserve">e peak body. </w:t>
      </w:r>
    </w:p>
    <w:p w14:paraId="029F5C70" w14:textId="1DDA5B28" w:rsidR="00B346A9" w:rsidRDefault="00DE4D2D" w:rsidP="00B346A9">
      <w:pPr>
        <w:pStyle w:val="Heading2"/>
        <w:rPr>
          <w:lang w:val="en-GB"/>
        </w:rPr>
      </w:pPr>
      <w:bookmarkStart w:id="46" w:name="_Toc175576123"/>
      <w:r>
        <w:rPr>
          <w:lang w:val="en-GB"/>
        </w:rPr>
        <w:t xml:space="preserve">For ticketed events, </w:t>
      </w:r>
      <w:r w:rsidR="00153F5B">
        <w:rPr>
          <w:lang w:val="en-GB"/>
        </w:rPr>
        <w:t xml:space="preserve">is there a </w:t>
      </w:r>
      <w:r>
        <w:rPr>
          <w:lang w:val="en-GB"/>
        </w:rPr>
        <w:t>maximum ticket price</w:t>
      </w:r>
      <w:r w:rsidR="00153F5B">
        <w:rPr>
          <w:lang w:val="en-GB"/>
        </w:rPr>
        <w:t xml:space="preserve"> </w:t>
      </w:r>
      <w:r w:rsidR="0080304F">
        <w:rPr>
          <w:lang w:val="en-GB"/>
        </w:rPr>
        <w:t>for eligible events</w:t>
      </w:r>
      <w:r>
        <w:rPr>
          <w:lang w:val="en-GB"/>
        </w:rPr>
        <w:t>?</w:t>
      </w:r>
      <w:bookmarkEnd w:id="46"/>
    </w:p>
    <w:p w14:paraId="11AAC617" w14:textId="68FA9D9D" w:rsidR="0080304F" w:rsidRDefault="0080304F" w:rsidP="00DE4D2D">
      <w:pPr>
        <w:pStyle w:val="Body"/>
        <w:rPr>
          <w:lang w:val="en-GB"/>
        </w:rPr>
      </w:pPr>
      <w:r>
        <w:rPr>
          <w:lang w:val="en-GB"/>
        </w:rPr>
        <w:t>The</w:t>
      </w:r>
      <w:r w:rsidR="005E36A8">
        <w:rPr>
          <w:lang w:val="en-GB"/>
        </w:rPr>
        <w:t xml:space="preserve">re is no maximum ticket price </w:t>
      </w:r>
      <w:r w:rsidR="000B5BE8">
        <w:rPr>
          <w:lang w:val="en-GB"/>
        </w:rPr>
        <w:t xml:space="preserve">for </w:t>
      </w:r>
      <w:r w:rsidR="00191EA3">
        <w:rPr>
          <w:lang w:val="en-GB"/>
        </w:rPr>
        <w:t xml:space="preserve">events funded through </w:t>
      </w:r>
      <w:r w:rsidR="00C103E9">
        <w:rPr>
          <w:lang w:val="en-GB"/>
        </w:rPr>
        <w:t>Pride Events and Festivals</w:t>
      </w:r>
      <w:r w:rsidR="00C103E9" w:rsidRPr="005C188B">
        <w:rPr>
          <w:lang w:val="en-GB"/>
        </w:rPr>
        <w:t xml:space="preserve"> Fund</w:t>
      </w:r>
      <w:r w:rsidR="00191EA3">
        <w:rPr>
          <w:lang w:val="en-GB"/>
        </w:rPr>
        <w:t>. However, t</w:t>
      </w:r>
      <w:r w:rsidR="00BD2E4B">
        <w:rPr>
          <w:lang w:val="en-GB"/>
        </w:rPr>
        <w:t xml:space="preserve">o ensure accessibility of events to a wide audience, </w:t>
      </w:r>
      <w:r>
        <w:rPr>
          <w:lang w:val="en-GB"/>
        </w:rPr>
        <w:t xml:space="preserve">we strongly recommend that </w:t>
      </w:r>
      <w:r w:rsidR="00E45020">
        <w:rPr>
          <w:lang w:val="en-GB"/>
        </w:rPr>
        <w:t>events</w:t>
      </w:r>
      <w:r>
        <w:rPr>
          <w:lang w:val="en-GB"/>
        </w:rPr>
        <w:t xml:space="preserve"> be priced as low as possible with relevant concessions discounts available.</w:t>
      </w:r>
      <w:r w:rsidR="006A1E8E">
        <w:rPr>
          <w:lang w:val="en-GB"/>
        </w:rPr>
        <w:t xml:space="preserve"> Previous rounds of </w:t>
      </w:r>
      <w:r w:rsidR="00C103E9">
        <w:rPr>
          <w:lang w:val="en-GB"/>
        </w:rPr>
        <w:t>Pride Events and Festivals</w:t>
      </w:r>
      <w:r w:rsidR="00C103E9" w:rsidRPr="005C188B">
        <w:rPr>
          <w:lang w:val="en-GB"/>
        </w:rPr>
        <w:t xml:space="preserve"> Fund</w:t>
      </w:r>
      <w:r w:rsidR="00C103E9">
        <w:rPr>
          <w:lang w:val="en-GB"/>
        </w:rPr>
        <w:t xml:space="preserve"> </w:t>
      </w:r>
      <w:r w:rsidR="006A1E8E">
        <w:rPr>
          <w:lang w:val="en-GB"/>
        </w:rPr>
        <w:t xml:space="preserve">have </w:t>
      </w:r>
      <w:r w:rsidR="00D11E70">
        <w:rPr>
          <w:lang w:val="en-GB"/>
        </w:rPr>
        <w:t>placed a maximum cost of $15 for tickets</w:t>
      </w:r>
      <w:r w:rsidR="002A6055">
        <w:rPr>
          <w:lang w:val="en-GB"/>
        </w:rPr>
        <w:t xml:space="preserve"> which may be helpful in determining the </w:t>
      </w:r>
      <w:r w:rsidR="005669C5">
        <w:rPr>
          <w:lang w:val="en-GB"/>
        </w:rPr>
        <w:t xml:space="preserve">ticket prices for your events. </w:t>
      </w:r>
    </w:p>
    <w:p w14:paraId="5F65A76C" w14:textId="08058C90" w:rsidR="00DE4D2D" w:rsidRPr="00DE4D2D" w:rsidRDefault="00066EB7" w:rsidP="00DE4D2D">
      <w:pPr>
        <w:pStyle w:val="Body"/>
        <w:rPr>
          <w:lang w:val="en-GB"/>
        </w:rPr>
      </w:pPr>
      <w:r>
        <w:rPr>
          <w:lang w:val="en-GB"/>
        </w:rPr>
        <w:t>In the assessment process, w</w:t>
      </w:r>
      <w:r w:rsidR="00191EA3">
        <w:rPr>
          <w:lang w:val="en-GB"/>
        </w:rPr>
        <w:t xml:space="preserve">e will be prioritising events that are </w:t>
      </w:r>
      <w:r>
        <w:rPr>
          <w:lang w:val="en-GB"/>
        </w:rPr>
        <w:t>low cost to ensure accessibility</w:t>
      </w:r>
      <w:r w:rsidR="00A526CB">
        <w:rPr>
          <w:lang w:val="en-GB"/>
        </w:rPr>
        <w:t xml:space="preserve">. If your event needs to have higher priced tickets </w:t>
      </w:r>
      <w:proofErr w:type="gramStart"/>
      <w:r w:rsidR="00A526CB">
        <w:rPr>
          <w:lang w:val="en-GB"/>
        </w:rPr>
        <w:t>in order to</w:t>
      </w:r>
      <w:proofErr w:type="gramEnd"/>
      <w:r w:rsidR="00A526CB">
        <w:rPr>
          <w:lang w:val="en-GB"/>
        </w:rPr>
        <w:t xml:space="preserve"> be financially sustainable, please include details about this in your application so that it can be considered during assessment. </w:t>
      </w:r>
    </w:p>
    <w:p w14:paraId="7DDA8ED8" w14:textId="46EB8A4E" w:rsidR="1E2E0DE0" w:rsidRDefault="5E994438" w:rsidP="00F90B37">
      <w:pPr>
        <w:pStyle w:val="Heading2"/>
        <w:rPr>
          <w:lang w:val="en-GB"/>
        </w:rPr>
      </w:pPr>
      <w:bookmarkStart w:id="47" w:name="_Toc175576124"/>
      <w:r w:rsidRPr="09EE19F8">
        <w:rPr>
          <w:rFonts w:eastAsia="Arial"/>
          <w:lang w:val="en-GB"/>
        </w:rPr>
        <w:t>Can our event/s run over several months?</w:t>
      </w:r>
      <w:bookmarkEnd w:id="47"/>
    </w:p>
    <w:p w14:paraId="4466635A" w14:textId="0ED7B722" w:rsidR="5430BA26" w:rsidRDefault="5430BA26" w:rsidP="09EE19F8">
      <w:pPr>
        <w:pStyle w:val="Body"/>
        <w:rPr>
          <w:rFonts w:eastAsia="Arial" w:cs="Arial"/>
          <w:szCs w:val="21"/>
          <w:lang w:val="en-GB"/>
        </w:rPr>
      </w:pPr>
      <w:r w:rsidRPr="09EE19F8">
        <w:rPr>
          <w:rFonts w:eastAsia="Arial" w:cs="Arial"/>
          <w:szCs w:val="21"/>
          <w:lang w:val="en-GB"/>
        </w:rPr>
        <w:t xml:space="preserve">All events must take place within the project timeframes </w:t>
      </w:r>
      <w:r w:rsidR="6EC531B8" w:rsidRPr="09EE19F8">
        <w:rPr>
          <w:rFonts w:eastAsia="Arial" w:cs="Arial"/>
          <w:szCs w:val="21"/>
          <w:lang w:val="en-GB"/>
        </w:rPr>
        <w:t>(</w:t>
      </w:r>
      <w:r w:rsidR="009F2A16">
        <w:rPr>
          <w:rFonts w:eastAsia="Arial" w:cs="Arial"/>
          <w:szCs w:val="21"/>
          <w:lang w:val="en-GB"/>
        </w:rPr>
        <w:t>from</w:t>
      </w:r>
      <w:r w:rsidR="6EC531B8" w:rsidRPr="09EE19F8">
        <w:rPr>
          <w:rFonts w:eastAsia="Arial" w:cs="Arial"/>
          <w:szCs w:val="21"/>
          <w:lang w:val="en-GB"/>
        </w:rPr>
        <w:t xml:space="preserve"> 1</w:t>
      </w:r>
      <w:r w:rsidR="009F2A16">
        <w:rPr>
          <w:rFonts w:eastAsia="Arial" w:cs="Arial"/>
          <w:szCs w:val="21"/>
          <w:lang w:val="en-GB"/>
        </w:rPr>
        <w:t xml:space="preserve"> </w:t>
      </w:r>
      <w:r w:rsidR="003C0C69">
        <w:rPr>
          <w:rFonts w:eastAsia="Arial" w:cs="Arial"/>
          <w:szCs w:val="21"/>
          <w:lang w:val="en-GB"/>
        </w:rPr>
        <w:t>November</w:t>
      </w:r>
      <w:r w:rsidR="00661120" w:rsidRPr="09EE19F8">
        <w:rPr>
          <w:rFonts w:eastAsia="Arial" w:cs="Arial"/>
          <w:szCs w:val="21"/>
          <w:lang w:val="en-GB"/>
        </w:rPr>
        <w:t xml:space="preserve"> </w:t>
      </w:r>
      <w:r w:rsidR="6EC531B8" w:rsidRPr="09EE19F8">
        <w:rPr>
          <w:rFonts w:eastAsia="Arial" w:cs="Arial"/>
          <w:szCs w:val="21"/>
          <w:lang w:val="en-GB"/>
        </w:rPr>
        <w:t>202</w:t>
      </w:r>
      <w:r w:rsidR="003C0C69">
        <w:rPr>
          <w:rFonts w:eastAsia="Arial" w:cs="Arial"/>
          <w:szCs w:val="21"/>
          <w:lang w:val="en-GB"/>
        </w:rPr>
        <w:t>4</w:t>
      </w:r>
      <w:r w:rsidR="6EC531B8" w:rsidRPr="09EE19F8">
        <w:rPr>
          <w:rFonts w:eastAsia="Arial" w:cs="Arial"/>
          <w:szCs w:val="21"/>
          <w:lang w:val="en-GB"/>
        </w:rPr>
        <w:t xml:space="preserve"> </w:t>
      </w:r>
      <w:r w:rsidR="009F2A16">
        <w:rPr>
          <w:rFonts w:eastAsia="Arial" w:cs="Arial"/>
          <w:szCs w:val="21"/>
          <w:lang w:val="en-GB"/>
        </w:rPr>
        <w:t xml:space="preserve">until </w:t>
      </w:r>
      <w:r w:rsidR="6EC531B8" w:rsidRPr="09EE19F8">
        <w:rPr>
          <w:rFonts w:eastAsia="Arial" w:cs="Arial"/>
          <w:szCs w:val="21"/>
          <w:lang w:val="en-GB"/>
        </w:rPr>
        <w:t>3</w:t>
      </w:r>
      <w:r w:rsidR="00EF62C5">
        <w:rPr>
          <w:rFonts w:eastAsia="Arial" w:cs="Arial"/>
          <w:szCs w:val="21"/>
          <w:lang w:val="en-GB"/>
        </w:rPr>
        <w:t>0 November</w:t>
      </w:r>
      <w:r w:rsidR="6EC531B8" w:rsidRPr="09EE19F8">
        <w:rPr>
          <w:rFonts w:eastAsia="Arial" w:cs="Arial"/>
          <w:szCs w:val="21"/>
          <w:lang w:val="en-GB"/>
        </w:rPr>
        <w:t xml:space="preserve"> 202</w:t>
      </w:r>
      <w:r w:rsidR="00661120">
        <w:rPr>
          <w:rFonts w:eastAsia="Arial" w:cs="Arial"/>
          <w:szCs w:val="21"/>
          <w:lang w:val="en-GB"/>
        </w:rPr>
        <w:t>5</w:t>
      </w:r>
      <w:r w:rsidR="1B9C54E8" w:rsidRPr="09EE19F8">
        <w:rPr>
          <w:rFonts w:eastAsia="Arial" w:cs="Arial"/>
          <w:szCs w:val="21"/>
          <w:lang w:val="en-GB"/>
        </w:rPr>
        <w:t>)</w:t>
      </w:r>
      <w:r w:rsidR="2D26C349" w:rsidRPr="09EE19F8">
        <w:rPr>
          <w:rFonts w:eastAsia="Arial" w:cs="Arial"/>
          <w:szCs w:val="21"/>
          <w:lang w:val="en-GB"/>
        </w:rPr>
        <w:t>. Organisations may deliver a once-off, standalone event, or several events across the year.</w:t>
      </w:r>
      <w:r w:rsidR="1B9C54E8" w:rsidRPr="09EE19F8">
        <w:rPr>
          <w:rFonts w:eastAsia="Arial" w:cs="Arial"/>
          <w:szCs w:val="21"/>
          <w:lang w:val="en-GB"/>
        </w:rPr>
        <w:t xml:space="preserve"> </w:t>
      </w:r>
    </w:p>
    <w:p w14:paraId="3B053078" w14:textId="67FBEC4D" w:rsidR="00311229" w:rsidRDefault="00311229" w:rsidP="00311229">
      <w:pPr>
        <w:pStyle w:val="Heading1"/>
      </w:pPr>
      <w:bookmarkStart w:id="48" w:name="_Toc63686864"/>
      <w:bookmarkStart w:id="49" w:name="_Toc175576125"/>
      <w:r>
        <w:t>Completing your application</w:t>
      </w:r>
      <w:bookmarkEnd w:id="48"/>
      <w:bookmarkEnd w:id="49"/>
    </w:p>
    <w:p w14:paraId="0382EFBC" w14:textId="216876A1" w:rsidR="00311229" w:rsidRDefault="00311229" w:rsidP="00311229">
      <w:pPr>
        <w:pStyle w:val="Heading2"/>
      </w:pPr>
      <w:bookmarkStart w:id="50" w:name="_Toc63686865"/>
      <w:bookmarkStart w:id="51" w:name="_Toc175576126"/>
      <w:r>
        <w:t>What should we think about when creating a budget?</w:t>
      </w:r>
      <w:bookmarkEnd w:id="50"/>
      <w:bookmarkEnd w:id="51"/>
    </w:p>
    <w:p w14:paraId="324C4372" w14:textId="77777777" w:rsidR="00311229" w:rsidRDefault="00311229" w:rsidP="00311229">
      <w:pPr>
        <w:pStyle w:val="Body"/>
      </w:pPr>
      <w:r>
        <w:t>It is important that you provide a comprehensive budget as part of your application. There is a section in the application form for you to do this.</w:t>
      </w:r>
    </w:p>
    <w:p w14:paraId="32C43745" w14:textId="77777777" w:rsidR="00311229" w:rsidRDefault="00311229" w:rsidP="00311229">
      <w:pPr>
        <w:pStyle w:val="Body"/>
      </w:pPr>
      <w:r>
        <w:lastRenderedPageBreak/>
        <w:t xml:space="preserve">Including detail in your budget will make it easier for </w:t>
      </w:r>
      <w:r w:rsidRPr="0040325A">
        <w:t xml:space="preserve">the Equality </w:t>
      </w:r>
      <w:r>
        <w:t xml:space="preserve">Unit to assess the value and reach of your proposed activity. </w:t>
      </w:r>
    </w:p>
    <w:p w14:paraId="2C891727" w14:textId="77777777" w:rsidR="00311229" w:rsidRDefault="00311229" w:rsidP="00311229">
      <w:pPr>
        <w:pStyle w:val="Body"/>
      </w:pPr>
      <w:r>
        <w:t xml:space="preserve">When considering whether to apply, please consider: </w:t>
      </w:r>
    </w:p>
    <w:p w14:paraId="09AFF734" w14:textId="77777777" w:rsidR="00311229" w:rsidRPr="00CE611F" w:rsidRDefault="00311229" w:rsidP="00311229">
      <w:pPr>
        <w:pStyle w:val="Bulletafternumbers1"/>
      </w:pPr>
      <w:r>
        <w:t>h</w:t>
      </w:r>
      <w:r w:rsidRPr="00CE611F">
        <w:t xml:space="preserve">ow you </w:t>
      </w:r>
      <w:r>
        <w:t xml:space="preserve">will </w:t>
      </w:r>
      <w:r w:rsidRPr="00CE611F">
        <w:t xml:space="preserve">manage funds </w:t>
      </w:r>
    </w:p>
    <w:p w14:paraId="3EAB4E59" w14:textId="77777777" w:rsidR="00311229" w:rsidRPr="00CE611F" w:rsidRDefault="00311229" w:rsidP="00311229">
      <w:pPr>
        <w:pStyle w:val="Bulletafternumbers1"/>
      </w:pPr>
      <w:r>
        <w:t>if you h</w:t>
      </w:r>
      <w:r w:rsidRPr="00CE611F">
        <w:t xml:space="preserve">ave </w:t>
      </w:r>
      <w:r>
        <w:t xml:space="preserve">or need </w:t>
      </w:r>
      <w:r w:rsidRPr="00CE611F">
        <w:t xml:space="preserve">a separate bank account for the organisation </w:t>
      </w:r>
    </w:p>
    <w:p w14:paraId="4CE9789C" w14:textId="77777777" w:rsidR="00311229" w:rsidRPr="00CE611F" w:rsidRDefault="00311229" w:rsidP="00311229">
      <w:pPr>
        <w:pStyle w:val="Bulletafternumbers1"/>
      </w:pPr>
      <w:r>
        <w:t xml:space="preserve">the person/people to be </w:t>
      </w:r>
      <w:r w:rsidRPr="00CE611F">
        <w:t xml:space="preserve">responsible for managing the </w:t>
      </w:r>
      <w:r>
        <w:t>grant</w:t>
      </w:r>
      <w:r w:rsidRPr="00CE611F">
        <w:t xml:space="preserve"> </w:t>
      </w:r>
    </w:p>
    <w:p w14:paraId="33C4CF11" w14:textId="77777777" w:rsidR="00311229" w:rsidRPr="00CE611F" w:rsidRDefault="00311229" w:rsidP="00311229">
      <w:pPr>
        <w:pStyle w:val="Bulletafternumbers1"/>
      </w:pPr>
      <w:r>
        <w:t xml:space="preserve">how you will </w:t>
      </w:r>
      <w:r w:rsidRPr="00CE611F">
        <w:t xml:space="preserve">keep records of expenditure </w:t>
      </w:r>
      <w:r>
        <w:t>t</w:t>
      </w:r>
      <w:r w:rsidRPr="00CE611F">
        <w:t xml:space="preserve">o report back to </w:t>
      </w:r>
      <w:r w:rsidRPr="0040325A">
        <w:t>the Equality Unit</w:t>
      </w:r>
      <w:r>
        <w:t>.</w:t>
      </w:r>
      <w:r w:rsidRPr="00CE611F">
        <w:t xml:space="preserve"> </w:t>
      </w:r>
    </w:p>
    <w:p w14:paraId="3B70FEEB" w14:textId="2F0FAFEA" w:rsidR="00311229" w:rsidRPr="00ED41C0" w:rsidRDefault="00311229" w:rsidP="00311229">
      <w:pPr>
        <w:pStyle w:val="Heading2"/>
      </w:pPr>
      <w:bookmarkStart w:id="52" w:name="_Toc63686866"/>
      <w:bookmarkStart w:id="53" w:name="_Toc175576127"/>
      <w:r>
        <w:t>Will my grant application be fully funded?</w:t>
      </w:r>
      <w:bookmarkEnd w:id="52"/>
      <w:bookmarkEnd w:id="53"/>
      <w:r>
        <w:t xml:space="preserve"> </w:t>
      </w:r>
    </w:p>
    <w:p w14:paraId="253F7F3F" w14:textId="082CCBAE" w:rsidR="00311229" w:rsidRDefault="00311229" w:rsidP="00311229">
      <w:pPr>
        <w:pStyle w:val="Body"/>
      </w:pPr>
      <w:r>
        <w:t xml:space="preserve">The </w:t>
      </w:r>
      <w:r w:rsidR="00786545" w:rsidRPr="002B401F">
        <w:rPr>
          <w:rStyle w:val="BodyChar"/>
          <w:color w:val="000000" w:themeColor="text1"/>
        </w:rPr>
        <w:t>Pride Events and Festivals Fund 202</w:t>
      </w:r>
      <w:r w:rsidR="00661120">
        <w:rPr>
          <w:rStyle w:val="BodyChar"/>
          <w:color w:val="000000" w:themeColor="text1"/>
        </w:rPr>
        <w:t>4</w:t>
      </w:r>
      <w:r w:rsidR="00786545" w:rsidRPr="002B401F">
        <w:rPr>
          <w:rStyle w:val="BodyChar"/>
          <w:color w:val="000000" w:themeColor="text1"/>
        </w:rPr>
        <w:t>-2</w:t>
      </w:r>
      <w:r w:rsidR="00661120">
        <w:rPr>
          <w:rStyle w:val="BodyChar"/>
          <w:color w:val="000000" w:themeColor="text1"/>
        </w:rPr>
        <w:t>5</w:t>
      </w:r>
      <w:r w:rsidR="00786545">
        <w:rPr>
          <w:rStyle w:val="BodyChar"/>
          <w:color w:val="000000" w:themeColor="text1"/>
        </w:rPr>
        <w:t xml:space="preserve"> </w:t>
      </w:r>
      <w:r w:rsidRPr="00A00A0E">
        <w:t>is competitive,</w:t>
      </w:r>
      <w:r>
        <w:t xml:space="preserve"> and you may not receive the full amount requested</w:t>
      </w:r>
      <w:r w:rsidRPr="00A00A0E">
        <w:t xml:space="preserve">. </w:t>
      </w:r>
    </w:p>
    <w:p w14:paraId="10015C32" w14:textId="281C3571" w:rsidR="00311229" w:rsidRPr="00524C33" w:rsidRDefault="00311229" w:rsidP="00311229">
      <w:pPr>
        <w:pStyle w:val="Body"/>
        <w:rPr>
          <w:lang w:eastAsia="en-AU"/>
        </w:rPr>
      </w:pPr>
      <w:r w:rsidRPr="00524C33">
        <w:rPr>
          <w:lang w:eastAsia="en-AU"/>
        </w:rPr>
        <w:t xml:space="preserve">Applicants </w:t>
      </w:r>
      <w:r>
        <w:rPr>
          <w:lang w:eastAsia="en-AU"/>
        </w:rPr>
        <w:t xml:space="preserve">should </w:t>
      </w:r>
      <w:r w:rsidRPr="00524C33">
        <w:rPr>
          <w:lang w:eastAsia="en-AU"/>
        </w:rPr>
        <w:t xml:space="preserve">not assume they </w:t>
      </w:r>
      <w:r>
        <w:rPr>
          <w:lang w:eastAsia="en-AU"/>
        </w:rPr>
        <w:t xml:space="preserve">have been </w:t>
      </w:r>
      <w:r w:rsidRPr="00524C33">
        <w:rPr>
          <w:lang w:eastAsia="en-AU"/>
        </w:rPr>
        <w:t xml:space="preserve">successful or </w:t>
      </w:r>
      <w:r w:rsidR="00A46D61" w:rsidRPr="00524C33">
        <w:rPr>
          <w:lang w:eastAsia="en-AU"/>
        </w:rPr>
        <w:t>enter</w:t>
      </w:r>
      <w:r w:rsidRPr="00524C33">
        <w:rPr>
          <w:lang w:eastAsia="en-AU"/>
        </w:rPr>
        <w:t xml:space="preserve"> </w:t>
      </w:r>
      <w:r>
        <w:rPr>
          <w:lang w:eastAsia="en-AU"/>
        </w:rPr>
        <w:t xml:space="preserve">financial or other </w:t>
      </w:r>
      <w:r w:rsidRPr="00524C33">
        <w:rPr>
          <w:lang w:eastAsia="en-AU"/>
        </w:rPr>
        <w:t xml:space="preserve">commitments </w:t>
      </w:r>
      <w:r>
        <w:rPr>
          <w:lang w:eastAsia="en-AU"/>
        </w:rPr>
        <w:t xml:space="preserve">until they </w:t>
      </w:r>
      <w:r w:rsidRPr="00524C33">
        <w:rPr>
          <w:lang w:eastAsia="en-AU"/>
        </w:rPr>
        <w:t>receiv</w:t>
      </w:r>
      <w:r>
        <w:rPr>
          <w:lang w:eastAsia="en-AU"/>
        </w:rPr>
        <w:t xml:space="preserve">e </w:t>
      </w:r>
      <w:r w:rsidRPr="00524C33">
        <w:rPr>
          <w:lang w:eastAsia="en-AU"/>
        </w:rPr>
        <w:t>formal notification o</w:t>
      </w:r>
      <w:r>
        <w:rPr>
          <w:lang w:eastAsia="en-AU"/>
        </w:rPr>
        <w:t>n</w:t>
      </w:r>
      <w:r w:rsidRPr="00524C33">
        <w:rPr>
          <w:lang w:eastAsia="en-AU"/>
        </w:rPr>
        <w:t xml:space="preserve"> the outcome of their </w:t>
      </w:r>
      <w:r>
        <w:rPr>
          <w:lang w:eastAsia="en-AU"/>
        </w:rPr>
        <w:t>application</w:t>
      </w:r>
      <w:r w:rsidRPr="00524C33">
        <w:rPr>
          <w:lang w:eastAsia="en-AU"/>
        </w:rPr>
        <w:t xml:space="preserve">.  </w:t>
      </w:r>
    </w:p>
    <w:p w14:paraId="1F3AA882" w14:textId="5D3B0565" w:rsidR="00311229" w:rsidRDefault="00311229" w:rsidP="00311229">
      <w:pPr>
        <w:pStyle w:val="Body"/>
        <w:rPr>
          <w:lang w:eastAsia="en-AU"/>
        </w:rPr>
      </w:pPr>
      <w:r w:rsidRPr="00524C33">
        <w:rPr>
          <w:lang w:eastAsia="en-AU"/>
        </w:rPr>
        <w:t>All applicants should consider other funding sources and options should their application be unsuccessful.</w:t>
      </w:r>
    </w:p>
    <w:p w14:paraId="58C60911" w14:textId="2A603186" w:rsidR="00311229" w:rsidRPr="00311229" w:rsidRDefault="00311229" w:rsidP="00311229">
      <w:pPr>
        <w:pStyle w:val="Heading1"/>
      </w:pPr>
      <w:bookmarkStart w:id="54" w:name="_Toc63686867"/>
      <w:bookmarkStart w:id="55" w:name="_Toc175576128"/>
      <w:r w:rsidRPr="00311229">
        <w:t>Application process</w:t>
      </w:r>
      <w:bookmarkEnd w:id="54"/>
      <w:bookmarkEnd w:id="55"/>
      <w:r w:rsidRPr="00311229">
        <w:t xml:space="preserve"> </w:t>
      </w:r>
    </w:p>
    <w:p w14:paraId="1621919B" w14:textId="7F51C90C" w:rsidR="00311229" w:rsidRPr="00F40F2D" w:rsidRDefault="00311229" w:rsidP="00311229">
      <w:pPr>
        <w:pStyle w:val="Heading2"/>
      </w:pPr>
      <w:bookmarkStart w:id="56" w:name="_Toc63686868"/>
      <w:bookmarkStart w:id="57" w:name="_Toc175576129"/>
      <w:r w:rsidRPr="00F40F2D">
        <w:t xml:space="preserve">How do </w:t>
      </w:r>
      <w:r>
        <w:t xml:space="preserve">we </w:t>
      </w:r>
      <w:r w:rsidRPr="00F40F2D">
        <w:t>apply?</w:t>
      </w:r>
      <w:bookmarkEnd w:id="56"/>
      <w:bookmarkEnd w:id="57"/>
      <w:r w:rsidRPr="00F40F2D">
        <w:t xml:space="preserve"> </w:t>
      </w:r>
    </w:p>
    <w:p w14:paraId="448C4574" w14:textId="77777777" w:rsidR="00311229" w:rsidRPr="00434EEE" w:rsidRDefault="00311229" w:rsidP="00311229">
      <w:pPr>
        <w:pStyle w:val="Body"/>
        <w:rPr>
          <w:lang w:val="en-GB"/>
        </w:rPr>
      </w:pPr>
      <w:r w:rsidRPr="00434EEE">
        <w:rPr>
          <w:lang w:val="en-GB"/>
        </w:rPr>
        <w:t xml:space="preserve">To ensure a fair and equitable process, </w:t>
      </w:r>
      <w:r w:rsidRPr="00311229">
        <w:rPr>
          <w:b/>
          <w:bCs/>
        </w:rPr>
        <w:t>no applications will be accepted after the closing date</w:t>
      </w:r>
      <w:r w:rsidRPr="00311229">
        <w:rPr>
          <w:b/>
          <w:bCs/>
          <w:lang w:val="en-GB"/>
        </w:rPr>
        <w:t>.</w:t>
      </w:r>
      <w:r w:rsidRPr="00434EEE">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206"/>
      </w:tblGrid>
      <w:tr w:rsidR="00E90A3F" w14:paraId="2DFC7851" w14:textId="77777777" w:rsidTr="00E90A3F">
        <w:tc>
          <w:tcPr>
            <w:tcW w:w="988" w:type="dxa"/>
            <w:vAlign w:val="center"/>
          </w:tcPr>
          <w:p w14:paraId="6701B43E" w14:textId="3F346933" w:rsidR="00E90A3F" w:rsidRPr="00EF12CB" w:rsidRDefault="00E90A3F" w:rsidP="00E90A3F">
            <w:pPr>
              <w:pStyle w:val="Tablecolhead"/>
            </w:pPr>
            <w:r>
              <w:t>Step</w:t>
            </w:r>
          </w:p>
        </w:tc>
        <w:tc>
          <w:tcPr>
            <w:tcW w:w="9206" w:type="dxa"/>
            <w:vAlign w:val="center"/>
          </w:tcPr>
          <w:p w14:paraId="476CA4D6" w14:textId="6B9711FC" w:rsidR="00E90A3F" w:rsidRPr="00EF12CB" w:rsidRDefault="00E90A3F" w:rsidP="00E90A3F">
            <w:pPr>
              <w:pStyle w:val="Tablecolhead"/>
            </w:pPr>
            <w:r>
              <w:t>Action</w:t>
            </w:r>
          </w:p>
        </w:tc>
      </w:tr>
      <w:tr w:rsidR="00EF12CB" w14:paraId="2320C0FB" w14:textId="77777777" w:rsidTr="00E90A3F">
        <w:tc>
          <w:tcPr>
            <w:tcW w:w="988" w:type="dxa"/>
            <w:vAlign w:val="center"/>
          </w:tcPr>
          <w:p w14:paraId="56F74C90" w14:textId="343B05AF" w:rsidR="00EF12CB" w:rsidRPr="00EF12CB" w:rsidRDefault="00EF12CB" w:rsidP="00E90A3F">
            <w:pPr>
              <w:pStyle w:val="Body"/>
            </w:pPr>
            <w:r w:rsidRPr="00EF12CB">
              <w:t>S</w:t>
            </w:r>
            <w:r w:rsidR="00E90A3F">
              <w:t>tep</w:t>
            </w:r>
            <w:r w:rsidRPr="00EF12CB">
              <w:t xml:space="preserve"> 1 </w:t>
            </w:r>
          </w:p>
        </w:tc>
        <w:tc>
          <w:tcPr>
            <w:tcW w:w="9206" w:type="dxa"/>
            <w:vAlign w:val="center"/>
          </w:tcPr>
          <w:p w14:paraId="68411072" w14:textId="63250CC9" w:rsidR="00EF12CB" w:rsidRPr="00EF12CB" w:rsidRDefault="00EF12CB" w:rsidP="00E90A3F">
            <w:pPr>
              <w:pStyle w:val="Body"/>
            </w:pPr>
            <w:r w:rsidRPr="00EF12CB">
              <w:t>Read the Funding Guidelines to ensure your organisation and project are eligible.</w:t>
            </w:r>
          </w:p>
        </w:tc>
      </w:tr>
      <w:tr w:rsidR="00EF12CB" w14:paraId="15A9F489" w14:textId="77777777" w:rsidTr="00E90A3F">
        <w:tc>
          <w:tcPr>
            <w:tcW w:w="988" w:type="dxa"/>
            <w:vAlign w:val="center"/>
          </w:tcPr>
          <w:p w14:paraId="3A980F50" w14:textId="3CE541AE" w:rsidR="00EF12CB" w:rsidRPr="00EF12CB" w:rsidRDefault="00EF12CB" w:rsidP="00E90A3F">
            <w:pPr>
              <w:pStyle w:val="Body"/>
            </w:pPr>
            <w:r w:rsidRPr="00EF12CB">
              <w:t>S</w:t>
            </w:r>
            <w:r w:rsidR="00E90A3F">
              <w:t>tep</w:t>
            </w:r>
            <w:r w:rsidRPr="00EF12CB">
              <w:t xml:space="preserve"> 2</w:t>
            </w:r>
          </w:p>
        </w:tc>
        <w:tc>
          <w:tcPr>
            <w:tcW w:w="9206" w:type="dxa"/>
            <w:vAlign w:val="center"/>
          </w:tcPr>
          <w:p w14:paraId="76903764" w14:textId="0C5FDEF8" w:rsidR="00EF12CB" w:rsidRPr="00EF12CB" w:rsidRDefault="00EF12CB" w:rsidP="00E90A3F">
            <w:pPr>
              <w:pStyle w:val="Body"/>
            </w:pPr>
            <w:r w:rsidRPr="00EF12CB">
              <w:t>Consider the assessment criteria in terms of your project.</w:t>
            </w:r>
          </w:p>
        </w:tc>
      </w:tr>
      <w:tr w:rsidR="00EF12CB" w14:paraId="5B533309" w14:textId="77777777" w:rsidTr="00E90A3F">
        <w:tc>
          <w:tcPr>
            <w:tcW w:w="988" w:type="dxa"/>
            <w:vAlign w:val="center"/>
          </w:tcPr>
          <w:p w14:paraId="3416F354" w14:textId="2AFDB304" w:rsidR="00EF12CB" w:rsidRPr="00EF12CB" w:rsidRDefault="00EF12CB" w:rsidP="00E90A3F">
            <w:pPr>
              <w:pStyle w:val="Body"/>
            </w:pPr>
            <w:r w:rsidRPr="00EF12CB">
              <w:t>S</w:t>
            </w:r>
            <w:r w:rsidR="00E90A3F">
              <w:t>tep</w:t>
            </w:r>
            <w:r w:rsidRPr="00EF12CB">
              <w:t xml:space="preserve"> 3</w:t>
            </w:r>
          </w:p>
        </w:tc>
        <w:tc>
          <w:tcPr>
            <w:tcW w:w="9206" w:type="dxa"/>
            <w:vAlign w:val="center"/>
          </w:tcPr>
          <w:p w14:paraId="6F81A2E6" w14:textId="48C81821" w:rsidR="00EF12CB" w:rsidRPr="00EF12CB" w:rsidRDefault="00EF12CB" w:rsidP="00E90A3F">
            <w:pPr>
              <w:pStyle w:val="Body"/>
            </w:pPr>
            <w:r w:rsidRPr="00EF12CB">
              <w:t>Attend one of the scheduled online program information webinars, or if unable to attend check online for the presentation slides.</w:t>
            </w:r>
          </w:p>
        </w:tc>
      </w:tr>
      <w:tr w:rsidR="00EF12CB" w14:paraId="57A15B25" w14:textId="77777777" w:rsidTr="00E90A3F">
        <w:tc>
          <w:tcPr>
            <w:tcW w:w="988" w:type="dxa"/>
            <w:vAlign w:val="center"/>
          </w:tcPr>
          <w:p w14:paraId="21D9C640" w14:textId="6BF30E8C" w:rsidR="00EF12CB" w:rsidRDefault="00EF12CB" w:rsidP="00E90A3F">
            <w:pPr>
              <w:pStyle w:val="Body"/>
            </w:pPr>
            <w:r>
              <w:t>S</w:t>
            </w:r>
            <w:r w:rsidR="00E90A3F">
              <w:t>tep</w:t>
            </w:r>
            <w:r>
              <w:t xml:space="preserve"> 4</w:t>
            </w:r>
          </w:p>
        </w:tc>
        <w:tc>
          <w:tcPr>
            <w:tcW w:w="9206" w:type="dxa"/>
            <w:vAlign w:val="center"/>
          </w:tcPr>
          <w:p w14:paraId="3A9740E5" w14:textId="4FD62DE0" w:rsidR="00EF12CB" w:rsidRDefault="00EF12CB" w:rsidP="00E90A3F">
            <w:pPr>
              <w:pStyle w:val="Body"/>
            </w:pPr>
            <w:r w:rsidRPr="00434EEE">
              <w:t xml:space="preserve">Discuss your application by </w:t>
            </w:r>
            <w:r w:rsidRPr="009167D0">
              <w:t xml:space="preserve">emailing </w:t>
            </w:r>
            <w:hyperlink r:id="rId33" w:history="1">
              <w:r w:rsidR="009167D0" w:rsidRPr="009167D0">
                <w:rPr>
                  <w:rStyle w:val="Hyperlink"/>
                </w:rPr>
                <w:t xml:space="preserve">equality-grants@dffh.vic.gov.au </w:t>
              </w:r>
            </w:hyperlink>
            <w:r w:rsidRPr="00434EEE">
              <w:t>and requesting a call back.</w:t>
            </w:r>
          </w:p>
        </w:tc>
      </w:tr>
      <w:tr w:rsidR="00EF12CB" w14:paraId="045827C6" w14:textId="77777777" w:rsidTr="00E90A3F">
        <w:tc>
          <w:tcPr>
            <w:tcW w:w="988" w:type="dxa"/>
            <w:vAlign w:val="center"/>
          </w:tcPr>
          <w:p w14:paraId="64327EFE" w14:textId="59010615" w:rsidR="00EF12CB" w:rsidRDefault="00EF12CB" w:rsidP="00E90A3F">
            <w:pPr>
              <w:pStyle w:val="Body"/>
            </w:pPr>
            <w:r>
              <w:t>S</w:t>
            </w:r>
            <w:r w:rsidR="00E90A3F">
              <w:t>tep</w:t>
            </w:r>
            <w:r>
              <w:t xml:space="preserve"> 5 </w:t>
            </w:r>
          </w:p>
        </w:tc>
        <w:tc>
          <w:tcPr>
            <w:tcW w:w="9206" w:type="dxa"/>
            <w:vAlign w:val="center"/>
          </w:tcPr>
          <w:p w14:paraId="003ECD57" w14:textId="2748CF2B" w:rsidR="00EF12CB" w:rsidRPr="00EF12CB" w:rsidRDefault="00EF12CB" w:rsidP="00E90A3F">
            <w:pPr>
              <w:rPr>
                <w:rFonts w:ascii="Calibri" w:hAnsi="Calibri"/>
              </w:rPr>
            </w:pPr>
            <w:r w:rsidRPr="00434EEE">
              <w:t xml:space="preserve">Submit your application </w:t>
            </w:r>
            <w:r w:rsidRPr="009E33AF">
              <w:t xml:space="preserve">by </w:t>
            </w:r>
            <w:r w:rsidR="00661120">
              <w:rPr>
                <w:b/>
                <w:bCs/>
              </w:rPr>
              <w:t>5:00pm</w:t>
            </w:r>
            <w:r w:rsidRPr="009E33AF">
              <w:rPr>
                <w:b/>
                <w:bCs/>
              </w:rPr>
              <w:t xml:space="preserve"> </w:t>
            </w:r>
            <w:r w:rsidR="00661120">
              <w:rPr>
                <w:b/>
                <w:bCs/>
              </w:rPr>
              <w:t>Wednesday</w:t>
            </w:r>
            <w:r w:rsidR="007E6643">
              <w:rPr>
                <w:b/>
                <w:bCs/>
              </w:rPr>
              <w:t>,</w:t>
            </w:r>
            <w:r w:rsidR="00661120">
              <w:rPr>
                <w:b/>
                <w:bCs/>
              </w:rPr>
              <w:t xml:space="preserve"> </w:t>
            </w:r>
            <w:r>
              <w:rPr>
                <w:b/>
                <w:bCs/>
              </w:rPr>
              <w:t>1</w:t>
            </w:r>
            <w:r w:rsidR="00661120">
              <w:rPr>
                <w:b/>
                <w:bCs/>
              </w:rPr>
              <w:t>1</w:t>
            </w:r>
            <w:r w:rsidRPr="009E33AF">
              <w:rPr>
                <w:b/>
                <w:bCs/>
              </w:rPr>
              <w:t xml:space="preserve"> </w:t>
            </w:r>
            <w:r w:rsidR="00661120">
              <w:rPr>
                <w:b/>
                <w:bCs/>
              </w:rPr>
              <w:t>September</w:t>
            </w:r>
            <w:r w:rsidR="00661120" w:rsidRPr="009E33AF">
              <w:rPr>
                <w:b/>
                <w:bCs/>
              </w:rPr>
              <w:t xml:space="preserve"> </w:t>
            </w:r>
            <w:r w:rsidRPr="009E33AF">
              <w:rPr>
                <w:b/>
                <w:bCs/>
              </w:rPr>
              <w:t>202</w:t>
            </w:r>
            <w:r w:rsidR="00661120">
              <w:rPr>
                <w:b/>
                <w:bCs/>
              </w:rPr>
              <w:t>4</w:t>
            </w:r>
            <w:r w:rsidRPr="009E33AF">
              <w:t xml:space="preserve"> via </w:t>
            </w:r>
            <w:hyperlink r:id="rId34" w:history="1">
              <w:r w:rsidRPr="00E93BD2">
                <w:rPr>
                  <w:rStyle w:val="Hyperlink"/>
                </w:rPr>
                <w:t>Online Grant Application Portal</w:t>
              </w:r>
            </w:hyperlink>
            <w:r w:rsidRPr="00434EEE">
              <w:t xml:space="preserve"> </w:t>
            </w:r>
            <w:r w:rsidR="00C103E9" w:rsidRPr="00C103E9">
              <w:t>https://grantsgateway.dffh.vic.gov.au/s/login/SelfRegister</w:t>
            </w:r>
          </w:p>
        </w:tc>
      </w:tr>
    </w:tbl>
    <w:p w14:paraId="49F793B7" w14:textId="016885CB" w:rsidR="00EF12CB" w:rsidRPr="00C5691E" w:rsidRDefault="00EF12CB" w:rsidP="00AD3615">
      <w:pPr>
        <w:pStyle w:val="Body"/>
        <w:rPr>
          <w:lang w:val="en-GB"/>
        </w:rPr>
      </w:pPr>
      <w:r w:rsidRPr="00434EEE">
        <w:rPr>
          <w:lang w:val="en-GB"/>
        </w:rPr>
        <w:t xml:space="preserve">Eligible applications will be assessed by a panel consisting of representatives from the </w:t>
      </w:r>
      <w:r w:rsidRPr="00907D7F">
        <w:t>Department</w:t>
      </w:r>
      <w:r>
        <w:t xml:space="preserve"> </w:t>
      </w:r>
      <w:r w:rsidR="00FA411B">
        <w:t xml:space="preserve">of </w:t>
      </w:r>
      <w:r>
        <w:t>Families,</w:t>
      </w:r>
      <w:r w:rsidR="007E6643">
        <w:t xml:space="preserve"> Fairness and Housing. </w:t>
      </w:r>
      <w:r>
        <w:t xml:space="preserve"> </w:t>
      </w:r>
    </w:p>
    <w:p w14:paraId="40D640AC" w14:textId="5A5FD7F6" w:rsidR="00EF12CB" w:rsidRPr="00F40F2D" w:rsidRDefault="00EF12CB" w:rsidP="00EF12CB">
      <w:pPr>
        <w:pStyle w:val="Heading2"/>
      </w:pPr>
      <w:bookmarkStart w:id="58" w:name="_Toc63686870"/>
      <w:bookmarkStart w:id="59" w:name="_What_do_we"/>
      <w:bookmarkStart w:id="60" w:name="_Toc175576130"/>
      <w:bookmarkEnd w:id="59"/>
      <w:r w:rsidRPr="00F40F2D">
        <w:t xml:space="preserve">What do </w:t>
      </w:r>
      <w:r>
        <w:t xml:space="preserve">we </w:t>
      </w:r>
      <w:r w:rsidRPr="00F40F2D">
        <w:t xml:space="preserve">do if </w:t>
      </w:r>
      <w:r>
        <w:t>we</w:t>
      </w:r>
      <w:r w:rsidRPr="00F40F2D">
        <w:t xml:space="preserve"> have technical problems when trying to submit the online form?</w:t>
      </w:r>
      <w:bookmarkEnd w:id="58"/>
      <w:bookmarkEnd w:id="60"/>
      <w:r w:rsidRPr="00F40F2D">
        <w:t xml:space="preserve"> </w:t>
      </w:r>
    </w:p>
    <w:p w14:paraId="582F0173" w14:textId="69B43CC3" w:rsidR="00EF12CB" w:rsidRPr="008A774D" w:rsidRDefault="00EF12CB" w:rsidP="00EF12CB">
      <w:pPr>
        <w:pStyle w:val="Body"/>
      </w:pPr>
      <w:r w:rsidRPr="008A774D">
        <w:t>If you are having technical problems</w:t>
      </w:r>
      <w:r w:rsidR="00C103E9">
        <w:t>,</w:t>
      </w:r>
      <w:r w:rsidRPr="008A774D">
        <w:t xml:space="preserve"> for example, the form is not loading or submitting properly</w:t>
      </w:r>
      <w:r w:rsidR="00C103E9">
        <w:t>,</w:t>
      </w:r>
      <w:r w:rsidRPr="008A774D">
        <w:t xml:space="preserve"> try using a different internet browser. </w:t>
      </w:r>
    </w:p>
    <w:p w14:paraId="1D074B63" w14:textId="3C4AC943" w:rsidR="00DD3879" w:rsidRDefault="00EF12CB" w:rsidP="00EF12CB">
      <w:pPr>
        <w:pStyle w:val="Body"/>
      </w:pPr>
      <w:r w:rsidRPr="008A774D">
        <w:t xml:space="preserve">If this does not work, please contact the Department via </w:t>
      </w:r>
      <w:hyperlink r:id="rId35" w:history="1">
        <w:r w:rsidR="007B5062">
          <w:rPr>
            <w:rStyle w:val="Hyperlink"/>
            <w:rFonts w:cs="Arial"/>
          </w:rPr>
          <w:t>equality-grants@dffh.vic.gov.au</w:t>
        </w:r>
      </w:hyperlink>
      <w:r w:rsidRPr="008A774D">
        <w:t xml:space="preserve"> and request a call back. A member of the team will assist wherever possible. Please allow at least two business days for someone to respond and note that </w:t>
      </w:r>
      <w:r w:rsidR="00DD3879">
        <w:t>we are</w:t>
      </w:r>
      <w:r w:rsidRPr="008A774D">
        <w:t xml:space="preserve"> not staffed on weekends.</w:t>
      </w:r>
    </w:p>
    <w:p w14:paraId="637A1329" w14:textId="3A4821B0" w:rsidR="0002103C" w:rsidRDefault="00DD3879" w:rsidP="00EF12CB">
      <w:pPr>
        <w:pStyle w:val="Body"/>
      </w:pPr>
      <w:r>
        <w:t xml:space="preserve">We strongly encourage you to not submit your application at the last minute in case you do experience technical problems. </w:t>
      </w:r>
      <w:r w:rsidR="0002103C">
        <w:t xml:space="preserve">However, if you do have issues just before the deadline, please email the Department with details of the issue and we will be able to support you. </w:t>
      </w:r>
    </w:p>
    <w:p w14:paraId="1E577671" w14:textId="1C17D374" w:rsidR="00EF12CB" w:rsidRPr="008A774D" w:rsidRDefault="0002103C" w:rsidP="00EF12CB">
      <w:pPr>
        <w:pStyle w:val="Body"/>
      </w:pPr>
      <w:r>
        <w:lastRenderedPageBreak/>
        <w:t xml:space="preserve">We will not be able to support you if your request for support is sent after the deadline of 5pm on Wednesday, 11 September. </w:t>
      </w:r>
    </w:p>
    <w:p w14:paraId="2ED502DC" w14:textId="1D8418A6" w:rsidR="00EF12CB" w:rsidRPr="008A774D" w:rsidRDefault="00EF12CB" w:rsidP="00EF12CB">
      <w:pPr>
        <w:pStyle w:val="Heading2"/>
      </w:pPr>
      <w:bookmarkStart w:id="61" w:name="_Toc63686871"/>
      <w:bookmarkStart w:id="62" w:name="_Toc175576131"/>
      <w:r w:rsidRPr="008A774D">
        <w:t>Will we get feedback on our applications?</w:t>
      </w:r>
      <w:bookmarkEnd w:id="61"/>
      <w:bookmarkEnd w:id="62"/>
    </w:p>
    <w:p w14:paraId="58B5A025" w14:textId="7F4FA3B2" w:rsidR="00EF12CB" w:rsidRPr="008A774D" w:rsidRDefault="00742431" w:rsidP="00EF12CB">
      <w:pPr>
        <w:pStyle w:val="Body"/>
      </w:pPr>
      <w:r>
        <w:t>All a</w:t>
      </w:r>
      <w:r w:rsidR="00EF12CB" w:rsidRPr="008A774D">
        <w:t xml:space="preserve">pplicants will be notified of the outcome of their application by </w:t>
      </w:r>
      <w:r w:rsidR="00621B86">
        <w:t>email</w:t>
      </w:r>
      <w:r w:rsidR="00EF12CB" w:rsidRPr="008A774D">
        <w:t>.</w:t>
      </w:r>
    </w:p>
    <w:p w14:paraId="49E3884D" w14:textId="7AB58439" w:rsidR="00EF12CB" w:rsidRPr="008A774D" w:rsidRDefault="00EF12CB" w:rsidP="00EF12CB">
      <w:pPr>
        <w:pStyle w:val="Body"/>
      </w:pPr>
      <w:r w:rsidRPr="008A774D">
        <w:t xml:space="preserve">If you are unsuccessful and would like feedback, please send an email to </w:t>
      </w:r>
      <w:hyperlink r:id="rId36" w:history="1">
        <w:r w:rsidR="007B5062">
          <w:rPr>
            <w:rStyle w:val="Hyperlink"/>
            <w:rFonts w:cs="Arial"/>
          </w:rPr>
          <w:t>equality-grants@dffh.vic.gov.au</w:t>
        </w:r>
      </w:hyperlink>
      <w:r w:rsidRPr="008A774D">
        <w:rPr>
          <w:rFonts w:eastAsia="Cambria"/>
        </w:rPr>
        <w:t xml:space="preserve"> advising you would like feedback on your application and request a call back.</w:t>
      </w:r>
    </w:p>
    <w:p w14:paraId="38F0D494" w14:textId="77777777" w:rsidR="00EF12CB" w:rsidRPr="00F40F2D" w:rsidRDefault="00EF12CB" w:rsidP="00EF12CB">
      <w:pPr>
        <w:pStyle w:val="Body"/>
      </w:pPr>
      <w:r w:rsidRPr="008A774D">
        <w:t>Please note that all decisions made by the Minister are final.</w:t>
      </w:r>
    </w:p>
    <w:p w14:paraId="0A180D1B" w14:textId="1B7C2289" w:rsidR="00EF12CB" w:rsidRPr="008A774D" w:rsidRDefault="00EF12CB" w:rsidP="00EF12CB">
      <w:pPr>
        <w:pStyle w:val="Body"/>
      </w:pPr>
      <w:r w:rsidRPr="00F40F2D">
        <w:rPr>
          <w:b/>
          <w:sz w:val="22"/>
        </w:rPr>
        <w:t>Please note</w:t>
      </w:r>
      <w:r>
        <w:rPr>
          <w:b/>
          <w:sz w:val="22"/>
        </w:rPr>
        <w:t>:</w:t>
      </w:r>
      <w:r w:rsidRPr="00F40F2D">
        <w:rPr>
          <w:sz w:val="22"/>
        </w:rPr>
        <w:t xml:space="preserve"> </w:t>
      </w:r>
      <w:r>
        <w:rPr>
          <w:sz w:val="22"/>
        </w:rPr>
        <w:t xml:space="preserve">The Equality Unit </w:t>
      </w:r>
      <w:r w:rsidRPr="00F40F2D">
        <w:rPr>
          <w:sz w:val="22"/>
        </w:rPr>
        <w:t xml:space="preserve">cannot </w:t>
      </w:r>
      <w:r>
        <w:rPr>
          <w:sz w:val="22"/>
        </w:rPr>
        <w:t>advise applicants on what activities they should apply for,</w:t>
      </w:r>
      <w:r w:rsidRPr="00F40F2D">
        <w:rPr>
          <w:sz w:val="22"/>
        </w:rPr>
        <w:t xml:space="preserve"> and cannot assist with drafting or proofreading </w:t>
      </w:r>
      <w:r>
        <w:rPr>
          <w:sz w:val="22"/>
        </w:rPr>
        <w:t>of</w:t>
      </w:r>
      <w:r w:rsidRPr="00F40F2D">
        <w:rPr>
          <w:sz w:val="22"/>
        </w:rPr>
        <w:t xml:space="preserve"> application</w:t>
      </w:r>
      <w:r>
        <w:rPr>
          <w:sz w:val="22"/>
        </w:rPr>
        <w:t xml:space="preserve">s </w:t>
      </w:r>
      <w:r w:rsidRPr="00F40F2D">
        <w:rPr>
          <w:sz w:val="22"/>
        </w:rPr>
        <w:t>(for more information regarding what support is available, p</w:t>
      </w:r>
      <w:r w:rsidRPr="008A774D">
        <w:rPr>
          <w:sz w:val="22"/>
        </w:rPr>
        <w:t xml:space="preserve">lease see </w:t>
      </w:r>
      <w:hyperlink w:anchor="_What_support_is" w:history="1">
        <w:r w:rsidRPr="002D346E">
          <w:rPr>
            <w:rStyle w:val="Hyperlink"/>
            <w:iCs/>
            <w:sz w:val="22"/>
          </w:rPr>
          <w:t>What support is available to applicants</w:t>
        </w:r>
        <w:r w:rsidR="002D346E" w:rsidRPr="002D346E">
          <w:rPr>
            <w:rStyle w:val="Hyperlink"/>
            <w:iCs/>
            <w:sz w:val="22"/>
          </w:rPr>
          <w:t>?</w:t>
        </w:r>
      </w:hyperlink>
      <w:r w:rsidRPr="008A774D">
        <w:rPr>
          <w:sz w:val="22"/>
        </w:rPr>
        <w:t>)</w:t>
      </w:r>
    </w:p>
    <w:p w14:paraId="7DD3E21E" w14:textId="63FA0779" w:rsidR="00EF12CB" w:rsidRPr="008A774D" w:rsidRDefault="00EF12CB" w:rsidP="00EF12CB">
      <w:pPr>
        <w:pStyle w:val="Heading1"/>
      </w:pPr>
      <w:bookmarkStart w:id="63" w:name="_Toc63686872"/>
      <w:bookmarkStart w:id="64" w:name="_Toc175576132"/>
      <w:r w:rsidRPr="008A774D">
        <w:t>How do we contact the Department?</w:t>
      </w:r>
      <w:bookmarkEnd w:id="63"/>
      <w:bookmarkEnd w:id="64"/>
    </w:p>
    <w:p w14:paraId="7DBDDEB5" w14:textId="2F876428" w:rsidR="00EF12CB" w:rsidRPr="008A774D" w:rsidRDefault="00EF12CB" w:rsidP="00EF12CB">
      <w:pPr>
        <w:pStyle w:val="Body"/>
      </w:pPr>
      <w:r w:rsidRPr="008A774D">
        <w:t>If you have any questions relating to your application, please contact the Department Families, Fairness and Housing</w:t>
      </w:r>
      <w:r w:rsidR="0074243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65"/>
      </w:tblGrid>
      <w:tr w:rsidR="00EF12CB" w14:paraId="30730C05" w14:textId="77777777" w:rsidTr="002600C0">
        <w:trPr>
          <w:trHeight w:val="640"/>
        </w:trPr>
        <w:tc>
          <w:tcPr>
            <w:tcW w:w="1129" w:type="dxa"/>
            <w:vAlign w:val="center"/>
          </w:tcPr>
          <w:p w14:paraId="259ADBFA" w14:textId="0230CFFE" w:rsidR="00EF12CB" w:rsidRPr="002600C0" w:rsidRDefault="00EF12CB" w:rsidP="002600C0">
            <w:pPr>
              <w:pStyle w:val="Bodyaftertablefigure"/>
              <w:rPr>
                <w:b/>
                <w:bCs/>
              </w:rPr>
            </w:pPr>
            <w:r w:rsidRPr="002600C0">
              <w:rPr>
                <w:b/>
                <w:bCs/>
              </w:rPr>
              <w:t xml:space="preserve">Email: </w:t>
            </w:r>
          </w:p>
        </w:tc>
        <w:tc>
          <w:tcPr>
            <w:tcW w:w="9065" w:type="dxa"/>
            <w:vAlign w:val="center"/>
          </w:tcPr>
          <w:p w14:paraId="40F5CAD4" w14:textId="7CA274F0" w:rsidR="00EF12CB" w:rsidRPr="002600C0" w:rsidRDefault="00000000" w:rsidP="002600C0">
            <w:pPr>
              <w:pStyle w:val="Bodyaftertablefigure"/>
            </w:pPr>
            <w:hyperlink r:id="rId37" w:history="1">
              <w:r w:rsidR="007B5062">
                <w:rPr>
                  <w:rStyle w:val="Hyperlink"/>
                  <w:rFonts w:eastAsia="Cambria" w:cs="Arial"/>
                  <w:szCs w:val="21"/>
                </w:rPr>
                <w:t>equality-grants@dffh.vic.gov.au</w:t>
              </w:r>
            </w:hyperlink>
            <w:r w:rsidR="002600C0" w:rsidRPr="002600C0">
              <w:rPr>
                <w:color w:val="000000" w:themeColor="text1"/>
              </w:rPr>
              <w:t xml:space="preserve"> with your enquiry or request a call back</w:t>
            </w:r>
          </w:p>
        </w:tc>
      </w:tr>
      <w:tr w:rsidR="00EF12CB" w14:paraId="05030618" w14:textId="77777777" w:rsidTr="002600C0">
        <w:trPr>
          <w:trHeight w:val="640"/>
        </w:trPr>
        <w:tc>
          <w:tcPr>
            <w:tcW w:w="1129" w:type="dxa"/>
            <w:vAlign w:val="center"/>
          </w:tcPr>
          <w:p w14:paraId="48A0EFF6" w14:textId="77C11282" w:rsidR="00EF12CB" w:rsidRPr="002600C0" w:rsidRDefault="00EF12CB" w:rsidP="002600C0">
            <w:pPr>
              <w:pStyle w:val="Bodyaftertablefigure"/>
              <w:rPr>
                <w:b/>
                <w:bCs/>
              </w:rPr>
            </w:pPr>
            <w:r w:rsidRPr="002600C0">
              <w:rPr>
                <w:b/>
                <w:bCs/>
              </w:rPr>
              <w:t>Website</w:t>
            </w:r>
            <w:r w:rsidR="002600C0" w:rsidRPr="002600C0">
              <w:rPr>
                <w:b/>
                <w:bCs/>
              </w:rPr>
              <w:t>:</w:t>
            </w:r>
          </w:p>
        </w:tc>
        <w:bookmarkStart w:id="65" w:name="_Hlk174438539"/>
        <w:tc>
          <w:tcPr>
            <w:tcW w:w="9065" w:type="dxa"/>
            <w:vAlign w:val="center"/>
          </w:tcPr>
          <w:p w14:paraId="61228988" w14:textId="187EB425" w:rsidR="00EF12CB" w:rsidRPr="002600C0" w:rsidRDefault="008A5016" w:rsidP="002600C0">
            <w:pPr>
              <w:pStyle w:val="Bodyaftertablefigure"/>
              <w:rPr>
                <w:color w:val="000000" w:themeColor="text1"/>
                <w:u w:val="dotted"/>
              </w:rPr>
            </w:pPr>
            <w:r w:rsidRPr="00C103E9">
              <w:fldChar w:fldCharType="begin"/>
            </w:r>
            <w:r w:rsidR="003C0C69" w:rsidRPr="00C103E9">
              <w:instrText>HYPERLINK "https://www.vic.gov.au/pride-events-and-festivals-fund"</w:instrText>
            </w:r>
            <w:r w:rsidRPr="00C103E9">
              <w:fldChar w:fldCharType="separate"/>
            </w:r>
            <w:r w:rsidR="003C0C69" w:rsidRPr="00C103E9">
              <w:rPr>
                <w:rStyle w:val="Hyperlink"/>
                <w:rFonts w:cs="Arial"/>
                <w:szCs w:val="21"/>
              </w:rPr>
              <w:t>Pride Events and Festivals fund 2024-25</w:t>
            </w:r>
            <w:r w:rsidRPr="00C103E9">
              <w:rPr>
                <w:rStyle w:val="Hyperlink"/>
                <w:rFonts w:cs="Arial"/>
                <w:szCs w:val="21"/>
              </w:rPr>
              <w:fldChar w:fldCharType="end"/>
            </w:r>
            <w:r w:rsidR="002600C0" w:rsidRPr="002600C0">
              <w:rPr>
                <w:color w:val="000000" w:themeColor="text1"/>
                <w:u w:val="dotted"/>
              </w:rPr>
              <w:t xml:space="preserve"> </w:t>
            </w:r>
            <w:r w:rsidR="002D346E" w:rsidRPr="002600C0">
              <w:rPr>
                <w:color w:val="000000" w:themeColor="text1"/>
                <w:u w:val="dotted"/>
              </w:rPr>
              <w:t>information page</w:t>
            </w:r>
            <w:r w:rsidR="002D346E" w:rsidRPr="002D346E">
              <w:rPr>
                <w:color w:val="000000" w:themeColor="text1"/>
                <w:u w:val="dotted"/>
              </w:rPr>
              <w:t xml:space="preserve"> </w:t>
            </w:r>
            <w:r w:rsidR="002D346E" w:rsidRPr="002D346E">
              <w:rPr>
                <w:color w:val="000000" w:themeColor="text1"/>
                <w:u w:val="dotted"/>
              </w:rPr>
              <w:t>https://www.vic.gov.au/pride-events-and-festivals-fund</w:t>
            </w:r>
            <w:r w:rsidR="002D346E" w:rsidRPr="002D346E">
              <w:rPr>
                <w:color w:val="000000" w:themeColor="text1"/>
                <w:u w:val="dotted"/>
              </w:rPr>
              <w:t xml:space="preserve"> </w:t>
            </w:r>
            <w:bookmarkEnd w:id="65"/>
          </w:p>
        </w:tc>
      </w:tr>
    </w:tbl>
    <w:p w14:paraId="59F5A338" w14:textId="77777777" w:rsidR="001A707E" w:rsidRDefault="001A707E" w:rsidP="001A707E">
      <w:pPr>
        <w:pStyle w:val="Body"/>
      </w:pPr>
    </w:p>
    <w:sectPr w:rsidR="001A707E"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DD5B3" w14:textId="77777777" w:rsidR="0042329B" w:rsidRDefault="0042329B">
      <w:r>
        <w:separator/>
      </w:r>
    </w:p>
    <w:p w14:paraId="3CBC1E93" w14:textId="77777777" w:rsidR="0042329B" w:rsidRDefault="0042329B"/>
  </w:endnote>
  <w:endnote w:type="continuationSeparator" w:id="0">
    <w:p w14:paraId="19B6538A" w14:textId="77777777" w:rsidR="0042329B" w:rsidRDefault="0042329B">
      <w:r>
        <w:continuationSeparator/>
      </w:r>
    </w:p>
    <w:p w14:paraId="02AFA1F0" w14:textId="77777777" w:rsidR="0042329B" w:rsidRDefault="0042329B"/>
  </w:endnote>
  <w:endnote w:type="continuationNotice" w:id="1">
    <w:p w14:paraId="1ADDCA68" w14:textId="77777777" w:rsidR="0042329B" w:rsidRDefault="00423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A8663" w14:textId="77777777" w:rsidR="002600C0" w:rsidRPr="00F65AA9" w:rsidRDefault="002600C0" w:rsidP="00EF2C72">
    <w:pPr>
      <w:pStyle w:val="Footer"/>
    </w:pPr>
    <w:r>
      <w:rPr>
        <w:noProof/>
        <w:lang w:eastAsia="en-AU"/>
      </w:rPr>
      <w:drawing>
        <wp:anchor distT="0" distB="0" distL="114300" distR="114300" simplePos="0" relativeHeight="251658242" behindDoc="1" locked="1" layoutInCell="1" allowOverlap="1" wp14:anchorId="1BF55119" wp14:editId="2D34FEBB">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51D0CD2" wp14:editId="2681B9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41529" w14:textId="4A584314" w:rsidR="002600C0" w:rsidRPr="00B21F90" w:rsidRDefault="002600C0"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D0CD2"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6841529" w14:textId="4A584314" w:rsidR="002600C0" w:rsidRPr="00B21F90" w:rsidRDefault="002600C0" w:rsidP="00B21F90">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66A2" w14:textId="77777777" w:rsidR="002600C0" w:rsidRDefault="002600C0">
    <w:pPr>
      <w:pStyle w:val="Footer"/>
    </w:pPr>
    <w:r>
      <w:rPr>
        <w:noProof/>
      </w:rPr>
      <mc:AlternateContent>
        <mc:Choice Requires="wps">
          <w:drawing>
            <wp:anchor distT="0" distB="0" distL="114300" distR="114300" simplePos="0" relativeHeight="251658241" behindDoc="0" locked="0" layoutInCell="0" allowOverlap="1" wp14:anchorId="59BCA5BE" wp14:editId="352F54F2">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8CB86" w14:textId="37124409" w:rsidR="002600C0" w:rsidRPr="00B21F90" w:rsidRDefault="002600C0"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BCA5BE"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0D8CB86" w14:textId="37124409" w:rsidR="002600C0" w:rsidRPr="00B21F90" w:rsidRDefault="002600C0"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B31C" w14:textId="77777777" w:rsidR="0042329B" w:rsidRDefault="0042329B" w:rsidP="00207717">
      <w:pPr>
        <w:spacing w:before="120"/>
      </w:pPr>
      <w:r>
        <w:separator/>
      </w:r>
    </w:p>
  </w:footnote>
  <w:footnote w:type="continuationSeparator" w:id="0">
    <w:p w14:paraId="0E4769F4" w14:textId="77777777" w:rsidR="0042329B" w:rsidRDefault="0042329B">
      <w:r>
        <w:continuationSeparator/>
      </w:r>
    </w:p>
    <w:p w14:paraId="64B87BB2" w14:textId="77777777" w:rsidR="0042329B" w:rsidRDefault="0042329B"/>
  </w:footnote>
  <w:footnote w:type="continuationNotice" w:id="1">
    <w:p w14:paraId="67D2D050" w14:textId="77777777" w:rsidR="0042329B" w:rsidRDefault="00423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163F" w14:textId="77777777" w:rsidR="002600C0" w:rsidRDefault="002600C0"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5579" w14:textId="49CCE427" w:rsidR="002600C0" w:rsidRPr="0051568D" w:rsidRDefault="002600C0" w:rsidP="0017674D">
    <w:pPr>
      <w:pStyle w:val="Header"/>
    </w:pPr>
    <w:r>
      <w:rPr>
        <w:noProof/>
      </w:rPr>
      <w:drawing>
        <wp:anchor distT="0" distB="0" distL="114300" distR="114300" simplePos="0" relativeHeight="251658243" behindDoc="1" locked="1" layoutInCell="1" allowOverlap="1" wp14:anchorId="73DAA978" wp14:editId="26A44D77">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D6B92">
      <w:rPr>
        <w:noProof/>
      </w:rPr>
      <w:t>Pride Events and Festivals</w:t>
    </w:r>
    <w:r>
      <w:t xml:space="preserve"> Fund </w:t>
    </w:r>
    <w:r w:rsidR="00327C2E">
      <w:t>202</w:t>
    </w:r>
    <w:r w:rsidR="00661120">
      <w:t>4</w:t>
    </w:r>
    <w:r w:rsidR="00327C2E">
      <w:t>-2</w:t>
    </w:r>
    <w:r w:rsidR="00661120">
      <w:t>5</w:t>
    </w:r>
    <w:r w:rsidR="00327C2E">
      <w:t xml:space="preserve"> </w:t>
    </w:r>
    <w:r>
      <w:t>FAQs</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EFF54B2"/>
    <w:multiLevelType w:val="hybridMultilevel"/>
    <w:tmpl w:val="EE90AC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color w:val="auto"/>
        <w:sz w:val="21"/>
        <w:szCs w:val="21"/>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A3020A5"/>
    <w:multiLevelType w:val="hybridMultilevel"/>
    <w:tmpl w:val="00BC88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EE40B55"/>
    <w:multiLevelType w:val="hybridMultilevel"/>
    <w:tmpl w:val="D20A82E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FD15554"/>
    <w:multiLevelType w:val="hybridMultilevel"/>
    <w:tmpl w:val="9C7A6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771802">
    <w:abstractNumId w:val="2"/>
  </w:num>
  <w:num w:numId="2" w16cid:durableId="928929240">
    <w:abstractNumId w:val="5"/>
  </w:num>
  <w:num w:numId="3" w16cid:durableId="1625773021">
    <w:abstractNumId w:val="4"/>
  </w:num>
  <w:num w:numId="4" w16cid:durableId="1690370770">
    <w:abstractNumId w:val="8"/>
  </w:num>
  <w:num w:numId="5" w16cid:durableId="442043444">
    <w:abstractNumId w:val="3"/>
  </w:num>
  <w:num w:numId="6" w16cid:durableId="1767798939">
    <w:abstractNumId w:val="0"/>
  </w:num>
  <w:num w:numId="7" w16cid:durableId="1954053987">
    <w:abstractNumId w:val="6"/>
  </w:num>
  <w:num w:numId="8" w16cid:durableId="1881356927">
    <w:abstractNumId w:val="7"/>
  </w:num>
  <w:num w:numId="9" w16cid:durableId="463622710">
    <w:abstractNumId w:val="1"/>
  </w:num>
  <w:num w:numId="10" w16cid:durableId="187331453">
    <w:abstractNumId w:val="5"/>
    <w:lvlOverride w:ilvl="0">
      <w:lvl w:ilvl="0">
        <w:start w:val="1"/>
        <w:numFmt w:val="bullet"/>
        <w:pStyle w:val="Bullet1"/>
        <w:lvlText w:val="•"/>
        <w:lvlJc w:val="left"/>
        <w:pPr>
          <w:ind w:left="284" w:hanging="284"/>
        </w:pPr>
        <w:rPr>
          <w:rFonts w:ascii="Calibri" w:hAnsi="Calibri" w:hint="default"/>
          <w:color w:val="auto"/>
          <w:sz w:val="21"/>
          <w:szCs w:val="21"/>
        </w:rPr>
      </w:lvl>
    </w:lvlOverride>
  </w:num>
  <w:num w:numId="11" w16cid:durableId="1632293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1F"/>
    <w:rsid w:val="00000719"/>
    <w:rsid w:val="00002D68"/>
    <w:rsid w:val="00003403"/>
    <w:rsid w:val="00003BD0"/>
    <w:rsid w:val="00003E24"/>
    <w:rsid w:val="00005347"/>
    <w:rsid w:val="000072B6"/>
    <w:rsid w:val="0001021B"/>
    <w:rsid w:val="00011D89"/>
    <w:rsid w:val="00013AAF"/>
    <w:rsid w:val="000154FD"/>
    <w:rsid w:val="0002103C"/>
    <w:rsid w:val="00022271"/>
    <w:rsid w:val="000235E8"/>
    <w:rsid w:val="00024D89"/>
    <w:rsid w:val="000250B6"/>
    <w:rsid w:val="00033D81"/>
    <w:rsid w:val="00037366"/>
    <w:rsid w:val="00041339"/>
    <w:rsid w:val="00041BF0"/>
    <w:rsid w:val="00042C8A"/>
    <w:rsid w:val="0004536B"/>
    <w:rsid w:val="00046B68"/>
    <w:rsid w:val="000527DD"/>
    <w:rsid w:val="00055332"/>
    <w:rsid w:val="000578B2"/>
    <w:rsid w:val="00060959"/>
    <w:rsid w:val="00060C8F"/>
    <w:rsid w:val="0006298A"/>
    <w:rsid w:val="000643A2"/>
    <w:rsid w:val="000663CD"/>
    <w:rsid w:val="000665CE"/>
    <w:rsid w:val="00066EB7"/>
    <w:rsid w:val="000733FE"/>
    <w:rsid w:val="00074219"/>
    <w:rsid w:val="00074ED5"/>
    <w:rsid w:val="0008339A"/>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2DFD"/>
    <w:rsid w:val="000B3EDB"/>
    <w:rsid w:val="000B543D"/>
    <w:rsid w:val="000B55F9"/>
    <w:rsid w:val="000B5BE8"/>
    <w:rsid w:val="000B5BF7"/>
    <w:rsid w:val="000B6BC8"/>
    <w:rsid w:val="000C0303"/>
    <w:rsid w:val="000C42EA"/>
    <w:rsid w:val="000C4546"/>
    <w:rsid w:val="000D1242"/>
    <w:rsid w:val="000D165B"/>
    <w:rsid w:val="000E0100"/>
    <w:rsid w:val="000E0970"/>
    <w:rsid w:val="000E3CC7"/>
    <w:rsid w:val="000E6BD4"/>
    <w:rsid w:val="000E6D6D"/>
    <w:rsid w:val="000F1F1E"/>
    <w:rsid w:val="000F2259"/>
    <w:rsid w:val="000F2DDA"/>
    <w:rsid w:val="000F2EA0"/>
    <w:rsid w:val="000F5213"/>
    <w:rsid w:val="00100E41"/>
    <w:rsid w:val="00101001"/>
    <w:rsid w:val="00103276"/>
    <w:rsid w:val="00103630"/>
    <w:rsid w:val="0010392D"/>
    <w:rsid w:val="0010447F"/>
    <w:rsid w:val="00104FE3"/>
    <w:rsid w:val="0010714F"/>
    <w:rsid w:val="00111ED5"/>
    <w:rsid w:val="001120C5"/>
    <w:rsid w:val="00120BD3"/>
    <w:rsid w:val="00122FEA"/>
    <w:rsid w:val="001232BD"/>
    <w:rsid w:val="00124ED5"/>
    <w:rsid w:val="001276FA"/>
    <w:rsid w:val="0013011C"/>
    <w:rsid w:val="001447B3"/>
    <w:rsid w:val="00144C92"/>
    <w:rsid w:val="00152073"/>
    <w:rsid w:val="00153F5B"/>
    <w:rsid w:val="00155B2F"/>
    <w:rsid w:val="00156598"/>
    <w:rsid w:val="00156CBE"/>
    <w:rsid w:val="00161939"/>
    <w:rsid w:val="00161AA0"/>
    <w:rsid w:val="00161D2E"/>
    <w:rsid w:val="00161F3E"/>
    <w:rsid w:val="00162093"/>
    <w:rsid w:val="00162CA9"/>
    <w:rsid w:val="00165459"/>
    <w:rsid w:val="001656B1"/>
    <w:rsid w:val="00165A57"/>
    <w:rsid w:val="001712C2"/>
    <w:rsid w:val="00172BAF"/>
    <w:rsid w:val="0017674D"/>
    <w:rsid w:val="001771DD"/>
    <w:rsid w:val="00177995"/>
    <w:rsid w:val="00177A8C"/>
    <w:rsid w:val="001815A6"/>
    <w:rsid w:val="00183464"/>
    <w:rsid w:val="00186B33"/>
    <w:rsid w:val="00191EA3"/>
    <w:rsid w:val="00192F9D"/>
    <w:rsid w:val="00196E7C"/>
    <w:rsid w:val="00196EB8"/>
    <w:rsid w:val="00196EFB"/>
    <w:rsid w:val="001979FF"/>
    <w:rsid w:val="00197B17"/>
    <w:rsid w:val="001A1950"/>
    <w:rsid w:val="001A1C54"/>
    <w:rsid w:val="001A202A"/>
    <w:rsid w:val="001A3ACE"/>
    <w:rsid w:val="001A707E"/>
    <w:rsid w:val="001B058F"/>
    <w:rsid w:val="001B6B96"/>
    <w:rsid w:val="001B7228"/>
    <w:rsid w:val="001B738B"/>
    <w:rsid w:val="001C09DB"/>
    <w:rsid w:val="001C277E"/>
    <w:rsid w:val="001C2A72"/>
    <w:rsid w:val="001C31B7"/>
    <w:rsid w:val="001D0B75"/>
    <w:rsid w:val="001D39A5"/>
    <w:rsid w:val="001D3C09"/>
    <w:rsid w:val="001D448C"/>
    <w:rsid w:val="001D44E8"/>
    <w:rsid w:val="001D60EC"/>
    <w:rsid w:val="001D6F59"/>
    <w:rsid w:val="001E44DF"/>
    <w:rsid w:val="001E68A5"/>
    <w:rsid w:val="001E6BB0"/>
    <w:rsid w:val="001E7282"/>
    <w:rsid w:val="001F3325"/>
    <w:rsid w:val="001F3826"/>
    <w:rsid w:val="001F6E46"/>
    <w:rsid w:val="001F7C91"/>
    <w:rsid w:val="002033B7"/>
    <w:rsid w:val="00206463"/>
    <w:rsid w:val="00206F2F"/>
    <w:rsid w:val="00207717"/>
    <w:rsid w:val="0021053D"/>
    <w:rsid w:val="00210A92"/>
    <w:rsid w:val="00216C03"/>
    <w:rsid w:val="00217582"/>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990"/>
    <w:rsid w:val="00257C94"/>
    <w:rsid w:val="002600C0"/>
    <w:rsid w:val="00261A05"/>
    <w:rsid w:val="002620BC"/>
    <w:rsid w:val="00262802"/>
    <w:rsid w:val="00263A90"/>
    <w:rsid w:val="0026408B"/>
    <w:rsid w:val="00267C3E"/>
    <w:rsid w:val="002709BB"/>
    <w:rsid w:val="0027131C"/>
    <w:rsid w:val="00273BAC"/>
    <w:rsid w:val="002763B3"/>
    <w:rsid w:val="002802E3"/>
    <w:rsid w:val="0028213D"/>
    <w:rsid w:val="002862F1"/>
    <w:rsid w:val="00286C7D"/>
    <w:rsid w:val="00291373"/>
    <w:rsid w:val="0029597D"/>
    <w:rsid w:val="002962C3"/>
    <w:rsid w:val="0029752B"/>
    <w:rsid w:val="002A0A9C"/>
    <w:rsid w:val="002A26B7"/>
    <w:rsid w:val="002A483C"/>
    <w:rsid w:val="002A6055"/>
    <w:rsid w:val="002B0C7C"/>
    <w:rsid w:val="002B1729"/>
    <w:rsid w:val="002B36C7"/>
    <w:rsid w:val="002B401F"/>
    <w:rsid w:val="002B4DD4"/>
    <w:rsid w:val="002B5277"/>
    <w:rsid w:val="002B5375"/>
    <w:rsid w:val="002B77C1"/>
    <w:rsid w:val="002C0ED7"/>
    <w:rsid w:val="002C2728"/>
    <w:rsid w:val="002C5A41"/>
    <w:rsid w:val="002D1E0D"/>
    <w:rsid w:val="002D346E"/>
    <w:rsid w:val="002D5006"/>
    <w:rsid w:val="002E01D0"/>
    <w:rsid w:val="002E05BC"/>
    <w:rsid w:val="002E161D"/>
    <w:rsid w:val="002E3100"/>
    <w:rsid w:val="002E6C95"/>
    <w:rsid w:val="002E7C36"/>
    <w:rsid w:val="002F3ADF"/>
    <w:rsid w:val="002F3C21"/>
    <w:rsid w:val="002F3D32"/>
    <w:rsid w:val="002F5F31"/>
    <w:rsid w:val="002F5F46"/>
    <w:rsid w:val="002F5F92"/>
    <w:rsid w:val="00302216"/>
    <w:rsid w:val="00303E53"/>
    <w:rsid w:val="00305CC1"/>
    <w:rsid w:val="00306E5F"/>
    <w:rsid w:val="00307E14"/>
    <w:rsid w:val="00311229"/>
    <w:rsid w:val="00314054"/>
    <w:rsid w:val="00316F27"/>
    <w:rsid w:val="003214F1"/>
    <w:rsid w:val="00322E4B"/>
    <w:rsid w:val="00323354"/>
    <w:rsid w:val="00327870"/>
    <w:rsid w:val="00327C2E"/>
    <w:rsid w:val="0033259D"/>
    <w:rsid w:val="003333D2"/>
    <w:rsid w:val="00337339"/>
    <w:rsid w:val="003406C6"/>
    <w:rsid w:val="003418CC"/>
    <w:rsid w:val="0034457E"/>
    <w:rsid w:val="003459BD"/>
    <w:rsid w:val="00350D38"/>
    <w:rsid w:val="00351B36"/>
    <w:rsid w:val="00357B4E"/>
    <w:rsid w:val="00360E65"/>
    <w:rsid w:val="003716FD"/>
    <w:rsid w:val="0037204B"/>
    <w:rsid w:val="003744CF"/>
    <w:rsid w:val="00374717"/>
    <w:rsid w:val="003759F9"/>
    <w:rsid w:val="0037676C"/>
    <w:rsid w:val="00381043"/>
    <w:rsid w:val="003829E5"/>
    <w:rsid w:val="00386109"/>
    <w:rsid w:val="00386944"/>
    <w:rsid w:val="003956CC"/>
    <w:rsid w:val="00395C9A"/>
    <w:rsid w:val="003A04E1"/>
    <w:rsid w:val="003A0853"/>
    <w:rsid w:val="003A2FE7"/>
    <w:rsid w:val="003A51E7"/>
    <w:rsid w:val="003A6B67"/>
    <w:rsid w:val="003B13B6"/>
    <w:rsid w:val="003B14C3"/>
    <w:rsid w:val="003B15E6"/>
    <w:rsid w:val="003B1BDC"/>
    <w:rsid w:val="003B1FAA"/>
    <w:rsid w:val="003B408A"/>
    <w:rsid w:val="003C08A2"/>
    <w:rsid w:val="003C0C69"/>
    <w:rsid w:val="003C2045"/>
    <w:rsid w:val="003C43A1"/>
    <w:rsid w:val="003C4FC0"/>
    <w:rsid w:val="003C55F4"/>
    <w:rsid w:val="003C7897"/>
    <w:rsid w:val="003C7A3F"/>
    <w:rsid w:val="003C7AE4"/>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67D0"/>
    <w:rsid w:val="0042084E"/>
    <w:rsid w:val="00421EEF"/>
    <w:rsid w:val="0042329B"/>
    <w:rsid w:val="00424D65"/>
    <w:rsid w:val="00425C64"/>
    <w:rsid w:val="00427AF1"/>
    <w:rsid w:val="00430393"/>
    <w:rsid w:val="00431806"/>
    <w:rsid w:val="00437AC5"/>
    <w:rsid w:val="00442C6C"/>
    <w:rsid w:val="00443CBE"/>
    <w:rsid w:val="00443E8A"/>
    <w:rsid w:val="004441BC"/>
    <w:rsid w:val="004468B4"/>
    <w:rsid w:val="0045230A"/>
    <w:rsid w:val="00454AD0"/>
    <w:rsid w:val="00457337"/>
    <w:rsid w:val="00461632"/>
    <w:rsid w:val="00462E3D"/>
    <w:rsid w:val="00466E79"/>
    <w:rsid w:val="00470D7D"/>
    <w:rsid w:val="0047372D"/>
    <w:rsid w:val="00473BA3"/>
    <w:rsid w:val="004743DD"/>
    <w:rsid w:val="00474CEA"/>
    <w:rsid w:val="00475886"/>
    <w:rsid w:val="00483968"/>
    <w:rsid w:val="004841BE"/>
    <w:rsid w:val="00484F86"/>
    <w:rsid w:val="00490746"/>
    <w:rsid w:val="00490852"/>
    <w:rsid w:val="00491C9C"/>
    <w:rsid w:val="00492F30"/>
    <w:rsid w:val="004946F4"/>
    <w:rsid w:val="0049487E"/>
    <w:rsid w:val="004961D1"/>
    <w:rsid w:val="004A160D"/>
    <w:rsid w:val="004A264B"/>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0262"/>
    <w:rsid w:val="004E1106"/>
    <w:rsid w:val="004E138F"/>
    <w:rsid w:val="004E4649"/>
    <w:rsid w:val="004E5C2B"/>
    <w:rsid w:val="004F00DD"/>
    <w:rsid w:val="004F2133"/>
    <w:rsid w:val="004F5398"/>
    <w:rsid w:val="004F55F1"/>
    <w:rsid w:val="004F6936"/>
    <w:rsid w:val="004F7B35"/>
    <w:rsid w:val="005013BA"/>
    <w:rsid w:val="00503DC6"/>
    <w:rsid w:val="00506F5D"/>
    <w:rsid w:val="00510C37"/>
    <w:rsid w:val="005126D0"/>
    <w:rsid w:val="00514667"/>
    <w:rsid w:val="0051568D"/>
    <w:rsid w:val="00526AC7"/>
    <w:rsid w:val="00526C15"/>
    <w:rsid w:val="00527E0F"/>
    <w:rsid w:val="00536499"/>
    <w:rsid w:val="00542A03"/>
    <w:rsid w:val="00543903"/>
    <w:rsid w:val="00543E16"/>
    <w:rsid w:val="00543F11"/>
    <w:rsid w:val="00546305"/>
    <w:rsid w:val="005479EE"/>
    <w:rsid w:val="00547A95"/>
    <w:rsid w:val="0055119B"/>
    <w:rsid w:val="00561202"/>
    <w:rsid w:val="00561E2F"/>
    <w:rsid w:val="005669C5"/>
    <w:rsid w:val="00572031"/>
    <w:rsid w:val="00572282"/>
    <w:rsid w:val="00572EFE"/>
    <w:rsid w:val="00573CE3"/>
    <w:rsid w:val="00576A23"/>
    <w:rsid w:val="00576E84"/>
    <w:rsid w:val="00580394"/>
    <w:rsid w:val="005809CD"/>
    <w:rsid w:val="00582B8C"/>
    <w:rsid w:val="0058757E"/>
    <w:rsid w:val="00596A4B"/>
    <w:rsid w:val="00597507"/>
    <w:rsid w:val="0059793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36A8"/>
    <w:rsid w:val="005E447E"/>
    <w:rsid w:val="005E4FD1"/>
    <w:rsid w:val="005E76EB"/>
    <w:rsid w:val="005F0775"/>
    <w:rsid w:val="005F0CF5"/>
    <w:rsid w:val="005F21EB"/>
    <w:rsid w:val="005F64CF"/>
    <w:rsid w:val="006041AD"/>
    <w:rsid w:val="00605908"/>
    <w:rsid w:val="00607850"/>
    <w:rsid w:val="00610D7C"/>
    <w:rsid w:val="00613414"/>
    <w:rsid w:val="0061694A"/>
    <w:rsid w:val="00620154"/>
    <w:rsid w:val="00621B86"/>
    <w:rsid w:val="0062408D"/>
    <w:rsid w:val="006240CC"/>
    <w:rsid w:val="00624940"/>
    <w:rsid w:val="006254F8"/>
    <w:rsid w:val="00626EDF"/>
    <w:rsid w:val="00627DA7"/>
    <w:rsid w:val="00630582"/>
    <w:rsid w:val="00630DA4"/>
    <w:rsid w:val="00631CD4"/>
    <w:rsid w:val="00632597"/>
    <w:rsid w:val="00634671"/>
    <w:rsid w:val="00634D13"/>
    <w:rsid w:val="006358B4"/>
    <w:rsid w:val="006358D9"/>
    <w:rsid w:val="00640DB6"/>
    <w:rsid w:val="00641724"/>
    <w:rsid w:val="006419AA"/>
    <w:rsid w:val="00644B1F"/>
    <w:rsid w:val="00644B7E"/>
    <w:rsid w:val="006454E6"/>
    <w:rsid w:val="00646235"/>
    <w:rsid w:val="0064660B"/>
    <w:rsid w:val="00646A68"/>
    <w:rsid w:val="006505BD"/>
    <w:rsid w:val="006508EA"/>
    <w:rsid w:val="0065092E"/>
    <w:rsid w:val="006557A7"/>
    <w:rsid w:val="00656290"/>
    <w:rsid w:val="006601C9"/>
    <w:rsid w:val="006608D8"/>
    <w:rsid w:val="00661120"/>
    <w:rsid w:val="006621D7"/>
    <w:rsid w:val="0066302A"/>
    <w:rsid w:val="00667770"/>
    <w:rsid w:val="00670597"/>
    <w:rsid w:val="006706D0"/>
    <w:rsid w:val="006711ED"/>
    <w:rsid w:val="00677574"/>
    <w:rsid w:val="00683878"/>
    <w:rsid w:val="0068396B"/>
    <w:rsid w:val="0068454C"/>
    <w:rsid w:val="00690D08"/>
    <w:rsid w:val="00691B62"/>
    <w:rsid w:val="006933B5"/>
    <w:rsid w:val="00693D14"/>
    <w:rsid w:val="00695A93"/>
    <w:rsid w:val="00695BEF"/>
    <w:rsid w:val="00696F27"/>
    <w:rsid w:val="006A18C2"/>
    <w:rsid w:val="006A1E8E"/>
    <w:rsid w:val="006A3383"/>
    <w:rsid w:val="006A35DA"/>
    <w:rsid w:val="006B062A"/>
    <w:rsid w:val="006B077C"/>
    <w:rsid w:val="006B16AF"/>
    <w:rsid w:val="006B6803"/>
    <w:rsid w:val="006D0F16"/>
    <w:rsid w:val="006D2A3F"/>
    <w:rsid w:val="006D2FBC"/>
    <w:rsid w:val="006E138B"/>
    <w:rsid w:val="006E1867"/>
    <w:rsid w:val="006F0330"/>
    <w:rsid w:val="006F1FDC"/>
    <w:rsid w:val="006F5F1E"/>
    <w:rsid w:val="006F6B8C"/>
    <w:rsid w:val="007013EF"/>
    <w:rsid w:val="007055BD"/>
    <w:rsid w:val="007173CA"/>
    <w:rsid w:val="0072134C"/>
    <w:rsid w:val="007216AA"/>
    <w:rsid w:val="00721AB5"/>
    <w:rsid w:val="00721CFB"/>
    <w:rsid w:val="00721DEF"/>
    <w:rsid w:val="00724A43"/>
    <w:rsid w:val="007273AC"/>
    <w:rsid w:val="00731AD4"/>
    <w:rsid w:val="007346E4"/>
    <w:rsid w:val="00740F22"/>
    <w:rsid w:val="00741CF0"/>
    <w:rsid w:val="00741F1A"/>
    <w:rsid w:val="00742431"/>
    <w:rsid w:val="007439B4"/>
    <w:rsid w:val="00743A2C"/>
    <w:rsid w:val="0074463A"/>
    <w:rsid w:val="007447DA"/>
    <w:rsid w:val="007450F8"/>
    <w:rsid w:val="0074696E"/>
    <w:rsid w:val="00750135"/>
    <w:rsid w:val="00750EC2"/>
    <w:rsid w:val="00752B28"/>
    <w:rsid w:val="007541A9"/>
    <w:rsid w:val="00754E36"/>
    <w:rsid w:val="007602B7"/>
    <w:rsid w:val="00763139"/>
    <w:rsid w:val="00763C8F"/>
    <w:rsid w:val="00765236"/>
    <w:rsid w:val="00770F37"/>
    <w:rsid w:val="007711A0"/>
    <w:rsid w:val="007711A3"/>
    <w:rsid w:val="00772D5E"/>
    <w:rsid w:val="0077463E"/>
    <w:rsid w:val="00774EEF"/>
    <w:rsid w:val="00776928"/>
    <w:rsid w:val="00776E0F"/>
    <w:rsid w:val="007774B1"/>
    <w:rsid w:val="00777BE1"/>
    <w:rsid w:val="007833D8"/>
    <w:rsid w:val="00785677"/>
    <w:rsid w:val="00786545"/>
    <w:rsid w:val="00786F16"/>
    <w:rsid w:val="00791BD7"/>
    <w:rsid w:val="007933F7"/>
    <w:rsid w:val="00796E20"/>
    <w:rsid w:val="00797C32"/>
    <w:rsid w:val="007A11E8"/>
    <w:rsid w:val="007B0914"/>
    <w:rsid w:val="007B1374"/>
    <w:rsid w:val="007B2806"/>
    <w:rsid w:val="007B32E5"/>
    <w:rsid w:val="007B3DB9"/>
    <w:rsid w:val="007B5062"/>
    <w:rsid w:val="007B589F"/>
    <w:rsid w:val="007B6186"/>
    <w:rsid w:val="007B73BC"/>
    <w:rsid w:val="007C11DF"/>
    <w:rsid w:val="007C1838"/>
    <w:rsid w:val="007C20B9"/>
    <w:rsid w:val="007C67DA"/>
    <w:rsid w:val="007C7301"/>
    <w:rsid w:val="007C7859"/>
    <w:rsid w:val="007C7F28"/>
    <w:rsid w:val="007D1466"/>
    <w:rsid w:val="007D2BDE"/>
    <w:rsid w:val="007D2FB6"/>
    <w:rsid w:val="007D49EB"/>
    <w:rsid w:val="007D5E1C"/>
    <w:rsid w:val="007E0DE2"/>
    <w:rsid w:val="007E3B98"/>
    <w:rsid w:val="007E417A"/>
    <w:rsid w:val="007E6643"/>
    <w:rsid w:val="007F31B6"/>
    <w:rsid w:val="007F546C"/>
    <w:rsid w:val="007F625F"/>
    <w:rsid w:val="007F665E"/>
    <w:rsid w:val="007F7151"/>
    <w:rsid w:val="00800412"/>
    <w:rsid w:val="008024B9"/>
    <w:rsid w:val="00802E58"/>
    <w:rsid w:val="0080304F"/>
    <w:rsid w:val="0080587B"/>
    <w:rsid w:val="00806468"/>
    <w:rsid w:val="008119CA"/>
    <w:rsid w:val="008130C4"/>
    <w:rsid w:val="008155F0"/>
    <w:rsid w:val="00816735"/>
    <w:rsid w:val="00820141"/>
    <w:rsid w:val="00820E0C"/>
    <w:rsid w:val="00823275"/>
    <w:rsid w:val="0082366F"/>
    <w:rsid w:val="008338A2"/>
    <w:rsid w:val="00841AA9"/>
    <w:rsid w:val="00844298"/>
    <w:rsid w:val="008474FE"/>
    <w:rsid w:val="0085232E"/>
    <w:rsid w:val="00852936"/>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2CBA"/>
    <w:rsid w:val="00893AF6"/>
    <w:rsid w:val="00894BC4"/>
    <w:rsid w:val="008A28A8"/>
    <w:rsid w:val="008A5016"/>
    <w:rsid w:val="008A5B32"/>
    <w:rsid w:val="008B2029"/>
    <w:rsid w:val="008B2EE4"/>
    <w:rsid w:val="008B3821"/>
    <w:rsid w:val="008B4D3D"/>
    <w:rsid w:val="008B57C7"/>
    <w:rsid w:val="008B5BED"/>
    <w:rsid w:val="008C2F92"/>
    <w:rsid w:val="008C589D"/>
    <w:rsid w:val="008C6D51"/>
    <w:rsid w:val="008D2846"/>
    <w:rsid w:val="008D4236"/>
    <w:rsid w:val="008D462F"/>
    <w:rsid w:val="008D5C45"/>
    <w:rsid w:val="008D6DCF"/>
    <w:rsid w:val="008D7FB6"/>
    <w:rsid w:val="008E4376"/>
    <w:rsid w:val="008E7A0A"/>
    <w:rsid w:val="008E7B49"/>
    <w:rsid w:val="008F0703"/>
    <w:rsid w:val="008F17DC"/>
    <w:rsid w:val="008F59F6"/>
    <w:rsid w:val="00900719"/>
    <w:rsid w:val="009017AC"/>
    <w:rsid w:val="00902A9A"/>
    <w:rsid w:val="00904A1C"/>
    <w:rsid w:val="00905030"/>
    <w:rsid w:val="00906490"/>
    <w:rsid w:val="009111B2"/>
    <w:rsid w:val="009151F5"/>
    <w:rsid w:val="009167D0"/>
    <w:rsid w:val="00924AE1"/>
    <w:rsid w:val="009257ED"/>
    <w:rsid w:val="009269B1"/>
    <w:rsid w:val="0092724D"/>
    <w:rsid w:val="009272B3"/>
    <w:rsid w:val="00931502"/>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6CB4"/>
    <w:rsid w:val="009A13D8"/>
    <w:rsid w:val="009A279E"/>
    <w:rsid w:val="009A3015"/>
    <w:rsid w:val="009A3490"/>
    <w:rsid w:val="009B01D5"/>
    <w:rsid w:val="009B0A6F"/>
    <w:rsid w:val="009B0A94"/>
    <w:rsid w:val="009B2AE8"/>
    <w:rsid w:val="009B5622"/>
    <w:rsid w:val="009B59E9"/>
    <w:rsid w:val="009B70AA"/>
    <w:rsid w:val="009C1CB1"/>
    <w:rsid w:val="009C5E77"/>
    <w:rsid w:val="009C7A7E"/>
    <w:rsid w:val="009D02E8"/>
    <w:rsid w:val="009D51D0"/>
    <w:rsid w:val="009D6FB9"/>
    <w:rsid w:val="009D70A4"/>
    <w:rsid w:val="009D7A52"/>
    <w:rsid w:val="009D7B14"/>
    <w:rsid w:val="009E08D1"/>
    <w:rsid w:val="009E1B95"/>
    <w:rsid w:val="009E496F"/>
    <w:rsid w:val="009E4B0D"/>
    <w:rsid w:val="009E5250"/>
    <w:rsid w:val="009E7A69"/>
    <w:rsid w:val="009E7F92"/>
    <w:rsid w:val="009F02A3"/>
    <w:rsid w:val="009F2A16"/>
    <w:rsid w:val="009F2F27"/>
    <w:rsid w:val="009F34AA"/>
    <w:rsid w:val="009F6BCB"/>
    <w:rsid w:val="009F7B78"/>
    <w:rsid w:val="00A0057A"/>
    <w:rsid w:val="00A01D87"/>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46D61"/>
    <w:rsid w:val="00A51E9B"/>
    <w:rsid w:val="00A526CB"/>
    <w:rsid w:val="00A54715"/>
    <w:rsid w:val="00A57B34"/>
    <w:rsid w:val="00A6061C"/>
    <w:rsid w:val="00A62D44"/>
    <w:rsid w:val="00A67263"/>
    <w:rsid w:val="00A7161C"/>
    <w:rsid w:val="00A7222C"/>
    <w:rsid w:val="00A77AA3"/>
    <w:rsid w:val="00A8236D"/>
    <w:rsid w:val="00A854EB"/>
    <w:rsid w:val="00A872E5"/>
    <w:rsid w:val="00A878FE"/>
    <w:rsid w:val="00A91406"/>
    <w:rsid w:val="00A96E65"/>
    <w:rsid w:val="00A96ECE"/>
    <w:rsid w:val="00A97C72"/>
    <w:rsid w:val="00A97E1C"/>
    <w:rsid w:val="00AA310B"/>
    <w:rsid w:val="00AA63D4"/>
    <w:rsid w:val="00AB06E8"/>
    <w:rsid w:val="00AB1CD3"/>
    <w:rsid w:val="00AB352F"/>
    <w:rsid w:val="00AB5D02"/>
    <w:rsid w:val="00AC274B"/>
    <w:rsid w:val="00AC4764"/>
    <w:rsid w:val="00AC6D36"/>
    <w:rsid w:val="00AD0117"/>
    <w:rsid w:val="00AD0CBA"/>
    <w:rsid w:val="00AD26E2"/>
    <w:rsid w:val="00AD3615"/>
    <w:rsid w:val="00AD784C"/>
    <w:rsid w:val="00AE126A"/>
    <w:rsid w:val="00AE1BAE"/>
    <w:rsid w:val="00AE3005"/>
    <w:rsid w:val="00AE3BD5"/>
    <w:rsid w:val="00AE59A0"/>
    <w:rsid w:val="00AE7145"/>
    <w:rsid w:val="00AF0C57"/>
    <w:rsid w:val="00AF26AF"/>
    <w:rsid w:val="00AF26F3"/>
    <w:rsid w:val="00AF5F04"/>
    <w:rsid w:val="00AF6D1C"/>
    <w:rsid w:val="00B00672"/>
    <w:rsid w:val="00B01B4D"/>
    <w:rsid w:val="00B04489"/>
    <w:rsid w:val="00B06571"/>
    <w:rsid w:val="00B068BA"/>
    <w:rsid w:val="00B07217"/>
    <w:rsid w:val="00B13851"/>
    <w:rsid w:val="00B13B1C"/>
    <w:rsid w:val="00B14B5F"/>
    <w:rsid w:val="00B172F7"/>
    <w:rsid w:val="00B21F90"/>
    <w:rsid w:val="00B22291"/>
    <w:rsid w:val="00B23F9A"/>
    <w:rsid w:val="00B2417B"/>
    <w:rsid w:val="00B24E6F"/>
    <w:rsid w:val="00B26CB5"/>
    <w:rsid w:val="00B2752E"/>
    <w:rsid w:val="00B307CC"/>
    <w:rsid w:val="00B317F8"/>
    <w:rsid w:val="00B326B7"/>
    <w:rsid w:val="00B337DD"/>
    <w:rsid w:val="00B346A9"/>
    <w:rsid w:val="00B3588E"/>
    <w:rsid w:val="00B4198F"/>
    <w:rsid w:val="00B41D58"/>
    <w:rsid w:val="00B41F3D"/>
    <w:rsid w:val="00B431E8"/>
    <w:rsid w:val="00B45141"/>
    <w:rsid w:val="00B47022"/>
    <w:rsid w:val="00B479F5"/>
    <w:rsid w:val="00B519CD"/>
    <w:rsid w:val="00B5273A"/>
    <w:rsid w:val="00B57329"/>
    <w:rsid w:val="00B60E61"/>
    <w:rsid w:val="00B61999"/>
    <w:rsid w:val="00B62B0E"/>
    <w:rsid w:val="00B62B50"/>
    <w:rsid w:val="00B635B7"/>
    <w:rsid w:val="00B63AE8"/>
    <w:rsid w:val="00B65950"/>
    <w:rsid w:val="00B66D83"/>
    <w:rsid w:val="00B672C0"/>
    <w:rsid w:val="00B676FD"/>
    <w:rsid w:val="00B678B6"/>
    <w:rsid w:val="00B70171"/>
    <w:rsid w:val="00B75646"/>
    <w:rsid w:val="00B7629E"/>
    <w:rsid w:val="00B90729"/>
    <w:rsid w:val="00B907DA"/>
    <w:rsid w:val="00B950BC"/>
    <w:rsid w:val="00B9714C"/>
    <w:rsid w:val="00BA280B"/>
    <w:rsid w:val="00BA29AD"/>
    <w:rsid w:val="00BA33CF"/>
    <w:rsid w:val="00BA3F8D"/>
    <w:rsid w:val="00BB1957"/>
    <w:rsid w:val="00BB4C53"/>
    <w:rsid w:val="00BB7A10"/>
    <w:rsid w:val="00BC60BE"/>
    <w:rsid w:val="00BC7468"/>
    <w:rsid w:val="00BC7D4F"/>
    <w:rsid w:val="00BC7ED7"/>
    <w:rsid w:val="00BD2850"/>
    <w:rsid w:val="00BD2E4B"/>
    <w:rsid w:val="00BE28D2"/>
    <w:rsid w:val="00BE4A64"/>
    <w:rsid w:val="00BE5E43"/>
    <w:rsid w:val="00BF557D"/>
    <w:rsid w:val="00BF7F58"/>
    <w:rsid w:val="00C01381"/>
    <w:rsid w:val="00C01AB1"/>
    <w:rsid w:val="00C026A0"/>
    <w:rsid w:val="00C03EA4"/>
    <w:rsid w:val="00C04F42"/>
    <w:rsid w:val="00C05868"/>
    <w:rsid w:val="00C06137"/>
    <w:rsid w:val="00C06929"/>
    <w:rsid w:val="00C079B8"/>
    <w:rsid w:val="00C10037"/>
    <w:rsid w:val="00C103E9"/>
    <w:rsid w:val="00C123EA"/>
    <w:rsid w:val="00C12A49"/>
    <w:rsid w:val="00C133EE"/>
    <w:rsid w:val="00C149D0"/>
    <w:rsid w:val="00C231A0"/>
    <w:rsid w:val="00C26588"/>
    <w:rsid w:val="00C27DE9"/>
    <w:rsid w:val="00C32989"/>
    <w:rsid w:val="00C33388"/>
    <w:rsid w:val="00C35484"/>
    <w:rsid w:val="00C4173A"/>
    <w:rsid w:val="00C46434"/>
    <w:rsid w:val="00C50DED"/>
    <w:rsid w:val="00C52217"/>
    <w:rsid w:val="00C551C9"/>
    <w:rsid w:val="00C602FF"/>
    <w:rsid w:val="00C61174"/>
    <w:rsid w:val="00C6148F"/>
    <w:rsid w:val="00C621B1"/>
    <w:rsid w:val="00C62F7A"/>
    <w:rsid w:val="00C6364F"/>
    <w:rsid w:val="00C63B9C"/>
    <w:rsid w:val="00C6682F"/>
    <w:rsid w:val="00C676CD"/>
    <w:rsid w:val="00C67BF4"/>
    <w:rsid w:val="00C7275E"/>
    <w:rsid w:val="00C72A59"/>
    <w:rsid w:val="00C742E1"/>
    <w:rsid w:val="00C74C5D"/>
    <w:rsid w:val="00C863C4"/>
    <w:rsid w:val="00C920EA"/>
    <w:rsid w:val="00C931B3"/>
    <w:rsid w:val="00C93C3E"/>
    <w:rsid w:val="00C940EC"/>
    <w:rsid w:val="00C97EA3"/>
    <w:rsid w:val="00CA12E3"/>
    <w:rsid w:val="00CA1476"/>
    <w:rsid w:val="00CA6611"/>
    <w:rsid w:val="00CA6AE6"/>
    <w:rsid w:val="00CA782F"/>
    <w:rsid w:val="00CB187B"/>
    <w:rsid w:val="00CB2835"/>
    <w:rsid w:val="00CB3285"/>
    <w:rsid w:val="00CB4500"/>
    <w:rsid w:val="00CC0C72"/>
    <w:rsid w:val="00CC18D6"/>
    <w:rsid w:val="00CC2BFD"/>
    <w:rsid w:val="00CD3268"/>
    <w:rsid w:val="00CD3476"/>
    <w:rsid w:val="00CD64DF"/>
    <w:rsid w:val="00CE07C5"/>
    <w:rsid w:val="00CE1E5B"/>
    <w:rsid w:val="00CE225F"/>
    <w:rsid w:val="00CF2F50"/>
    <w:rsid w:val="00CF4148"/>
    <w:rsid w:val="00CF5AB3"/>
    <w:rsid w:val="00CF6198"/>
    <w:rsid w:val="00D02919"/>
    <w:rsid w:val="00D04C61"/>
    <w:rsid w:val="00D05B8D"/>
    <w:rsid w:val="00D05B9B"/>
    <w:rsid w:val="00D065A2"/>
    <w:rsid w:val="00D079AA"/>
    <w:rsid w:val="00D07F00"/>
    <w:rsid w:val="00D1130F"/>
    <w:rsid w:val="00D11E70"/>
    <w:rsid w:val="00D1342D"/>
    <w:rsid w:val="00D17B72"/>
    <w:rsid w:val="00D26AB6"/>
    <w:rsid w:val="00D3185C"/>
    <w:rsid w:val="00D3205F"/>
    <w:rsid w:val="00D3318E"/>
    <w:rsid w:val="00D33520"/>
    <w:rsid w:val="00D33E72"/>
    <w:rsid w:val="00D35BD6"/>
    <w:rsid w:val="00D361B5"/>
    <w:rsid w:val="00D371D9"/>
    <w:rsid w:val="00D411A2"/>
    <w:rsid w:val="00D41BEF"/>
    <w:rsid w:val="00D4606D"/>
    <w:rsid w:val="00D46B61"/>
    <w:rsid w:val="00D50B9C"/>
    <w:rsid w:val="00D52D73"/>
    <w:rsid w:val="00D52E58"/>
    <w:rsid w:val="00D53A16"/>
    <w:rsid w:val="00D56B20"/>
    <w:rsid w:val="00D578B3"/>
    <w:rsid w:val="00D618F4"/>
    <w:rsid w:val="00D714CC"/>
    <w:rsid w:val="00D75EA7"/>
    <w:rsid w:val="00D81ADF"/>
    <w:rsid w:val="00D81F21"/>
    <w:rsid w:val="00D864F2"/>
    <w:rsid w:val="00D943F8"/>
    <w:rsid w:val="00D95470"/>
    <w:rsid w:val="00D96B55"/>
    <w:rsid w:val="00DA2619"/>
    <w:rsid w:val="00DA2A21"/>
    <w:rsid w:val="00DA2E57"/>
    <w:rsid w:val="00DA4239"/>
    <w:rsid w:val="00DA4402"/>
    <w:rsid w:val="00DA65DE"/>
    <w:rsid w:val="00DB0B61"/>
    <w:rsid w:val="00DB1474"/>
    <w:rsid w:val="00DB2962"/>
    <w:rsid w:val="00DB52FB"/>
    <w:rsid w:val="00DB6B48"/>
    <w:rsid w:val="00DC013B"/>
    <w:rsid w:val="00DC090B"/>
    <w:rsid w:val="00DC1679"/>
    <w:rsid w:val="00DC1F9C"/>
    <w:rsid w:val="00DC219B"/>
    <w:rsid w:val="00DC2CF1"/>
    <w:rsid w:val="00DC3A7C"/>
    <w:rsid w:val="00DC4FCF"/>
    <w:rsid w:val="00DC50E0"/>
    <w:rsid w:val="00DC6386"/>
    <w:rsid w:val="00DD1130"/>
    <w:rsid w:val="00DD1951"/>
    <w:rsid w:val="00DD3879"/>
    <w:rsid w:val="00DD487D"/>
    <w:rsid w:val="00DD4E83"/>
    <w:rsid w:val="00DD6628"/>
    <w:rsid w:val="00DD6945"/>
    <w:rsid w:val="00DD6B92"/>
    <w:rsid w:val="00DE2D04"/>
    <w:rsid w:val="00DE3250"/>
    <w:rsid w:val="00DE4D2D"/>
    <w:rsid w:val="00DE6028"/>
    <w:rsid w:val="00DE6C85"/>
    <w:rsid w:val="00DE78A3"/>
    <w:rsid w:val="00DF1A71"/>
    <w:rsid w:val="00DF4026"/>
    <w:rsid w:val="00DF50FC"/>
    <w:rsid w:val="00DF68C7"/>
    <w:rsid w:val="00DF69BE"/>
    <w:rsid w:val="00DF731A"/>
    <w:rsid w:val="00E03DB1"/>
    <w:rsid w:val="00E06B75"/>
    <w:rsid w:val="00E0702A"/>
    <w:rsid w:val="00E11332"/>
    <w:rsid w:val="00E11352"/>
    <w:rsid w:val="00E170DC"/>
    <w:rsid w:val="00E17546"/>
    <w:rsid w:val="00E206CF"/>
    <w:rsid w:val="00E210B5"/>
    <w:rsid w:val="00E261B3"/>
    <w:rsid w:val="00E26818"/>
    <w:rsid w:val="00E27FFC"/>
    <w:rsid w:val="00E30B15"/>
    <w:rsid w:val="00E33237"/>
    <w:rsid w:val="00E36AE9"/>
    <w:rsid w:val="00E40181"/>
    <w:rsid w:val="00E45020"/>
    <w:rsid w:val="00E54950"/>
    <w:rsid w:val="00E55FB3"/>
    <w:rsid w:val="00E56A01"/>
    <w:rsid w:val="00E629A1"/>
    <w:rsid w:val="00E64581"/>
    <w:rsid w:val="00E6794C"/>
    <w:rsid w:val="00E71591"/>
    <w:rsid w:val="00E71CEB"/>
    <w:rsid w:val="00E72F8C"/>
    <w:rsid w:val="00E7474F"/>
    <w:rsid w:val="00E80DE3"/>
    <w:rsid w:val="00E82C55"/>
    <w:rsid w:val="00E8787E"/>
    <w:rsid w:val="00E90A3F"/>
    <w:rsid w:val="00E92AC3"/>
    <w:rsid w:val="00EA2F6A"/>
    <w:rsid w:val="00EA5C1F"/>
    <w:rsid w:val="00EB00E0"/>
    <w:rsid w:val="00EB05D5"/>
    <w:rsid w:val="00EB1931"/>
    <w:rsid w:val="00EC059F"/>
    <w:rsid w:val="00EC1DE4"/>
    <w:rsid w:val="00EC1F24"/>
    <w:rsid w:val="00EC20FF"/>
    <w:rsid w:val="00EC22F6"/>
    <w:rsid w:val="00ED4815"/>
    <w:rsid w:val="00ED5B9B"/>
    <w:rsid w:val="00ED6BAD"/>
    <w:rsid w:val="00ED7447"/>
    <w:rsid w:val="00EE00D6"/>
    <w:rsid w:val="00EE11E7"/>
    <w:rsid w:val="00EE1488"/>
    <w:rsid w:val="00EE1730"/>
    <w:rsid w:val="00EE29AD"/>
    <w:rsid w:val="00EE3E24"/>
    <w:rsid w:val="00EE4D41"/>
    <w:rsid w:val="00EE4D5D"/>
    <w:rsid w:val="00EE5131"/>
    <w:rsid w:val="00EE7E8A"/>
    <w:rsid w:val="00EF109B"/>
    <w:rsid w:val="00EF12CB"/>
    <w:rsid w:val="00EF201C"/>
    <w:rsid w:val="00EF2C72"/>
    <w:rsid w:val="00EF36AF"/>
    <w:rsid w:val="00EF59A3"/>
    <w:rsid w:val="00EF62C5"/>
    <w:rsid w:val="00EF6675"/>
    <w:rsid w:val="00F0063D"/>
    <w:rsid w:val="00F00F9C"/>
    <w:rsid w:val="00F01E5F"/>
    <w:rsid w:val="00F024F3"/>
    <w:rsid w:val="00F02ABA"/>
    <w:rsid w:val="00F0437A"/>
    <w:rsid w:val="00F101B8"/>
    <w:rsid w:val="00F10C7D"/>
    <w:rsid w:val="00F11037"/>
    <w:rsid w:val="00F13885"/>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013F"/>
    <w:rsid w:val="00F61A9F"/>
    <w:rsid w:val="00F61B5F"/>
    <w:rsid w:val="00F61C1A"/>
    <w:rsid w:val="00F64696"/>
    <w:rsid w:val="00F65AA9"/>
    <w:rsid w:val="00F6768F"/>
    <w:rsid w:val="00F72C2C"/>
    <w:rsid w:val="00F741F2"/>
    <w:rsid w:val="00F76CAB"/>
    <w:rsid w:val="00F772C6"/>
    <w:rsid w:val="00F815B5"/>
    <w:rsid w:val="00F8204A"/>
    <w:rsid w:val="00F83B8C"/>
    <w:rsid w:val="00F85195"/>
    <w:rsid w:val="00F868E3"/>
    <w:rsid w:val="00F86E55"/>
    <w:rsid w:val="00F90B37"/>
    <w:rsid w:val="00F938BA"/>
    <w:rsid w:val="00F97919"/>
    <w:rsid w:val="00FA2C46"/>
    <w:rsid w:val="00FA3525"/>
    <w:rsid w:val="00FA411B"/>
    <w:rsid w:val="00FA5A53"/>
    <w:rsid w:val="00FA727C"/>
    <w:rsid w:val="00FB3501"/>
    <w:rsid w:val="00FB4769"/>
    <w:rsid w:val="00FB4CDA"/>
    <w:rsid w:val="00FB6481"/>
    <w:rsid w:val="00FB6D36"/>
    <w:rsid w:val="00FC0965"/>
    <w:rsid w:val="00FC0F81"/>
    <w:rsid w:val="00FC252F"/>
    <w:rsid w:val="00FC395C"/>
    <w:rsid w:val="00FC5E8E"/>
    <w:rsid w:val="00FD3766"/>
    <w:rsid w:val="00FD47C4"/>
    <w:rsid w:val="00FE2DCF"/>
    <w:rsid w:val="00FE3DC8"/>
    <w:rsid w:val="00FE3FA7"/>
    <w:rsid w:val="00FF1670"/>
    <w:rsid w:val="00FF2A4E"/>
    <w:rsid w:val="00FF2FCE"/>
    <w:rsid w:val="00FF4F7D"/>
    <w:rsid w:val="00FF5EB8"/>
    <w:rsid w:val="00FF6D9D"/>
    <w:rsid w:val="00FF7DD5"/>
    <w:rsid w:val="09EE19F8"/>
    <w:rsid w:val="1B9C54E8"/>
    <w:rsid w:val="1E2E0DE0"/>
    <w:rsid w:val="26F14555"/>
    <w:rsid w:val="28B1B51E"/>
    <w:rsid w:val="2D26C349"/>
    <w:rsid w:val="344335B6"/>
    <w:rsid w:val="5430BA26"/>
    <w:rsid w:val="5E994438"/>
    <w:rsid w:val="60DDC8BA"/>
    <w:rsid w:val="6EC531B8"/>
    <w:rsid w:val="770E23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27651"/>
  <w15:docId w15:val="{6DCA1A5C-1D65-4ED7-98C5-9A52D78B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TOCHeading">
    <w:name w:val="TOC Heading"/>
    <w:basedOn w:val="Heading1"/>
    <w:next w:val="Normal"/>
    <w:uiPriority w:val="39"/>
    <w:unhideWhenUsed/>
    <w:qFormat/>
    <w:rsid w:val="00543E1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PCbody">
    <w:name w:val="DPC body"/>
    <w:rsid w:val="006B062A"/>
    <w:pPr>
      <w:spacing w:after="160" w:line="300" w:lineRule="atLeast"/>
    </w:pPr>
    <w:rPr>
      <w:rFonts w:asciiTheme="minorHAnsi" w:eastAsia="Times" w:hAnsiTheme="minorHAnsi" w:cs="Arial"/>
      <w:color w:val="000000" w:themeColor="text1"/>
      <w:sz w:val="22"/>
      <w:szCs w:val="22"/>
      <w:lang w:eastAsia="en-US"/>
    </w:rPr>
  </w:style>
  <w:style w:type="table" w:styleId="TableGridLight">
    <w:name w:val="Grid Table Light"/>
    <w:basedOn w:val="TableNormal"/>
    <w:uiPriority w:val="40"/>
    <w:rsid w:val="00EF12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F12CB"/>
    <w:pPr>
      <w:spacing w:after="0" w:line="240" w:lineRule="auto"/>
      <w:ind w:left="720"/>
      <w:contextualSpacing/>
    </w:pPr>
    <w:rPr>
      <w:rFonts w:ascii="Calibri" w:eastAsia="MS Mincho" w:hAnsi="Calibri"/>
      <w:sz w:val="24"/>
      <w:szCs w:val="24"/>
      <w:lang w:val="en-US"/>
    </w:rPr>
  </w:style>
  <w:style w:type="numbering" w:customStyle="1" w:styleId="ZZBullets1">
    <w:name w:val="ZZ Bullets1"/>
    <w:rsid w:val="0052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038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789293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010427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www.vic.gov.au/pride-events-and-festivals-fund"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rantsgateway.dffh.vic.gov.au/s/login/SelfRegister" TargetMode="External"/><Relationship Id="rId34" Type="http://schemas.openxmlformats.org/officeDocument/2006/relationships/hyperlink" Target="https://grantsgateway.dffh.vic.gov.au/s/login/SelfRegist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quality-grants@dffh.vic.gov.au" TargetMode="External"/><Relationship Id="rId25" Type="http://schemas.openxmlformats.org/officeDocument/2006/relationships/hyperlink" Target="https://www.vic.gov.au/pride-events-and-festivals-fund" TargetMode="External"/><Relationship Id="rId33" Type="http://schemas.openxmlformats.org/officeDocument/2006/relationships/hyperlink" Target="mailto:equality-grants@dff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vic.gov.au/pride-events-and-festivals-fund" TargetMode="External"/><Relationship Id="rId29" Type="http://schemas.openxmlformats.org/officeDocument/2006/relationships/hyperlink" Target="mailto:equality-grants@dffh.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pride-events-and-festivals-fund" TargetMode="External"/><Relationship Id="rId32" Type="http://schemas.openxmlformats.org/officeDocument/2006/relationships/hyperlink" Target="mailto:equality-grants@dffh.vic.gov.au" TargetMode="External"/><Relationship Id="rId37" Type="http://schemas.openxmlformats.org/officeDocument/2006/relationships/hyperlink" Target="mailto:equality@dpc.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pride-events-and-festivals-fund" TargetMode="External"/><Relationship Id="rId28" Type="http://schemas.openxmlformats.org/officeDocument/2006/relationships/hyperlink" Target="mailto:equality-grants@dffh.vic.gov.au" TargetMode="External"/><Relationship Id="rId36" Type="http://schemas.openxmlformats.org/officeDocument/2006/relationships/hyperlink" Target="mailto:equality@dpc.vic.gov.au" TargetMode="External"/><Relationship Id="rId10" Type="http://schemas.openxmlformats.org/officeDocument/2006/relationships/footnotes" Target="footnotes.xml"/><Relationship Id="rId19" Type="http://schemas.openxmlformats.org/officeDocument/2006/relationships/hyperlink" Target="https://creativecommons.org/licenses/by/4.0/" TargetMode="External"/><Relationship Id="rId31" Type="http://schemas.openxmlformats.org/officeDocument/2006/relationships/hyperlink" Target="http://www.abr.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vic.gov.au/pride-events-and-festivals-fund" TargetMode="External"/><Relationship Id="rId27" Type="http://schemas.openxmlformats.org/officeDocument/2006/relationships/hyperlink" Target="https://www.vic.gov.au/pride-events-and-festivals-fund" TargetMode="External"/><Relationship Id="rId30" Type="http://schemas.openxmlformats.org/officeDocument/2006/relationships/hyperlink" Target="mailto:equality-grants@dffh.vic.gov.au" TargetMode="External"/><Relationship Id="rId35" Type="http://schemas.openxmlformats.org/officeDocument/2006/relationships/hyperlink" Target="mailto:equality@dpc.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2e4350b-c9ec-4cf9-8bf5-5701c567b7cd">
      <Terms xmlns="http://schemas.microsoft.com/office/infopath/2007/PartnerControls"/>
    </lcf76f155ced4ddcb4097134ff3c332f>
    <MediaLengthInSeconds xmlns="12e4350b-c9ec-4cf9-8bf5-5701c567b7cd" xsi:nil="true"/>
    <SharedWithUsers xmlns="81a669a9-4c03-4d16-87ee-6a524753b854">
      <UserInfo>
        <DisplayName/>
        <AccountId xsi:nil="true"/>
        <AccountType/>
      </UserInfo>
    </SharedWithUsers>
    <IdentityTags xmlns="12e4350b-c9ec-4cf9-8bf5-5701c567b7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2e4350b-c9ec-4cf9-8bf5-5701c567b7cd"/>
    <ds:schemaRef ds:uri="81a669a9-4c03-4d16-87ee-6a524753b854"/>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AB741B0-F9E9-43A5-9389-65A81FCC68B5}">
  <ds:schemaRefs>
    <ds:schemaRef ds:uri="http://www.w3.org/2001/XMLSchema"/>
  </ds:schemaRefs>
</ds:datastoreItem>
</file>

<file path=customXml/itemProps5.xml><?xml version="1.0" encoding="utf-8"?>
<ds:datastoreItem xmlns:ds="http://schemas.openxmlformats.org/officeDocument/2006/customXml" ds:itemID="{AFFA953A-84F4-4583-AF23-83E14797C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Pride Events and Festivals Fund 2024-25 Frequently asked questions</vt:lpstr>
    </vt:vector>
  </TitlesOfParts>
  <Company>Victoria State Government, Department of Familes, Fairness and Housing</Company>
  <LinksUpToDate>false</LinksUpToDate>
  <CharactersWithSpaces>22867</CharactersWithSpaces>
  <SharedDoc>false</SharedDoc>
  <HyperlinkBase/>
  <HLinks>
    <vt:vector size="264" baseType="variant">
      <vt:variant>
        <vt:i4>6946873</vt:i4>
      </vt:variant>
      <vt:variant>
        <vt:i4>216</vt:i4>
      </vt:variant>
      <vt:variant>
        <vt:i4>0</vt:i4>
      </vt:variant>
      <vt:variant>
        <vt:i4>5</vt:i4>
      </vt:variant>
      <vt:variant>
        <vt:lpwstr>https://www.vic.gov.au/pride-events-and-festivals-fund</vt:lpwstr>
      </vt:variant>
      <vt:variant>
        <vt:lpwstr/>
      </vt:variant>
      <vt:variant>
        <vt:i4>458792</vt:i4>
      </vt:variant>
      <vt:variant>
        <vt:i4>213</vt:i4>
      </vt:variant>
      <vt:variant>
        <vt:i4>0</vt:i4>
      </vt:variant>
      <vt:variant>
        <vt:i4>5</vt:i4>
      </vt:variant>
      <vt:variant>
        <vt:lpwstr>mailto:equality@dpc.vic.gov.au</vt:lpwstr>
      </vt:variant>
      <vt:variant>
        <vt:lpwstr/>
      </vt:variant>
      <vt:variant>
        <vt:i4>458792</vt:i4>
      </vt:variant>
      <vt:variant>
        <vt:i4>210</vt:i4>
      </vt:variant>
      <vt:variant>
        <vt:i4>0</vt:i4>
      </vt:variant>
      <vt:variant>
        <vt:i4>5</vt:i4>
      </vt:variant>
      <vt:variant>
        <vt:lpwstr>mailto:equality@dpc.vic.gov.au</vt:lpwstr>
      </vt:variant>
      <vt:variant>
        <vt:lpwstr/>
      </vt:variant>
      <vt:variant>
        <vt:i4>458792</vt:i4>
      </vt:variant>
      <vt:variant>
        <vt:i4>207</vt:i4>
      </vt:variant>
      <vt:variant>
        <vt:i4>0</vt:i4>
      </vt:variant>
      <vt:variant>
        <vt:i4>5</vt:i4>
      </vt:variant>
      <vt:variant>
        <vt:lpwstr>mailto:equality@dpc.vic.gov.au</vt:lpwstr>
      </vt:variant>
      <vt:variant>
        <vt:lpwstr/>
      </vt:variant>
      <vt:variant>
        <vt:i4>8257658</vt:i4>
      </vt:variant>
      <vt:variant>
        <vt:i4>204</vt:i4>
      </vt:variant>
      <vt:variant>
        <vt:i4>0</vt:i4>
      </vt:variant>
      <vt:variant>
        <vt:i4>5</vt:i4>
      </vt:variant>
      <vt:variant>
        <vt:lpwstr>https://grantsgateway.dffh.vic.gov.au/s/login/SelfRegister</vt:lpwstr>
      </vt:variant>
      <vt:variant>
        <vt:lpwstr/>
      </vt:variant>
      <vt:variant>
        <vt:i4>7798803</vt:i4>
      </vt:variant>
      <vt:variant>
        <vt:i4>201</vt:i4>
      </vt:variant>
      <vt:variant>
        <vt:i4>0</vt:i4>
      </vt:variant>
      <vt:variant>
        <vt:i4>5</vt:i4>
      </vt:variant>
      <vt:variant>
        <vt:lpwstr>mailto:equality-grants@dffh.vic.gov.au</vt:lpwstr>
      </vt:variant>
      <vt:variant>
        <vt:lpwstr/>
      </vt:variant>
      <vt:variant>
        <vt:i4>7798803</vt:i4>
      </vt:variant>
      <vt:variant>
        <vt:i4>198</vt:i4>
      </vt:variant>
      <vt:variant>
        <vt:i4>0</vt:i4>
      </vt:variant>
      <vt:variant>
        <vt:i4>5</vt:i4>
      </vt:variant>
      <vt:variant>
        <vt:lpwstr>mailto:equality-grants@dffh.vic.gov.au</vt:lpwstr>
      </vt:variant>
      <vt:variant>
        <vt:lpwstr/>
      </vt:variant>
      <vt:variant>
        <vt:i4>3014758</vt:i4>
      </vt:variant>
      <vt:variant>
        <vt:i4>195</vt:i4>
      </vt:variant>
      <vt:variant>
        <vt:i4>0</vt:i4>
      </vt:variant>
      <vt:variant>
        <vt:i4>5</vt:i4>
      </vt:variant>
      <vt:variant>
        <vt:lpwstr>http://www.abr.business.gov.au/</vt:lpwstr>
      </vt:variant>
      <vt:variant>
        <vt:lpwstr/>
      </vt:variant>
      <vt:variant>
        <vt:i4>7798803</vt:i4>
      </vt:variant>
      <vt:variant>
        <vt:i4>192</vt:i4>
      </vt:variant>
      <vt:variant>
        <vt:i4>0</vt:i4>
      </vt:variant>
      <vt:variant>
        <vt:i4>5</vt:i4>
      </vt:variant>
      <vt:variant>
        <vt:lpwstr>mailto:equality-grants@dffh.vic.gov.au</vt:lpwstr>
      </vt:variant>
      <vt:variant>
        <vt:lpwstr/>
      </vt:variant>
      <vt:variant>
        <vt:i4>7798803</vt:i4>
      </vt:variant>
      <vt:variant>
        <vt:i4>186</vt:i4>
      </vt:variant>
      <vt:variant>
        <vt:i4>0</vt:i4>
      </vt:variant>
      <vt:variant>
        <vt:i4>5</vt:i4>
      </vt:variant>
      <vt:variant>
        <vt:lpwstr>mailto:equality-grants@dffh.vic.gov.au</vt:lpwstr>
      </vt:variant>
      <vt:variant>
        <vt:lpwstr/>
      </vt:variant>
      <vt:variant>
        <vt:i4>7798803</vt:i4>
      </vt:variant>
      <vt:variant>
        <vt:i4>183</vt:i4>
      </vt:variant>
      <vt:variant>
        <vt:i4>0</vt:i4>
      </vt:variant>
      <vt:variant>
        <vt:i4>5</vt:i4>
      </vt:variant>
      <vt:variant>
        <vt:lpwstr>mailto:equality-grants@dffh.vic.gov.au</vt:lpwstr>
      </vt:variant>
      <vt:variant>
        <vt:lpwstr/>
      </vt:variant>
      <vt:variant>
        <vt:i4>6946873</vt:i4>
      </vt:variant>
      <vt:variant>
        <vt:i4>180</vt:i4>
      </vt:variant>
      <vt:variant>
        <vt:i4>0</vt:i4>
      </vt:variant>
      <vt:variant>
        <vt:i4>5</vt:i4>
      </vt:variant>
      <vt:variant>
        <vt:lpwstr>https://www.vic.gov.au/pride-events-and-festivals-fund</vt:lpwstr>
      </vt:variant>
      <vt:variant>
        <vt:lpwstr/>
      </vt:variant>
      <vt:variant>
        <vt:i4>6946873</vt:i4>
      </vt:variant>
      <vt:variant>
        <vt:i4>177</vt:i4>
      </vt:variant>
      <vt:variant>
        <vt:i4>0</vt:i4>
      </vt:variant>
      <vt:variant>
        <vt:i4>5</vt:i4>
      </vt:variant>
      <vt:variant>
        <vt:lpwstr>https://www.vic.gov.au/pride-events-and-festivals-fund</vt:lpwstr>
      </vt:variant>
      <vt:variant>
        <vt:lpwstr/>
      </vt:variant>
      <vt:variant>
        <vt:i4>6946873</vt:i4>
      </vt:variant>
      <vt:variant>
        <vt:i4>174</vt:i4>
      </vt:variant>
      <vt:variant>
        <vt:i4>0</vt:i4>
      </vt:variant>
      <vt:variant>
        <vt:i4>5</vt:i4>
      </vt:variant>
      <vt:variant>
        <vt:lpwstr>https://www.vic.gov.au/pride-events-and-festivals-fund</vt:lpwstr>
      </vt:variant>
      <vt:variant>
        <vt:lpwstr/>
      </vt:variant>
      <vt:variant>
        <vt:i4>6946873</vt:i4>
      </vt:variant>
      <vt:variant>
        <vt:i4>171</vt:i4>
      </vt:variant>
      <vt:variant>
        <vt:i4>0</vt:i4>
      </vt:variant>
      <vt:variant>
        <vt:i4>5</vt:i4>
      </vt:variant>
      <vt:variant>
        <vt:lpwstr>https://www.vic.gov.au/pride-events-and-festivals-fund</vt:lpwstr>
      </vt:variant>
      <vt:variant>
        <vt:lpwstr/>
      </vt:variant>
      <vt:variant>
        <vt:i4>8257658</vt:i4>
      </vt:variant>
      <vt:variant>
        <vt:i4>168</vt:i4>
      </vt:variant>
      <vt:variant>
        <vt:i4>0</vt:i4>
      </vt:variant>
      <vt:variant>
        <vt:i4>5</vt:i4>
      </vt:variant>
      <vt:variant>
        <vt:lpwstr>https://grantsgateway.dffh.vic.gov.au/s/login/SelfRegister</vt:lpwstr>
      </vt:variant>
      <vt:variant>
        <vt:lpwstr/>
      </vt:variant>
      <vt:variant>
        <vt:i4>1114169</vt:i4>
      </vt:variant>
      <vt:variant>
        <vt:i4>161</vt:i4>
      </vt:variant>
      <vt:variant>
        <vt:i4>0</vt:i4>
      </vt:variant>
      <vt:variant>
        <vt:i4>5</vt:i4>
      </vt:variant>
      <vt:variant>
        <vt:lpwstr/>
      </vt:variant>
      <vt:variant>
        <vt:lpwstr>_Toc149298889</vt:lpwstr>
      </vt:variant>
      <vt:variant>
        <vt:i4>1114169</vt:i4>
      </vt:variant>
      <vt:variant>
        <vt:i4>155</vt:i4>
      </vt:variant>
      <vt:variant>
        <vt:i4>0</vt:i4>
      </vt:variant>
      <vt:variant>
        <vt:i4>5</vt:i4>
      </vt:variant>
      <vt:variant>
        <vt:lpwstr/>
      </vt:variant>
      <vt:variant>
        <vt:lpwstr>_Toc149298888</vt:lpwstr>
      </vt:variant>
      <vt:variant>
        <vt:i4>1114169</vt:i4>
      </vt:variant>
      <vt:variant>
        <vt:i4>149</vt:i4>
      </vt:variant>
      <vt:variant>
        <vt:i4>0</vt:i4>
      </vt:variant>
      <vt:variant>
        <vt:i4>5</vt:i4>
      </vt:variant>
      <vt:variant>
        <vt:lpwstr/>
      </vt:variant>
      <vt:variant>
        <vt:lpwstr>_Toc149298887</vt:lpwstr>
      </vt:variant>
      <vt:variant>
        <vt:i4>1114169</vt:i4>
      </vt:variant>
      <vt:variant>
        <vt:i4>143</vt:i4>
      </vt:variant>
      <vt:variant>
        <vt:i4>0</vt:i4>
      </vt:variant>
      <vt:variant>
        <vt:i4>5</vt:i4>
      </vt:variant>
      <vt:variant>
        <vt:lpwstr/>
      </vt:variant>
      <vt:variant>
        <vt:lpwstr>_Toc149298886</vt:lpwstr>
      </vt:variant>
      <vt:variant>
        <vt:i4>1114169</vt:i4>
      </vt:variant>
      <vt:variant>
        <vt:i4>137</vt:i4>
      </vt:variant>
      <vt:variant>
        <vt:i4>0</vt:i4>
      </vt:variant>
      <vt:variant>
        <vt:i4>5</vt:i4>
      </vt:variant>
      <vt:variant>
        <vt:lpwstr/>
      </vt:variant>
      <vt:variant>
        <vt:lpwstr>_Toc149298885</vt:lpwstr>
      </vt:variant>
      <vt:variant>
        <vt:i4>1114169</vt:i4>
      </vt:variant>
      <vt:variant>
        <vt:i4>131</vt:i4>
      </vt:variant>
      <vt:variant>
        <vt:i4>0</vt:i4>
      </vt:variant>
      <vt:variant>
        <vt:i4>5</vt:i4>
      </vt:variant>
      <vt:variant>
        <vt:lpwstr/>
      </vt:variant>
      <vt:variant>
        <vt:lpwstr>_Toc149298884</vt:lpwstr>
      </vt:variant>
      <vt:variant>
        <vt:i4>1114169</vt:i4>
      </vt:variant>
      <vt:variant>
        <vt:i4>125</vt:i4>
      </vt:variant>
      <vt:variant>
        <vt:i4>0</vt:i4>
      </vt:variant>
      <vt:variant>
        <vt:i4>5</vt:i4>
      </vt:variant>
      <vt:variant>
        <vt:lpwstr/>
      </vt:variant>
      <vt:variant>
        <vt:lpwstr>_Toc149298883</vt:lpwstr>
      </vt:variant>
      <vt:variant>
        <vt:i4>1114169</vt:i4>
      </vt:variant>
      <vt:variant>
        <vt:i4>119</vt:i4>
      </vt:variant>
      <vt:variant>
        <vt:i4>0</vt:i4>
      </vt:variant>
      <vt:variant>
        <vt:i4>5</vt:i4>
      </vt:variant>
      <vt:variant>
        <vt:lpwstr/>
      </vt:variant>
      <vt:variant>
        <vt:lpwstr>_Toc149298882</vt:lpwstr>
      </vt:variant>
      <vt:variant>
        <vt:i4>1114169</vt:i4>
      </vt:variant>
      <vt:variant>
        <vt:i4>113</vt:i4>
      </vt:variant>
      <vt:variant>
        <vt:i4>0</vt:i4>
      </vt:variant>
      <vt:variant>
        <vt:i4>5</vt:i4>
      </vt:variant>
      <vt:variant>
        <vt:lpwstr/>
      </vt:variant>
      <vt:variant>
        <vt:lpwstr>_Toc149298881</vt:lpwstr>
      </vt:variant>
      <vt:variant>
        <vt:i4>1114169</vt:i4>
      </vt:variant>
      <vt:variant>
        <vt:i4>107</vt:i4>
      </vt:variant>
      <vt:variant>
        <vt:i4>0</vt:i4>
      </vt:variant>
      <vt:variant>
        <vt:i4>5</vt:i4>
      </vt:variant>
      <vt:variant>
        <vt:lpwstr/>
      </vt:variant>
      <vt:variant>
        <vt:lpwstr>_Toc149298880</vt:lpwstr>
      </vt:variant>
      <vt:variant>
        <vt:i4>1966137</vt:i4>
      </vt:variant>
      <vt:variant>
        <vt:i4>101</vt:i4>
      </vt:variant>
      <vt:variant>
        <vt:i4>0</vt:i4>
      </vt:variant>
      <vt:variant>
        <vt:i4>5</vt:i4>
      </vt:variant>
      <vt:variant>
        <vt:lpwstr/>
      </vt:variant>
      <vt:variant>
        <vt:lpwstr>_Toc149298879</vt:lpwstr>
      </vt:variant>
      <vt:variant>
        <vt:i4>1966137</vt:i4>
      </vt:variant>
      <vt:variant>
        <vt:i4>95</vt:i4>
      </vt:variant>
      <vt:variant>
        <vt:i4>0</vt:i4>
      </vt:variant>
      <vt:variant>
        <vt:i4>5</vt:i4>
      </vt:variant>
      <vt:variant>
        <vt:lpwstr/>
      </vt:variant>
      <vt:variant>
        <vt:lpwstr>_Toc149298878</vt:lpwstr>
      </vt:variant>
      <vt:variant>
        <vt:i4>1966137</vt:i4>
      </vt:variant>
      <vt:variant>
        <vt:i4>89</vt:i4>
      </vt:variant>
      <vt:variant>
        <vt:i4>0</vt:i4>
      </vt:variant>
      <vt:variant>
        <vt:i4>5</vt:i4>
      </vt:variant>
      <vt:variant>
        <vt:lpwstr/>
      </vt:variant>
      <vt:variant>
        <vt:lpwstr>_Toc149298877</vt:lpwstr>
      </vt:variant>
      <vt:variant>
        <vt:i4>1966137</vt:i4>
      </vt:variant>
      <vt:variant>
        <vt:i4>83</vt:i4>
      </vt:variant>
      <vt:variant>
        <vt:i4>0</vt:i4>
      </vt:variant>
      <vt:variant>
        <vt:i4>5</vt:i4>
      </vt:variant>
      <vt:variant>
        <vt:lpwstr/>
      </vt:variant>
      <vt:variant>
        <vt:lpwstr>_Toc149298876</vt:lpwstr>
      </vt:variant>
      <vt:variant>
        <vt:i4>1966137</vt:i4>
      </vt:variant>
      <vt:variant>
        <vt:i4>77</vt:i4>
      </vt:variant>
      <vt:variant>
        <vt:i4>0</vt:i4>
      </vt:variant>
      <vt:variant>
        <vt:i4>5</vt:i4>
      </vt:variant>
      <vt:variant>
        <vt:lpwstr/>
      </vt:variant>
      <vt:variant>
        <vt:lpwstr>_Toc149298875</vt:lpwstr>
      </vt:variant>
      <vt:variant>
        <vt:i4>1966137</vt:i4>
      </vt:variant>
      <vt:variant>
        <vt:i4>71</vt:i4>
      </vt:variant>
      <vt:variant>
        <vt:i4>0</vt:i4>
      </vt:variant>
      <vt:variant>
        <vt:i4>5</vt:i4>
      </vt:variant>
      <vt:variant>
        <vt:lpwstr/>
      </vt:variant>
      <vt:variant>
        <vt:lpwstr>_Toc149298874</vt:lpwstr>
      </vt:variant>
      <vt:variant>
        <vt:i4>1966137</vt:i4>
      </vt:variant>
      <vt:variant>
        <vt:i4>65</vt:i4>
      </vt:variant>
      <vt:variant>
        <vt:i4>0</vt:i4>
      </vt:variant>
      <vt:variant>
        <vt:i4>5</vt:i4>
      </vt:variant>
      <vt:variant>
        <vt:lpwstr/>
      </vt:variant>
      <vt:variant>
        <vt:lpwstr>_Toc149298873</vt:lpwstr>
      </vt:variant>
      <vt:variant>
        <vt:i4>1966137</vt:i4>
      </vt:variant>
      <vt:variant>
        <vt:i4>59</vt:i4>
      </vt:variant>
      <vt:variant>
        <vt:i4>0</vt:i4>
      </vt:variant>
      <vt:variant>
        <vt:i4>5</vt:i4>
      </vt:variant>
      <vt:variant>
        <vt:lpwstr/>
      </vt:variant>
      <vt:variant>
        <vt:lpwstr>_Toc149298872</vt:lpwstr>
      </vt:variant>
      <vt:variant>
        <vt:i4>1966137</vt:i4>
      </vt:variant>
      <vt:variant>
        <vt:i4>53</vt:i4>
      </vt:variant>
      <vt:variant>
        <vt:i4>0</vt:i4>
      </vt:variant>
      <vt:variant>
        <vt:i4>5</vt:i4>
      </vt:variant>
      <vt:variant>
        <vt:lpwstr/>
      </vt:variant>
      <vt:variant>
        <vt:lpwstr>_Toc149298871</vt:lpwstr>
      </vt:variant>
      <vt:variant>
        <vt:i4>1966137</vt:i4>
      </vt:variant>
      <vt:variant>
        <vt:i4>47</vt:i4>
      </vt:variant>
      <vt:variant>
        <vt:i4>0</vt:i4>
      </vt:variant>
      <vt:variant>
        <vt:i4>5</vt:i4>
      </vt:variant>
      <vt:variant>
        <vt:lpwstr/>
      </vt:variant>
      <vt:variant>
        <vt:lpwstr>_Toc149298870</vt:lpwstr>
      </vt:variant>
      <vt:variant>
        <vt:i4>2031673</vt:i4>
      </vt:variant>
      <vt:variant>
        <vt:i4>41</vt:i4>
      </vt:variant>
      <vt:variant>
        <vt:i4>0</vt:i4>
      </vt:variant>
      <vt:variant>
        <vt:i4>5</vt:i4>
      </vt:variant>
      <vt:variant>
        <vt:lpwstr/>
      </vt:variant>
      <vt:variant>
        <vt:lpwstr>_Toc149298869</vt:lpwstr>
      </vt:variant>
      <vt:variant>
        <vt:i4>2031673</vt:i4>
      </vt:variant>
      <vt:variant>
        <vt:i4>35</vt:i4>
      </vt:variant>
      <vt:variant>
        <vt:i4>0</vt:i4>
      </vt:variant>
      <vt:variant>
        <vt:i4>5</vt:i4>
      </vt:variant>
      <vt:variant>
        <vt:lpwstr/>
      </vt:variant>
      <vt:variant>
        <vt:lpwstr>_Toc149298868</vt:lpwstr>
      </vt:variant>
      <vt:variant>
        <vt:i4>2031673</vt:i4>
      </vt:variant>
      <vt:variant>
        <vt:i4>29</vt:i4>
      </vt:variant>
      <vt:variant>
        <vt:i4>0</vt:i4>
      </vt:variant>
      <vt:variant>
        <vt:i4>5</vt:i4>
      </vt:variant>
      <vt:variant>
        <vt:lpwstr/>
      </vt:variant>
      <vt:variant>
        <vt:lpwstr>_Toc149298867</vt:lpwstr>
      </vt:variant>
      <vt:variant>
        <vt:i4>2031673</vt:i4>
      </vt:variant>
      <vt:variant>
        <vt:i4>23</vt:i4>
      </vt:variant>
      <vt:variant>
        <vt:i4>0</vt:i4>
      </vt:variant>
      <vt:variant>
        <vt:i4>5</vt:i4>
      </vt:variant>
      <vt:variant>
        <vt:lpwstr/>
      </vt:variant>
      <vt:variant>
        <vt:lpwstr>_Toc149298866</vt:lpwstr>
      </vt:variant>
      <vt:variant>
        <vt:i4>2031673</vt:i4>
      </vt:variant>
      <vt:variant>
        <vt:i4>17</vt:i4>
      </vt:variant>
      <vt:variant>
        <vt:i4>0</vt:i4>
      </vt:variant>
      <vt:variant>
        <vt:i4>5</vt:i4>
      </vt:variant>
      <vt:variant>
        <vt:lpwstr/>
      </vt:variant>
      <vt:variant>
        <vt:lpwstr>_Toc149298865</vt:lpwstr>
      </vt:variant>
      <vt:variant>
        <vt:i4>2031673</vt:i4>
      </vt:variant>
      <vt:variant>
        <vt:i4>11</vt:i4>
      </vt:variant>
      <vt:variant>
        <vt:i4>0</vt:i4>
      </vt:variant>
      <vt:variant>
        <vt:i4>5</vt:i4>
      </vt:variant>
      <vt:variant>
        <vt:lpwstr/>
      </vt:variant>
      <vt:variant>
        <vt:lpwstr>_Toc149298864</vt:lpwstr>
      </vt:variant>
      <vt:variant>
        <vt:i4>2031673</vt:i4>
      </vt:variant>
      <vt:variant>
        <vt:i4>5</vt:i4>
      </vt:variant>
      <vt:variant>
        <vt:i4>0</vt:i4>
      </vt:variant>
      <vt:variant>
        <vt:i4>5</vt:i4>
      </vt:variant>
      <vt:variant>
        <vt:lpwstr/>
      </vt:variant>
      <vt:variant>
        <vt:lpwstr>_Toc149298863</vt:lpwstr>
      </vt:variant>
      <vt:variant>
        <vt:i4>6946873</vt:i4>
      </vt:variant>
      <vt:variant>
        <vt:i4>0</vt:i4>
      </vt:variant>
      <vt:variant>
        <vt:i4>0</vt:i4>
      </vt:variant>
      <vt:variant>
        <vt:i4>5</vt:i4>
      </vt:variant>
      <vt:variant>
        <vt:lpwstr>https://www.vic.gov.au/pride-events-and-festivals-fund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2024-25 Frequently asked questions</dc:title>
  <dc:subject>Pride Events and Festivals Fund 2024-25 Frequently asked questions</dc:subject>
  <dc:creator>Equality unit, Department of Families, Fairness and Housing</dc:creator>
  <cp:keywords>Pride, LGBTI, LGBTIQA+, Festival, Event, Grant, Fund</cp:keywords>
  <cp:revision>10</cp:revision>
  <cp:lastPrinted>2021-01-30T19:27:00Z</cp:lastPrinted>
  <dcterms:created xsi:type="dcterms:W3CDTF">2024-08-13T20:18:00Z</dcterms:created>
  <dcterms:modified xsi:type="dcterms:W3CDTF">2024-08-26T04:53:00Z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0x010100E57296EA1D751A4798FB6B0DFFB81F87</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7e644455-948d-415b-86c4-b59e4837616a_Enabled">
    <vt:lpwstr>True</vt:lpwstr>
  </property>
  <property fmtid="{D5CDD505-2E9C-101B-9397-08002B2CF9AE}" pid="7" name="MSIP_Label_7e644455-948d-415b-86c4-b59e4837616a_SiteId">
    <vt:lpwstr>722ea0be-3e1c-4b11-ad6f-9401d6856e24</vt:lpwstr>
  </property>
  <property fmtid="{D5CDD505-2E9C-101B-9397-08002B2CF9AE}" pid="8" name="MSIP_Label_7e644455-948d-415b-86c4-b59e4837616a_Owner">
    <vt:lpwstr>merissa.blanchard@dpc.vic.gov.au</vt:lpwstr>
  </property>
  <property fmtid="{D5CDD505-2E9C-101B-9397-08002B2CF9AE}" pid="9" name="MSIP_Label_7e644455-948d-415b-86c4-b59e4837616a_SetDate">
    <vt:lpwstr>2021-02-08T05:34:07.0438171Z</vt:lpwstr>
  </property>
  <property fmtid="{D5CDD505-2E9C-101B-9397-08002B2CF9AE}" pid="10" name="MSIP_Label_7e644455-948d-415b-86c4-b59e4837616a_Name">
    <vt:lpwstr>DO NOT MARK</vt:lpwstr>
  </property>
  <property fmtid="{D5CDD505-2E9C-101B-9397-08002B2CF9AE}" pid="11" name="MSIP_Label_7e644455-948d-415b-86c4-b59e4837616a_Application">
    <vt:lpwstr>Microsoft Azure Information Protection</vt:lpwstr>
  </property>
  <property fmtid="{D5CDD505-2E9C-101B-9397-08002B2CF9AE}" pid="12" name="MSIP_Label_7e644455-948d-415b-86c4-b59e4837616a_Extended_MSFT_Method">
    <vt:lpwstr>Manual</vt:lpwstr>
  </property>
  <property fmtid="{D5CDD505-2E9C-101B-9397-08002B2CF9AE}" pid="13" name="MSIP_Label_43e64453-338c-4f93-8a4d-0039a0a41f2a_Enabled">
    <vt:lpwstr>True</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SetDate">
    <vt:lpwstr>2021-02-04T07:38:05Z</vt:lpwstr>
  </property>
  <property fmtid="{D5CDD505-2E9C-101B-9397-08002B2CF9AE}" pid="16" name="MSIP_Label_43e64453-338c-4f93-8a4d-0039a0a41f2a_Name">
    <vt:lpwstr>43e64453-338c-4f93-8a4d-0039a0a41f2a</vt:lpwstr>
  </property>
  <property fmtid="{D5CDD505-2E9C-101B-9397-08002B2CF9AE}" pid="17" name="Sensitivity">
    <vt:lpwstr>DO NOT MARK 43e64453-338c-4f93-8a4d-0039a0a41f2a</vt:lpwstr>
  </property>
  <property fmtid="{D5CDD505-2E9C-101B-9397-08002B2CF9AE}" pid="18" name="MediaServiceImageTags">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