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A9" w:rsidRPr="00A80D0F" w:rsidRDefault="004A27F5" w:rsidP="003620CE">
      <w:pPr>
        <w:spacing w:after="240"/>
        <w:jc w:val="both"/>
        <w:rPr>
          <w:rFonts w:ascii="Calibri" w:hAnsi="Calibri" w:cs="Arial"/>
          <w:b/>
          <w:bCs/>
          <w:color w:val="872C8E"/>
          <w:sz w:val="30"/>
          <w:szCs w:val="30"/>
        </w:rPr>
      </w:pPr>
      <w:bookmarkStart w:id="0" w:name="_GoBack"/>
      <w:bookmarkEnd w:id="0"/>
      <w:r w:rsidRPr="00A80D0F">
        <w:rPr>
          <w:rFonts w:ascii="Calibri" w:hAnsi="Calibri" w:cs="Arial"/>
          <w:b/>
          <w:bCs/>
          <w:color w:val="872C8E"/>
          <w:sz w:val="30"/>
          <w:szCs w:val="30"/>
        </w:rPr>
        <w:t>Cost allocation methodology</w:t>
      </w:r>
      <w:r w:rsidR="00575D98" w:rsidRPr="00A80D0F">
        <w:rPr>
          <w:rStyle w:val="FootnoteReference"/>
          <w:rFonts w:ascii="Calibri" w:hAnsi="Calibri" w:cs="Arial"/>
          <w:b/>
          <w:bCs/>
          <w:color w:val="872C8E"/>
          <w:sz w:val="30"/>
          <w:szCs w:val="30"/>
        </w:rPr>
        <w:footnoteReference w:id="1"/>
      </w:r>
    </w:p>
    <w:p w:rsidR="00EF06A9" w:rsidRPr="00A80D0F" w:rsidRDefault="00EF06A9" w:rsidP="003620CE">
      <w:pPr>
        <w:spacing w:after="120"/>
        <w:jc w:val="both"/>
        <w:rPr>
          <w:rFonts w:ascii="Calibri" w:hAnsi="Calibri" w:cs="Arial"/>
          <w:color w:val="0063A4"/>
          <w:szCs w:val="24"/>
        </w:rPr>
      </w:pPr>
      <w:r w:rsidRPr="00A80D0F">
        <w:rPr>
          <w:rFonts w:ascii="Calibri" w:hAnsi="Calibri" w:cs="Arial"/>
          <w:b/>
          <w:bCs/>
          <w:color w:val="0063A4"/>
          <w:szCs w:val="24"/>
        </w:rPr>
        <w:t>Purpose of this note</w:t>
      </w:r>
      <w:r w:rsidRPr="00A80D0F">
        <w:rPr>
          <w:rStyle w:val="FootnoteReference"/>
          <w:rFonts w:ascii="Calibri" w:hAnsi="Calibri" w:cs="Arial"/>
          <w:b/>
          <w:bCs/>
          <w:color w:val="0063A4"/>
          <w:szCs w:val="24"/>
        </w:rPr>
        <w:footnoteReference w:id="2"/>
      </w:r>
    </w:p>
    <w:p w:rsidR="00D43535" w:rsidRPr="00A80D0F" w:rsidRDefault="00CB566C" w:rsidP="003620CE">
      <w:pPr>
        <w:spacing w:after="120"/>
        <w:jc w:val="both"/>
        <w:rPr>
          <w:rFonts w:ascii="Calibri" w:hAnsi="Calibri" w:cs="Arial"/>
          <w:sz w:val="22"/>
        </w:rPr>
      </w:pPr>
      <w:r w:rsidRPr="00A80D0F">
        <w:rPr>
          <w:rFonts w:ascii="Calibri" w:hAnsi="Calibri" w:cs="Arial"/>
          <w:sz w:val="22"/>
        </w:rPr>
        <w:t xml:space="preserve">To </w:t>
      </w:r>
      <w:r w:rsidR="007E5576" w:rsidRPr="00A80D0F">
        <w:rPr>
          <w:rFonts w:ascii="Calibri" w:hAnsi="Calibri" w:cs="Arial"/>
          <w:sz w:val="22"/>
        </w:rPr>
        <w:t>inform</w:t>
      </w:r>
      <w:r w:rsidRPr="00A80D0F">
        <w:rPr>
          <w:rFonts w:ascii="Calibri" w:hAnsi="Calibri" w:cs="Arial"/>
          <w:sz w:val="22"/>
        </w:rPr>
        <w:t xml:space="preserve"> </w:t>
      </w:r>
      <w:r w:rsidR="00D46A5F" w:rsidRPr="00A80D0F">
        <w:rPr>
          <w:rFonts w:ascii="Calibri" w:hAnsi="Calibri" w:cs="Arial"/>
          <w:sz w:val="22"/>
        </w:rPr>
        <w:t>government</w:t>
      </w:r>
      <w:r w:rsidRPr="00A80D0F">
        <w:rPr>
          <w:rFonts w:ascii="Calibri" w:hAnsi="Calibri" w:cs="Arial"/>
          <w:sz w:val="22"/>
        </w:rPr>
        <w:t xml:space="preserve"> </w:t>
      </w:r>
      <w:r w:rsidR="009A2143" w:rsidRPr="00A80D0F">
        <w:rPr>
          <w:rFonts w:ascii="Calibri" w:hAnsi="Calibri" w:cs="Arial"/>
          <w:sz w:val="22"/>
        </w:rPr>
        <w:t>agencies</w:t>
      </w:r>
      <w:r w:rsidR="00C50E84" w:rsidRPr="00A80D0F">
        <w:rPr>
          <w:rFonts w:ascii="Calibri" w:hAnsi="Calibri" w:cs="Arial"/>
          <w:sz w:val="22"/>
        </w:rPr>
        <w:t xml:space="preserve"> </w:t>
      </w:r>
      <w:r w:rsidR="007E5576" w:rsidRPr="00A80D0F">
        <w:rPr>
          <w:rFonts w:ascii="Calibri" w:hAnsi="Calibri" w:cs="Arial"/>
          <w:sz w:val="22"/>
        </w:rPr>
        <w:t xml:space="preserve">of the costing methodology options which can be considered </w:t>
      </w:r>
      <w:r w:rsidR="004A27F5" w:rsidRPr="00A80D0F">
        <w:rPr>
          <w:rFonts w:ascii="Calibri" w:hAnsi="Calibri" w:cs="Arial"/>
          <w:sz w:val="22"/>
        </w:rPr>
        <w:t xml:space="preserve">when </w:t>
      </w:r>
      <w:r w:rsidRPr="00A80D0F">
        <w:rPr>
          <w:rFonts w:ascii="Calibri" w:hAnsi="Calibri" w:cs="Arial"/>
          <w:sz w:val="22"/>
        </w:rPr>
        <w:t xml:space="preserve">undertaking the </w:t>
      </w:r>
      <w:r w:rsidR="00C50E84" w:rsidRPr="00A80D0F">
        <w:rPr>
          <w:rFonts w:ascii="Calibri" w:hAnsi="Calibri" w:cs="Arial"/>
          <w:sz w:val="22"/>
        </w:rPr>
        <w:t xml:space="preserve">competitive neutrality </w:t>
      </w:r>
      <w:r w:rsidRPr="00A80D0F">
        <w:rPr>
          <w:rFonts w:ascii="Calibri" w:hAnsi="Calibri" w:cs="Arial"/>
          <w:sz w:val="22"/>
        </w:rPr>
        <w:t xml:space="preserve">costing exercise for </w:t>
      </w:r>
      <w:r w:rsidR="00C50E84" w:rsidRPr="00A80D0F">
        <w:rPr>
          <w:rFonts w:ascii="Calibri" w:hAnsi="Calibri" w:cs="Arial"/>
          <w:sz w:val="22"/>
        </w:rPr>
        <w:t xml:space="preserve">activities </w:t>
      </w:r>
      <w:r w:rsidR="005A0DA5" w:rsidRPr="00A80D0F">
        <w:rPr>
          <w:rFonts w:ascii="Calibri" w:hAnsi="Calibri" w:cs="Arial"/>
          <w:sz w:val="22"/>
        </w:rPr>
        <w:t xml:space="preserve">that have been </w:t>
      </w:r>
      <w:r w:rsidR="00C50E84" w:rsidRPr="00A80D0F">
        <w:rPr>
          <w:rFonts w:ascii="Calibri" w:hAnsi="Calibri" w:cs="Arial"/>
          <w:sz w:val="22"/>
        </w:rPr>
        <w:t xml:space="preserve">identified as being a </w:t>
      </w:r>
      <w:r w:rsidR="004A27F5" w:rsidRPr="00A80D0F">
        <w:rPr>
          <w:rFonts w:ascii="Calibri" w:hAnsi="Calibri" w:cs="Arial"/>
          <w:sz w:val="22"/>
        </w:rPr>
        <w:t>significant business</w:t>
      </w:r>
      <w:r w:rsidR="00F063E0" w:rsidRPr="00A80D0F">
        <w:rPr>
          <w:rFonts w:ascii="Calibri" w:hAnsi="Calibri" w:cs="Arial"/>
          <w:sz w:val="22"/>
        </w:rPr>
        <w:t>,</w:t>
      </w:r>
      <w:r w:rsidR="007E5576" w:rsidRPr="00A80D0F">
        <w:rPr>
          <w:rFonts w:ascii="Calibri" w:hAnsi="Calibri" w:cs="Arial"/>
          <w:sz w:val="22"/>
        </w:rPr>
        <w:t xml:space="preserve"> and assist government </w:t>
      </w:r>
      <w:r w:rsidR="009A2143" w:rsidRPr="00A80D0F">
        <w:rPr>
          <w:rFonts w:ascii="Calibri" w:hAnsi="Calibri" w:cs="Arial"/>
          <w:sz w:val="22"/>
        </w:rPr>
        <w:t>agencie</w:t>
      </w:r>
      <w:r w:rsidR="007E5576" w:rsidRPr="00A80D0F">
        <w:rPr>
          <w:rFonts w:ascii="Calibri" w:hAnsi="Calibri" w:cs="Arial"/>
          <w:sz w:val="22"/>
        </w:rPr>
        <w:t xml:space="preserve">s in the selection of </w:t>
      </w:r>
      <w:r w:rsidR="00F063E0" w:rsidRPr="00A80D0F">
        <w:rPr>
          <w:rFonts w:ascii="Calibri" w:hAnsi="Calibri" w:cs="Arial"/>
          <w:sz w:val="22"/>
        </w:rPr>
        <w:t>an</w:t>
      </w:r>
      <w:r w:rsidR="007E5576" w:rsidRPr="00A80D0F">
        <w:rPr>
          <w:rFonts w:ascii="Calibri" w:hAnsi="Calibri" w:cs="Arial"/>
          <w:sz w:val="22"/>
        </w:rPr>
        <w:t xml:space="preserve"> appropriate costing methodology</w:t>
      </w:r>
      <w:r w:rsidRPr="00A80D0F">
        <w:rPr>
          <w:rFonts w:ascii="Calibri" w:hAnsi="Calibri" w:cs="Arial"/>
          <w:sz w:val="22"/>
        </w:rPr>
        <w:t>.</w:t>
      </w:r>
      <w:r w:rsidR="00C50E84" w:rsidRPr="00A80D0F">
        <w:rPr>
          <w:rFonts w:ascii="Calibri" w:hAnsi="Calibri" w:cs="Arial"/>
          <w:sz w:val="22"/>
        </w:rPr>
        <w:t xml:space="preserve"> </w:t>
      </w:r>
      <w:r w:rsidR="007E5576" w:rsidRPr="00A80D0F">
        <w:rPr>
          <w:rFonts w:ascii="Calibri" w:hAnsi="Calibri" w:cs="Arial"/>
          <w:sz w:val="22"/>
        </w:rPr>
        <w:t xml:space="preserve">Two costing methodologies can be considered: the fully distributed cost approach and the avoidable cost approach. </w:t>
      </w:r>
    </w:p>
    <w:p w:rsidR="00CB566C" w:rsidRPr="00A80D0F" w:rsidRDefault="00C50E84" w:rsidP="003620CE">
      <w:pPr>
        <w:spacing w:after="120"/>
        <w:jc w:val="both"/>
        <w:rPr>
          <w:rFonts w:ascii="Calibri" w:hAnsi="Calibri" w:cs="Arial"/>
          <w:sz w:val="22"/>
        </w:rPr>
      </w:pPr>
      <w:r w:rsidRPr="00A80D0F">
        <w:rPr>
          <w:rFonts w:ascii="Calibri" w:hAnsi="Calibri" w:cs="Arial"/>
          <w:sz w:val="22"/>
        </w:rPr>
        <w:t xml:space="preserve">In particular the purpose of this guidance note is to inform </w:t>
      </w:r>
      <w:r w:rsidR="00B8499A" w:rsidRPr="00A80D0F">
        <w:rPr>
          <w:rFonts w:ascii="Calibri" w:hAnsi="Calibri" w:cs="Arial"/>
          <w:sz w:val="22"/>
        </w:rPr>
        <w:t xml:space="preserve">government </w:t>
      </w:r>
      <w:r w:rsidR="009A2143" w:rsidRPr="00A80D0F">
        <w:rPr>
          <w:rFonts w:ascii="Calibri" w:hAnsi="Calibri" w:cs="Arial"/>
          <w:sz w:val="22"/>
        </w:rPr>
        <w:t>agencie</w:t>
      </w:r>
      <w:r w:rsidR="00B8499A" w:rsidRPr="00A80D0F">
        <w:rPr>
          <w:rFonts w:ascii="Calibri" w:hAnsi="Calibri" w:cs="Arial"/>
          <w:sz w:val="22"/>
        </w:rPr>
        <w:t>s</w:t>
      </w:r>
      <w:r w:rsidRPr="00A80D0F">
        <w:rPr>
          <w:rFonts w:ascii="Calibri" w:hAnsi="Calibri" w:cs="Arial"/>
          <w:sz w:val="22"/>
        </w:rPr>
        <w:t xml:space="preserve"> that the avoidable cost method can be </w:t>
      </w:r>
      <w:r w:rsidR="00B8499A" w:rsidRPr="00A80D0F">
        <w:rPr>
          <w:rFonts w:ascii="Calibri" w:hAnsi="Calibri" w:cs="Arial"/>
          <w:sz w:val="22"/>
        </w:rPr>
        <w:t xml:space="preserve">an </w:t>
      </w:r>
      <w:r w:rsidRPr="00A80D0F">
        <w:rPr>
          <w:rFonts w:ascii="Calibri" w:hAnsi="Calibri" w:cs="Arial"/>
          <w:sz w:val="22"/>
        </w:rPr>
        <w:t xml:space="preserve">acceptable method of allocating costs for competitive neutrality pricing in relation to business activities associated with </w:t>
      </w:r>
      <w:r w:rsidR="00B8499A" w:rsidRPr="00A80D0F">
        <w:rPr>
          <w:rFonts w:ascii="Calibri" w:hAnsi="Calibri" w:cs="Arial"/>
          <w:sz w:val="22"/>
        </w:rPr>
        <w:t>non-commercial activities</w:t>
      </w:r>
      <w:r w:rsidRPr="00A80D0F">
        <w:rPr>
          <w:rFonts w:ascii="Calibri" w:hAnsi="Calibri" w:cs="Arial"/>
          <w:sz w:val="22"/>
        </w:rPr>
        <w:t>.</w:t>
      </w:r>
    </w:p>
    <w:p w:rsidR="00C91105" w:rsidRPr="00A80D0F" w:rsidRDefault="00C91105" w:rsidP="003620CE">
      <w:pPr>
        <w:spacing w:after="120"/>
        <w:jc w:val="both"/>
        <w:rPr>
          <w:rFonts w:ascii="Calibri" w:hAnsi="Calibri" w:cs="Arial"/>
          <w:b/>
          <w:bCs/>
          <w:color w:val="0063A4"/>
          <w:szCs w:val="24"/>
        </w:rPr>
      </w:pPr>
      <w:r w:rsidRPr="00A80D0F">
        <w:rPr>
          <w:rFonts w:ascii="Calibri" w:hAnsi="Calibri" w:cs="Arial"/>
          <w:b/>
          <w:bCs/>
          <w:color w:val="0063A4"/>
          <w:szCs w:val="24"/>
        </w:rPr>
        <w:t>Cost allocation methodologies</w:t>
      </w:r>
    </w:p>
    <w:p w:rsidR="00C91105" w:rsidRPr="00A80D0F" w:rsidRDefault="00EB140B" w:rsidP="003620CE">
      <w:pPr>
        <w:spacing w:after="120"/>
        <w:jc w:val="both"/>
        <w:rPr>
          <w:rFonts w:ascii="Calibri" w:hAnsi="Calibri" w:cs="Arial"/>
          <w:sz w:val="22"/>
          <w:szCs w:val="22"/>
        </w:rPr>
      </w:pPr>
      <w:r w:rsidRPr="00A80D0F">
        <w:rPr>
          <w:rFonts w:ascii="Calibri" w:hAnsi="Calibri" w:cs="Arial"/>
          <w:sz w:val="22"/>
          <w:szCs w:val="22"/>
        </w:rPr>
        <w:t>Definitions of the two costing methodologies are provided in the</w:t>
      </w:r>
      <w:r w:rsidR="00C91105" w:rsidRPr="00A80D0F">
        <w:rPr>
          <w:rFonts w:ascii="Calibri" w:hAnsi="Calibri" w:cs="Arial"/>
          <w:sz w:val="22"/>
          <w:szCs w:val="22"/>
        </w:rPr>
        <w:t xml:space="preserve"> </w:t>
      </w:r>
      <w:r w:rsidR="00C91105" w:rsidRPr="00A80D0F">
        <w:rPr>
          <w:rFonts w:ascii="Calibri" w:hAnsi="Calibri" w:cs="Arial"/>
          <w:i/>
          <w:sz w:val="22"/>
          <w:szCs w:val="22"/>
        </w:rPr>
        <w:t xml:space="preserve">Competitive Neutrality </w:t>
      </w:r>
      <w:r w:rsidR="009A2143" w:rsidRPr="00A80D0F">
        <w:rPr>
          <w:rFonts w:ascii="Calibri" w:hAnsi="Calibri" w:cs="Arial"/>
          <w:i/>
          <w:sz w:val="22"/>
          <w:szCs w:val="22"/>
        </w:rPr>
        <w:t xml:space="preserve">(CN) </w:t>
      </w:r>
      <w:r w:rsidR="00C91105" w:rsidRPr="00A80D0F">
        <w:rPr>
          <w:rFonts w:ascii="Calibri" w:hAnsi="Calibri" w:cs="Arial"/>
          <w:i/>
          <w:sz w:val="22"/>
          <w:szCs w:val="22"/>
        </w:rPr>
        <w:t>Guide to Implementation</w:t>
      </w:r>
      <w:r w:rsidR="00C91105" w:rsidRPr="00A80D0F">
        <w:rPr>
          <w:rFonts w:ascii="Calibri" w:hAnsi="Calibri" w:cs="Arial"/>
          <w:sz w:val="22"/>
          <w:szCs w:val="22"/>
        </w:rPr>
        <w:t xml:space="preserve"> (pp</w:t>
      </w:r>
      <w:r w:rsidRPr="00A80D0F">
        <w:rPr>
          <w:rFonts w:ascii="Calibri" w:hAnsi="Calibri" w:cs="Arial"/>
          <w:sz w:val="22"/>
          <w:szCs w:val="22"/>
        </w:rPr>
        <w:t xml:space="preserve">. </w:t>
      </w:r>
      <w:r w:rsidR="00C91105" w:rsidRPr="00A80D0F">
        <w:rPr>
          <w:rFonts w:ascii="Calibri" w:hAnsi="Calibri" w:cs="Arial"/>
          <w:sz w:val="22"/>
          <w:szCs w:val="22"/>
        </w:rPr>
        <w:t>10-11):</w:t>
      </w:r>
    </w:p>
    <w:p w:rsidR="00C91105" w:rsidRPr="00A80D0F" w:rsidRDefault="00C91105" w:rsidP="003620CE">
      <w:pPr>
        <w:spacing w:after="120"/>
        <w:ind w:left="709"/>
        <w:jc w:val="both"/>
        <w:rPr>
          <w:rFonts w:ascii="Calibri" w:hAnsi="Calibri" w:cs="Arial"/>
          <w:sz w:val="22"/>
          <w:szCs w:val="22"/>
        </w:rPr>
      </w:pPr>
      <w:r w:rsidRPr="00A80D0F">
        <w:rPr>
          <w:rFonts w:ascii="Calibri" w:hAnsi="Calibri" w:cs="Arial"/>
          <w:sz w:val="22"/>
          <w:szCs w:val="22"/>
        </w:rPr>
        <w:t>‘</w:t>
      </w:r>
      <w:r w:rsidRPr="00A80D0F">
        <w:rPr>
          <w:rFonts w:ascii="Calibri" w:hAnsi="Calibri" w:cs="Arial"/>
          <w:b/>
          <w:sz w:val="22"/>
          <w:szCs w:val="22"/>
        </w:rPr>
        <w:t>Fully Distributed Cost</w:t>
      </w:r>
      <w:r w:rsidRPr="00A80D0F">
        <w:rPr>
          <w:rFonts w:ascii="Calibri" w:hAnsi="Calibri" w:cs="Arial"/>
          <w:sz w:val="22"/>
          <w:szCs w:val="22"/>
        </w:rPr>
        <w:t xml:space="preserve"> – It is expected that full cost attribution will be achieved using the Fully Distributed Cost (FDC) method.  This ensures that direct, indirect and competitively neutral costs of producing an output are factored into the full cost base.  Direct costs of production include wages and the cost of inputs.  Indirect costs (overheads) are typically split among various commercial and/or non-commercial outputs and include electricity, information technology, building security, administration, personnel services and rent.  These costs that are included in producing the output should therefore be taken into account.</w:t>
      </w:r>
    </w:p>
    <w:p w:rsidR="00C91105" w:rsidRPr="00A80D0F" w:rsidRDefault="00C91105" w:rsidP="003620CE">
      <w:pPr>
        <w:spacing w:after="120"/>
        <w:ind w:left="709"/>
        <w:jc w:val="both"/>
        <w:rPr>
          <w:rFonts w:ascii="Calibri" w:hAnsi="Calibri" w:cs="Arial"/>
          <w:sz w:val="22"/>
          <w:szCs w:val="22"/>
        </w:rPr>
      </w:pPr>
      <w:r w:rsidRPr="00A80D0F">
        <w:rPr>
          <w:rFonts w:ascii="Calibri" w:hAnsi="Calibri" w:cs="Arial"/>
          <w:b/>
          <w:sz w:val="22"/>
          <w:szCs w:val="22"/>
        </w:rPr>
        <w:t>Avoidable cost</w:t>
      </w:r>
      <w:r w:rsidRPr="00A80D0F">
        <w:rPr>
          <w:rFonts w:ascii="Calibri" w:hAnsi="Calibri" w:cs="Arial"/>
          <w:sz w:val="22"/>
          <w:szCs w:val="22"/>
        </w:rPr>
        <w:t xml:space="preserve"> – In instances where the </w:t>
      </w:r>
      <w:r w:rsidRPr="00A80D0F">
        <w:rPr>
          <w:rFonts w:ascii="Calibri" w:hAnsi="Calibri" w:cs="Arial"/>
          <w:i/>
          <w:sz w:val="22"/>
          <w:szCs w:val="22"/>
        </w:rPr>
        <w:t>primary</w:t>
      </w:r>
      <w:r w:rsidRPr="00A80D0F">
        <w:rPr>
          <w:rFonts w:ascii="Calibri" w:hAnsi="Calibri" w:cs="Arial"/>
          <w:sz w:val="22"/>
          <w:szCs w:val="22"/>
        </w:rPr>
        <w:t xml:space="preserve"> activity of an agency is </w:t>
      </w:r>
      <w:r w:rsidRPr="00A80D0F">
        <w:rPr>
          <w:rFonts w:ascii="Calibri" w:hAnsi="Calibri" w:cs="Arial"/>
          <w:i/>
          <w:sz w:val="22"/>
          <w:szCs w:val="22"/>
        </w:rPr>
        <w:t>non-commercial</w:t>
      </w:r>
      <w:r w:rsidRPr="00A80D0F">
        <w:rPr>
          <w:rFonts w:ascii="Calibri" w:hAnsi="Calibri" w:cs="Arial"/>
          <w:sz w:val="22"/>
          <w:szCs w:val="22"/>
        </w:rPr>
        <w:t xml:space="preserve">, it may be appropriate to use </w:t>
      </w:r>
      <w:r w:rsidRPr="00A80D0F">
        <w:rPr>
          <w:rFonts w:ascii="Calibri" w:hAnsi="Calibri" w:cs="Arial"/>
          <w:i/>
          <w:sz w:val="22"/>
          <w:szCs w:val="22"/>
        </w:rPr>
        <w:t>Avoidable Cost (AC)</w:t>
      </w:r>
      <w:r w:rsidRPr="00A80D0F">
        <w:rPr>
          <w:rFonts w:ascii="Calibri" w:hAnsi="Calibri" w:cs="Arial"/>
          <w:sz w:val="22"/>
          <w:szCs w:val="22"/>
        </w:rPr>
        <w:t xml:space="preserve"> methodology.  Using this method, the agency need only consider the extra (direct) costs that the agency could avoid if the activity in question was not undertaken.  In many cases, the indirect costs of an agency will not be affected by the commercial activity of the agency, as overhead costs would be incurred anyway.  To the extent that indirect costs are affected by the commercial activity these should be taken into account.’ </w:t>
      </w:r>
    </w:p>
    <w:p w:rsidR="00EF06A9" w:rsidRPr="00A80D0F" w:rsidRDefault="00EF06A9" w:rsidP="003620CE">
      <w:pPr>
        <w:spacing w:after="120"/>
        <w:jc w:val="both"/>
        <w:rPr>
          <w:rFonts w:ascii="Calibri" w:hAnsi="Calibri" w:cs="Arial"/>
          <w:b/>
          <w:bCs/>
          <w:color w:val="0063A4"/>
          <w:szCs w:val="24"/>
        </w:rPr>
      </w:pPr>
      <w:r w:rsidRPr="00A80D0F">
        <w:rPr>
          <w:rFonts w:ascii="Calibri" w:hAnsi="Calibri" w:cs="Arial"/>
          <w:b/>
          <w:bCs/>
          <w:color w:val="0063A4"/>
          <w:szCs w:val="24"/>
        </w:rPr>
        <w:t>Issues</w:t>
      </w:r>
    </w:p>
    <w:p w:rsidR="00C51ED3" w:rsidRPr="00A80D0F" w:rsidRDefault="00C51ED3" w:rsidP="003620CE">
      <w:pPr>
        <w:spacing w:after="120"/>
        <w:jc w:val="both"/>
        <w:rPr>
          <w:rFonts w:ascii="Calibri" w:hAnsi="Calibri" w:cs="Arial"/>
          <w:sz w:val="22"/>
          <w:szCs w:val="22"/>
        </w:rPr>
      </w:pPr>
      <w:r w:rsidRPr="00A80D0F">
        <w:rPr>
          <w:rFonts w:ascii="Calibri" w:hAnsi="Calibri" w:cs="Arial"/>
          <w:sz w:val="22"/>
          <w:szCs w:val="22"/>
        </w:rPr>
        <w:t>The CN guide</w:t>
      </w:r>
      <w:r w:rsidR="00F063E0" w:rsidRPr="00A80D0F">
        <w:rPr>
          <w:rFonts w:ascii="Calibri" w:hAnsi="Calibri" w:cs="Arial"/>
          <w:sz w:val="22"/>
          <w:szCs w:val="22"/>
        </w:rPr>
        <w:t xml:space="preserve"> to implementation</w:t>
      </w:r>
      <w:r w:rsidRPr="00A80D0F">
        <w:rPr>
          <w:rFonts w:ascii="Calibri" w:hAnsi="Calibri" w:cs="Arial"/>
          <w:sz w:val="22"/>
          <w:szCs w:val="22"/>
        </w:rPr>
        <w:t xml:space="preserve"> states: “In most cases, agencies will be required to adopt the Fully Distributed Cost</w:t>
      </w:r>
      <w:r w:rsidR="009A2143" w:rsidRPr="00A80D0F">
        <w:rPr>
          <w:rFonts w:ascii="Calibri" w:hAnsi="Calibri" w:cs="Arial"/>
          <w:sz w:val="22"/>
          <w:szCs w:val="22"/>
        </w:rPr>
        <w:t xml:space="preserve"> approach to costing outputs”. (</w:t>
      </w:r>
      <w:r w:rsidRPr="00A80D0F">
        <w:rPr>
          <w:rFonts w:ascii="Calibri" w:hAnsi="Calibri" w:cs="Arial"/>
          <w:sz w:val="22"/>
          <w:szCs w:val="22"/>
        </w:rPr>
        <w:t>p. 11</w:t>
      </w:r>
      <w:r w:rsidR="009A2143" w:rsidRPr="00A80D0F">
        <w:rPr>
          <w:rFonts w:ascii="Calibri" w:hAnsi="Calibri" w:cs="Arial"/>
          <w:sz w:val="22"/>
          <w:szCs w:val="22"/>
        </w:rPr>
        <w:t>)</w:t>
      </w:r>
      <w:r w:rsidR="000306AD" w:rsidRPr="00A80D0F">
        <w:rPr>
          <w:rFonts w:ascii="Calibri" w:hAnsi="Calibri" w:cs="Arial"/>
          <w:sz w:val="22"/>
          <w:szCs w:val="22"/>
        </w:rPr>
        <w:t xml:space="preserve"> The </w:t>
      </w:r>
      <w:r w:rsidR="004D15D6">
        <w:rPr>
          <w:rFonts w:ascii="Calibri" w:hAnsi="Calibri" w:cs="Arial"/>
          <w:sz w:val="22"/>
          <w:szCs w:val="22"/>
        </w:rPr>
        <w:t>OCBR</w:t>
      </w:r>
      <w:r w:rsidR="000306AD" w:rsidRPr="00A80D0F">
        <w:rPr>
          <w:rFonts w:ascii="Calibri" w:hAnsi="Calibri" w:cs="Arial"/>
          <w:sz w:val="22"/>
          <w:szCs w:val="22"/>
        </w:rPr>
        <w:t xml:space="preserve"> </w:t>
      </w:r>
      <w:r w:rsidR="004D15D6">
        <w:rPr>
          <w:rFonts w:ascii="Calibri" w:hAnsi="Calibri" w:cs="Arial"/>
          <w:sz w:val="22"/>
          <w:szCs w:val="22"/>
        </w:rPr>
        <w:t>notes</w:t>
      </w:r>
      <w:r w:rsidR="000306AD" w:rsidRPr="00A80D0F">
        <w:rPr>
          <w:rFonts w:ascii="Calibri" w:hAnsi="Calibri" w:cs="Arial"/>
          <w:sz w:val="22"/>
          <w:szCs w:val="22"/>
        </w:rPr>
        <w:t xml:space="preserve"> that government agencies and </w:t>
      </w:r>
      <w:r w:rsidR="004D15D6">
        <w:rPr>
          <w:rFonts w:ascii="Calibri" w:hAnsi="Calibri" w:cs="Arial"/>
          <w:sz w:val="22"/>
          <w:szCs w:val="22"/>
        </w:rPr>
        <w:t xml:space="preserve">– </w:t>
      </w:r>
      <w:r w:rsidR="000306AD" w:rsidRPr="00A80D0F">
        <w:rPr>
          <w:rFonts w:ascii="Calibri" w:hAnsi="Calibri" w:cs="Arial"/>
          <w:sz w:val="22"/>
          <w:szCs w:val="22"/>
        </w:rPr>
        <w:t xml:space="preserve">more specifically </w:t>
      </w:r>
      <w:r w:rsidR="004D15D6">
        <w:rPr>
          <w:rFonts w:ascii="Calibri" w:hAnsi="Calibri" w:cs="Arial"/>
          <w:sz w:val="22"/>
          <w:szCs w:val="22"/>
        </w:rPr>
        <w:t xml:space="preserve">– </w:t>
      </w:r>
      <w:r w:rsidR="000306AD" w:rsidRPr="00A80D0F">
        <w:rPr>
          <w:rFonts w:ascii="Calibri" w:hAnsi="Calibri" w:cs="Arial"/>
          <w:sz w:val="22"/>
          <w:szCs w:val="22"/>
        </w:rPr>
        <w:t>councils have adopted the fully distributed cost approach to costing outputs when they might have considered the avoidable cost method.</w:t>
      </w:r>
    </w:p>
    <w:p w:rsidR="00EB140B" w:rsidRPr="00A80D0F" w:rsidRDefault="00EB140B" w:rsidP="003620CE">
      <w:pPr>
        <w:spacing w:after="120"/>
        <w:jc w:val="both"/>
        <w:rPr>
          <w:rFonts w:ascii="Calibri" w:hAnsi="Calibri" w:cs="Arial"/>
          <w:sz w:val="22"/>
          <w:szCs w:val="22"/>
        </w:rPr>
      </w:pPr>
    </w:p>
    <w:p w:rsidR="000306AD" w:rsidRPr="00A80D0F" w:rsidRDefault="000306AD" w:rsidP="003620CE">
      <w:pPr>
        <w:spacing w:after="120"/>
        <w:jc w:val="both"/>
        <w:rPr>
          <w:rFonts w:ascii="Calibri" w:hAnsi="Calibri" w:cs="Arial"/>
          <w:sz w:val="22"/>
          <w:szCs w:val="22"/>
        </w:rPr>
      </w:pPr>
      <w:r w:rsidRPr="00A80D0F">
        <w:rPr>
          <w:rFonts w:ascii="Calibri" w:hAnsi="Calibri" w:cs="Arial"/>
          <w:sz w:val="22"/>
          <w:szCs w:val="22"/>
        </w:rPr>
        <w:t xml:space="preserve">The correct selection of cost allocation methodology is important as it </w:t>
      </w:r>
      <w:r w:rsidR="000D5367" w:rsidRPr="00A80D0F">
        <w:rPr>
          <w:rFonts w:ascii="Calibri" w:hAnsi="Calibri" w:cs="Arial"/>
          <w:sz w:val="22"/>
          <w:szCs w:val="22"/>
        </w:rPr>
        <w:t>may</w:t>
      </w:r>
      <w:r w:rsidRPr="00A80D0F">
        <w:rPr>
          <w:rFonts w:ascii="Calibri" w:hAnsi="Calibri" w:cs="Arial"/>
          <w:sz w:val="22"/>
          <w:szCs w:val="22"/>
        </w:rPr>
        <w:t xml:space="preserve"> </w:t>
      </w:r>
      <w:r w:rsidR="000D5367" w:rsidRPr="00A80D0F">
        <w:rPr>
          <w:rFonts w:ascii="Calibri" w:hAnsi="Calibri" w:cs="Arial"/>
          <w:sz w:val="22"/>
          <w:szCs w:val="22"/>
        </w:rPr>
        <w:t>impact on whether a government agency is compliant with CN policy or not.</w:t>
      </w:r>
      <w:r w:rsidR="001B72D6" w:rsidRPr="00A80D0F">
        <w:rPr>
          <w:rFonts w:ascii="Calibri" w:hAnsi="Calibri" w:cs="Arial"/>
          <w:sz w:val="22"/>
          <w:szCs w:val="22"/>
        </w:rPr>
        <w:t xml:space="preserve"> The CN guide</w:t>
      </w:r>
      <w:r w:rsidR="007E5576" w:rsidRPr="00A80D0F">
        <w:rPr>
          <w:rFonts w:ascii="Calibri" w:hAnsi="Calibri" w:cs="Arial"/>
          <w:sz w:val="22"/>
          <w:szCs w:val="22"/>
        </w:rPr>
        <w:t xml:space="preserve"> to implementation</w:t>
      </w:r>
      <w:r w:rsidR="001B72D6" w:rsidRPr="00A80D0F">
        <w:rPr>
          <w:rFonts w:ascii="Calibri" w:hAnsi="Calibri" w:cs="Arial"/>
          <w:sz w:val="22"/>
          <w:szCs w:val="22"/>
        </w:rPr>
        <w:t xml:space="preserve"> states the conditions where the avoidable cost method might be considered:</w:t>
      </w:r>
    </w:p>
    <w:p w:rsidR="007E53B7" w:rsidRPr="00A80D0F" w:rsidRDefault="007E53B7" w:rsidP="003620CE">
      <w:pPr>
        <w:spacing w:after="120"/>
        <w:ind w:left="720"/>
        <w:jc w:val="both"/>
        <w:rPr>
          <w:rFonts w:ascii="Calibri" w:hAnsi="Calibri" w:cs="Arial"/>
          <w:sz w:val="22"/>
          <w:szCs w:val="22"/>
        </w:rPr>
      </w:pPr>
      <w:r w:rsidRPr="00A80D0F">
        <w:rPr>
          <w:rFonts w:ascii="Calibri" w:hAnsi="Calibri" w:cs="Arial"/>
          <w:sz w:val="22"/>
          <w:szCs w:val="22"/>
        </w:rPr>
        <w:t>“</w:t>
      </w:r>
      <w:r w:rsidR="00390CE5" w:rsidRPr="00A80D0F">
        <w:rPr>
          <w:rFonts w:ascii="Calibri" w:hAnsi="Calibri" w:cs="Arial"/>
          <w:sz w:val="22"/>
          <w:szCs w:val="22"/>
        </w:rPr>
        <w:t xml:space="preserve">An agency must be able to demonstrate that its primary activity is clearly non-commercial and that its indirect </w:t>
      </w:r>
      <w:r w:rsidR="009A2143" w:rsidRPr="00A80D0F">
        <w:rPr>
          <w:rFonts w:ascii="Calibri" w:hAnsi="Calibri" w:cs="Arial"/>
          <w:sz w:val="22"/>
          <w:szCs w:val="22"/>
        </w:rPr>
        <w:t xml:space="preserve">[fixed] </w:t>
      </w:r>
      <w:r w:rsidR="00390CE5" w:rsidRPr="00A80D0F">
        <w:rPr>
          <w:rFonts w:ascii="Calibri" w:hAnsi="Calibri" w:cs="Arial"/>
          <w:sz w:val="22"/>
          <w:szCs w:val="22"/>
        </w:rPr>
        <w:t xml:space="preserve">costs are unaffected by </w:t>
      </w:r>
      <w:r w:rsidRPr="00A80D0F">
        <w:rPr>
          <w:rFonts w:ascii="Calibri" w:hAnsi="Calibri" w:cs="Arial"/>
          <w:sz w:val="22"/>
          <w:szCs w:val="22"/>
        </w:rPr>
        <w:t xml:space="preserve">the activity in question, before it chooses to apply the </w:t>
      </w:r>
      <w:r w:rsidR="00B8499A" w:rsidRPr="00A80D0F">
        <w:rPr>
          <w:rFonts w:ascii="Calibri" w:hAnsi="Calibri" w:cs="Arial"/>
          <w:sz w:val="22"/>
          <w:szCs w:val="22"/>
        </w:rPr>
        <w:t>AC</w:t>
      </w:r>
      <w:r w:rsidRPr="00A80D0F">
        <w:rPr>
          <w:rFonts w:ascii="Calibri" w:hAnsi="Calibri" w:cs="Arial"/>
          <w:sz w:val="22"/>
          <w:szCs w:val="22"/>
        </w:rPr>
        <w:t xml:space="preserve"> approach. This may be achieved through a variety of means, such as a description in the agency’s annual report of its activities, or by a Ministerial Statement as to the role of the government agency.</w:t>
      </w:r>
    </w:p>
    <w:p w:rsidR="00390CE5" w:rsidRPr="00A80D0F" w:rsidRDefault="007E53B7" w:rsidP="003620CE">
      <w:pPr>
        <w:spacing w:after="120"/>
        <w:ind w:left="720"/>
        <w:jc w:val="both"/>
        <w:rPr>
          <w:rFonts w:ascii="Calibri" w:hAnsi="Calibri" w:cs="Arial"/>
          <w:sz w:val="22"/>
          <w:szCs w:val="22"/>
        </w:rPr>
      </w:pPr>
      <w:r w:rsidRPr="00A80D0F">
        <w:rPr>
          <w:rFonts w:ascii="Calibri" w:hAnsi="Calibri" w:cs="Arial"/>
          <w:sz w:val="22"/>
          <w:szCs w:val="22"/>
        </w:rPr>
        <w:t xml:space="preserve">“Where there are no clear policy statements about the primary activity of the agency, the agency may use the </w:t>
      </w:r>
      <w:r w:rsidR="00B8499A" w:rsidRPr="00A80D0F">
        <w:rPr>
          <w:rFonts w:ascii="Calibri" w:hAnsi="Calibri" w:cs="Arial"/>
          <w:sz w:val="22"/>
          <w:szCs w:val="22"/>
        </w:rPr>
        <w:t>AC</w:t>
      </w:r>
      <w:r w:rsidRPr="00A80D0F">
        <w:rPr>
          <w:rFonts w:ascii="Calibri" w:hAnsi="Calibri" w:cs="Arial"/>
          <w:sz w:val="22"/>
          <w:szCs w:val="22"/>
        </w:rPr>
        <w:t xml:space="preserve"> approach if it can demonstrate that the substantial majority of its outputs are for non-commercial purposes.</w:t>
      </w:r>
      <w:r w:rsidR="001B72D6" w:rsidRPr="00A80D0F">
        <w:rPr>
          <w:rFonts w:ascii="Calibri" w:hAnsi="Calibri" w:cs="Arial"/>
          <w:sz w:val="22"/>
          <w:szCs w:val="22"/>
        </w:rPr>
        <w:t>”</w:t>
      </w:r>
      <w:r w:rsidRPr="00A80D0F">
        <w:rPr>
          <w:rFonts w:ascii="Calibri" w:hAnsi="Calibri" w:cs="Arial"/>
          <w:sz w:val="22"/>
          <w:szCs w:val="22"/>
        </w:rPr>
        <w:t xml:space="preserve"> </w:t>
      </w:r>
      <w:r w:rsidR="009A2143" w:rsidRPr="00A80D0F">
        <w:rPr>
          <w:rFonts w:ascii="Calibri" w:hAnsi="Calibri" w:cs="Arial"/>
          <w:sz w:val="22"/>
          <w:szCs w:val="22"/>
        </w:rPr>
        <w:t>(p. 11)</w:t>
      </w:r>
    </w:p>
    <w:p w:rsidR="004A27F5" w:rsidRPr="00A80D0F" w:rsidRDefault="004A27F5" w:rsidP="003620CE">
      <w:pPr>
        <w:spacing w:after="120"/>
        <w:jc w:val="both"/>
        <w:rPr>
          <w:rFonts w:ascii="Calibri" w:hAnsi="Calibri" w:cs="Arial"/>
          <w:b/>
          <w:color w:val="0063A4"/>
          <w:szCs w:val="24"/>
        </w:rPr>
      </w:pPr>
      <w:r w:rsidRPr="00A80D0F">
        <w:rPr>
          <w:rFonts w:ascii="Calibri" w:hAnsi="Calibri" w:cs="Arial"/>
          <w:b/>
          <w:color w:val="0063A4"/>
          <w:szCs w:val="24"/>
        </w:rPr>
        <w:t>A worked example of cost allocation methodology</w:t>
      </w:r>
    </w:p>
    <w:p w:rsidR="004A27F5" w:rsidRPr="00A80D0F" w:rsidRDefault="004A27F5" w:rsidP="003620CE">
      <w:pPr>
        <w:spacing w:after="120"/>
        <w:jc w:val="both"/>
        <w:rPr>
          <w:rFonts w:ascii="Calibri" w:hAnsi="Calibri" w:cs="Arial"/>
          <w:sz w:val="22"/>
          <w:szCs w:val="22"/>
        </w:rPr>
      </w:pPr>
      <w:r w:rsidRPr="00A80D0F">
        <w:rPr>
          <w:rFonts w:ascii="Calibri" w:hAnsi="Calibri" w:cs="Arial"/>
          <w:sz w:val="22"/>
          <w:szCs w:val="22"/>
        </w:rPr>
        <w:t xml:space="preserve">The following tables show </w:t>
      </w:r>
      <w:r w:rsidR="008A2343" w:rsidRPr="00A80D0F">
        <w:rPr>
          <w:rFonts w:ascii="Calibri" w:hAnsi="Calibri" w:cs="Arial"/>
          <w:sz w:val="22"/>
          <w:szCs w:val="22"/>
        </w:rPr>
        <w:t xml:space="preserve">an example of </w:t>
      </w:r>
      <w:r w:rsidRPr="00A80D0F">
        <w:rPr>
          <w:rFonts w:ascii="Calibri" w:hAnsi="Calibri" w:cs="Arial"/>
          <w:sz w:val="22"/>
          <w:szCs w:val="22"/>
        </w:rPr>
        <w:t xml:space="preserve">how the application of the two cost allocation methods permissible under the CN Policy may impact on a Council operating an aquatic recreation centre. </w:t>
      </w:r>
      <w:r w:rsidR="007A46FC" w:rsidRPr="00A80D0F">
        <w:rPr>
          <w:rFonts w:ascii="Calibri" w:hAnsi="Calibri" w:cs="Arial"/>
          <w:sz w:val="22"/>
          <w:szCs w:val="22"/>
        </w:rPr>
        <w:t xml:space="preserve">The premise upon which the example is based is that the primary use of the aquatic component of the recreation centre is non-commercial (for recreational use) although </w:t>
      </w:r>
      <w:r w:rsidR="009A2143" w:rsidRPr="00A80D0F">
        <w:rPr>
          <w:rFonts w:ascii="Calibri" w:hAnsi="Calibri" w:cs="Arial"/>
          <w:sz w:val="22"/>
          <w:szCs w:val="22"/>
        </w:rPr>
        <w:t xml:space="preserve">the facility is </w:t>
      </w:r>
      <w:r w:rsidR="007A46FC" w:rsidRPr="00A80D0F">
        <w:rPr>
          <w:rFonts w:ascii="Calibri" w:hAnsi="Calibri" w:cs="Arial"/>
          <w:sz w:val="22"/>
          <w:szCs w:val="22"/>
        </w:rPr>
        <w:t xml:space="preserve">also used for commercial use (the operation of learn to swim programs), and therefore the Council has the option to consider the avoidable cost method of allocating costs for CN purposes. </w:t>
      </w:r>
    </w:p>
    <w:p w:rsidR="009A2143" w:rsidRPr="00A80D0F" w:rsidRDefault="004A27F5" w:rsidP="003620CE">
      <w:pPr>
        <w:spacing w:after="120"/>
        <w:jc w:val="both"/>
        <w:rPr>
          <w:rFonts w:ascii="Calibri" w:hAnsi="Calibri" w:cs="Arial"/>
          <w:sz w:val="22"/>
          <w:szCs w:val="22"/>
        </w:rPr>
      </w:pPr>
      <w:r w:rsidRPr="00A80D0F">
        <w:rPr>
          <w:rFonts w:ascii="Calibri" w:hAnsi="Calibri" w:cs="Arial"/>
          <w:sz w:val="22"/>
          <w:szCs w:val="22"/>
        </w:rPr>
        <w:t xml:space="preserve">For the purpose of this illustration, competitive neutrality full cost adjustments (e.g. payroll tax, rates, land tax) have not been displayed.  This has been done to demonstrate more clearly the effects of the two different capital allocation cost methods on the ability of a council to comply with the CN policy. </w:t>
      </w:r>
      <w:r w:rsidR="009A2143" w:rsidRPr="00A80D0F">
        <w:rPr>
          <w:rFonts w:ascii="Calibri" w:hAnsi="Calibri" w:cs="Arial"/>
          <w:sz w:val="22"/>
          <w:szCs w:val="22"/>
        </w:rPr>
        <w:t>Government agencies when preparing CN documentation need to include CN full cost adjustments in order to demonstrate their compliance with CN policy.</w:t>
      </w:r>
    </w:p>
    <w:p w:rsidR="004A27F5" w:rsidRPr="00A80D0F" w:rsidRDefault="004A27F5" w:rsidP="003620CE">
      <w:pPr>
        <w:spacing w:after="120"/>
        <w:jc w:val="both"/>
        <w:rPr>
          <w:rFonts w:ascii="Calibri" w:hAnsi="Calibri" w:cs="Arial"/>
          <w:sz w:val="22"/>
          <w:szCs w:val="22"/>
        </w:rPr>
      </w:pPr>
      <w:r w:rsidRPr="00A80D0F">
        <w:rPr>
          <w:rFonts w:ascii="Calibri" w:hAnsi="Calibri" w:cs="Arial"/>
          <w:sz w:val="22"/>
          <w:szCs w:val="22"/>
        </w:rPr>
        <w:t>Table A represents the fully distributed cost method and Table B represents the avoidable cost method.</w:t>
      </w:r>
    </w:p>
    <w:p w:rsidR="004A27F5" w:rsidRPr="00A80D0F" w:rsidRDefault="004A27F5" w:rsidP="003620CE">
      <w:pPr>
        <w:spacing w:after="120"/>
        <w:jc w:val="both"/>
        <w:rPr>
          <w:rFonts w:ascii="Calibri" w:hAnsi="Calibri" w:cs="Arial"/>
          <w:sz w:val="22"/>
          <w:szCs w:val="22"/>
        </w:rPr>
      </w:pPr>
      <w:r w:rsidRPr="00A80D0F">
        <w:rPr>
          <w:rFonts w:ascii="Calibri" w:hAnsi="Calibri" w:cs="Arial"/>
          <w:sz w:val="22"/>
          <w:szCs w:val="22"/>
        </w:rPr>
        <w:t xml:space="preserve">In both cases, revenue levels have been assumed to be based on market prices and expected demand.  It is our experience that prices charged by councils for their business activities associated with their aquatic recreation centres are generally equivalent to market prices.  </w:t>
      </w:r>
    </w:p>
    <w:p w:rsidR="004A27F5" w:rsidRPr="00A80D0F" w:rsidRDefault="004A27F5" w:rsidP="003620CE">
      <w:pPr>
        <w:spacing w:after="120"/>
        <w:jc w:val="both"/>
        <w:rPr>
          <w:rFonts w:ascii="Calibri" w:hAnsi="Calibri" w:cs="Arial"/>
          <w:b/>
          <w:color w:val="0063A4"/>
          <w:szCs w:val="24"/>
        </w:rPr>
      </w:pPr>
      <w:r w:rsidRPr="00A80D0F">
        <w:rPr>
          <w:rFonts w:ascii="Calibri" w:hAnsi="Calibri" w:cs="Arial"/>
          <w:b/>
          <w:color w:val="0063A4"/>
          <w:szCs w:val="24"/>
        </w:rPr>
        <w:t>Table A – Fully distributed cost methodology</w:t>
      </w:r>
    </w:p>
    <w:p w:rsidR="004A27F5" w:rsidRPr="00A80D0F" w:rsidRDefault="004A27F5" w:rsidP="003620CE">
      <w:pPr>
        <w:spacing w:after="120"/>
        <w:jc w:val="both"/>
        <w:rPr>
          <w:rFonts w:ascii="Calibri" w:hAnsi="Calibri" w:cs="Arial"/>
          <w:sz w:val="22"/>
          <w:szCs w:val="22"/>
        </w:rPr>
      </w:pPr>
      <w:r w:rsidRPr="00A80D0F">
        <w:rPr>
          <w:rFonts w:ascii="Calibri" w:hAnsi="Calibri" w:cs="Arial"/>
          <w:sz w:val="22"/>
          <w:szCs w:val="22"/>
        </w:rPr>
        <w:t xml:space="preserve">In this case, fixed costs have been allocated across the three activities – Gym (20%), Aquatic business (e.g. swim lessons) (20%), Aquatic recreation (60%) </w:t>
      </w:r>
      <w:r w:rsidR="004D15D6">
        <w:rPr>
          <w:rFonts w:ascii="Calibri" w:hAnsi="Calibri" w:cs="Arial"/>
          <w:sz w:val="22"/>
          <w:szCs w:val="22"/>
        </w:rPr>
        <w:t>–</w:t>
      </w:r>
      <w:r w:rsidRPr="00A80D0F">
        <w:rPr>
          <w:rFonts w:ascii="Calibri" w:hAnsi="Calibri" w:cs="Arial"/>
          <w:sz w:val="22"/>
          <w:szCs w:val="22"/>
        </w:rPr>
        <w:t xml:space="preserve"> on the basis</w:t>
      </w:r>
      <w:r w:rsidR="009A2143" w:rsidRPr="00A80D0F">
        <w:rPr>
          <w:rFonts w:ascii="Calibri" w:hAnsi="Calibri" w:cs="Arial"/>
          <w:sz w:val="22"/>
          <w:szCs w:val="22"/>
        </w:rPr>
        <w:t xml:space="preserve"> of floor space. (The</w:t>
      </w:r>
      <w:r w:rsidRPr="00A80D0F">
        <w:rPr>
          <w:rFonts w:ascii="Calibri" w:hAnsi="Calibri" w:cs="Arial"/>
          <w:sz w:val="22"/>
          <w:szCs w:val="22"/>
        </w:rPr>
        <w:t xml:space="preserve"> weighting is 30:70 for ‘water’ costs allocated between aquatic business and recreation activities.)</w:t>
      </w:r>
    </w:p>
    <w:p w:rsidR="004A27F5" w:rsidRPr="00A80D0F" w:rsidRDefault="004A27F5" w:rsidP="003620CE">
      <w:pPr>
        <w:spacing w:after="120"/>
        <w:jc w:val="both"/>
        <w:rPr>
          <w:rFonts w:ascii="Calibri" w:hAnsi="Calibri" w:cs="Arial"/>
          <w:sz w:val="22"/>
          <w:szCs w:val="22"/>
        </w:rPr>
      </w:pPr>
      <w:r w:rsidRPr="00A80D0F">
        <w:rPr>
          <w:rFonts w:ascii="Calibri" w:hAnsi="Calibri" w:cs="Arial"/>
          <w:sz w:val="22"/>
          <w:szCs w:val="22"/>
        </w:rPr>
        <w:t xml:space="preserve">Under the </w:t>
      </w:r>
      <w:r w:rsidRPr="00A80D0F">
        <w:rPr>
          <w:rFonts w:ascii="Calibri" w:hAnsi="Calibri" w:cs="Arial"/>
          <w:b/>
          <w:sz w:val="22"/>
          <w:szCs w:val="22"/>
        </w:rPr>
        <w:t xml:space="preserve">fully distributed cost </w:t>
      </w:r>
      <w:r w:rsidRPr="00A80D0F">
        <w:rPr>
          <w:rFonts w:ascii="Calibri" w:hAnsi="Calibri" w:cs="Arial"/>
          <w:sz w:val="22"/>
          <w:szCs w:val="22"/>
        </w:rPr>
        <w:t xml:space="preserve">methodology the council would not be complying with competitive neutrality as its businesses subject to CN (the gym and aquatic business) would </w:t>
      </w:r>
      <w:r w:rsidRPr="00A80D0F">
        <w:rPr>
          <w:rFonts w:ascii="Calibri" w:hAnsi="Calibri" w:cs="Arial"/>
          <w:sz w:val="22"/>
          <w:szCs w:val="22"/>
        </w:rPr>
        <w:lastRenderedPageBreak/>
        <w:t>together be running a deficit</w:t>
      </w:r>
      <w:r w:rsidRPr="00A80D0F">
        <w:rPr>
          <w:rStyle w:val="FootnoteReference"/>
          <w:rFonts w:ascii="Calibri" w:hAnsi="Calibri" w:cs="Arial"/>
          <w:sz w:val="22"/>
          <w:szCs w:val="22"/>
        </w:rPr>
        <w:footnoteReference w:id="3"/>
      </w:r>
      <w:r w:rsidRPr="00A80D0F">
        <w:rPr>
          <w:rFonts w:ascii="Calibri" w:hAnsi="Calibri" w:cs="Arial"/>
          <w:sz w:val="22"/>
          <w:szCs w:val="22"/>
        </w:rPr>
        <w:t>. To comply, the Council would have to increase the prices charged for either or both swim lessons and gym programs.</w:t>
      </w:r>
    </w:p>
    <w:p w:rsidR="00C91105" w:rsidRPr="00A80D0F" w:rsidRDefault="00C91105" w:rsidP="003620CE">
      <w:pPr>
        <w:spacing w:after="120"/>
        <w:jc w:val="both"/>
        <w:rPr>
          <w:rFonts w:ascii="Calibri" w:hAnsi="Calibri" w:cs="Arial"/>
          <w:sz w:val="22"/>
          <w:szCs w:val="22"/>
        </w:rPr>
      </w:pPr>
      <w:r w:rsidRPr="00A80D0F">
        <w:rPr>
          <w:rFonts w:ascii="Calibri" w:hAnsi="Calibri" w:cs="Arial"/>
          <w:sz w:val="22"/>
          <w:szCs w:val="22"/>
        </w:rPr>
        <w:t xml:space="preserve">If prices </w:t>
      </w:r>
      <w:r w:rsidR="009A2143" w:rsidRPr="00A80D0F">
        <w:rPr>
          <w:rFonts w:ascii="Calibri" w:hAnsi="Calibri" w:cs="Arial"/>
          <w:sz w:val="22"/>
          <w:szCs w:val="22"/>
        </w:rPr>
        <w:t xml:space="preserve">of the gym and aquatic business </w:t>
      </w:r>
      <w:r w:rsidRPr="00A80D0F">
        <w:rPr>
          <w:rFonts w:ascii="Calibri" w:hAnsi="Calibri" w:cs="Arial"/>
          <w:sz w:val="22"/>
          <w:szCs w:val="22"/>
        </w:rPr>
        <w:t xml:space="preserve">were adjusted to be significantly more than prices </w:t>
      </w:r>
      <w:r w:rsidR="009A2143" w:rsidRPr="00A80D0F">
        <w:rPr>
          <w:rFonts w:ascii="Calibri" w:hAnsi="Calibri" w:cs="Arial"/>
          <w:sz w:val="22"/>
          <w:szCs w:val="22"/>
        </w:rPr>
        <w:t xml:space="preserve">set by the market </w:t>
      </w:r>
      <w:r w:rsidRPr="00A80D0F">
        <w:rPr>
          <w:rFonts w:ascii="Calibri" w:hAnsi="Calibri" w:cs="Arial"/>
          <w:sz w:val="22"/>
          <w:szCs w:val="22"/>
        </w:rPr>
        <w:t xml:space="preserve">this might result in revenue loss (due to fall in demand). Subsequently, in this example in order to comply with </w:t>
      </w:r>
      <w:r w:rsidR="009A2143" w:rsidRPr="00A80D0F">
        <w:rPr>
          <w:rFonts w:ascii="Calibri" w:hAnsi="Calibri" w:cs="Arial"/>
          <w:sz w:val="22"/>
          <w:szCs w:val="22"/>
        </w:rPr>
        <w:t>fully distributed cost pricing</w:t>
      </w:r>
      <w:r w:rsidRPr="00A80D0F">
        <w:rPr>
          <w:rFonts w:ascii="Calibri" w:hAnsi="Calibri" w:cs="Arial"/>
          <w:sz w:val="22"/>
          <w:szCs w:val="22"/>
        </w:rPr>
        <w:t xml:space="preserve"> the council may have no choice but to cease its aquatic business activities as their variable costs may be more than the revenue generated at the adjusted price. Discontinuing the aquatic business operation would result in the centre operating a greater deficit </w:t>
      </w:r>
      <w:r w:rsidR="009A2143" w:rsidRPr="00A80D0F">
        <w:rPr>
          <w:rFonts w:ascii="Calibri" w:hAnsi="Calibri" w:cs="Arial"/>
          <w:sz w:val="22"/>
          <w:szCs w:val="22"/>
        </w:rPr>
        <w:t>($35,000 rather than $30,000 as shown in the table)</w:t>
      </w:r>
      <w:r w:rsidR="000661A4" w:rsidRPr="00A80D0F">
        <w:rPr>
          <w:rFonts w:ascii="Calibri" w:hAnsi="Calibri" w:cs="Arial"/>
          <w:sz w:val="22"/>
          <w:szCs w:val="22"/>
        </w:rPr>
        <w:t xml:space="preserve"> </w:t>
      </w:r>
      <w:r w:rsidRPr="00A80D0F">
        <w:rPr>
          <w:rFonts w:ascii="Calibri" w:hAnsi="Calibri" w:cs="Arial"/>
          <w:sz w:val="22"/>
          <w:szCs w:val="22"/>
        </w:rPr>
        <w:t>and requiring a higher subsidy from rate payers</w:t>
      </w:r>
      <w:r w:rsidRPr="00A80D0F">
        <w:rPr>
          <w:rStyle w:val="FootnoteReference"/>
          <w:rFonts w:ascii="Calibri" w:hAnsi="Calibri" w:cs="Arial"/>
          <w:sz w:val="22"/>
          <w:szCs w:val="22"/>
        </w:rPr>
        <w:footnoteReference w:id="4"/>
      </w:r>
      <w:r w:rsidRPr="00A80D0F">
        <w:rPr>
          <w:rFonts w:ascii="Calibri" w:hAnsi="Calibri" w:cs="Arial"/>
          <w:sz w:val="22"/>
          <w:szCs w:val="22"/>
        </w:rPr>
        <w:t xml:space="preserve">.  </w:t>
      </w:r>
    </w:p>
    <w:p w:rsidR="00C91105" w:rsidRPr="00A80D0F" w:rsidRDefault="00C91105" w:rsidP="00A80D0F">
      <w:pPr>
        <w:spacing w:after="120"/>
        <w:jc w:val="both"/>
        <w:rPr>
          <w:rFonts w:ascii="Calibri" w:hAnsi="Calibri" w:cs="Arial"/>
          <w:sz w:val="22"/>
          <w:szCs w:val="22"/>
        </w:rPr>
      </w:pPr>
      <w:r w:rsidRPr="00A80D0F">
        <w:rPr>
          <w:rFonts w:ascii="Calibri" w:hAnsi="Calibri" w:cs="Arial"/>
          <w:sz w:val="22"/>
          <w:szCs w:val="22"/>
        </w:rPr>
        <w:t xml:space="preserve">Further, it may also result in lessened overall competition in these services and lower service levels in the region. Community welfare derived from the benefits from the provision of learn to swim programs may be compromised as a result of lower service levels. Where the aquatic centre operates in regional </w:t>
      </w:r>
      <w:smartTag w:uri="urn:schemas-microsoft-com:office:smarttags" w:element="place">
        <w:smartTag w:uri="urn:schemas-microsoft-com:office:smarttags" w:element="State">
          <w:r w:rsidRPr="00A80D0F">
            <w:rPr>
              <w:rFonts w:ascii="Calibri" w:hAnsi="Calibri" w:cs="Arial"/>
              <w:sz w:val="22"/>
              <w:szCs w:val="22"/>
            </w:rPr>
            <w:t>Victoria</w:t>
          </w:r>
        </w:smartTag>
      </w:smartTag>
      <w:r w:rsidRPr="00A80D0F">
        <w:rPr>
          <w:rFonts w:ascii="Calibri" w:hAnsi="Calibri" w:cs="Arial"/>
          <w:sz w:val="22"/>
          <w:szCs w:val="22"/>
        </w:rPr>
        <w:t xml:space="preserve">, the adoption of the fully distributed cost method may see a significant portion of consumers unable to access these services.  </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60"/>
        <w:gridCol w:w="1706"/>
        <w:gridCol w:w="1706"/>
        <w:gridCol w:w="1706"/>
      </w:tblGrid>
      <w:tr w:rsidR="004D15D6" w:rsidRPr="00A80D0F" w:rsidTr="006251A4">
        <w:tc>
          <w:tcPr>
            <w:tcW w:w="8529" w:type="dxa"/>
            <w:gridSpan w:val="5"/>
            <w:shd w:val="clear" w:color="auto" w:fill="E6E6E6"/>
          </w:tcPr>
          <w:p w:rsidR="004D15D6" w:rsidRPr="00A80D0F" w:rsidRDefault="004D15D6" w:rsidP="00A80D0F">
            <w:pPr>
              <w:spacing w:before="40" w:after="40"/>
              <w:jc w:val="both"/>
              <w:rPr>
                <w:rFonts w:ascii="Calibri" w:hAnsi="Calibri" w:cs="Arial"/>
                <w:sz w:val="22"/>
                <w:szCs w:val="22"/>
              </w:rPr>
            </w:pPr>
            <w:r w:rsidRPr="00A80D0F">
              <w:rPr>
                <w:rFonts w:ascii="Calibri" w:hAnsi="Calibri" w:cs="Arial"/>
                <w:b/>
                <w:sz w:val="22"/>
                <w:szCs w:val="22"/>
              </w:rPr>
              <w:t>Fully Distributed Cost</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Revenue / Costs</w:t>
            </w:r>
          </w:p>
        </w:tc>
        <w:tc>
          <w:tcPr>
            <w:tcW w:w="1460" w:type="dxa"/>
            <w:shd w:val="clear" w:color="auto" w:fill="auto"/>
          </w:tcPr>
          <w:p w:rsidR="004A27F5" w:rsidRPr="00A80D0F" w:rsidRDefault="004A27F5" w:rsidP="00A80D0F">
            <w:pPr>
              <w:spacing w:before="40" w:after="40"/>
              <w:jc w:val="center"/>
              <w:rPr>
                <w:rFonts w:ascii="Calibri" w:hAnsi="Calibri" w:cs="Arial"/>
                <w:b/>
                <w:sz w:val="22"/>
                <w:szCs w:val="22"/>
              </w:rPr>
            </w:pPr>
            <w:r w:rsidRPr="00A80D0F">
              <w:rPr>
                <w:rFonts w:ascii="Calibri" w:hAnsi="Calibri" w:cs="Arial"/>
                <w:b/>
                <w:sz w:val="22"/>
                <w:szCs w:val="22"/>
              </w:rPr>
              <w:t>Gym</w:t>
            </w:r>
          </w:p>
        </w:tc>
        <w:tc>
          <w:tcPr>
            <w:tcW w:w="1706" w:type="dxa"/>
            <w:shd w:val="clear" w:color="auto" w:fill="auto"/>
          </w:tcPr>
          <w:p w:rsidR="004A27F5" w:rsidRPr="00A80D0F" w:rsidRDefault="004A27F5" w:rsidP="00A80D0F">
            <w:pPr>
              <w:spacing w:before="40" w:after="40"/>
              <w:jc w:val="center"/>
              <w:rPr>
                <w:rFonts w:ascii="Calibri" w:hAnsi="Calibri" w:cs="Arial"/>
                <w:b/>
                <w:sz w:val="22"/>
                <w:szCs w:val="22"/>
              </w:rPr>
            </w:pPr>
            <w:r w:rsidRPr="00A80D0F">
              <w:rPr>
                <w:rFonts w:ascii="Calibri" w:hAnsi="Calibri" w:cs="Arial"/>
                <w:b/>
                <w:sz w:val="22"/>
                <w:szCs w:val="22"/>
              </w:rPr>
              <w:t>Aquatic business</w:t>
            </w:r>
          </w:p>
        </w:tc>
        <w:tc>
          <w:tcPr>
            <w:tcW w:w="1706" w:type="dxa"/>
            <w:shd w:val="clear" w:color="auto" w:fill="auto"/>
          </w:tcPr>
          <w:p w:rsidR="004A27F5" w:rsidRPr="00A80D0F" w:rsidRDefault="004A27F5" w:rsidP="00A80D0F">
            <w:pPr>
              <w:spacing w:before="40" w:after="40"/>
              <w:jc w:val="center"/>
              <w:rPr>
                <w:rFonts w:ascii="Calibri" w:hAnsi="Calibri" w:cs="Arial"/>
                <w:b/>
                <w:sz w:val="22"/>
                <w:szCs w:val="22"/>
              </w:rPr>
            </w:pPr>
            <w:r w:rsidRPr="00A80D0F">
              <w:rPr>
                <w:rFonts w:ascii="Calibri" w:hAnsi="Calibri" w:cs="Arial"/>
                <w:b/>
                <w:sz w:val="22"/>
                <w:szCs w:val="22"/>
              </w:rPr>
              <w:t>Aquatic recreation</w:t>
            </w:r>
          </w:p>
        </w:tc>
        <w:tc>
          <w:tcPr>
            <w:tcW w:w="1706" w:type="dxa"/>
            <w:shd w:val="clear" w:color="auto" w:fill="auto"/>
          </w:tcPr>
          <w:p w:rsidR="004A27F5" w:rsidRPr="00A80D0F" w:rsidRDefault="004A27F5" w:rsidP="00A80D0F">
            <w:pPr>
              <w:spacing w:before="40" w:after="40"/>
              <w:jc w:val="center"/>
              <w:rPr>
                <w:rFonts w:ascii="Calibri" w:hAnsi="Calibri" w:cs="Arial"/>
                <w:b/>
                <w:sz w:val="22"/>
                <w:szCs w:val="22"/>
              </w:rPr>
            </w:pPr>
            <w:r w:rsidRPr="00A80D0F">
              <w:rPr>
                <w:rFonts w:ascii="Calibri" w:hAnsi="Calibri" w:cs="Arial"/>
                <w:b/>
                <w:sz w:val="22"/>
                <w:szCs w:val="22"/>
              </w:rPr>
              <w:t>Total centre</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Revenue</w:t>
            </w:r>
          </w:p>
        </w:tc>
        <w:tc>
          <w:tcPr>
            <w:tcW w:w="1460"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37,000</w:t>
            </w:r>
          </w:p>
        </w:tc>
        <w:tc>
          <w:tcPr>
            <w:tcW w:w="1706"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17,000</w:t>
            </w:r>
          </w:p>
        </w:tc>
        <w:tc>
          <w:tcPr>
            <w:tcW w:w="1706"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46,000</w:t>
            </w:r>
          </w:p>
        </w:tc>
        <w:tc>
          <w:tcPr>
            <w:tcW w:w="1706"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100,000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Cs w:val="24"/>
              </w:rPr>
            </w:pPr>
          </w:p>
        </w:tc>
        <w:tc>
          <w:tcPr>
            <w:tcW w:w="1460" w:type="dxa"/>
            <w:shd w:val="clear" w:color="auto" w:fill="auto"/>
          </w:tcPr>
          <w:p w:rsidR="004A27F5" w:rsidRPr="00A80D0F" w:rsidRDefault="004A27F5" w:rsidP="00A80D0F">
            <w:pPr>
              <w:spacing w:before="40" w:after="40"/>
              <w:jc w:val="right"/>
              <w:rPr>
                <w:rFonts w:ascii="Calibri" w:hAnsi="Calibri" w:cs="Arial"/>
                <w:szCs w:val="24"/>
              </w:rPr>
            </w:pPr>
          </w:p>
        </w:tc>
        <w:tc>
          <w:tcPr>
            <w:tcW w:w="1706" w:type="dxa"/>
            <w:shd w:val="clear" w:color="auto" w:fill="auto"/>
          </w:tcPr>
          <w:p w:rsidR="004A27F5" w:rsidRPr="00A80D0F" w:rsidRDefault="004A27F5" w:rsidP="00A80D0F">
            <w:pPr>
              <w:spacing w:before="40" w:after="40"/>
              <w:jc w:val="right"/>
              <w:rPr>
                <w:rFonts w:ascii="Calibri" w:hAnsi="Calibri" w:cs="Arial"/>
                <w:szCs w:val="24"/>
              </w:rPr>
            </w:pPr>
          </w:p>
        </w:tc>
        <w:tc>
          <w:tcPr>
            <w:tcW w:w="1706" w:type="dxa"/>
            <w:shd w:val="clear" w:color="auto" w:fill="auto"/>
          </w:tcPr>
          <w:p w:rsidR="004A27F5" w:rsidRPr="00A80D0F" w:rsidRDefault="004A27F5" w:rsidP="00A80D0F">
            <w:pPr>
              <w:spacing w:before="40" w:after="40"/>
              <w:jc w:val="right"/>
              <w:rPr>
                <w:rFonts w:ascii="Calibri" w:hAnsi="Calibri" w:cs="Arial"/>
                <w:szCs w:val="24"/>
              </w:rPr>
            </w:pPr>
          </w:p>
        </w:tc>
        <w:tc>
          <w:tcPr>
            <w:tcW w:w="1706" w:type="dxa"/>
            <w:shd w:val="clear" w:color="auto" w:fill="auto"/>
          </w:tcPr>
          <w:p w:rsidR="004A27F5" w:rsidRPr="00A80D0F" w:rsidRDefault="004A27F5" w:rsidP="00A80D0F">
            <w:pPr>
              <w:spacing w:before="40" w:after="40"/>
              <w:jc w:val="right"/>
              <w:rPr>
                <w:rFonts w:ascii="Calibri" w:hAnsi="Calibri" w:cs="Arial"/>
                <w:szCs w:val="24"/>
              </w:rPr>
            </w:pP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Expenditure</w:t>
            </w:r>
          </w:p>
        </w:tc>
        <w:tc>
          <w:tcPr>
            <w:tcW w:w="1460" w:type="dxa"/>
            <w:shd w:val="clear" w:color="auto" w:fill="auto"/>
          </w:tcPr>
          <w:p w:rsidR="004A27F5" w:rsidRPr="00A80D0F" w:rsidRDefault="004A27F5" w:rsidP="00A80D0F">
            <w:pPr>
              <w:spacing w:before="40" w:after="40"/>
              <w:jc w:val="right"/>
              <w:rPr>
                <w:rFonts w:ascii="Calibri" w:hAnsi="Calibri" w:cs="Arial"/>
                <w:szCs w:val="24"/>
              </w:rPr>
            </w:pPr>
          </w:p>
        </w:tc>
        <w:tc>
          <w:tcPr>
            <w:tcW w:w="1706" w:type="dxa"/>
            <w:shd w:val="clear" w:color="auto" w:fill="auto"/>
          </w:tcPr>
          <w:p w:rsidR="004A27F5" w:rsidRPr="00A80D0F" w:rsidRDefault="004A27F5" w:rsidP="00A80D0F">
            <w:pPr>
              <w:spacing w:before="40" w:after="40"/>
              <w:jc w:val="right"/>
              <w:rPr>
                <w:rFonts w:ascii="Calibri" w:hAnsi="Calibri" w:cs="Arial"/>
                <w:szCs w:val="24"/>
              </w:rPr>
            </w:pPr>
          </w:p>
        </w:tc>
        <w:tc>
          <w:tcPr>
            <w:tcW w:w="1706" w:type="dxa"/>
            <w:shd w:val="clear" w:color="auto" w:fill="auto"/>
          </w:tcPr>
          <w:p w:rsidR="004A27F5" w:rsidRPr="00A80D0F" w:rsidRDefault="004A27F5" w:rsidP="00A80D0F">
            <w:pPr>
              <w:spacing w:before="40" w:after="40"/>
              <w:jc w:val="right"/>
              <w:rPr>
                <w:rFonts w:ascii="Calibri" w:hAnsi="Calibri" w:cs="Arial"/>
                <w:szCs w:val="24"/>
              </w:rPr>
            </w:pPr>
          </w:p>
        </w:tc>
        <w:tc>
          <w:tcPr>
            <w:tcW w:w="1706" w:type="dxa"/>
            <w:shd w:val="clear" w:color="auto" w:fill="auto"/>
          </w:tcPr>
          <w:p w:rsidR="004A27F5" w:rsidRPr="00A80D0F" w:rsidRDefault="004A27F5" w:rsidP="00A80D0F">
            <w:pPr>
              <w:spacing w:before="40" w:after="40"/>
              <w:jc w:val="right"/>
              <w:rPr>
                <w:rFonts w:ascii="Calibri" w:hAnsi="Calibri" w:cs="Arial"/>
                <w:szCs w:val="24"/>
              </w:rPr>
            </w:pP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b/>
                <w:sz w:val="20"/>
              </w:rPr>
            </w:pPr>
            <w:r w:rsidRPr="00A80D0F">
              <w:rPr>
                <w:rFonts w:ascii="Calibri" w:hAnsi="Calibri" w:cs="Arial"/>
                <w:b/>
                <w:sz w:val="20"/>
              </w:rPr>
              <w:t xml:space="preserve">  Fixed costs</w:t>
            </w:r>
          </w:p>
        </w:tc>
        <w:tc>
          <w:tcPr>
            <w:tcW w:w="1460"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Water</w:t>
            </w:r>
          </w:p>
        </w:tc>
        <w:tc>
          <w:tcPr>
            <w:tcW w:w="1460"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3,000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7,000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Security</w:t>
            </w:r>
          </w:p>
        </w:tc>
        <w:tc>
          <w:tcPr>
            <w:tcW w:w="1460"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3,000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5,000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Admin staff</w:t>
            </w:r>
          </w:p>
        </w:tc>
        <w:tc>
          <w:tcPr>
            <w:tcW w:w="1460"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4,000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4,000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12,000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20,000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Cost of capital</w:t>
            </w:r>
          </w:p>
        </w:tc>
        <w:tc>
          <w:tcPr>
            <w:tcW w:w="1460"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7,000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7,000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21,000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35,000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b/>
                <w:sz w:val="20"/>
              </w:rPr>
            </w:pPr>
            <w:r w:rsidRPr="00A80D0F">
              <w:rPr>
                <w:rFonts w:ascii="Calibri" w:hAnsi="Calibri" w:cs="Arial"/>
                <w:b/>
                <w:sz w:val="20"/>
              </w:rPr>
              <w:t xml:space="preserve">  Variable costs</w:t>
            </w:r>
          </w:p>
        </w:tc>
        <w:tc>
          <w:tcPr>
            <w:tcW w:w="1460"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Water treatment</w:t>
            </w:r>
          </w:p>
        </w:tc>
        <w:tc>
          <w:tcPr>
            <w:tcW w:w="1460"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2,000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8,000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Swim instructor</w:t>
            </w:r>
          </w:p>
        </w:tc>
        <w:tc>
          <w:tcPr>
            <w:tcW w:w="1460"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7,000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7,000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Gym instructors</w:t>
            </w:r>
          </w:p>
        </w:tc>
        <w:tc>
          <w:tcPr>
            <w:tcW w:w="1460"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Other</w:t>
            </w:r>
          </w:p>
        </w:tc>
        <w:tc>
          <w:tcPr>
            <w:tcW w:w="1460"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15,000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3,000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15,000</w:t>
            </w:r>
          </w:p>
        </w:tc>
        <w:tc>
          <w:tcPr>
            <w:tcW w:w="1706"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33,000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0"/>
              </w:rPr>
            </w:pPr>
          </w:p>
        </w:tc>
        <w:tc>
          <w:tcPr>
            <w:tcW w:w="1460"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Total Cost</w:t>
            </w:r>
          </w:p>
        </w:tc>
        <w:tc>
          <w:tcPr>
            <w:tcW w:w="1460"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37,000</w:t>
            </w:r>
          </w:p>
        </w:tc>
        <w:tc>
          <w:tcPr>
            <w:tcW w:w="1706"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27,000</w:t>
            </w:r>
          </w:p>
        </w:tc>
        <w:tc>
          <w:tcPr>
            <w:tcW w:w="1706"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66,000</w:t>
            </w:r>
          </w:p>
        </w:tc>
        <w:tc>
          <w:tcPr>
            <w:tcW w:w="1706"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130,000</w:t>
            </w: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sz w:val="22"/>
                <w:szCs w:val="22"/>
              </w:rPr>
            </w:pPr>
          </w:p>
        </w:tc>
        <w:tc>
          <w:tcPr>
            <w:tcW w:w="1460"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c>
          <w:tcPr>
            <w:tcW w:w="1706"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6C6A94">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Surplus/deficit</w:t>
            </w:r>
          </w:p>
        </w:tc>
        <w:tc>
          <w:tcPr>
            <w:tcW w:w="1460"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0</w:t>
            </w:r>
          </w:p>
        </w:tc>
        <w:tc>
          <w:tcPr>
            <w:tcW w:w="1706"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-10,000</w:t>
            </w:r>
          </w:p>
        </w:tc>
        <w:tc>
          <w:tcPr>
            <w:tcW w:w="1706"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-20,000</w:t>
            </w:r>
          </w:p>
        </w:tc>
        <w:tc>
          <w:tcPr>
            <w:tcW w:w="1706"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-30,000</w:t>
            </w:r>
          </w:p>
        </w:tc>
      </w:tr>
    </w:tbl>
    <w:p w:rsidR="004A27F5" w:rsidRPr="00A80D0F" w:rsidRDefault="004A27F5" w:rsidP="003620CE">
      <w:pPr>
        <w:spacing w:before="240" w:after="120"/>
        <w:jc w:val="both"/>
        <w:rPr>
          <w:rFonts w:ascii="Calibri" w:hAnsi="Calibri" w:cs="Arial"/>
          <w:b/>
          <w:color w:val="0063A4"/>
          <w:szCs w:val="24"/>
        </w:rPr>
      </w:pPr>
      <w:r w:rsidRPr="00A80D0F">
        <w:rPr>
          <w:rFonts w:ascii="Calibri" w:hAnsi="Calibri" w:cs="Arial"/>
          <w:b/>
          <w:color w:val="0063A4"/>
          <w:szCs w:val="24"/>
        </w:rPr>
        <w:t>Table B – Avoidable cost methodology</w:t>
      </w:r>
    </w:p>
    <w:p w:rsidR="004A27F5" w:rsidRPr="00A80D0F" w:rsidRDefault="004A27F5" w:rsidP="003620CE">
      <w:pPr>
        <w:spacing w:after="120"/>
        <w:jc w:val="both"/>
        <w:rPr>
          <w:rFonts w:ascii="Calibri" w:hAnsi="Calibri" w:cs="Arial"/>
          <w:sz w:val="22"/>
          <w:szCs w:val="22"/>
        </w:rPr>
      </w:pPr>
      <w:r w:rsidRPr="00A80D0F">
        <w:rPr>
          <w:rFonts w:ascii="Calibri" w:hAnsi="Calibri" w:cs="Arial"/>
          <w:sz w:val="22"/>
          <w:szCs w:val="22"/>
        </w:rPr>
        <w:t xml:space="preserve">Under the </w:t>
      </w:r>
      <w:r w:rsidRPr="00A80D0F">
        <w:rPr>
          <w:rFonts w:ascii="Calibri" w:hAnsi="Calibri" w:cs="Arial"/>
          <w:b/>
          <w:sz w:val="22"/>
          <w:szCs w:val="22"/>
        </w:rPr>
        <w:t>avoidable cost</w:t>
      </w:r>
      <w:r w:rsidRPr="00A80D0F">
        <w:rPr>
          <w:rFonts w:ascii="Calibri" w:hAnsi="Calibri" w:cs="Arial"/>
          <w:sz w:val="22"/>
          <w:szCs w:val="22"/>
        </w:rPr>
        <w:t xml:space="preserve"> method, the aquatic business would not need to include the fixed costs (pool area, change room etc) associated with the aquatic business as these costs would have been incurred even if a swim school did not operate.  The Council would only need to consider any extra variable costs that the Council could avoid if the aquatic business activity was not undertaken (e.g. swim instructors, extra water treatment, etc).   </w:t>
      </w:r>
    </w:p>
    <w:p w:rsidR="004A27F5" w:rsidRPr="00A80D0F" w:rsidRDefault="004A27F5" w:rsidP="003620CE">
      <w:pPr>
        <w:spacing w:after="120"/>
        <w:jc w:val="both"/>
        <w:rPr>
          <w:rFonts w:ascii="Calibri" w:hAnsi="Calibri" w:cs="Arial"/>
          <w:sz w:val="22"/>
          <w:szCs w:val="22"/>
        </w:rPr>
      </w:pPr>
      <w:r w:rsidRPr="00A80D0F">
        <w:rPr>
          <w:rFonts w:ascii="Calibri" w:hAnsi="Calibri" w:cs="Arial"/>
          <w:sz w:val="22"/>
          <w:szCs w:val="22"/>
        </w:rPr>
        <w:t>In this case, the Council will not need to increase its prices of swim lessons to be CN compliant as the fixed costs are allocated to the aquatic recreation activity.  Allocating the fixed costs that are unavoidable to aquatic recreation allows the Council to price its aquatic business at market rates. Application of the avoidable cost method enables the Council to avoid being placed in the position of having to cease its aquatic business operations (and as a result forego revenue and reduce community welfare outcomes), as may occur under the fully</w:t>
      </w:r>
      <w:r w:rsidR="00A80D0F" w:rsidRPr="00A80D0F">
        <w:rPr>
          <w:rFonts w:ascii="Calibri" w:hAnsi="Calibri" w:cs="Arial"/>
          <w:sz w:val="22"/>
          <w:szCs w:val="22"/>
        </w:rPr>
        <w:t xml:space="preserve"> distributed cost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58"/>
        <w:gridCol w:w="1704"/>
        <w:gridCol w:w="1705"/>
        <w:gridCol w:w="1704"/>
      </w:tblGrid>
      <w:tr w:rsidR="004D15D6" w:rsidRPr="004D15D6" w:rsidTr="006251A4">
        <w:tc>
          <w:tcPr>
            <w:tcW w:w="8522" w:type="dxa"/>
            <w:gridSpan w:val="5"/>
            <w:shd w:val="clear" w:color="auto" w:fill="E6E6E6"/>
          </w:tcPr>
          <w:p w:rsidR="004D15D6" w:rsidRPr="004D15D6" w:rsidRDefault="004D15D6" w:rsidP="00A80D0F">
            <w:pPr>
              <w:spacing w:before="40" w:after="40"/>
              <w:jc w:val="both"/>
              <w:rPr>
                <w:rFonts w:ascii="Calibri" w:hAnsi="Calibri" w:cs="Arial"/>
                <w:b/>
                <w:sz w:val="22"/>
                <w:szCs w:val="22"/>
              </w:rPr>
            </w:pPr>
            <w:r w:rsidRPr="004D15D6">
              <w:rPr>
                <w:rFonts w:ascii="Calibri" w:hAnsi="Calibri" w:cs="Arial"/>
                <w:b/>
                <w:sz w:val="22"/>
                <w:szCs w:val="22"/>
              </w:rPr>
              <w:t>Avoidable cost</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Revenue / Costs</w:t>
            </w:r>
          </w:p>
        </w:tc>
        <w:tc>
          <w:tcPr>
            <w:tcW w:w="1458" w:type="dxa"/>
            <w:shd w:val="clear" w:color="auto" w:fill="auto"/>
          </w:tcPr>
          <w:p w:rsidR="004A27F5" w:rsidRPr="00A80D0F" w:rsidRDefault="004A27F5" w:rsidP="00A80D0F">
            <w:pPr>
              <w:spacing w:before="40" w:after="40"/>
              <w:jc w:val="center"/>
              <w:rPr>
                <w:rFonts w:ascii="Calibri" w:hAnsi="Calibri" w:cs="Arial"/>
                <w:b/>
                <w:sz w:val="22"/>
                <w:szCs w:val="22"/>
              </w:rPr>
            </w:pPr>
            <w:r w:rsidRPr="00A80D0F">
              <w:rPr>
                <w:rFonts w:ascii="Calibri" w:hAnsi="Calibri" w:cs="Arial"/>
                <w:b/>
                <w:sz w:val="22"/>
                <w:szCs w:val="22"/>
              </w:rPr>
              <w:t>Gym</w:t>
            </w:r>
          </w:p>
        </w:tc>
        <w:tc>
          <w:tcPr>
            <w:tcW w:w="1704" w:type="dxa"/>
            <w:shd w:val="clear" w:color="auto" w:fill="auto"/>
          </w:tcPr>
          <w:p w:rsidR="004A27F5" w:rsidRPr="00A80D0F" w:rsidRDefault="004A27F5" w:rsidP="00A80D0F">
            <w:pPr>
              <w:spacing w:before="40" w:after="40"/>
              <w:jc w:val="center"/>
              <w:rPr>
                <w:rFonts w:ascii="Calibri" w:hAnsi="Calibri" w:cs="Arial"/>
                <w:b/>
                <w:sz w:val="22"/>
                <w:szCs w:val="22"/>
              </w:rPr>
            </w:pPr>
            <w:r w:rsidRPr="00A80D0F">
              <w:rPr>
                <w:rFonts w:ascii="Calibri" w:hAnsi="Calibri" w:cs="Arial"/>
                <w:b/>
                <w:sz w:val="22"/>
                <w:szCs w:val="22"/>
              </w:rPr>
              <w:t>Aquatic business</w:t>
            </w:r>
          </w:p>
        </w:tc>
        <w:tc>
          <w:tcPr>
            <w:tcW w:w="1705" w:type="dxa"/>
            <w:shd w:val="clear" w:color="auto" w:fill="auto"/>
          </w:tcPr>
          <w:p w:rsidR="004A27F5" w:rsidRPr="00A80D0F" w:rsidRDefault="004A27F5" w:rsidP="00A80D0F">
            <w:pPr>
              <w:spacing w:before="40" w:after="40"/>
              <w:jc w:val="center"/>
              <w:rPr>
                <w:rFonts w:ascii="Calibri" w:hAnsi="Calibri" w:cs="Arial"/>
                <w:b/>
                <w:sz w:val="22"/>
                <w:szCs w:val="22"/>
              </w:rPr>
            </w:pPr>
            <w:r w:rsidRPr="00A80D0F">
              <w:rPr>
                <w:rFonts w:ascii="Calibri" w:hAnsi="Calibri" w:cs="Arial"/>
                <w:b/>
                <w:sz w:val="22"/>
                <w:szCs w:val="22"/>
              </w:rPr>
              <w:t>Aquatic recreation</w:t>
            </w:r>
          </w:p>
        </w:tc>
        <w:tc>
          <w:tcPr>
            <w:tcW w:w="1704" w:type="dxa"/>
            <w:shd w:val="clear" w:color="auto" w:fill="auto"/>
          </w:tcPr>
          <w:p w:rsidR="004A27F5" w:rsidRPr="00A80D0F" w:rsidRDefault="004A27F5" w:rsidP="00A80D0F">
            <w:pPr>
              <w:spacing w:before="40" w:after="40"/>
              <w:jc w:val="center"/>
              <w:rPr>
                <w:rFonts w:ascii="Calibri" w:hAnsi="Calibri" w:cs="Arial"/>
                <w:b/>
                <w:sz w:val="22"/>
                <w:szCs w:val="22"/>
              </w:rPr>
            </w:pPr>
            <w:r w:rsidRPr="00A80D0F">
              <w:rPr>
                <w:rFonts w:ascii="Calibri" w:hAnsi="Calibri" w:cs="Arial"/>
                <w:b/>
                <w:sz w:val="22"/>
                <w:szCs w:val="22"/>
              </w:rPr>
              <w:t>Total centre</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Revenue</w:t>
            </w:r>
          </w:p>
        </w:tc>
        <w:tc>
          <w:tcPr>
            <w:tcW w:w="1458"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37,000</w:t>
            </w:r>
          </w:p>
        </w:tc>
        <w:tc>
          <w:tcPr>
            <w:tcW w:w="1704"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17,000</w:t>
            </w:r>
          </w:p>
        </w:tc>
        <w:tc>
          <w:tcPr>
            <w:tcW w:w="1705"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46,000</w:t>
            </w:r>
          </w:p>
        </w:tc>
        <w:tc>
          <w:tcPr>
            <w:tcW w:w="1704"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100,000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2"/>
                <w:szCs w:val="22"/>
              </w:rPr>
            </w:pPr>
          </w:p>
        </w:tc>
        <w:tc>
          <w:tcPr>
            <w:tcW w:w="1458"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c>
          <w:tcPr>
            <w:tcW w:w="1705"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Expenditure</w:t>
            </w:r>
          </w:p>
        </w:tc>
        <w:tc>
          <w:tcPr>
            <w:tcW w:w="1458"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c>
          <w:tcPr>
            <w:tcW w:w="1705"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b/>
                <w:sz w:val="20"/>
              </w:rPr>
            </w:pPr>
            <w:r w:rsidRPr="00A80D0F">
              <w:rPr>
                <w:rFonts w:ascii="Calibri" w:hAnsi="Calibri" w:cs="Arial"/>
                <w:b/>
                <w:sz w:val="20"/>
              </w:rPr>
              <w:t xml:space="preserve">  Fixed costs</w:t>
            </w:r>
          </w:p>
        </w:tc>
        <w:tc>
          <w:tcPr>
            <w:tcW w:w="1458"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c>
          <w:tcPr>
            <w:tcW w:w="1705"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Water</w:t>
            </w:r>
          </w:p>
        </w:tc>
        <w:tc>
          <w:tcPr>
            <w:tcW w:w="1458"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5"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Security</w:t>
            </w:r>
          </w:p>
        </w:tc>
        <w:tc>
          <w:tcPr>
            <w:tcW w:w="1458"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5"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4,000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5,000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Admin staff</w:t>
            </w:r>
          </w:p>
        </w:tc>
        <w:tc>
          <w:tcPr>
            <w:tcW w:w="1458"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4,000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5"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16,000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20,000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Cost of capital</w:t>
            </w:r>
          </w:p>
        </w:tc>
        <w:tc>
          <w:tcPr>
            <w:tcW w:w="1458"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7,000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5"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28,000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35,000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b/>
                <w:sz w:val="20"/>
              </w:rPr>
            </w:pPr>
            <w:r w:rsidRPr="00A80D0F">
              <w:rPr>
                <w:rFonts w:ascii="Calibri" w:hAnsi="Calibri" w:cs="Arial"/>
                <w:b/>
                <w:sz w:val="20"/>
              </w:rPr>
              <w:t xml:space="preserve">  Variable costs</w:t>
            </w:r>
          </w:p>
        </w:tc>
        <w:tc>
          <w:tcPr>
            <w:tcW w:w="1458"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c>
          <w:tcPr>
            <w:tcW w:w="1705"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Water treatment</w:t>
            </w:r>
          </w:p>
        </w:tc>
        <w:tc>
          <w:tcPr>
            <w:tcW w:w="1458"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2,000</w:t>
            </w:r>
          </w:p>
        </w:tc>
        <w:tc>
          <w:tcPr>
            <w:tcW w:w="1705"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8,000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Swim instructor</w:t>
            </w:r>
          </w:p>
        </w:tc>
        <w:tc>
          <w:tcPr>
            <w:tcW w:w="1458"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7,000</w:t>
            </w:r>
          </w:p>
        </w:tc>
        <w:tc>
          <w:tcPr>
            <w:tcW w:w="1705"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7,000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Gym instructors</w:t>
            </w:r>
          </w:p>
        </w:tc>
        <w:tc>
          <w:tcPr>
            <w:tcW w:w="1458"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5"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10,000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0"/>
              </w:rPr>
            </w:pPr>
            <w:r w:rsidRPr="00A80D0F">
              <w:rPr>
                <w:rFonts w:ascii="Calibri" w:hAnsi="Calibri" w:cs="Arial"/>
                <w:sz w:val="20"/>
              </w:rPr>
              <w:t xml:space="preserve">     Other</w:t>
            </w:r>
          </w:p>
        </w:tc>
        <w:tc>
          <w:tcPr>
            <w:tcW w:w="1458"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15,000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3,000</w:t>
            </w:r>
          </w:p>
        </w:tc>
        <w:tc>
          <w:tcPr>
            <w:tcW w:w="1705"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15,000</w:t>
            </w:r>
          </w:p>
        </w:tc>
        <w:tc>
          <w:tcPr>
            <w:tcW w:w="1704" w:type="dxa"/>
            <w:shd w:val="clear" w:color="auto" w:fill="auto"/>
          </w:tcPr>
          <w:p w:rsidR="004A27F5" w:rsidRPr="00A80D0F" w:rsidRDefault="004A27F5" w:rsidP="00A80D0F">
            <w:pPr>
              <w:spacing w:before="40" w:after="40"/>
              <w:jc w:val="right"/>
              <w:rPr>
                <w:rFonts w:ascii="Calibri" w:hAnsi="Calibri" w:cs="Arial"/>
                <w:sz w:val="20"/>
              </w:rPr>
            </w:pPr>
            <w:r w:rsidRPr="00A80D0F">
              <w:rPr>
                <w:rFonts w:ascii="Calibri" w:hAnsi="Calibri" w:cs="Arial"/>
                <w:sz w:val="20"/>
              </w:rPr>
              <w:t>33,000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0"/>
              </w:rPr>
            </w:pPr>
          </w:p>
        </w:tc>
        <w:tc>
          <w:tcPr>
            <w:tcW w:w="1458"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c>
          <w:tcPr>
            <w:tcW w:w="1705"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Total Cost</w:t>
            </w:r>
          </w:p>
        </w:tc>
        <w:tc>
          <w:tcPr>
            <w:tcW w:w="1458"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37,000</w:t>
            </w:r>
          </w:p>
        </w:tc>
        <w:tc>
          <w:tcPr>
            <w:tcW w:w="1704"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i/>
                <w:sz w:val="16"/>
                <w:szCs w:val="16"/>
              </w:rPr>
              <w:t xml:space="preserve">[-15,000]    </w:t>
            </w:r>
            <w:r w:rsidRPr="00A80D0F">
              <w:rPr>
                <w:rFonts w:ascii="Calibri" w:hAnsi="Calibri" w:cs="Arial"/>
                <w:b/>
                <w:sz w:val="20"/>
              </w:rPr>
              <w:t xml:space="preserve"> 12,000</w:t>
            </w:r>
          </w:p>
        </w:tc>
        <w:tc>
          <w:tcPr>
            <w:tcW w:w="1705"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i/>
                <w:sz w:val="16"/>
                <w:szCs w:val="16"/>
              </w:rPr>
              <w:t>[+15,000]</w:t>
            </w:r>
            <w:r w:rsidRPr="00A80D0F">
              <w:rPr>
                <w:rFonts w:ascii="Calibri" w:hAnsi="Calibri" w:cs="Arial"/>
                <w:i/>
                <w:sz w:val="20"/>
              </w:rPr>
              <w:t xml:space="preserve">   </w:t>
            </w:r>
            <w:r w:rsidRPr="00A80D0F">
              <w:rPr>
                <w:rFonts w:ascii="Calibri" w:hAnsi="Calibri" w:cs="Arial"/>
                <w:b/>
                <w:sz w:val="20"/>
              </w:rPr>
              <w:t>81,000</w:t>
            </w:r>
          </w:p>
        </w:tc>
        <w:tc>
          <w:tcPr>
            <w:tcW w:w="1704"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130,000</w:t>
            </w: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sz w:val="22"/>
                <w:szCs w:val="22"/>
              </w:rPr>
            </w:pPr>
          </w:p>
        </w:tc>
        <w:tc>
          <w:tcPr>
            <w:tcW w:w="1458"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c>
          <w:tcPr>
            <w:tcW w:w="1705" w:type="dxa"/>
            <w:shd w:val="clear" w:color="auto" w:fill="auto"/>
          </w:tcPr>
          <w:p w:rsidR="004A27F5" w:rsidRPr="00A80D0F" w:rsidRDefault="004A27F5" w:rsidP="00A80D0F">
            <w:pPr>
              <w:spacing w:before="40" w:after="40"/>
              <w:jc w:val="right"/>
              <w:rPr>
                <w:rFonts w:ascii="Calibri" w:hAnsi="Calibri" w:cs="Arial"/>
                <w:sz w:val="20"/>
              </w:rPr>
            </w:pPr>
          </w:p>
        </w:tc>
        <w:tc>
          <w:tcPr>
            <w:tcW w:w="1704" w:type="dxa"/>
            <w:shd w:val="clear" w:color="auto" w:fill="auto"/>
          </w:tcPr>
          <w:p w:rsidR="004A27F5" w:rsidRPr="00A80D0F" w:rsidRDefault="004A27F5" w:rsidP="00A80D0F">
            <w:pPr>
              <w:spacing w:before="40" w:after="40"/>
              <w:jc w:val="right"/>
              <w:rPr>
                <w:rFonts w:ascii="Calibri" w:hAnsi="Calibri" w:cs="Arial"/>
                <w:sz w:val="20"/>
              </w:rPr>
            </w:pPr>
          </w:p>
        </w:tc>
      </w:tr>
      <w:tr w:rsidR="004A27F5" w:rsidRPr="00A80D0F" w:rsidTr="004D15D6">
        <w:tc>
          <w:tcPr>
            <w:tcW w:w="1951" w:type="dxa"/>
            <w:shd w:val="clear" w:color="auto" w:fill="auto"/>
          </w:tcPr>
          <w:p w:rsidR="004A27F5" w:rsidRPr="00A80D0F" w:rsidRDefault="004A27F5" w:rsidP="00A80D0F">
            <w:pPr>
              <w:spacing w:before="40" w:after="40"/>
              <w:rPr>
                <w:rFonts w:ascii="Calibri" w:hAnsi="Calibri" w:cs="Arial"/>
                <w:b/>
                <w:sz w:val="22"/>
                <w:szCs w:val="22"/>
              </w:rPr>
            </w:pPr>
            <w:r w:rsidRPr="00A80D0F">
              <w:rPr>
                <w:rFonts w:ascii="Calibri" w:hAnsi="Calibri" w:cs="Arial"/>
                <w:b/>
                <w:sz w:val="22"/>
                <w:szCs w:val="22"/>
              </w:rPr>
              <w:t>Surplus/deficit</w:t>
            </w:r>
          </w:p>
        </w:tc>
        <w:tc>
          <w:tcPr>
            <w:tcW w:w="1458"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0</w:t>
            </w:r>
          </w:p>
        </w:tc>
        <w:tc>
          <w:tcPr>
            <w:tcW w:w="1704"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5,000</w:t>
            </w:r>
          </w:p>
        </w:tc>
        <w:tc>
          <w:tcPr>
            <w:tcW w:w="1705"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 xml:space="preserve">-35,000 </w:t>
            </w:r>
          </w:p>
        </w:tc>
        <w:tc>
          <w:tcPr>
            <w:tcW w:w="1704" w:type="dxa"/>
            <w:shd w:val="clear" w:color="auto" w:fill="auto"/>
          </w:tcPr>
          <w:p w:rsidR="004A27F5" w:rsidRPr="00A80D0F" w:rsidRDefault="004A27F5" w:rsidP="00A80D0F">
            <w:pPr>
              <w:spacing w:before="40" w:after="40"/>
              <w:jc w:val="right"/>
              <w:rPr>
                <w:rFonts w:ascii="Calibri" w:hAnsi="Calibri" w:cs="Arial"/>
                <w:b/>
                <w:sz w:val="20"/>
              </w:rPr>
            </w:pPr>
            <w:r w:rsidRPr="00A80D0F">
              <w:rPr>
                <w:rFonts w:ascii="Calibri" w:hAnsi="Calibri" w:cs="Arial"/>
                <w:b/>
                <w:sz w:val="20"/>
              </w:rPr>
              <w:t>-30,000</w:t>
            </w:r>
          </w:p>
        </w:tc>
      </w:tr>
    </w:tbl>
    <w:p w:rsidR="00EF06A9" w:rsidRPr="00A80D0F" w:rsidRDefault="00EF06A9" w:rsidP="00A80D0F">
      <w:pPr>
        <w:spacing w:before="240" w:after="120"/>
        <w:jc w:val="both"/>
        <w:rPr>
          <w:rFonts w:ascii="Calibri" w:hAnsi="Calibri" w:cs="Arial"/>
          <w:color w:val="0063A4"/>
          <w:szCs w:val="24"/>
        </w:rPr>
      </w:pPr>
      <w:r w:rsidRPr="00A80D0F">
        <w:rPr>
          <w:rFonts w:ascii="Calibri" w:hAnsi="Calibri" w:cs="Arial"/>
          <w:b/>
          <w:bCs/>
          <w:color w:val="0063A4"/>
          <w:szCs w:val="24"/>
        </w:rPr>
        <w:t>References and further reading</w:t>
      </w:r>
    </w:p>
    <w:p w:rsidR="005A0DA5" w:rsidRPr="00A80D0F" w:rsidRDefault="005A0DA5" w:rsidP="003620CE">
      <w:pPr>
        <w:spacing w:after="120"/>
        <w:jc w:val="both"/>
        <w:rPr>
          <w:rFonts w:ascii="Calibri" w:hAnsi="Calibri" w:cs="Arial"/>
          <w:sz w:val="22"/>
        </w:rPr>
      </w:pPr>
      <w:r w:rsidRPr="00A80D0F">
        <w:rPr>
          <w:rFonts w:ascii="Calibri" w:hAnsi="Calibri" w:cs="Arial"/>
          <w:sz w:val="22"/>
        </w:rPr>
        <w:t xml:space="preserve">DTF (Department of Treasury and Finance) 2000, </w:t>
      </w:r>
      <w:r w:rsidRPr="00A80D0F">
        <w:rPr>
          <w:rFonts w:ascii="Calibri" w:hAnsi="Calibri" w:cs="Arial"/>
          <w:i/>
          <w:sz w:val="22"/>
        </w:rPr>
        <w:t>Competitive neutrality guide to implementation</w:t>
      </w:r>
      <w:r w:rsidRPr="00A80D0F">
        <w:rPr>
          <w:rFonts w:ascii="Calibri" w:hAnsi="Calibri" w:cs="Arial"/>
          <w:sz w:val="22"/>
        </w:rPr>
        <w:t xml:space="preserve">, </w:t>
      </w:r>
      <w:smartTag w:uri="urn:schemas-microsoft-com:office:smarttags" w:element="City">
        <w:smartTag w:uri="urn:schemas-microsoft-com:office:smarttags" w:element="place">
          <w:r w:rsidRPr="00A80D0F">
            <w:rPr>
              <w:rFonts w:ascii="Calibri" w:hAnsi="Calibri" w:cs="Arial"/>
              <w:sz w:val="22"/>
            </w:rPr>
            <w:t>Melbourne</w:t>
          </w:r>
        </w:smartTag>
      </w:smartTag>
    </w:p>
    <w:p w:rsidR="00EB140B" w:rsidRPr="00A80D0F" w:rsidRDefault="00EB140B" w:rsidP="003620CE">
      <w:pPr>
        <w:spacing w:after="120"/>
        <w:jc w:val="both"/>
        <w:rPr>
          <w:rFonts w:ascii="Calibri" w:hAnsi="Calibri" w:cs="Arial"/>
          <w:sz w:val="22"/>
        </w:rPr>
      </w:pPr>
      <w:r w:rsidRPr="00A80D0F">
        <w:rPr>
          <w:rFonts w:ascii="Calibri" w:hAnsi="Calibri" w:cs="Arial"/>
          <w:sz w:val="22"/>
        </w:rPr>
        <w:t xml:space="preserve">DTF (Department of Treasury and Finance) 2003, Amendment to Competitive Neutrality Policy, </w:t>
      </w:r>
      <w:r w:rsidRPr="00A80D0F">
        <w:rPr>
          <w:rFonts w:ascii="Calibri" w:hAnsi="Calibri" w:cs="Arial"/>
          <w:i/>
          <w:sz w:val="22"/>
        </w:rPr>
        <w:t>Application of CN Policy to Council owned Aquatic and Leisure Centres</w:t>
      </w:r>
      <w:r w:rsidRPr="00A80D0F">
        <w:rPr>
          <w:rFonts w:ascii="Calibri" w:hAnsi="Calibri" w:cs="Arial"/>
          <w:sz w:val="22"/>
        </w:rPr>
        <w:t>, Melbourne</w:t>
      </w:r>
    </w:p>
    <w:p w:rsidR="00C44CC6" w:rsidRPr="00A80D0F" w:rsidRDefault="005A0DA5" w:rsidP="003620CE">
      <w:pPr>
        <w:spacing w:after="120"/>
        <w:jc w:val="both"/>
        <w:rPr>
          <w:rFonts w:ascii="Calibri" w:hAnsi="Calibri" w:cs="Arial"/>
          <w:sz w:val="22"/>
        </w:rPr>
      </w:pPr>
      <w:r w:rsidRPr="00A80D0F">
        <w:rPr>
          <w:rFonts w:ascii="Calibri" w:hAnsi="Calibri" w:cs="Arial"/>
          <w:sz w:val="22"/>
        </w:rPr>
        <w:t>Government of Victoria 20</w:t>
      </w:r>
      <w:r w:rsidR="004D15D6">
        <w:rPr>
          <w:rFonts w:ascii="Calibri" w:hAnsi="Calibri" w:cs="Arial"/>
          <w:sz w:val="22"/>
        </w:rPr>
        <w:t>12</w:t>
      </w:r>
      <w:r w:rsidRPr="00A80D0F">
        <w:rPr>
          <w:rFonts w:ascii="Calibri" w:hAnsi="Calibri" w:cs="Arial"/>
          <w:sz w:val="22"/>
        </w:rPr>
        <w:t xml:space="preserve">, </w:t>
      </w:r>
      <w:r w:rsidRPr="00A80D0F">
        <w:rPr>
          <w:rFonts w:ascii="Calibri" w:hAnsi="Calibri" w:cs="Arial"/>
          <w:i/>
          <w:sz w:val="22"/>
        </w:rPr>
        <w:t>Victorian government competitive neutrality policy</w:t>
      </w:r>
      <w:r w:rsidRPr="00A80D0F">
        <w:rPr>
          <w:rFonts w:ascii="Calibri" w:hAnsi="Calibri" w:cs="Arial"/>
          <w:sz w:val="22"/>
        </w:rPr>
        <w:t>, Melbourne</w:t>
      </w:r>
    </w:p>
    <w:sectPr w:rsidR="00C44CC6" w:rsidRPr="00A80D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A4" w:rsidRDefault="006251A4">
      <w:r>
        <w:separator/>
      </w:r>
    </w:p>
  </w:endnote>
  <w:endnote w:type="continuationSeparator" w:id="0">
    <w:p w:rsidR="006251A4" w:rsidRDefault="006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CE" w:rsidRDefault="003620CE" w:rsidP="00AB2E6F">
    <w:pPr>
      <w:pStyle w:val="Footer"/>
      <w:jc w:val="center"/>
      <w:rPr>
        <w:rFonts w:ascii="Arial" w:hAnsi="Arial" w:cs="Arial"/>
        <w:b/>
        <w:color w:val="FF0000"/>
        <w:sz w:val="29"/>
      </w:rPr>
    </w:pPr>
    <w:bookmarkStart w:id="1" w:name="aliashProtectiveMarkings1FooterEvenPages"/>
  </w:p>
  <w:bookmarkEnd w:id="1"/>
  <w:p w:rsidR="007C548E" w:rsidRDefault="007C5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0F" w:rsidRDefault="00A80D0F" w:rsidP="007C548E">
    <w:pPr>
      <w:pStyle w:val="Footer"/>
      <w:rPr>
        <w:rFonts w:ascii="Arial" w:hAnsi="Arial" w:cs="Arial"/>
        <w:b/>
        <w:color w:val="3F3F3F"/>
        <w:sz w:val="20"/>
        <w:szCs w:val="22"/>
      </w:rPr>
    </w:pPr>
    <w:bookmarkStart w:id="2" w:name="aliashNonProtectiveMarking1FooterPrimary"/>
  </w:p>
  <w:p w:rsidR="007C548E" w:rsidRDefault="007C548E" w:rsidP="00AB2E6F">
    <w:pPr>
      <w:pStyle w:val="Footer"/>
      <w:jc w:val="center"/>
      <w:rPr>
        <w:rFonts w:ascii="Arial" w:hAnsi="Arial" w:cs="Arial"/>
        <w:b/>
        <w:color w:val="FF0000"/>
        <w:sz w:val="29"/>
        <w:szCs w:val="22"/>
      </w:rPr>
    </w:pPr>
    <w:bookmarkStart w:id="3" w:name="aliashProtectiveMarkings1FooterPrimary"/>
    <w:bookmarkEnd w:id="2"/>
  </w:p>
  <w:bookmarkEnd w:id="3"/>
  <w:p w:rsidR="00A80D0F" w:rsidRPr="00A80D0F" w:rsidRDefault="00A80D0F">
    <w:pPr>
      <w:pStyle w:val="Footer"/>
      <w:jc w:val="center"/>
      <w:rPr>
        <w:rFonts w:ascii="Calibri" w:hAnsi="Calibri"/>
        <w:sz w:val="22"/>
        <w:szCs w:val="22"/>
      </w:rPr>
    </w:pPr>
    <w:r w:rsidRPr="00A80D0F">
      <w:rPr>
        <w:rFonts w:ascii="Calibri" w:hAnsi="Calibri"/>
        <w:sz w:val="22"/>
        <w:szCs w:val="22"/>
      </w:rPr>
      <w:fldChar w:fldCharType="begin"/>
    </w:r>
    <w:r w:rsidRPr="00A80D0F">
      <w:rPr>
        <w:rFonts w:ascii="Calibri" w:hAnsi="Calibri"/>
        <w:sz w:val="22"/>
        <w:szCs w:val="22"/>
      </w:rPr>
      <w:instrText xml:space="preserve"> PAGE   \* MERGEFORMAT </w:instrText>
    </w:r>
    <w:r w:rsidRPr="00A80D0F">
      <w:rPr>
        <w:rFonts w:ascii="Calibri" w:hAnsi="Calibri"/>
        <w:sz w:val="22"/>
        <w:szCs w:val="22"/>
      </w:rPr>
      <w:fldChar w:fldCharType="separate"/>
    </w:r>
    <w:r w:rsidR="00AB2E6F">
      <w:rPr>
        <w:rFonts w:ascii="Calibri" w:hAnsi="Calibri"/>
        <w:noProof/>
        <w:sz w:val="22"/>
        <w:szCs w:val="22"/>
      </w:rPr>
      <w:t>3</w:t>
    </w:r>
    <w:r w:rsidRPr="00A80D0F">
      <w:rPr>
        <w:rFonts w:ascii="Calibri" w:hAnsi="Calibri"/>
        <w:noProof/>
        <w:sz w:val="22"/>
        <w:szCs w:val="22"/>
      </w:rPr>
      <w:fldChar w:fldCharType="end"/>
    </w:r>
  </w:p>
  <w:p w:rsidR="00820AE2" w:rsidRDefault="00820AE2" w:rsidP="005A0DA5">
    <w:pPr>
      <w:pStyle w:val="Foo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CE" w:rsidRDefault="003620CE" w:rsidP="00AB2E6F">
    <w:pPr>
      <w:pStyle w:val="Footer"/>
      <w:jc w:val="center"/>
      <w:rPr>
        <w:rFonts w:ascii="Arial" w:hAnsi="Arial" w:cs="Arial"/>
        <w:b/>
        <w:color w:val="FF0000"/>
        <w:sz w:val="29"/>
      </w:rPr>
    </w:pPr>
    <w:bookmarkStart w:id="4" w:name="aliashProtectiveMarkings1FooterFirstPage"/>
  </w:p>
  <w:bookmarkEnd w:id="4"/>
  <w:p w:rsidR="007C548E" w:rsidRDefault="007C5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A4" w:rsidRDefault="006251A4">
      <w:r>
        <w:separator/>
      </w:r>
    </w:p>
  </w:footnote>
  <w:footnote w:type="continuationSeparator" w:id="0">
    <w:p w:rsidR="006251A4" w:rsidRDefault="006251A4">
      <w:r>
        <w:continuationSeparator/>
      </w:r>
    </w:p>
  </w:footnote>
  <w:footnote w:id="1">
    <w:p w:rsidR="00575D98" w:rsidRPr="00A80D0F" w:rsidRDefault="00575D98">
      <w:pPr>
        <w:pStyle w:val="FootnoteText"/>
        <w:rPr>
          <w:rFonts w:ascii="Calibri" w:hAnsi="Calibri" w:cs="Arial"/>
        </w:rPr>
      </w:pPr>
      <w:r w:rsidRPr="00A80D0F">
        <w:rPr>
          <w:rStyle w:val="FootnoteReference"/>
          <w:rFonts w:ascii="Calibri" w:hAnsi="Calibri"/>
        </w:rPr>
        <w:footnoteRef/>
      </w:r>
      <w:r w:rsidRPr="00A80D0F">
        <w:rPr>
          <w:rFonts w:ascii="Calibri" w:hAnsi="Calibri"/>
        </w:rPr>
        <w:t xml:space="preserve">  </w:t>
      </w:r>
      <w:r w:rsidRPr="00A80D0F">
        <w:rPr>
          <w:rFonts w:ascii="Calibri" w:hAnsi="Calibri" w:cs="Arial"/>
        </w:rPr>
        <w:t xml:space="preserve">An appropriate citation for this paper is </w:t>
      </w:r>
      <w:r w:rsidR="00D43535" w:rsidRPr="00A80D0F">
        <w:rPr>
          <w:rFonts w:ascii="Calibri" w:hAnsi="Calibri" w:cs="Arial"/>
        </w:rPr>
        <w:t xml:space="preserve">(update the reference) </w:t>
      </w:r>
      <w:r w:rsidR="004D15D6">
        <w:rPr>
          <w:rFonts w:ascii="Calibri" w:hAnsi="Calibri" w:cs="Arial"/>
        </w:rPr>
        <w:t>OCBR 2016</w:t>
      </w:r>
      <w:r w:rsidRPr="00A80D0F">
        <w:rPr>
          <w:rFonts w:ascii="Calibri" w:hAnsi="Calibri" w:cs="Arial"/>
        </w:rPr>
        <w:t xml:space="preserve">, </w:t>
      </w:r>
      <w:r w:rsidRPr="00A80D0F">
        <w:rPr>
          <w:rFonts w:ascii="Calibri" w:hAnsi="Calibri" w:cs="Arial"/>
          <w:i/>
        </w:rPr>
        <w:t>Cost allocation methodology: Guidance note</w:t>
      </w:r>
      <w:r w:rsidRPr="00A80D0F">
        <w:rPr>
          <w:rFonts w:ascii="Calibri" w:hAnsi="Calibri" w:cs="Arial"/>
        </w:rPr>
        <w:t>, Melbourne</w:t>
      </w:r>
    </w:p>
  </w:footnote>
  <w:footnote w:id="2">
    <w:p w:rsidR="00820AE2" w:rsidRDefault="00820AE2" w:rsidP="007E7FA9">
      <w:pPr>
        <w:pStyle w:val="FootnoteText"/>
        <w:jc w:val="both"/>
        <w:rPr>
          <w:rFonts w:ascii="Arial" w:hAnsi="Arial" w:cs="Arial"/>
        </w:rPr>
      </w:pPr>
      <w:r w:rsidRPr="00A80D0F">
        <w:rPr>
          <w:rStyle w:val="FootnoteReference"/>
          <w:rFonts w:ascii="Calibri" w:hAnsi="Calibri"/>
        </w:rPr>
        <w:footnoteRef/>
      </w:r>
      <w:r w:rsidRPr="00A80D0F">
        <w:rPr>
          <w:rFonts w:ascii="Calibri" w:hAnsi="Calibri"/>
        </w:rPr>
        <w:t xml:space="preserve"> </w:t>
      </w:r>
      <w:r w:rsidRPr="00A80D0F">
        <w:rPr>
          <w:rFonts w:ascii="Calibri" w:hAnsi="Calibri" w:cs="Arial"/>
        </w:rPr>
        <w:t xml:space="preserve">This guidance note has been prepared to provide guidance on matters pertinent to the application of the Victorian Government’s </w:t>
      </w:r>
      <w:r w:rsidRPr="00A80D0F">
        <w:rPr>
          <w:rFonts w:ascii="Calibri" w:hAnsi="Calibri" w:cs="Arial"/>
          <w:i/>
        </w:rPr>
        <w:t>Competitive Neutrality Policy</w:t>
      </w:r>
      <w:r w:rsidRPr="00A80D0F">
        <w:rPr>
          <w:rFonts w:ascii="Calibri" w:hAnsi="Calibri" w:cs="Arial"/>
        </w:rPr>
        <w:t xml:space="preserve">. The guidance note should be read with section 2.2.1 ‘Adopting a costing methodology’, of the </w:t>
      </w:r>
      <w:r w:rsidRPr="00A80D0F">
        <w:rPr>
          <w:rFonts w:ascii="Calibri" w:hAnsi="Calibri" w:cs="Arial"/>
          <w:i/>
        </w:rPr>
        <w:t>Competitive Neutrality (CN) Guide to implementation</w:t>
      </w:r>
      <w:r w:rsidRPr="00A80D0F">
        <w:rPr>
          <w:rFonts w:ascii="Calibri" w:hAnsi="Calibri" w:cs="Arial"/>
        </w:rPr>
        <w:t>.</w:t>
      </w:r>
    </w:p>
  </w:footnote>
  <w:footnote w:id="3">
    <w:p w:rsidR="00820AE2" w:rsidRPr="002E44DB" w:rsidRDefault="00820AE2" w:rsidP="004A27F5">
      <w:pPr>
        <w:pStyle w:val="FootnoteText"/>
        <w:rPr>
          <w:rFonts w:ascii="Arial" w:hAnsi="Arial" w:cs="Arial"/>
        </w:rPr>
      </w:pPr>
      <w:r w:rsidRPr="002E44DB">
        <w:rPr>
          <w:rStyle w:val="FootnoteReference"/>
          <w:rFonts w:ascii="Arial" w:hAnsi="Arial" w:cs="Arial"/>
        </w:rPr>
        <w:footnoteRef/>
      </w:r>
      <w:r w:rsidRPr="002E44DB">
        <w:rPr>
          <w:rFonts w:ascii="Arial" w:hAnsi="Arial" w:cs="Arial"/>
        </w:rPr>
        <w:t xml:space="preserve"> Aquatic recreation (i</w:t>
      </w:r>
      <w:r>
        <w:rPr>
          <w:rFonts w:ascii="Arial" w:hAnsi="Arial" w:cs="Arial"/>
        </w:rPr>
        <w:t>.</w:t>
      </w:r>
      <w:r w:rsidRPr="002E44DB">
        <w:rPr>
          <w:rFonts w:ascii="Arial" w:hAnsi="Arial" w:cs="Arial"/>
        </w:rPr>
        <w:t>e</w:t>
      </w:r>
      <w:r>
        <w:rPr>
          <w:rFonts w:ascii="Arial" w:hAnsi="Arial" w:cs="Arial"/>
        </w:rPr>
        <w:t>.</w:t>
      </w:r>
      <w:r w:rsidRPr="002E44DB">
        <w:rPr>
          <w:rFonts w:ascii="Arial" w:hAnsi="Arial" w:cs="Arial"/>
        </w:rPr>
        <w:t xml:space="preserve"> swimming) has not been subject to CN pricing since July 2003 following an amendment to CN policy approved by the Treasurer.  </w:t>
      </w:r>
    </w:p>
  </w:footnote>
  <w:footnote w:id="4">
    <w:p w:rsidR="00820AE2" w:rsidRPr="002D67F6" w:rsidRDefault="00820AE2" w:rsidP="00C91105">
      <w:pPr>
        <w:pStyle w:val="FootnoteText"/>
        <w:rPr>
          <w:rFonts w:ascii="Arial" w:hAnsi="Arial" w:cs="Arial"/>
        </w:rPr>
      </w:pPr>
      <w:r w:rsidRPr="002D67F6">
        <w:rPr>
          <w:rStyle w:val="FootnoteReference"/>
          <w:rFonts w:ascii="Arial" w:hAnsi="Arial" w:cs="Arial"/>
        </w:rPr>
        <w:footnoteRef/>
      </w:r>
      <w:r w:rsidRPr="002D67F6">
        <w:rPr>
          <w:rFonts w:ascii="Arial" w:hAnsi="Arial" w:cs="Arial"/>
        </w:rPr>
        <w:t xml:space="preserve"> In this </w:t>
      </w:r>
      <w:r>
        <w:rPr>
          <w:rFonts w:ascii="Arial" w:hAnsi="Arial" w:cs="Arial"/>
        </w:rPr>
        <w:t>cas</w:t>
      </w:r>
      <w:r w:rsidRPr="002D67F6">
        <w:rPr>
          <w:rFonts w:ascii="Arial" w:hAnsi="Arial" w:cs="Arial"/>
        </w:rPr>
        <w:t xml:space="preserve">e, if the </w:t>
      </w:r>
      <w:r>
        <w:rPr>
          <w:rFonts w:ascii="Arial" w:hAnsi="Arial" w:cs="Arial"/>
        </w:rPr>
        <w:t>C</w:t>
      </w:r>
      <w:r w:rsidRPr="002D67F6">
        <w:rPr>
          <w:rFonts w:ascii="Arial" w:hAnsi="Arial" w:cs="Arial"/>
        </w:rPr>
        <w:t>ouncil</w:t>
      </w:r>
      <w:r>
        <w:rPr>
          <w:rFonts w:ascii="Arial" w:hAnsi="Arial" w:cs="Arial"/>
        </w:rPr>
        <w:t xml:space="preserve"> closed</w:t>
      </w:r>
      <w:r w:rsidRPr="002D67F6">
        <w:rPr>
          <w:rFonts w:ascii="Arial" w:hAnsi="Arial" w:cs="Arial"/>
        </w:rPr>
        <w:t xml:space="preserve"> its aquatic business </w:t>
      </w:r>
      <w:r>
        <w:rPr>
          <w:rFonts w:ascii="Arial" w:hAnsi="Arial" w:cs="Arial"/>
        </w:rPr>
        <w:t xml:space="preserve">operation </w:t>
      </w:r>
      <w:r w:rsidRPr="002D67F6">
        <w:rPr>
          <w:rFonts w:ascii="Arial" w:hAnsi="Arial" w:cs="Arial"/>
        </w:rPr>
        <w:t>the operating deficit woul</w:t>
      </w:r>
      <w:r>
        <w:rPr>
          <w:rFonts w:ascii="Arial" w:hAnsi="Arial" w:cs="Arial"/>
        </w:rPr>
        <w:t>d increase from $30,000 to $35,</w:t>
      </w:r>
      <w:r w:rsidRPr="002D67F6">
        <w:rPr>
          <w:rFonts w:ascii="Arial" w:hAnsi="Arial" w:cs="Arial"/>
        </w:rPr>
        <w:t xml:space="preserve">000.  </w:t>
      </w:r>
      <w:r>
        <w:rPr>
          <w:rFonts w:ascii="Arial" w:hAnsi="Arial" w:cs="Arial"/>
        </w:rPr>
        <w:t>The increased deficit</w:t>
      </w:r>
      <w:r w:rsidRPr="002D67F6">
        <w:rPr>
          <w:rFonts w:ascii="Arial" w:hAnsi="Arial" w:cs="Arial"/>
        </w:rPr>
        <w:t>, $</w:t>
      </w:r>
      <w:r>
        <w:rPr>
          <w:rFonts w:ascii="Arial" w:hAnsi="Arial" w:cs="Arial"/>
        </w:rPr>
        <w:t>5,</w:t>
      </w:r>
      <w:r w:rsidRPr="002D67F6">
        <w:rPr>
          <w:rFonts w:ascii="Arial" w:hAnsi="Arial" w:cs="Arial"/>
        </w:rPr>
        <w:t>000 is the difference between the revenue generated from the aquatic business, $1</w:t>
      </w:r>
      <w:r>
        <w:rPr>
          <w:rFonts w:ascii="Arial" w:hAnsi="Arial" w:cs="Arial"/>
        </w:rPr>
        <w:t>7</w:t>
      </w:r>
      <w:r w:rsidRPr="002D67F6">
        <w:rPr>
          <w:rFonts w:ascii="Arial" w:hAnsi="Arial" w:cs="Arial"/>
        </w:rPr>
        <w:t>,000, less the variable costs associated with this business, $12,000.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D6" w:rsidRDefault="004D1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E2" w:rsidRDefault="007C548E">
    <w:pPr>
      <w:pStyle w:val="Header"/>
      <w:rPr>
        <w:noProof/>
        <w:lang w:eastAsia="en-AU"/>
      </w:rPr>
    </w:pPr>
    <w:r>
      <w:rPr>
        <w:rFonts w:ascii="Arial" w:hAnsi="Arial" w:cs="Arial"/>
        <w:noProof/>
        <w:sz w:val="20"/>
        <w:lang w:eastAsia="en-AU"/>
      </w:rPr>
      <mc:AlternateContent>
        <mc:Choice Requires="wps">
          <w:drawing>
            <wp:anchor distT="0" distB="0" distL="114300" distR="114300" simplePos="0" relativeHeight="251657728" behindDoc="0" locked="0" layoutInCell="1" allowOverlap="1">
              <wp:simplePos x="0" y="0"/>
              <wp:positionH relativeFrom="column">
                <wp:posOffset>2794635</wp:posOffset>
              </wp:positionH>
              <wp:positionV relativeFrom="paragraph">
                <wp:posOffset>2540</wp:posOffset>
              </wp:positionV>
              <wp:extent cx="2514600" cy="7404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40410"/>
                      </a:xfrm>
                      <a:prstGeom prst="rect">
                        <a:avLst/>
                      </a:prstGeom>
                      <a:solidFill>
                        <a:srgbClr val="FFFFFF"/>
                      </a:solidFill>
                      <a:ln w="12700">
                        <a:solidFill>
                          <a:srgbClr val="872C8E"/>
                        </a:solidFill>
                        <a:miter lim="800000"/>
                        <a:headEnd/>
                        <a:tailEnd/>
                      </a:ln>
                    </wps:spPr>
                    <wps:txbx>
                      <w:txbxContent>
                        <w:p w:rsidR="00820AE2" w:rsidRPr="00A80D0F" w:rsidRDefault="00820AE2" w:rsidP="003620CE">
                          <w:pPr>
                            <w:spacing w:before="200"/>
                            <w:jc w:val="center"/>
                            <w:rPr>
                              <w:rFonts w:ascii="Calibri" w:hAnsi="Calibri" w:cs="Arial"/>
                              <w:b/>
                              <w:bCs/>
                              <w:color w:val="872C8E"/>
                              <w:sz w:val="44"/>
                            </w:rPr>
                          </w:pPr>
                          <w:r w:rsidRPr="00A80D0F">
                            <w:rPr>
                              <w:rFonts w:ascii="Calibri" w:hAnsi="Calibri" w:cs="Arial"/>
                              <w:b/>
                              <w:bCs/>
                              <w:color w:val="872C8E"/>
                              <w:sz w:val="44"/>
                            </w:rPr>
                            <w:t>GUIDANCE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0.05pt;margin-top:.2pt;width:198pt;height:5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" strokecolor="#872c8e" strokeweight="1pt">
              <v:textbox>
                <w:txbxContent>
                  <w:p w:rsidR="00820AE2" w:rsidRPr="00A80D0F" w:rsidRDefault="00820AE2" w:rsidP="003620CE">
                    <w:pPr>
                      <w:spacing w:before="200"/>
                      <w:jc w:val="center"/>
                      <w:rPr>
                        <w:rFonts w:ascii="Calibri" w:hAnsi="Calibri" w:cs="Arial"/>
                        <w:b/>
                        <w:bCs/>
                        <w:color w:val="872C8E"/>
                        <w:sz w:val="44"/>
                      </w:rPr>
                    </w:pPr>
                    <w:r w:rsidRPr="00A80D0F">
                      <w:rPr>
                        <w:rFonts w:ascii="Calibri" w:hAnsi="Calibri" w:cs="Arial"/>
                        <w:b/>
                        <w:bCs/>
                        <w:color w:val="872C8E"/>
                        <w:sz w:val="44"/>
                      </w:rPr>
                      <w:t>GUIDANCE NOTE</w:t>
                    </w:r>
                  </w:p>
                </w:txbxContent>
              </v:textbox>
            </v:shape>
          </w:pict>
        </mc:Fallback>
      </mc:AlternateContent>
    </w:r>
    <w:r>
      <w:rPr>
        <w:noProof/>
        <w:lang w:eastAsia="en-AU"/>
      </w:rPr>
      <w:drawing>
        <wp:inline distT="0" distB="0" distL="0" distR="0">
          <wp:extent cx="11239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42975"/>
                  </a:xfrm>
                  <a:prstGeom prst="rect">
                    <a:avLst/>
                  </a:prstGeom>
                  <a:noFill/>
                  <a:ln>
                    <a:noFill/>
                  </a:ln>
                </pic:spPr>
              </pic:pic>
            </a:graphicData>
          </a:graphic>
        </wp:inline>
      </w:drawing>
    </w:r>
  </w:p>
  <w:p w:rsidR="003620CE" w:rsidRDefault="003620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D6" w:rsidRDefault="004D1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F16"/>
    <w:multiLevelType w:val="multilevel"/>
    <w:tmpl w:val="2F52E83C"/>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44472112"/>
    <w:multiLevelType w:val="hybridMultilevel"/>
    <w:tmpl w:val="AB6269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9E02893"/>
    <w:multiLevelType w:val="hybridMultilevel"/>
    <w:tmpl w:val="779887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6C"/>
    <w:rsid w:val="000306AD"/>
    <w:rsid w:val="00036322"/>
    <w:rsid w:val="000661A4"/>
    <w:rsid w:val="000A22DD"/>
    <w:rsid w:val="000C1129"/>
    <w:rsid w:val="000D5367"/>
    <w:rsid w:val="000E611D"/>
    <w:rsid w:val="001674AB"/>
    <w:rsid w:val="001B72D6"/>
    <w:rsid w:val="001D7269"/>
    <w:rsid w:val="00233409"/>
    <w:rsid w:val="00267646"/>
    <w:rsid w:val="002E1859"/>
    <w:rsid w:val="002F1F2E"/>
    <w:rsid w:val="00322C8E"/>
    <w:rsid w:val="003620CE"/>
    <w:rsid w:val="003740C3"/>
    <w:rsid w:val="00380441"/>
    <w:rsid w:val="00390CE5"/>
    <w:rsid w:val="00397043"/>
    <w:rsid w:val="003D6C5F"/>
    <w:rsid w:val="004A11E3"/>
    <w:rsid w:val="004A27F5"/>
    <w:rsid w:val="004D15D6"/>
    <w:rsid w:val="00553DCF"/>
    <w:rsid w:val="00575D98"/>
    <w:rsid w:val="005A0DA5"/>
    <w:rsid w:val="0062362C"/>
    <w:rsid w:val="00623E49"/>
    <w:rsid w:val="006251A4"/>
    <w:rsid w:val="00636C77"/>
    <w:rsid w:val="006B7627"/>
    <w:rsid w:val="006C6A94"/>
    <w:rsid w:val="00726FBD"/>
    <w:rsid w:val="00747776"/>
    <w:rsid w:val="00774818"/>
    <w:rsid w:val="007A1F6C"/>
    <w:rsid w:val="007A46FC"/>
    <w:rsid w:val="007C548E"/>
    <w:rsid w:val="007E53B7"/>
    <w:rsid w:val="007E5576"/>
    <w:rsid w:val="007E7FA9"/>
    <w:rsid w:val="008079C3"/>
    <w:rsid w:val="0081240A"/>
    <w:rsid w:val="00820AE2"/>
    <w:rsid w:val="008A2343"/>
    <w:rsid w:val="009549D4"/>
    <w:rsid w:val="009A2143"/>
    <w:rsid w:val="009F5473"/>
    <w:rsid w:val="00A254F9"/>
    <w:rsid w:val="00A56221"/>
    <w:rsid w:val="00A80D0F"/>
    <w:rsid w:val="00A94786"/>
    <w:rsid w:val="00AA1F99"/>
    <w:rsid w:val="00AB2E6F"/>
    <w:rsid w:val="00B47A9F"/>
    <w:rsid w:val="00B8499A"/>
    <w:rsid w:val="00B85634"/>
    <w:rsid w:val="00B91051"/>
    <w:rsid w:val="00BC558F"/>
    <w:rsid w:val="00C3096B"/>
    <w:rsid w:val="00C3286A"/>
    <w:rsid w:val="00C44CC6"/>
    <w:rsid w:val="00C50E84"/>
    <w:rsid w:val="00C51ED3"/>
    <w:rsid w:val="00C8558A"/>
    <w:rsid w:val="00C91105"/>
    <w:rsid w:val="00CB07DF"/>
    <w:rsid w:val="00CB566C"/>
    <w:rsid w:val="00D26280"/>
    <w:rsid w:val="00D372BD"/>
    <w:rsid w:val="00D43535"/>
    <w:rsid w:val="00D46A5F"/>
    <w:rsid w:val="00D6339A"/>
    <w:rsid w:val="00D711CE"/>
    <w:rsid w:val="00DB0A7A"/>
    <w:rsid w:val="00E610AB"/>
    <w:rsid w:val="00EA34C3"/>
    <w:rsid w:val="00EB140B"/>
    <w:rsid w:val="00ED62FF"/>
    <w:rsid w:val="00EF06A9"/>
    <w:rsid w:val="00F063E0"/>
    <w:rsid w:val="00FD7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table" w:styleId="TableGrid">
    <w:name w:val="Table Grid"/>
    <w:basedOn w:val="TableNormal"/>
    <w:rsid w:val="004A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40A"/>
    <w:rPr>
      <w:rFonts w:ascii="Tahoma" w:hAnsi="Tahoma" w:cs="Tahoma"/>
      <w:sz w:val="16"/>
      <w:szCs w:val="16"/>
    </w:rPr>
  </w:style>
  <w:style w:type="paragraph" w:customStyle="1" w:styleId="BodyText">
    <w:name w:val="BodyText"/>
    <w:link w:val="BodyTextChar"/>
    <w:rsid w:val="005A0DA5"/>
    <w:pPr>
      <w:spacing w:before="80" w:after="160"/>
      <w:jc w:val="both"/>
    </w:pPr>
    <w:rPr>
      <w:rFonts w:ascii="Garamond" w:hAnsi="Garamond"/>
      <w:sz w:val="27"/>
      <w:szCs w:val="24"/>
      <w:lang w:eastAsia="en-US"/>
    </w:rPr>
  </w:style>
  <w:style w:type="character" w:customStyle="1" w:styleId="BodyTextChar">
    <w:name w:val="BodyText Char"/>
    <w:link w:val="BodyText"/>
    <w:rsid w:val="005A0DA5"/>
    <w:rPr>
      <w:rFonts w:ascii="Garamond" w:hAnsi="Garamond"/>
      <w:sz w:val="27"/>
      <w:szCs w:val="24"/>
      <w:lang w:val="en-AU" w:eastAsia="en-US" w:bidi="ar-SA"/>
    </w:rPr>
  </w:style>
  <w:style w:type="character" w:customStyle="1" w:styleId="FooterChar">
    <w:name w:val="Footer Char"/>
    <w:link w:val="Footer"/>
    <w:uiPriority w:val="99"/>
    <w:rsid w:val="00A80D0F"/>
    <w:rPr>
      <w:sz w:val="24"/>
      <w:lang w:eastAsia="en-US"/>
    </w:rPr>
  </w:style>
  <w:style w:type="paragraph" w:styleId="Revision">
    <w:name w:val="Revision"/>
    <w:hidden/>
    <w:uiPriority w:val="99"/>
    <w:semiHidden/>
    <w:rsid w:val="004D15D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table" w:styleId="TableGrid">
    <w:name w:val="Table Grid"/>
    <w:basedOn w:val="TableNormal"/>
    <w:rsid w:val="004A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40A"/>
    <w:rPr>
      <w:rFonts w:ascii="Tahoma" w:hAnsi="Tahoma" w:cs="Tahoma"/>
      <w:sz w:val="16"/>
      <w:szCs w:val="16"/>
    </w:rPr>
  </w:style>
  <w:style w:type="paragraph" w:customStyle="1" w:styleId="BodyText">
    <w:name w:val="BodyText"/>
    <w:link w:val="BodyTextChar"/>
    <w:rsid w:val="005A0DA5"/>
    <w:pPr>
      <w:spacing w:before="80" w:after="160"/>
      <w:jc w:val="both"/>
    </w:pPr>
    <w:rPr>
      <w:rFonts w:ascii="Garamond" w:hAnsi="Garamond"/>
      <w:sz w:val="27"/>
      <w:szCs w:val="24"/>
      <w:lang w:eastAsia="en-US"/>
    </w:rPr>
  </w:style>
  <w:style w:type="character" w:customStyle="1" w:styleId="BodyTextChar">
    <w:name w:val="BodyText Char"/>
    <w:link w:val="BodyText"/>
    <w:rsid w:val="005A0DA5"/>
    <w:rPr>
      <w:rFonts w:ascii="Garamond" w:hAnsi="Garamond"/>
      <w:sz w:val="27"/>
      <w:szCs w:val="24"/>
      <w:lang w:val="en-AU" w:eastAsia="en-US" w:bidi="ar-SA"/>
    </w:rPr>
  </w:style>
  <w:style w:type="character" w:customStyle="1" w:styleId="FooterChar">
    <w:name w:val="Footer Char"/>
    <w:link w:val="Footer"/>
    <w:uiPriority w:val="99"/>
    <w:rsid w:val="00A80D0F"/>
    <w:rPr>
      <w:sz w:val="24"/>
      <w:lang w:eastAsia="en-US"/>
    </w:rPr>
  </w:style>
  <w:style w:type="paragraph" w:styleId="Revision">
    <w:name w:val="Revision"/>
    <w:hidden/>
    <w:uiPriority w:val="99"/>
    <w:semiHidden/>
    <w:rsid w:val="004D15D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1403</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DTF File: ……………………</vt:lpstr>
    </vt:vector>
  </TitlesOfParts>
  <Company>DTF</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DTF File: ……………………</dc:title>
  <dc:creator>AYM</dc:creator>
  <cp:lastModifiedBy>Lisa Clayworth</cp:lastModifiedBy>
  <cp:revision>3</cp:revision>
  <cp:lastPrinted>2007-07-10T06:03:00Z</cp:lastPrinted>
  <dcterms:created xsi:type="dcterms:W3CDTF">2016-09-12T04:18:00Z</dcterms:created>
  <dcterms:modified xsi:type="dcterms:W3CDTF">2016-09-12T04:36:00Z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cdff4936-b114-4a34-b8e9-8d162709239e</vt:lpwstr>
  </property>
  <property fmtid="{D5CDD505-2E9C-101B-9397-08002B2CF9AE}" pid="3" name="PSPFClassification">
    <vt:lpwstr>Do Not Mark</vt:lpwstr>
  </property>
</Properties>
</file>