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525" w:rsidRPr="00BC2525" w:rsidRDefault="00BC2525" w:rsidP="00BC2525">
      <w:pPr>
        <w:spacing w:after="120"/>
        <w:jc w:val="both"/>
        <w:rPr>
          <w:rFonts w:ascii="Calibri" w:hAnsi="Calibri" w:cs="Arial"/>
          <w:b/>
          <w:bCs/>
          <w:color w:val="872C8E"/>
          <w:sz w:val="30"/>
          <w:szCs w:val="30"/>
        </w:rPr>
      </w:pPr>
      <w:bookmarkStart w:id="0" w:name="_GoBack"/>
      <w:bookmarkEnd w:id="0"/>
    </w:p>
    <w:p w:rsidR="00640F35" w:rsidRPr="00BC2525" w:rsidRDefault="00910C08" w:rsidP="00BC2525">
      <w:pPr>
        <w:spacing w:after="120"/>
        <w:jc w:val="both"/>
        <w:rPr>
          <w:rFonts w:ascii="Calibri" w:hAnsi="Calibri" w:cs="Arial"/>
          <w:b/>
          <w:bCs/>
          <w:color w:val="872C8E"/>
          <w:sz w:val="30"/>
          <w:szCs w:val="30"/>
        </w:rPr>
      </w:pPr>
      <w:r>
        <w:rPr>
          <w:rFonts w:ascii="Calibri" w:hAnsi="Calibri" w:cs="Arial"/>
          <w:b/>
          <w:bCs/>
          <w:color w:val="872C8E"/>
          <w:sz w:val="30"/>
          <w:szCs w:val="30"/>
        </w:rPr>
        <w:t>MULTI-CRITERIA ANALYSIS (MCA)</w:t>
      </w:r>
    </w:p>
    <w:p w:rsidR="00640F35" w:rsidRPr="00BC2525" w:rsidRDefault="00640F35" w:rsidP="00BC2525">
      <w:pPr>
        <w:spacing w:after="120"/>
        <w:jc w:val="both"/>
        <w:rPr>
          <w:rFonts w:ascii="Calibri" w:hAnsi="Calibri" w:cs="Arial"/>
          <w:b/>
          <w:bCs/>
          <w:color w:val="0063A4"/>
          <w:szCs w:val="24"/>
        </w:rPr>
      </w:pPr>
      <w:r w:rsidRPr="00BC2525">
        <w:rPr>
          <w:rFonts w:ascii="Calibri" w:hAnsi="Calibri" w:cs="Arial"/>
          <w:b/>
          <w:bCs/>
          <w:color w:val="0063A4"/>
          <w:szCs w:val="24"/>
        </w:rPr>
        <w:t>Purpose of this note</w:t>
      </w:r>
    </w:p>
    <w:p w:rsidR="00C97A1D" w:rsidRDefault="00640F35" w:rsidP="00BC2525">
      <w:pPr>
        <w:spacing w:after="120"/>
        <w:jc w:val="both"/>
        <w:rPr>
          <w:rFonts w:ascii="Calibri" w:hAnsi="Calibri" w:cs="Arial"/>
          <w:sz w:val="22"/>
        </w:rPr>
      </w:pPr>
      <w:r w:rsidRPr="00BC2525">
        <w:rPr>
          <w:rFonts w:ascii="Calibri" w:hAnsi="Calibri" w:cs="Arial"/>
          <w:sz w:val="22"/>
        </w:rPr>
        <w:t>The purpose of this</w:t>
      </w:r>
      <w:r w:rsidR="00910C08">
        <w:rPr>
          <w:rFonts w:ascii="Calibri" w:hAnsi="Calibri" w:cs="Arial"/>
          <w:sz w:val="22"/>
        </w:rPr>
        <w:t xml:space="preserve"> guidance </w:t>
      </w:r>
      <w:r w:rsidRPr="00BC2525">
        <w:rPr>
          <w:rFonts w:ascii="Calibri" w:hAnsi="Calibri" w:cs="Arial"/>
          <w:sz w:val="22"/>
        </w:rPr>
        <w:t>note is to</w:t>
      </w:r>
      <w:r w:rsidR="00910C08">
        <w:rPr>
          <w:rFonts w:ascii="Calibri" w:hAnsi="Calibri" w:cs="Arial"/>
          <w:sz w:val="22"/>
        </w:rPr>
        <w:t xml:space="preserve"> provide consistent and clear advice to departments and agencies about:</w:t>
      </w:r>
    </w:p>
    <w:p w:rsidR="00910C08" w:rsidRPr="00910C08" w:rsidRDefault="00910C08" w:rsidP="00910C08">
      <w:pPr>
        <w:numPr>
          <w:ilvl w:val="0"/>
          <w:numId w:val="5"/>
        </w:numPr>
        <w:spacing w:after="120"/>
        <w:jc w:val="both"/>
        <w:rPr>
          <w:rFonts w:ascii="Calibri" w:hAnsi="Calibri" w:cs="Arial"/>
          <w:sz w:val="22"/>
          <w:szCs w:val="22"/>
        </w:rPr>
      </w:pPr>
      <w:r>
        <w:rPr>
          <w:rFonts w:ascii="Calibri" w:hAnsi="Calibri" w:cs="Arial"/>
          <w:sz w:val="22"/>
        </w:rPr>
        <w:t xml:space="preserve">when it is appropriate to use multi-criteria analysis (MCA) as the decision tool in Regulatory Impact Statements (RISs) and </w:t>
      </w:r>
      <w:r w:rsidR="000B66A3">
        <w:rPr>
          <w:rFonts w:ascii="Calibri" w:hAnsi="Calibri" w:cs="Arial"/>
          <w:sz w:val="22"/>
        </w:rPr>
        <w:t>Legislative Impact Assessments (L</w:t>
      </w:r>
      <w:r>
        <w:rPr>
          <w:rFonts w:ascii="Calibri" w:hAnsi="Calibri" w:cs="Arial"/>
          <w:sz w:val="22"/>
        </w:rPr>
        <w:t>IAs); and</w:t>
      </w:r>
    </w:p>
    <w:p w:rsidR="00910C08" w:rsidRDefault="00910C08" w:rsidP="00910C08">
      <w:pPr>
        <w:numPr>
          <w:ilvl w:val="0"/>
          <w:numId w:val="5"/>
        </w:numPr>
        <w:spacing w:after="120"/>
        <w:jc w:val="both"/>
        <w:rPr>
          <w:rFonts w:ascii="Calibri" w:hAnsi="Calibri" w:cs="Arial"/>
          <w:sz w:val="22"/>
          <w:szCs w:val="22"/>
        </w:rPr>
      </w:pPr>
      <w:r>
        <w:rPr>
          <w:rFonts w:ascii="Calibri" w:hAnsi="Calibri" w:cs="Arial"/>
          <w:sz w:val="22"/>
          <w:szCs w:val="22"/>
        </w:rPr>
        <w:t xml:space="preserve">the nature and level of analysis required when MCA is used in a RIS or </w:t>
      </w:r>
      <w:r w:rsidR="000B66A3">
        <w:rPr>
          <w:rFonts w:ascii="Calibri" w:hAnsi="Calibri" w:cs="Arial"/>
          <w:sz w:val="22"/>
          <w:szCs w:val="22"/>
        </w:rPr>
        <w:t>L</w:t>
      </w:r>
      <w:r>
        <w:rPr>
          <w:rFonts w:ascii="Calibri" w:hAnsi="Calibri" w:cs="Arial"/>
          <w:sz w:val="22"/>
          <w:szCs w:val="22"/>
        </w:rPr>
        <w:t>IA.</w:t>
      </w:r>
    </w:p>
    <w:p w:rsidR="00910C08" w:rsidRDefault="00910C08" w:rsidP="00910C08">
      <w:pPr>
        <w:spacing w:after="120"/>
        <w:jc w:val="both"/>
        <w:rPr>
          <w:rFonts w:ascii="Calibri" w:hAnsi="Calibri" w:cs="Arial"/>
          <w:sz w:val="22"/>
          <w:szCs w:val="22"/>
        </w:rPr>
      </w:pPr>
      <w:r>
        <w:rPr>
          <w:rFonts w:ascii="Calibri" w:hAnsi="Calibri" w:cs="Arial"/>
          <w:sz w:val="22"/>
          <w:szCs w:val="22"/>
        </w:rPr>
        <w:t xml:space="preserve">This advice is intended to be consistent with, and supplement, the discussion contained in the </w:t>
      </w:r>
      <w:r>
        <w:rPr>
          <w:rFonts w:ascii="Calibri" w:hAnsi="Calibri" w:cs="Arial"/>
          <w:i/>
          <w:sz w:val="22"/>
          <w:szCs w:val="22"/>
        </w:rPr>
        <w:t>Victorian Guide to Regulation</w:t>
      </w:r>
      <w:r>
        <w:rPr>
          <w:rFonts w:ascii="Calibri" w:hAnsi="Calibri" w:cs="Arial"/>
          <w:sz w:val="22"/>
          <w:szCs w:val="22"/>
        </w:rPr>
        <w:t xml:space="preserve">.  It focuses on areas that, in the OCBR’s experience of assessing RISs and </w:t>
      </w:r>
      <w:r w:rsidR="000B66A3">
        <w:rPr>
          <w:rFonts w:ascii="Calibri" w:hAnsi="Calibri" w:cs="Arial"/>
          <w:sz w:val="22"/>
          <w:szCs w:val="22"/>
        </w:rPr>
        <w:t>L</w:t>
      </w:r>
      <w:r>
        <w:rPr>
          <w:rFonts w:ascii="Calibri" w:hAnsi="Calibri" w:cs="Arial"/>
          <w:sz w:val="22"/>
          <w:szCs w:val="22"/>
        </w:rPr>
        <w:t>IAs, departments and agencies have found challenging when conducting MCA.</w:t>
      </w:r>
    </w:p>
    <w:p w:rsidR="00910C08" w:rsidRPr="00910C08" w:rsidRDefault="00910C08" w:rsidP="00910C08">
      <w:pPr>
        <w:spacing w:after="120"/>
        <w:jc w:val="both"/>
        <w:rPr>
          <w:rFonts w:ascii="Calibri" w:hAnsi="Calibri" w:cs="Arial"/>
          <w:sz w:val="22"/>
          <w:szCs w:val="22"/>
        </w:rPr>
      </w:pPr>
    </w:p>
    <w:p w:rsidR="00640F35" w:rsidRPr="00BC2525" w:rsidRDefault="00910C08" w:rsidP="00BC2525">
      <w:pPr>
        <w:spacing w:after="120"/>
        <w:jc w:val="both"/>
        <w:rPr>
          <w:rFonts w:ascii="Calibri" w:hAnsi="Calibri" w:cs="Arial"/>
          <w:b/>
          <w:bCs/>
          <w:color w:val="0063A4"/>
          <w:szCs w:val="24"/>
        </w:rPr>
      </w:pPr>
      <w:r>
        <w:rPr>
          <w:rFonts w:ascii="Calibri" w:hAnsi="Calibri" w:cs="Arial"/>
          <w:b/>
          <w:bCs/>
          <w:color w:val="0063A4"/>
          <w:szCs w:val="24"/>
        </w:rPr>
        <w:t>What is MCA?</w:t>
      </w:r>
    </w:p>
    <w:p w:rsidR="00910C08" w:rsidRDefault="008D630C" w:rsidP="00BC2525">
      <w:pPr>
        <w:spacing w:after="120"/>
        <w:jc w:val="both"/>
        <w:rPr>
          <w:rFonts w:ascii="Calibri" w:hAnsi="Calibri" w:cs="Arial"/>
          <w:sz w:val="22"/>
          <w:szCs w:val="22"/>
        </w:rPr>
      </w:pPr>
      <w:r>
        <w:rPr>
          <w:rFonts w:ascii="Calibri" w:hAnsi="Calibri" w:cs="Arial"/>
          <w:sz w:val="22"/>
          <w:szCs w:val="22"/>
        </w:rPr>
        <w:t xml:space="preserve">The </w:t>
      </w:r>
      <w:r>
        <w:rPr>
          <w:rFonts w:ascii="Calibri" w:hAnsi="Calibri" w:cs="Arial"/>
          <w:i/>
          <w:sz w:val="22"/>
          <w:szCs w:val="22"/>
        </w:rPr>
        <w:t xml:space="preserve">Victorian Guide to Regulation </w:t>
      </w:r>
      <w:r>
        <w:rPr>
          <w:rFonts w:ascii="Calibri" w:hAnsi="Calibri" w:cs="Arial"/>
          <w:sz w:val="22"/>
          <w:szCs w:val="22"/>
        </w:rPr>
        <w:t>requires that a ‘decision tool’ be used to determine whether the benefits of a regulatory option outweigh its costs, and to ‘rank’ different options.</w:t>
      </w:r>
    </w:p>
    <w:p w:rsidR="008D630C" w:rsidRDefault="008D630C" w:rsidP="00BC2525">
      <w:pPr>
        <w:spacing w:after="120"/>
        <w:jc w:val="both"/>
        <w:rPr>
          <w:rFonts w:ascii="Calibri" w:hAnsi="Calibri" w:cs="Arial"/>
          <w:sz w:val="22"/>
          <w:szCs w:val="22"/>
        </w:rPr>
      </w:pPr>
      <w:r>
        <w:rPr>
          <w:rFonts w:ascii="Calibri" w:hAnsi="Calibri" w:cs="Arial"/>
          <w:sz w:val="22"/>
          <w:szCs w:val="22"/>
        </w:rPr>
        <w:t>MCA is a decision tool that is used when it is not possible to quantify and value the main costs and benefits of an option.  This includes situations where some data are available, but they provide information at too broad a level to enable the specific (narrower) effects of the proposal to be isolated.</w:t>
      </w:r>
    </w:p>
    <w:p w:rsidR="008D630C" w:rsidRDefault="008D630C" w:rsidP="00BC2525">
      <w:pPr>
        <w:spacing w:after="120"/>
        <w:jc w:val="both"/>
        <w:rPr>
          <w:rFonts w:ascii="Calibri" w:hAnsi="Calibri" w:cs="Arial"/>
          <w:sz w:val="22"/>
          <w:szCs w:val="22"/>
        </w:rPr>
      </w:pPr>
      <w:r>
        <w:rPr>
          <w:rFonts w:ascii="Calibri" w:hAnsi="Calibri" w:cs="Arial"/>
          <w:sz w:val="22"/>
          <w:szCs w:val="22"/>
        </w:rPr>
        <w:t>MCA involves:</w:t>
      </w:r>
    </w:p>
    <w:p w:rsidR="008D630C" w:rsidRDefault="008D630C" w:rsidP="008D630C">
      <w:pPr>
        <w:numPr>
          <w:ilvl w:val="0"/>
          <w:numId w:val="6"/>
        </w:numPr>
        <w:spacing w:after="120"/>
        <w:jc w:val="both"/>
        <w:rPr>
          <w:rFonts w:ascii="Calibri" w:hAnsi="Calibri" w:cs="Arial"/>
          <w:sz w:val="22"/>
          <w:szCs w:val="22"/>
        </w:rPr>
      </w:pPr>
      <w:r>
        <w:rPr>
          <w:rFonts w:ascii="Calibri" w:hAnsi="Calibri" w:cs="Arial"/>
          <w:sz w:val="22"/>
          <w:szCs w:val="22"/>
        </w:rPr>
        <w:t>specifying a number of assessment criteria;</w:t>
      </w:r>
    </w:p>
    <w:p w:rsidR="008D630C" w:rsidRDefault="008D630C" w:rsidP="008D630C">
      <w:pPr>
        <w:numPr>
          <w:ilvl w:val="0"/>
          <w:numId w:val="6"/>
        </w:numPr>
        <w:spacing w:after="120"/>
        <w:jc w:val="both"/>
        <w:rPr>
          <w:rFonts w:ascii="Calibri" w:hAnsi="Calibri" w:cs="Arial"/>
          <w:sz w:val="22"/>
          <w:szCs w:val="22"/>
        </w:rPr>
      </w:pPr>
      <w:r>
        <w:rPr>
          <w:rFonts w:ascii="Calibri" w:hAnsi="Calibri" w:cs="Arial"/>
          <w:sz w:val="22"/>
          <w:szCs w:val="22"/>
        </w:rPr>
        <w:t>assigning a ‘weighting’ to each criterion;</w:t>
      </w:r>
    </w:p>
    <w:p w:rsidR="008D630C" w:rsidRDefault="008D630C" w:rsidP="008D630C">
      <w:pPr>
        <w:numPr>
          <w:ilvl w:val="0"/>
          <w:numId w:val="6"/>
        </w:numPr>
        <w:spacing w:after="120"/>
        <w:jc w:val="both"/>
        <w:rPr>
          <w:rFonts w:ascii="Calibri" w:hAnsi="Calibri" w:cs="Arial"/>
          <w:sz w:val="22"/>
          <w:szCs w:val="22"/>
        </w:rPr>
      </w:pPr>
      <w:r>
        <w:rPr>
          <w:rFonts w:ascii="Calibri" w:hAnsi="Calibri" w:cs="Arial"/>
          <w:sz w:val="22"/>
          <w:szCs w:val="22"/>
        </w:rPr>
        <w:t>assigning scores for each option in relation to each criterion; and</w:t>
      </w:r>
    </w:p>
    <w:p w:rsidR="008D630C" w:rsidRDefault="008D630C" w:rsidP="008D630C">
      <w:pPr>
        <w:numPr>
          <w:ilvl w:val="0"/>
          <w:numId w:val="6"/>
        </w:numPr>
        <w:spacing w:after="120"/>
        <w:jc w:val="both"/>
        <w:rPr>
          <w:rFonts w:ascii="Calibri" w:hAnsi="Calibri" w:cs="Arial"/>
          <w:sz w:val="22"/>
          <w:szCs w:val="22"/>
        </w:rPr>
      </w:pPr>
      <w:r>
        <w:rPr>
          <w:rFonts w:ascii="Calibri" w:hAnsi="Calibri" w:cs="Arial"/>
          <w:sz w:val="22"/>
          <w:szCs w:val="22"/>
        </w:rPr>
        <w:t>calculating a weighted score for each option.</w:t>
      </w:r>
    </w:p>
    <w:p w:rsidR="008D630C" w:rsidRDefault="00C87C81" w:rsidP="008D630C">
      <w:pPr>
        <w:spacing w:after="120"/>
        <w:jc w:val="both"/>
        <w:rPr>
          <w:rFonts w:ascii="Calibri" w:hAnsi="Calibri" w:cs="Arial"/>
          <w:sz w:val="22"/>
          <w:szCs w:val="22"/>
        </w:rPr>
      </w:pPr>
      <w:r>
        <w:rPr>
          <w:rFonts w:ascii="Calibri" w:hAnsi="Calibri" w:cs="Arial"/>
          <w:sz w:val="22"/>
          <w:szCs w:val="22"/>
        </w:rPr>
        <w:t>MCA allows a decision to be made based on the weighted scores.  The option assigned the highest weighted score is the ‘preferred option’.</w:t>
      </w:r>
    </w:p>
    <w:p w:rsidR="00C87C81" w:rsidRPr="008D630C" w:rsidRDefault="00C87C81" w:rsidP="008D630C">
      <w:pPr>
        <w:spacing w:after="120"/>
        <w:jc w:val="both"/>
        <w:rPr>
          <w:rFonts w:ascii="Calibri" w:hAnsi="Calibri" w:cs="Arial"/>
          <w:sz w:val="22"/>
          <w:szCs w:val="22"/>
        </w:rPr>
      </w:pPr>
      <w:r>
        <w:rPr>
          <w:rFonts w:ascii="Calibri" w:hAnsi="Calibri" w:cs="Arial"/>
          <w:sz w:val="22"/>
          <w:szCs w:val="22"/>
        </w:rPr>
        <w:t>Although a degree of subjectivity is inherent in the MCA approach, when applied appropriately, MCA can provide a structured, systematic and transparent framework for comparing options with some non-quantified costs and/or benefits.  By identifying the basis on which options have been compared, it allows stakeholders and decision makers to see (and comment on) which factors were taken into account, the weight given to different aspects of a decision, and the logical path between the issues being addressed and the decision.</w:t>
      </w:r>
    </w:p>
    <w:p w:rsidR="00910C08" w:rsidRDefault="00910C08" w:rsidP="00BC2525">
      <w:pPr>
        <w:spacing w:after="120"/>
        <w:jc w:val="both"/>
        <w:rPr>
          <w:rFonts w:ascii="Calibri" w:hAnsi="Calibri" w:cs="Arial"/>
          <w:sz w:val="22"/>
          <w:szCs w:val="22"/>
        </w:rPr>
      </w:pPr>
    </w:p>
    <w:p w:rsidR="00910C08" w:rsidRDefault="00910C08" w:rsidP="00BC2525">
      <w:pPr>
        <w:spacing w:after="120"/>
        <w:jc w:val="both"/>
        <w:rPr>
          <w:rFonts w:ascii="Calibri" w:hAnsi="Calibri" w:cs="Arial"/>
          <w:sz w:val="22"/>
          <w:szCs w:val="22"/>
        </w:rPr>
      </w:pPr>
    </w:p>
    <w:p w:rsidR="00C97A1D" w:rsidRDefault="00C97A1D" w:rsidP="00BC2525">
      <w:pPr>
        <w:spacing w:after="120"/>
        <w:jc w:val="both"/>
        <w:rPr>
          <w:rFonts w:ascii="Calibri" w:hAnsi="Calibri" w:cs="Arial"/>
          <w:b/>
          <w:bCs/>
          <w:color w:val="0063A4"/>
          <w:szCs w:val="24"/>
        </w:rPr>
      </w:pPr>
      <w:r w:rsidRPr="00BC2525">
        <w:rPr>
          <w:rFonts w:ascii="Calibri" w:hAnsi="Calibri" w:cs="Arial"/>
          <w:sz w:val="22"/>
          <w:szCs w:val="22"/>
        </w:rPr>
        <w:br w:type="page"/>
      </w:r>
      <w:r w:rsidR="00C87C81">
        <w:rPr>
          <w:rFonts w:ascii="Calibri" w:hAnsi="Calibri" w:cs="Arial"/>
          <w:b/>
          <w:bCs/>
          <w:color w:val="0063A4"/>
          <w:szCs w:val="24"/>
        </w:rPr>
        <w:lastRenderedPageBreak/>
        <w:t>When is it appropriate to use MCA?</w:t>
      </w:r>
    </w:p>
    <w:p w:rsidR="00C87C81" w:rsidRDefault="00C87C81" w:rsidP="00C87C81">
      <w:pPr>
        <w:spacing w:after="120"/>
        <w:jc w:val="both"/>
        <w:rPr>
          <w:rFonts w:ascii="Calibri" w:hAnsi="Calibri" w:cs="Arial"/>
          <w:sz w:val="22"/>
          <w:szCs w:val="22"/>
        </w:rPr>
      </w:pPr>
      <w:r>
        <w:rPr>
          <w:rFonts w:ascii="Calibri" w:hAnsi="Calibri" w:cs="Arial"/>
          <w:sz w:val="22"/>
          <w:szCs w:val="22"/>
        </w:rPr>
        <w:t>Cost-benefit analysis (CBA) is the ‘defau</w:t>
      </w:r>
      <w:r w:rsidR="000B66A3">
        <w:rPr>
          <w:rFonts w:ascii="Calibri" w:hAnsi="Calibri" w:cs="Arial"/>
          <w:sz w:val="22"/>
          <w:szCs w:val="22"/>
        </w:rPr>
        <w:t>lt’ decision tool for RISs and L</w:t>
      </w:r>
      <w:r>
        <w:rPr>
          <w:rFonts w:ascii="Calibri" w:hAnsi="Calibri" w:cs="Arial"/>
          <w:sz w:val="22"/>
          <w:szCs w:val="22"/>
        </w:rPr>
        <w:t>IAs.  MCA should only be used where:</w:t>
      </w:r>
    </w:p>
    <w:p w:rsidR="00C87C81" w:rsidRDefault="00C87C81" w:rsidP="00C87C81">
      <w:pPr>
        <w:numPr>
          <w:ilvl w:val="0"/>
          <w:numId w:val="7"/>
        </w:numPr>
        <w:spacing w:after="120"/>
        <w:jc w:val="both"/>
        <w:rPr>
          <w:rFonts w:ascii="Calibri" w:hAnsi="Calibri" w:cs="Arial"/>
          <w:sz w:val="22"/>
          <w:szCs w:val="22"/>
        </w:rPr>
      </w:pPr>
      <w:r>
        <w:rPr>
          <w:rFonts w:ascii="Calibri" w:hAnsi="Calibri" w:cs="Arial"/>
          <w:sz w:val="22"/>
          <w:szCs w:val="22"/>
        </w:rPr>
        <w:t>it is not feasible or practical to quantify the main costs and benefits (having regard to the impact of the proposal, i.e. proportionality of analysis); and/or</w:t>
      </w:r>
    </w:p>
    <w:p w:rsidR="00C87C81" w:rsidRDefault="00C87C81" w:rsidP="00C87C81">
      <w:pPr>
        <w:numPr>
          <w:ilvl w:val="0"/>
          <w:numId w:val="7"/>
        </w:numPr>
        <w:spacing w:after="120"/>
        <w:jc w:val="both"/>
        <w:rPr>
          <w:rFonts w:ascii="Calibri" w:hAnsi="Calibri" w:cs="Arial"/>
          <w:sz w:val="22"/>
          <w:szCs w:val="22"/>
        </w:rPr>
      </w:pPr>
      <w:r>
        <w:rPr>
          <w:rFonts w:ascii="Calibri" w:hAnsi="Calibri" w:cs="Arial"/>
          <w:sz w:val="22"/>
          <w:szCs w:val="22"/>
        </w:rPr>
        <w:t>the main objectives and effects of the policy relate to social, equity or fairness issues, and there are no, or limited, robust techniques and/or information that would enable these effects to be monetised (i.e. expressed in dollar terms).</w:t>
      </w:r>
    </w:p>
    <w:p w:rsidR="00C87C81" w:rsidRDefault="00C87C81" w:rsidP="00C87C81">
      <w:pPr>
        <w:spacing w:after="120"/>
        <w:jc w:val="both"/>
        <w:rPr>
          <w:rFonts w:ascii="Calibri" w:hAnsi="Calibri" w:cs="Arial"/>
          <w:sz w:val="22"/>
          <w:szCs w:val="22"/>
        </w:rPr>
      </w:pPr>
      <w:r>
        <w:rPr>
          <w:rFonts w:ascii="Calibri" w:hAnsi="Calibri" w:cs="Arial"/>
          <w:sz w:val="22"/>
          <w:szCs w:val="22"/>
        </w:rPr>
        <w:t xml:space="preserve">An MCA is also often an appropriate decision tool for RISs that consider regulations </w:t>
      </w:r>
      <w:r w:rsidR="006672C2">
        <w:rPr>
          <w:rFonts w:ascii="Calibri" w:hAnsi="Calibri" w:cs="Arial"/>
          <w:sz w:val="22"/>
          <w:szCs w:val="22"/>
        </w:rPr>
        <w:t>imposing</w:t>
      </w:r>
      <w:r>
        <w:rPr>
          <w:rFonts w:ascii="Calibri" w:hAnsi="Calibri" w:cs="Arial"/>
          <w:sz w:val="22"/>
          <w:szCs w:val="22"/>
        </w:rPr>
        <w:t xml:space="preserve"> fees and/or charges, where the fee </w:t>
      </w:r>
      <w:r w:rsidR="006672C2">
        <w:rPr>
          <w:rFonts w:ascii="Calibri" w:hAnsi="Calibri" w:cs="Arial"/>
          <w:sz w:val="22"/>
          <w:szCs w:val="22"/>
        </w:rPr>
        <w:t>structure</w:t>
      </w:r>
      <w:r>
        <w:rPr>
          <w:rFonts w:ascii="Calibri" w:hAnsi="Calibri" w:cs="Arial"/>
          <w:sz w:val="22"/>
          <w:szCs w:val="22"/>
        </w:rPr>
        <w:t xml:space="preserve"> is in </w:t>
      </w:r>
      <w:r w:rsidR="006672C2">
        <w:rPr>
          <w:rFonts w:ascii="Calibri" w:hAnsi="Calibri" w:cs="Arial"/>
          <w:sz w:val="22"/>
          <w:szCs w:val="22"/>
        </w:rPr>
        <w:t>part</w:t>
      </w:r>
      <w:r>
        <w:rPr>
          <w:rFonts w:ascii="Calibri" w:hAnsi="Calibri" w:cs="Arial"/>
          <w:sz w:val="22"/>
          <w:szCs w:val="22"/>
        </w:rPr>
        <w:t xml:space="preserve"> intended to achieve </w:t>
      </w:r>
      <w:r w:rsidR="006672C2">
        <w:rPr>
          <w:rFonts w:ascii="Calibri" w:hAnsi="Calibri" w:cs="Arial"/>
          <w:sz w:val="22"/>
          <w:szCs w:val="22"/>
        </w:rPr>
        <w:t>objectives</w:t>
      </w:r>
      <w:r>
        <w:rPr>
          <w:rFonts w:ascii="Calibri" w:hAnsi="Calibri" w:cs="Arial"/>
          <w:sz w:val="22"/>
          <w:szCs w:val="22"/>
        </w:rPr>
        <w:t xml:space="preserve"> other than efficiency (such as equity).  I</w:t>
      </w:r>
      <w:r w:rsidR="006672C2">
        <w:rPr>
          <w:rFonts w:ascii="Calibri" w:hAnsi="Calibri" w:cs="Arial"/>
          <w:sz w:val="22"/>
          <w:szCs w:val="22"/>
        </w:rPr>
        <w:t>n</w:t>
      </w:r>
      <w:r>
        <w:rPr>
          <w:rFonts w:ascii="Calibri" w:hAnsi="Calibri" w:cs="Arial"/>
          <w:sz w:val="22"/>
          <w:szCs w:val="22"/>
        </w:rPr>
        <w:t xml:space="preserve"> this case, the </w:t>
      </w:r>
      <w:r w:rsidR="006672C2">
        <w:rPr>
          <w:rFonts w:ascii="Calibri" w:hAnsi="Calibri" w:cs="Arial"/>
          <w:sz w:val="22"/>
          <w:szCs w:val="22"/>
        </w:rPr>
        <w:t>objective</w:t>
      </w:r>
      <w:r>
        <w:rPr>
          <w:rFonts w:ascii="Calibri" w:hAnsi="Calibri" w:cs="Arial"/>
          <w:sz w:val="22"/>
          <w:szCs w:val="22"/>
        </w:rPr>
        <w:t xml:space="preserve"> may be to fund the costs of efficiently administering the particular regulations through cost-reflective and equitable fees.  An MCA allows the arguments for the </w:t>
      </w:r>
      <w:r w:rsidR="006672C2">
        <w:rPr>
          <w:rFonts w:ascii="Calibri" w:hAnsi="Calibri" w:cs="Arial"/>
          <w:sz w:val="22"/>
          <w:szCs w:val="22"/>
        </w:rPr>
        <w:t>proposed</w:t>
      </w:r>
      <w:r>
        <w:rPr>
          <w:rFonts w:ascii="Calibri" w:hAnsi="Calibri" w:cs="Arial"/>
          <w:sz w:val="22"/>
          <w:szCs w:val="22"/>
        </w:rPr>
        <w:t xml:space="preserve"> fee level (in particular, any divergence from </w:t>
      </w:r>
      <w:r w:rsidR="006672C2">
        <w:rPr>
          <w:rFonts w:ascii="Calibri" w:hAnsi="Calibri" w:cs="Arial"/>
          <w:sz w:val="22"/>
          <w:szCs w:val="22"/>
        </w:rPr>
        <w:t>full</w:t>
      </w:r>
      <w:r>
        <w:rPr>
          <w:rFonts w:ascii="Calibri" w:hAnsi="Calibri" w:cs="Arial"/>
          <w:sz w:val="22"/>
          <w:szCs w:val="22"/>
        </w:rPr>
        <w:t xml:space="preserve"> cost recovery) to be presented </w:t>
      </w:r>
      <w:r w:rsidR="006672C2">
        <w:rPr>
          <w:rFonts w:ascii="Calibri" w:hAnsi="Calibri" w:cs="Arial"/>
          <w:sz w:val="22"/>
          <w:szCs w:val="22"/>
        </w:rPr>
        <w:t>transparently</w:t>
      </w:r>
      <w:r>
        <w:rPr>
          <w:rFonts w:ascii="Calibri" w:hAnsi="Calibri" w:cs="Arial"/>
          <w:sz w:val="22"/>
          <w:szCs w:val="22"/>
        </w:rPr>
        <w:t>.</w:t>
      </w:r>
    </w:p>
    <w:p w:rsidR="006672C2" w:rsidRDefault="006672C2" w:rsidP="00C87C81">
      <w:pPr>
        <w:spacing w:after="120"/>
        <w:jc w:val="both"/>
        <w:rPr>
          <w:rFonts w:ascii="Calibri" w:hAnsi="Calibri" w:cs="Arial"/>
          <w:sz w:val="22"/>
          <w:szCs w:val="22"/>
        </w:rPr>
      </w:pPr>
    </w:p>
    <w:p w:rsidR="00467FF8" w:rsidRDefault="00467FF8" w:rsidP="00467FF8">
      <w:pPr>
        <w:spacing w:after="120"/>
        <w:jc w:val="both"/>
        <w:rPr>
          <w:rFonts w:ascii="Calibri" w:hAnsi="Calibri" w:cs="Arial"/>
          <w:b/>
          <w:bCs/>
          <w:color w:val="0063A4"/>
          <w:szCs w:val="24"/>
        </w:rPr>
      </w:pPr>
      <w:r>
        <w:rPr>
          <w:rFonts w:ascii="Calibri" w:hAnsi="Calibri" w:cs="Arial"/>
          <w:b/>
          <w:bCs/>
          <w:color w:val="0063A4"/>
          <w:szCs w:val="24"/>
        </w:rPr>
        <w:t>What standard of analysis is required of an MCA?</w:t>
      </w:r>
    </w:p>
    <w:p w:rsidR="00467FF8" w:rsidRPr="00467FF8" w:rsidRDefault="00467FF8" w:rsidP="00467FF8">
      <w:pPr>
        <w:spacing w:after="120"/>
        <w:jc w:val="both"/>
        <w:rPr>
          <w:rFonts w:ascii="Calibri" w:hAnsi="Calibri" w:cs="Arial"/>
          <w:b/>
          <w:bCs/>
          <w:color w:val="0063A4"/>
          <w:szCs w:val="24"/>
        </w:rPr>
      </w:pPr>
      <w:r>
        <w:rPr>
          <w:rFonts w:ascii="Calibri" w:hAnsi="Calibri" w:cs="Arial"/>
          <w:b/>
          <w:bCs/>
          <w:i/>
          <w:color w:val="0063A4"/>
          <w:szCs w:val="24"/>
        </w:rPr>
        <w:t>Defining appropriate criteria</w:t>
      </w:r>
    </w:p>
    <w:p w:rsidR="006672C2" w:rsidRDefault="00467FF8" w:rsidP="00C87C81">
      <w:pPr>
        <w:spacing w:after="120"/>
        <w:jc w:val="both"/>
        <w:rPr>
          <w:rFonts w:ascii="Calibri" w:hAnsi="Calibri" w:cs="Arial"/>
          <w:sz w:val="22"/>
          <w:szCs w:val="22"/>
        </w:rPr>
      </w:pPr>
      <w:r>
        <w:rPr>
          <w:rFonts w:ascii="Calibri" w:hAnsi="Calibri" w:cs="Arial"/>
          <w:sz w:val="22"/>
          <w:szCs w:val="22"/>
        </w:rPr>
        <w:t>The criteria for the MCA must link closely to the identified problem/s and objectives.</w:t>
      </w:r>
    </w:p>
    <w:p w:rsidR="00467FF8" w:rsidRDefault="00467FF8" w:rsidP="00C87C81">
      <w:pPr>
        <w:spacing w:after="120"/>
        <w:jc w:val="both"/>
        <w:rPr>
          <w:rFonts w:ascii="Calibri" w:hAnsi="Calibri" w:cs="Arial"/>
          <w:sz w:val="22"/>
          <w:szCs w:val="22"/>
        </w:rPr>
      </w:pPr>
      <w:r>
        <w:rPr>
          <w:rFonts w:ascii="Calibri" w:hAnsi="Calibri" w:cs="Arial"/>
          <w:sz w:val="22"/>
          <w:szCs w:val="22"/>
        </w:rPr>
        <w:t>Cost criter</w:t>
      </w:r>
      <w:r w:rsidR="00927149">
        <w:rPr>
          <w:rFonts w:ascii="Calibri" w:hAnsi="Calibri" w:cs="Arial"/>
          <w:sz w:val="22"/>
          <w:szCs w:val="22"/>
        </w:rPr>
        <w:t>i</w:t>
      </w:r>
      <w:r>
        <w:rPr>
          <w:rFonts w:ascii="Calibri" w:hAnsi="Calibri" w:cs="Arial"/>
          <w:sz w:val="22"/>
          <w:szCs w:val="22"/>
        </w:rPr>
        <w:t>a should be defined as ‘cost’ not ‘cost minimisation’.  Therefore, an option that is more costly than the base case will receive a negative score.</w:t>
      </w:r>
    </w:p>
    <w:p w:rsidR="00467FF8" w:rsidRDefault="00467FF8" w:rsidP="00C87C81">
      <w:pPr>
        <w:spacing w:after="120"/>
        <w:jc w:val="both"/>
        <w:rPr>
          <w:rFonts w:ascii="Calibri" w:hAnsi="Calibri" w:cs="Arial"/>
          <w:sz w:val="22"/>
          <w:szCs w:val="22"/>
        </w:rPr>
      </w:pPr>
      <w:r>
        <w:rPr>
          <w:rFonts w:ascii="Calibri" w:hAnsi="Calibri" w:cs="Arial"/>
          <w:sz w:val="22"/>
          <w:szCs w:val="22"/>
        </w:rPr>
        <w:t>Criteria must be specified in a way that avoids overlap between them.</w:t>
      </w:r>
    </w:p>
    <w:p w:rsidR="00467FF8" w:rsidRPr="00467FF8" w:rsidRDefault="00467FF8" w:rsidP="00467FF8">
      <w:pPr>
        <w:spacing w:after="120"/>
        <w:jc w:val="both"/>
        <w:rPr>
          <w:rFonts w:ascii="Calibri" w:hAnsi="Calibri" w:cs="Arial"/>
          <w:b/>
          <w:bCs/>
          <w:color w:val="0063A4"/>
          <w:szCs w:val="24"/>
        </w:rPr>
      </w:pPr>
      <w:r>
        <w:rPr>
          <w:rFonts w:ascii="Calibri" w:hAnsi="Calibri" w:cs="Arial"/>
          <w:b/>
          <w:bCs/>
          <w:i/>
          <w:color w:val="0063A4"/>
          <w:szCs w:val="24"/>
        </w:rPr>
        <w:t>Choosing a scoring scale</w:t>
      </w:r>
    </w:p>
    <w:p w:rsidR="00467FF8" w:rsidRDefault="00467FF8" w:rsidP="00C87C81">
      <w:pPr>
        <w:spacing w:after="120"/>
        <w:jc w:val="both"/>
        <w:rPr>
          <w:rFonts w:ascii="Calibri" w:hAnsi="Calibri" w:cs="Arial"/>
          <w:sz w:val="22"/>
          <w:szCs w:val="22"/>
        </w:rPr>
      </w:pPr>
      <w:r>
        <w:rPr>
          <w:rFonts w:ascii="Calibri" w:hAnsi="Calibri" w:cs="Arial"/>
          <w:sz w:val="22"/>
          <w:szCs w:val="22"/>
        </w:rPr>
        <w:t>A symmetric scoring scale ranging from -10 to +10 is simple to apply and understand, as well as allowing enough scope for differences across options to be distinguished.  It is recommended that this</w:t>
      </w:r>
      <w:r w:rsidR="000B66A3">
        <w:rPr>
          <w:rFonts w:ascii="Calibri" w:hAnsi="Calibri" w:cs="Arial"/>
          <w:sz w:val="22"/>
          <w:szCs w:val="22"/>
        </w:rPr>
        <w:t xml:space="preserve"> range be used in all RISs and L</w:t>
      </w:r>
      <w:r>
        <w:rPr>
          <w:rFonts w:ascii="Calibri" w:hAnsi="Calibri" w:cs="Arial"/>
          <w:sz w:val="22"/>
          <w:szCs w:val="22"/>
        </w:rPr>
        <w:t>IAs that use MCA as a decision tool.</w:t>
      </w:r>
    </w:p>
    <w:p w:rsidR="00467FF8" w:rsidRPr="00467FF8" w:rsidRDefault="00467FF8" w:rsidP="00467FF8">
      <w:pPr>
        <w:spacing w:after="120"/>
        <w:jc w:val="both"/>
        <w:rPr>
          <w:rFonts w:ascii="Calibri" w:hAnsi="Calibri" w:cs="Arial"/>
          <w:b/>
          <w:bCs/>
          <w:color w:val="0063A4"/>
          <w:szCs w:val="24"/>
        </w:rPr>
      </w:pPr>
      <w:r>
        <w:rPr>
          <w:rFonts w:ascii="Calibri" w:hAnsi="Calibri" w:cs="Arial"/>
          <w:b/>
          <w:bCs/>
          <w:i/>
          <w:color w:val="0063A4"/>
          <w:szCs w:val="24"/>
        </w:rPr>
        <w:t>Assigning appropriate weights to cost and benefit criteria</w:t>
      </w:r>
    </w:p>
    <w:p w:rsidR="00C87C81" w:rsidRDefault="00467FF8" w:rsidP="00C87C81">
      <w:pPr>
        <w:spacing w:after="120"/>
        <w:jc w:val="both"/>
        <w:rPr>
          <w:rFonts w:ascii="Calibri" w:hAnsi="Calibri" w:cs="Arial"/>
          <w:sz w:val="22"/>
          <w:szCs w:val="22"/>
        </w:rPr>
      </w:pPr>
      <w:r>
        <w:rPr>
          <w:rFonts w:ascii="Calibri" w:hAnsi="Calibri" w:cs="Arial"/>
          <w:sz w:val="22"/>
          <w:szCs w:val="22"/>
        </w:rPr>
        <w:t>The weights assigned can have a significant effect on outcomes.  For example, a high weighting on benefit-related criteria relative to the cost criteria biases the outcomes for a given set of scores:</w:t>
      </w:r>
    </w:p>
    <w:p w:rsidR="00467FF8" w:rsidRDefault="00467FF8" w:rsidP="00467FF8">
      <w:pPr>
        <w:numPr>
          <w:ilvl w:val="0"/>
          <w:numId w:val="8"/>
        </w:numPr>
        <w:spacing w:after="120"/>
        <w:jc w:val="both"/>
        <w:rPr>
          <w:rFonts w:ascii="Calibri" w:hAnsi="Calibri" w:cs="Arial"/>
          <w:sz w:val="22"/>
          <w:szCs w:val="22"/>
        </w:rPr>
      </w:pPr>
      <w:r>
        <w:rPr>
          <w:rFonts w:ascii="Calibri" w:hAnsi="Calibri" w:cs="Arial"/>
          <w:sz w:val="22"/>
          <w:szCs w:val="22"/>
        </w:rPr>
        <w:t xml:space="preserve">against options that have relatively low costs (the variable about which the evidence tends to be more robust); and </w:t>
      </w:r>
    </w:p>
    <w:p w:rsidR="00467FF8" w:rsidRDefault="00467FF8" w:rsidP="00467FF8">
      <w:pPr>
        <w:numPr>
          <w:ilvl w:val="0"/>
          <w:numId w:val="8"/>
        </w:numPr>
        <w:spacing w:after="120"/>
        <w:jc w:val="both"/>
        <w:rPr>
          <w:rFonts w:ascii="Calibri" w:hAnsi="Calibri" w:cs="Arial"/>
          <w:sz w:val="22"/>
          <w:szCs w:val="22"/>
        </w:rPr>
      </w:pPr>
      <w:r>
        <w:rPr>
          <w:rFonts w:ascii="Calibri" w:hAnsi="Calibri" w:cs="Arial"/>
          <w:sz w:val="22"/>
          <w:szCs w:val="22"/>
        </w:rPr>
        <w:t>towards options that rate highly on the benefits-related criteria (which tend to be measured on a more subjective basis).</w:t>
      </w:r>
    </w:p>
    <w:p w:rsidR="00467FF8" w:rsidRPr="00467FF8" w:rsidRDefault="00467FF8" w:rsidP="00467FF8">
      <w:pPr>
        <w:spacing w:after="120"/>
        <w:jc w:val="both"/>
        <w:rPr>
          <w:rFonts w:ascii="Calibri" w:hAnsi="Calibri" w:cs="Arial"/>
          <w:sz w:val="22"/>
          <w:szCs w:val="22"/>
        </w:rPr>
      </w:pPr>
      <w:r>
        <w:rPr>
          <w:rFonts w:ascii="Calibri" w:hAnsi="Calibri" w:cs="Arial"/>
          <w:sz w:val="22"/>
          <w:szCs w:val="22"/>
        </w:rPr>
        <w:t xml:space="preserve">Thus, </w:t>
      </w:r>
      <w:r>
        <w:rPr>
          <w:rFonts w:ascii="Calibri" w:hAnsi="Calibri" w:cs="Arial"/>
          <w:sz w:val="22"/>
          <w:szCs w:val="22"/>
          <w:u w:val="single"/>
        </w:rPr>
        <w:t>neutral weights</w:t>
      </w:r>
      <w:r>
        <w:rPr>
          <w:rFonts w:ascii="Calibri" w:hAnsi="Calibri" w:cs="Arial"/>
          <w:sz w:val="22"/>
          <w:szCs w:val="22"/>
        </w:rPr>
        <w:t xml:space="preserve"> of 50 per cent in total for the cost-related criteria and 50 per cent in total for the benefit-related criteria should be applied.</w:t>
      </w:r>
    </w:p>
    <w:p w:rsidR="00C9344D" w:rsidRPr="00467FF8" w:rsidRDefault="00467FF8" w:rsidP="00C9344D">
      <w:pPr>
        <w:spacing w:after="120"/>
        <w:jc w:val="both"/>
        <w:rPr>
          <w:rFonts w:ascii="Calibri" w:hAnsi="Calibri" w:cs="Arial"/>
          <w:b/>
          <w:bCs/>
          <w:color w:val="0063A4"/>
          <w:szCs w:val="24"/>
        </w:rPr>
      </w:pPr>
      <w:r>
        <w:rPr>
          <w:rFonts w:ascii="Calibri" w:hAnsi="Calibri" w:cs="Arial"/>
          <w:sz w:val="22"/>
          <w:szCs w:val="22"/>
        </w:rPr>
        <w:br w:type="page"/>
      </w:r>
      <w:r w:rsidR="00C9344D">
        <w:rPr>
          <w:rFonts w:ascii="Calibri" w:hAnsi="Calibri" w:cs="Arial"/>
          <w:b/>
          <w:bCs/>
          <w:i/>
          <w:color w:val="0063A4"/>
          <w:szCs w:val="24"/>
        </w:rPr>
        <w:lastRenderedPageBreak/>
        <w:t>Assigning scores</w:t>
      </w:r>
    </w:p>
    <w:p w:rsidR="00C87C81" w:rsidRDefault="00C9344D" w:rsidP="00C87C81">
      <w:pPr>
        <w:spacing w:after="120"/>
        <w:jc w:val="both"/>
        <w:rPr>
          <w:rFonts w:ascii="Calibri" w:hAnsi="Calibri" w:cs="Arial"/>
          <w:sz w:val="22"/>
          <w:szCs w:val="22"/>
        </w:rPr>
      </w:pPr>
      <w:r>
        <w:rPr>
          <w:rFonts w:ascii="Calibri" w:hAnsi="Calibri" w:cs="Arial"/>
          <w:sz w:val="22"/>
          <w:szCs w:val="22"/>
        </w:rPr>
        <w:t>The scores assigned for each option against each criterion must be justified and be evidence-based, to the extent possible.</w:t>
      </w:r>
    </w:p>
    <w:p w:rsidR="00C9344D" w:rsidRDefault="00C9344D" w:rsidP="00C87C81">
      <w:pPr>
        <w:spacing w:after="120"/>
        <w:jc w:val="both"/>
        <w:rPr>
          <w:rFonts w:ascii="Calibri" w:hAnsi="Calibri" w:cs="Arial"/>
          <w:sz w:val="22"/>
          <w:szCs w:val="22"/>
        </w:rPr>
      </w:pPr>
      <w:r>
        <w:rPr>
          <w:rFonts w:ascii="Calibri" w:hAnsi="Calibri" w:cs="Arial"/>
          <w:sz w:val="22"/>
          <w:szCs w:val="22"/>
        </w:rPr>
        <w:t xml:space="preserve">The scoring in the MCA needs to reflect all the relevant evidence presented in other parts of the RIS or </w:t>
      </w:r>
      <w:r w:rsidR="000B66A3">
        <w:rPr>
          <w:rFonts w:ascii="Calibri" w:hAnsi="Calibri" w:cs="Arial"/>
          <w:sz w:val="22"/>
          <w:szCs w:val="22"/>
        </w:rPr>
        <w:t>L</w:t>
      </w:r>
      <w:r>
        <w:rPr>
          <w:rFonts w:ascii="Calibri" w:hAnsi="Calibri" w:cs="Arial"/>
          <w:sz w:val="22"/>
          <w:szCs w:val="22"/>
        </w:rPr>
        <w:t>IA.  The extent and nature of the evidence required to support the analysis will depend on the magnitude of the impact of the proposal.</w:t>
      </w:r>
    </w:p>
    <w:p w:rsidR="00C87C81" w:rsidRDefault="0027050F" w:rsidP="00C87C81">
      <w:pPr>
        <w:spacing w:after="120"/>
        <w:jc w:val="both"/>
        <w:rPr>
          <w:rFonts w:ascii="Calibri" w:hAnsi="Calibri" w:cs="Arial"/>
          <w:sz w:val="22"/>
          <w:szCs w:val="22"/>
        </w:rPr>
      </w:pPr>
      <w:r>
        <w:rPr>
          <w:rFonts w:ascii="Calibri" w:hAnsi="Calibri" w:cs="Arial"/>
          <w:sz w:val="22"/>
          <w:szCs w:val="22"/>
        </w:rPr>
        <w:t>The relative scores assigned to each option for each criterion must be consistent with the relative effects in relation to that criterion.  For example, if one option would lead to costs being $10 million higher than in the base case, while another option would lead to cost</w:t>
      </w:r>
      <w:r w:rsidR="000B66A3">
        <w:rPr>
          <w:rFonts w:ascii="Calibri" w:hAnsi="Calibri" w:cs="Arial"/>
          <w:sz w:val="22"/>
          <w:szCs w:val="22"/>
        </w:rPr>
        <w:t>s</w:t>
      </w:r>
      <w:r>
        <w:rPr>
          <w:rFonts w:ascii="Calibri" w:hAnsi="Calibri" w:cs="Arial"/>
          <w:sz w:val="22"/>
          <w:szCs w:val="22"/>
        </w:rPr>
        <w:t xml:space="preserve"> being $1 million higher, it might be appropriate to assign scores of -10 to the first and -1 to the second option, but assigning scores or -10 and -9 respectively would not be appropriate.</w:t>
      </w:r>
    </w:p>
    <w:p w:rsidR="0027050F" w:rsidRDefault="0027050F" w:rsidP="00C87C81">
      <w:pPr>
        <w:spacing w:after="120"/>
        <w:jc w:val="both"/>
        <w:rPr>
          <w:rFonts w:ascii="Calibri" w:hAnsi="Calibri" w:cs="Arial"/>
          <w:sz w:val="22"/>
          <w:szCs w:val="22"/>
        </w:rPr>
      </w:pPr>
    </w:p>
    <w:p w:rsidR="0027050F" w:rsidRPr="00BC2525" w:rsidRDefault="0027050F" w:rsidP="0027050F">
      <w:pPr>
        <w:spacing w:after="120"/>
        <w:jc w:val="both"/>
        <w:rPr>
          <w:rFonts w:ascii="Calibri" w:hAnsi="Calibri" w:cs="Arial"/>
          <w:b/>
          <w:bCs/>
          <w:color w:val="0063A4"/>
          <w:szCs w:val="24"/>
        </w:rPr>
      </w:pPr>
      <w:r>
        <w:rPr>
          <w:rFonts w:ascii="Calibri" w:hAnsi="Calibri" w:cs="Arial"/>
          <w:b/>
          <w:bCs/>
          <w:color w:val="0063A4"/>
          <w:szCs w:val="24"/>
        </w:rPr>
        <w:t>What supporting discussion need</w:t>
      </w:r>
      <w:r w:rsidR="000B66A3">
        <w:rPr>
          <w:rFonts w:ascii="Calibri" w:hAnsi="Calibri" w:cs="Arial"/>
          <w:b/>
          <w:bCs/>
          <w:color w:val="0063A4"/>
          <w:szCs w:val="24"/>
        </w:rPr>
        <w:t>s to be included in the RIS or L</w:t>
      </w:r>
      <w:r>
        <w:rPr>
          <w:rFonts w:ascii="Calibri" w:hAnsi="Calibri" w:cs="Arial"/>
          <w:b/>
          <w:bCs/>
          <w:color w:val="0063A4"/>
          <w:szCs w:val="24"/>
        </w:rPr>
        <w:t>IA?</w:t>
      </w:r>
    </w:p>
    <w:p w:rsidR="0027050F" w:rsidRDefault="00260177" w:rsidP="00C87C81">
      <w:pPr>
        <w:spacing w:after="120"/>
        <w:jc w:val="both"/>
        <w:rPr>
          <w:rFonts w:ascii="Calibri" w:hAnsi="Calibri" w:cs="Arial"/>
          <w:sz w:val="22"/>
          <w:szCs w:val="22"/>
        </w:rPr>
      </w:pPr>
      <w:r>
        <w:rPr>
          <w:rFonts w:ascii="Calibri" w:hAnsi="Calibri" w:cs="Arial"/>
          <w:sz w:val="22"/>
          <w:szCs w:val="22"/>
        </w:rPr>
        <w:t>To enable the MCA to be transparent and provide sufficient information to inform stakeholders and decision makers, the following information needs to be provided.</w:t>
      </w:r>
    </w:p>
    <w:p w:rsidR="00260177" w:rsidRDefault="00260177" w:rsidP="00260177">
      <w:pPr>
        <w:numPr>
          <w:ilvl w:val="0"/>
          <w:numId w:val="9"/>
        </w:numPr>
        <w:spacing w:after="120"/>
        <w:jc w:val="both"/>
        <w:rPr>
          <w:rFonts w:ascii="Calibri" w:hAnsi="Calibri" w:cs="Arial"/>
          <w:sz w:val="22"/>
          <w:szCs w:val="22"/>
        </w:rPr>
      </w:pPr>
      <w:r>
        <w:rPr>
          <w:rFonts w:ascii="Calibri" w:hAnsi="Calibri" w:cs="Arial"/>
          <w:sz w:val="22"/>
          <w:szCs w:val="22"/>
        </w:rPr>
        <w:t>The reasons for including the selected criteria (and how they are defined) must be outlined clearly.</w:t>
      </w:r>
    </w:p>
    <w:p w:rsidR="00260177" w:rsidRDefault="00260177" w:rsidP="00260177">
      <w:pPr>
        <w:numPr>
          <w:ilvl w:val="0"/>
          <w:numId w:val="9"/>
        </w:numPr>
        <w:spacing w:after="120"/>
        <w:jc w:val="both"/>
        <w:rPr>
          <w:rFonts w:ascii="Calibri" w:hAnsi="Calibri" w:cs="Arial"/>
          <w:sz w:val="22"/>
          <w:szCs w:val="22"/>
        </w:rPr>
      </w:pPr>
      <w:r>
        <w:rPr>
          <w:rFonts w:ascii="Calibri" w:hAnsi="Calibri" w:cs="Arial"/>
          <w:sz w:val="22"/>
          <w:szCs w:val="22"/>
        </w:rPr>
        <w:t>The rationale for the weights assigned to each criterion must be clearly explained/justified.</w:t>
      </w:r>
    </w:p>
    <w:p w:rsidR="00260177" w:rsidRDefault="00260177" w:rsidP="00260177">
      <w:pPr>
        <w:numPr>
          <w:ilvl w:val="0"/>
          <w:numId w:val="9"/>
        </w:numPr>
        <w:spacing w:after="120"/>
        <w:jc w:val="both"/>
        <w:rPr>
          <w:rFonts w:ascii="Calibri" w:hAnsi="Calibri" w:cs="Arial"/>
          <w:sz w:val="22"/>
          <w:szCs w:val="22"/>
        </w:rPr>
      </w:pPr>
      <w:r>
        <w:rPr>
          <w:rFonts w:ascii="Calibri" w:hAnsi="Calibri" w:cs="Arial"/>
          <w:sz w:val="22"/>
          <w:szCs w:val="22"/>
        </w:rPr>
        <w:t>The reasons for the scores assigned for each option against each criterion must be explained clearly, drawing on the ev</w:t>
      </w:r>
      <w:r w:rsidR="000B66A3">
        <w:rPr>
          <w:rFonts w:ascii="Calibri" w:hAnsi="Calibri" w:cs="Arial"/>
          <w:sz w:val="22"/>
          <w:szCs w:val="22"/>
        </w:rPr>
        <w:t>idence presented in the RIS or L</w:t>
      </w:r>
      <w:r>
        <w:rPr>
          <w:rFonts w:ascii="Calibri" w:hAnsi="Calibri" w:cs="Arial"/>
          <w:sz w:val="22"/>
          <w:szCs w:val="22"/>
        </w:rPr>
        <w:t xml:space="preserve">IA.  As with all decision tools, where there is uncertainty about the costs and benefits of options, this uncertainty (and the possible implications for the analysis) must be highlighted transparently in the RIS or </w:t>
      </w:r>
      <w:r w:rsidR="000B66A3">
        <w:rPr>
          <w:rFonts w:ascii="Calibri" w:hAnsi="Calibri" w:cs="Arial"/>
          <w:sz w:val="22"/>
          <w:szCs w:val="22"/>
        </w:rPr>
        <w:t>L</w:t>
      </w:r>
      <w:r>
        <w:rPr>
          <w:rFonts w:ascii="Calibri" w:hAnsi="Calibri" w:cs="Arial"/>
          <w:sz w:val="22"/>
          <w:szCs w:val="22"/>
        </w:rPr>
        <w:t>IA.</w:t>
      </w:r>
    </w:p>
    <w:p w:rsidR="00260177" w:rsidRDefault="00260177" w:rsidP="00260177">
      <w:pPr>
        <w:numPr>
          <w:ilvl w:val="0"/>
          <w:numId w:val="9"/>
        </w:numPr>
        <w:spacing w:after="120"/>
        <w:jc w:val="both"/>
        <w:rPr>
          <w:rFonts w:ascii="Calibri" w:hAnsi="Calibri" w:cs="Arial"/>
          <w:sz w:val="22"/>
          <w:szCs w:val="22"/>
        </w:rPr>
      </w:pPr>
      <w:r>
        <w:rPr>
          <w:rFonts w:ascii="Calibri" w:hAnsi="Calibri" w:cs="Arial"/>
          <w:sz w:val="22"/>
          <w:szCs w:val="22"/>
        </w:rPr>
        <w:t xml:space="preserve">Where the weighted total scores for some options are especially close (and, therefore, the results of the MCA are sensitive to the chosen weightings), this must be explicitly noted in the RIS or </w:t>
      </w:r>
      <w:r w:rsidR="000B66A3">
        <w:rPr>
          <w:rFonts w:ascii="Calibri" w:hAnsi="Calibri" w:cs="Arial"/>
          <w:sz w:val="22"/>
          <w:szCs w:val="22"/>
        </w:rPr>
        <w:t>L</w:t>
      </w:r>
      <w:r>
        <w:rPr>
          <w:rFonts w:ascii="Calibri" w:hAnsi="Calibri" w:cs="Arial"/>
          <w:sz w:val="22"/>
          <w:szCs w:val="22"/>
        </w:rPr>
        <w:t>IA, including in the executive summary.</w:t>
      </w:r>
    </w:p>
    <w:p w:rsidR="00260177" w:rsidRDefault="00260177" w:rsidP="00260177">
      <w:pPr>
        <w:spacing w:after="120"/>
        <w:jc w:val="both"/>
        <w:rPr>
          <w:rFonts w:ascii="Calibri" w:hAnsi="Calibri" w:cs="Arial"/>
          <w:sz w:val="22"/>
          <w:szCs w:val="22"/>
        </w:rPr>
      </w:pPr>
    </w:p>
    <w:p w:rsidR="00260177" w:rsidRPr="00BC2525" w:rsidRDefault="00260177" w:rsidP="00260177">
      <w:pPr>
        <w:spacing w:after="120"/>
        <w:jc w:val="both"/>
        <w:rPr>
          <w:rFonts w:ascii="Calibri" w:hAnsi="Calibri" w:cs="Arial"/>
          <w:b/>
          <w:bCs/>
          <w:color w:val="0063A4"/>
          <w:szCs w:val="24"/>
        </w:rPr>
      </w:pPr>
      <w:r>
        <w:rPr>
          <w:rFonts w:ascii="Calibri" w:hAnsi="Calibri" w:cs="Arial"/>
          <w:b/>
          <w:bCs/>
          <w:color w:val="0063A4"/>
          <w:szCs w:val="24"/>
        </w:rPr>
        <w:t>References and further reading</w:t>
      </w:r>
    </w:p>
    <w:p w:rsidR="00260177" w:rsidRPr="00260177" w:rsidRDefault="00260177" w:rsidP="00260177">
      <w:pPr>
        <w:spacing w:after="120"/>
        <w:jc w:val="both"/>
        <w:rPr>
          <w:rFonts w:ascii="Calibri" w:hAnsi="Calibri" w:cs="Arial"/>
          <w:sz w:val="22"/>
          <w:szCs w:val="22"/>
        </w:rPr>
      </w:pPr>
      <w:r>
        <w:rPr>
          <w:rFonts w:ascii="Calibri" w:hAnsi="Calibri" w:cs="Arial"/>
          <w:sz w:val="22"/>
          <w:szCs w:val="22"/>
        </w:rPr>
        <w:t>Government of Victoria 201</w:t>
      </w:r>
      <w:r w:rsidR="000B66A3">
        <w:rPr>
          <w:rFonts w:ascii="Calibri" w:hAnsi="Calibri" w:cs="Arial"/>
          <w:sz w:val="22"/>
          <w:szCs w:val="22"/>
        </w:rPr>
        <w:t>4</w:t>
      </w:r>
      <w:r>
        <w:rPr>
          <w:rFonts w:ascii="Calibri" w:hAnsi="Calibri" w:cs="Arial"/>
          <w:sz w:val="22"/>
          <w:szCs w:val="22"/>
        </w:rPr>
        <w:t xml:space="preserve">, </w:t>
      </w:r>
      <w:r>
        <w:rPr>
          <w:rFonts w:ascii="Calibri" w:hAnsi="Calibri" w:cs="Arial"/>
          <w:i/>
          <w:sz w:val="22"/>
          <w:szCs w:val="22"/>
        </w:rPr>
        <w:t>Victorian Guide to Regulation</w:t>
      </w:r>
      <w:r>
        <w:rPr>
          <w:rFonts w:ascii="Calibri" w:hAnsi="Calibri" w:cs="Arial"/>
          <w:sz w:val="22"/>
          <w:szCs w:val="22"/>
        </w:rPr>
        <w:t>, Department of Treasury and Finance, Melbourne.</w:t>
      </w:r>
    </w:p>
    <w:sectPr w:rsidR="00260177" w:rsidRPr="0026017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5BD" w:rsidRDefault="001C55BD">
      <w:r>
        <w:separator/>
      </w:r>
    </w:p>
  </w:endnote>
  <w:endnote w:type="continuationSeparator" w:id="0">
    <w:p w:rsidR="001C55BD" w:rsidRDefault="001C5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525" w:rsidRDefault="00BC2525" w:rsidP="00013CFD">
    <w:pPr>
      <w:pStyle w:val="Footer"/>
      <w:jc w:val="center"/>
      <w:rPr>
        <w:rFonts w:ascii="Arial" w:hAnsi="Arial" w:cs="Arial"/>
        <w:b/>
        <w:color w:val="FF0000"/>
        <w:sz w:val="29"/>
      </w:rPr>
    </w:pPr>
    <w:bookmarkStart w:id="1" w:name="aliashProtectiveMarkings1FooterEvenPages"/>
  </w:p>
  <w:bookmarkEnd w:id="1"/>
  <w:p w:rsidR="008D630C" w:rsidRDefault="008D63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207" w:rsidRDefault="00B01207" w:rsidP="00013CFD">
    <w:pPr>
      <w:pStyle w:val="Footer"/>
      <w:jc w:val="center"/>
      <w:rPr>
        <w:rFonts w:ascii="Arial" w:hAnsi="Arial" w:cs="Arial"/>
        <w:b/>
        <w:snapToGrid w:val="0"/>
        <w:color w:val="FF0000"/>
        <w:sz w:val="29"/>
        <w:szCs w:val="22"/>
      </w:rPr>
    </w:pPr>
    <w:bookmarkStart w:id="2" w:name="aliashProtectiveMarkings1FooterPrimary"/>
    <w:bookmarkStart w:id="3" w:name="aliashNonProtectiveMarking1FooterPrimary"/>
  </w:p>
  <w:bookmarkEnd w:id="2"/>
  <w:p w:rsidR="008D630C" w:rsidRDefault="008D630C" w:rsidP="008D630C">
    <w:pPr>
      <w:pStyle w:val="Footer"/>
      <w:rPr>
        <w:rFonts w:ascii="Arial" w:hAnsi="Arial" w:cs="Arial"/>
        <w:b/>
        <w:snapToGrid w:val="0"/>
        <w:color w:val="3F3F3F"/>
        <w:sz w:val="20"/>
        <w:szCs w:val="22"/>
      </w:rPr>
    </w:pPr>
  </w:p>
  <w:bookmarkEnd w:i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525" w:rsidRDefault="00BC2525" w:rsidP="00013CFD">
    <w:pPr>
      <w:pStyle w:val="Footer"/>
      <w:jc w:val="center"/>
      <w:rPr>
        <w:rFonts w:ascii="Arial" w:hAnsi="Arial" w:cs="Arial"/>
        <w:b/>
        <w:color w:val="FF0000"/>
        <w:sz w:val="29"/>
      </w:rPr>
    </w:pPr>
    <w:bookmarkStart w:id="4" w:name="aliashProtectiveMarkings1FooterFirstPage"/>
  </w:p>
  <w:bookmarkEnd w:id="4"/>
  <w:p w:rsidR="008D630C" w:rsidRDefault="008D63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5BD" w:rsidRDefault="001C55BD">
      <w:r>
        <w:separator/>
      </w:r>
    </w:p>
  </w:footnote>
  <w:footnote w:type="continuationSeparator" w:id="0">
    <w:p w:rsidR="001C55BD" w:rsidRDefault="001C5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818" w:rsidRDefault="003318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0DA" w:rsidRDefault="00013CFD">
    <w:pPr>
      <w:pStyle w:val="Header"/>
      <w:rPr>
        <w:noProof/>
        <w:lang w:eastAsia="en-AU"/>
      </w:rPr>
    </w:pPr>
    <w:r>
      <w:rPr>
        <w:rFonts w:ascii="Arial" w:hAnsi="Arial" w:cs="Arial"/>
        <w:noProof/>
        <w:sz w:val="20"/>
        <w:lang w:eastAsia="en-AU"/>
      </w:rPr>
      <mc:AlternateContent>
        <mc:Choice Requires="wps">
          <w:drawing>
            <wp:anchor distT="0" distB="0" distL="114300" distR="114300" simplePos="0" relativeHeight="251657728" behindDoc="0" locked="0" layoutInCell="1" allowOverlap="1">
              <wp:simplePos x="0" y="0"/>
              <wp:positionH relativeFrom="column">
                <wp:posOffset>2794635</wp:posOffset>
              </wp:positionH>
              <wp:positionV relativeFrom="paragraph">
                <wp:posOffset>2540</wp:posOffset>
              </wp:positionV>
              <wp:extent cx="2514600" cy="7416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741680"/>
                      </a:xfrm>
                      <a:prstGeom prst="rect">
                        <a:avLst/>
                      </a:prstGeom>
                      <a:solidFill>
                        <a:srgbClr val="FFFFFF"/>
                      </a:solidFill>
                      <a:ln w="12700">
                        <a:solidFill>
                          <a:srgbClr val="872C8E"/>
                        </a:solidFill>
                        <a:miter lim="800000"/>
                        <a:headEnd/>
                        <a:tailEnd/>
                      </a:ln>
                    </wps:spPr>
                    <wps:txbx>
                      <w:txbxContent>
                        <w:p w:rsidR="00A400DA" w:rsidRPr="00BC2525" w:rsidRDefault="00A400DA" w:rsidP="00BC2525">
                          <w:pPr>
                            <w:spacing w:before="200"/>
                            <w:jc w:val="center"/>
                            <w:rPr>
                              <w:rFonts w:ascii="Calibri" w:hAnsi="Calibri" w:cs="Arial"/>
                              <w:b/>
                              <w:bCs/>
                              <w:color w:val="872C8E"/>
                              <w:sz w:val="44"/>
                              <w:szCs w:val="44"/>
                            </w:rPr>
                          </w:pPr>
                          <w:r w:rsidRPr="00BC2525">
                            <w:rPr>
                              <w:rFonts w:ascii="Calibri" w:hAnsi="Calibri" w:cs="Arial"/>
                              <w:b/>
                              <w:bCs/>
                              <w:color w:val="872C8E"/>
                              <w:sz w:val="44"/>
                              <w:szCs w:val="44"/>
                            </w:rPr>
                            <w:t>GUIDANCE NOTE</w:t>
                          </w:r>
                          <w:r w:rsidR="008A55FA" w:rsidRPr="00BC2525">
                            <w:rPr>
                              <w:rFonts w:ascii="Calibri" w:hAnsi="Calibri" w:cs="Arial"/>
                              <w:b/>
                              <w:bCs/>
                              <w:color w:val="872C8E"/>
                              <w:sz w:val="44"/>
                              <w:szCs w:val="4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0.05pt;margin-top:.2pt;width:198pt;height:5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" strokecolor="#872c8e" strokeweight="1pt">
              <v:textbox>
                <w:txbxContent>
                  <w:p w:rsidR="00A400DA" w:rsidRPr="00BC2525" w:rsidRDefault="00A400DA" w:rsidP="00BC2525">
                    <w:pPr>
                      <w:spacing w:before="200"/>
                      <w:jc w:val="center"/>
                      <w:rPr>
                        <w:rFonts w:ascii="Calibri" w:hAnsi="Calibri" w:cs="Arial"/>
                        <w:b/>
                        <w:bCs/>
                        <w:color w:val="872C8E"/>
                        <w:sz w:val="44"/>
                        <w:szCs w:val="44"/>
                      </w:rPr>
                    </w:pPr>
                    <w:r w:rsidRPr="00BC2525">
                      <w:rPr>
                        <w:rFonts w:ascii="Calibri" w:hAnsi="Calibri" w:cs="Arial"/>
                        <w:b/>
                        <w:bCs/>
                        <w:color w:val="872C8E"/>
                        <w:sz w:val="44"/>
                        <w:szCs w:val="44"/>
                      </w:rPr>
                      <w:t>GUIDANCE NOTE</w:t>
                    </w:r>
                    <w:r w:rsidR="008A55FA" w:rsidRPr="00BC2525">
                      <w:rPr>
                        <w:rFonts w:ascii="Calibri" w:hAnsi="Calibri" w:cs="Arial"/>
                        <w:b/>
                        <w:bCs/>
                        <w:color w:val="872C8E"/>
                        <w:sz w:val="44"/>
                        <w:szCs w:val="44"/>
                      </w:rPr>
                      <w:t xml:space="preserve"> </w:t>
                    </w:r>
                  </w:p>
                </w:txbxContent>
              </v:textbox>
            </v:shape>
          </w:pict>
        </mc:Fallback>
      </mc:AlternateContent>
    </w:r>
    <w:r>
      <w:rPr>
        <w:noProof/>
        <w:lang w:eastAsia="en-AU"/>
      </w:rPr>
      <w:drawing>
        <wp:inline distT="0" distB="0" distL="0" distR="0">
          <wp:extent cx="112395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942975"/>
                  </a:xfrm>
                  <a:prstGeom prst="rect">
                    <a:avLst/>
                  </a:prstGeom>
                  <a:noFill/>
                  <a:ln>
                    <a:noFill/>
                  </a:ln>
                </pic:spPr>
              </pic:pic>
            </a:graphicData>
          </a:graphic>
        </wp:inline>
      </w:drawing>
    </w:r>
  </w:p>
  <w:p w:rsidR="00BC2525" w:rsidRDefault="00BC25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818" w:rsidRDefault="003318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3E14"/>
    <w:multiLevelType w:val="hybridMultilevel"/>
    <w:tmpl w:val="769812A6"/>
    <w:lvl w:ilvl="0" w:tplc="0C090001">
      <w:start w:val="1"/>
      <w:numFmt w:val="bullet"/>
      <w:lvlText w:val=""/>
      <w:lvlJc w:val="left"/>
      <w:pPr>
        <w:tabs>
          <w:tab w:val="num" w:pos="1075"/>
        </w:tabs>
        <w:ind w:left="1075" w:hanging="360"/>
      </w:pPr>
      <w:rPr>
        <w:rFonts w:ascii="Symbol" w:hAnsi="Symbol" w:hint="default"/>
      </w:rPr>
    </w:lvl>
    <w:lvl w:ilvl="1" w:tplc="0C090003" w:tentative="1">
      <w:start w:val="1"/>
      <w:numFmt w:val="bullet"/>
      <w:lvlText w:val="o"/>
      <w:lvlJc w:val="left"/>
      <w:pPr>
        <w:tabs>
          <w:tab w:val="num" w:pos="1795"/>
        </w:tabs>
        <w:ind w:left="1795" w:hanging="360"/>
      </w:pPr>
      <w:rPr>
        <w:rFonts w:ascii="Courier New" w:hAnsi="Courier New" w:cs="Courier New" w:hint="default"/>
      </w:rPr>
    </w:lvl>
    <w:lvl w:ilvl="2" w:tplc="0C090005" w:tentative="1">
      <w:start w:val="1"/>
      <w:numFmt w:val="bullet"/>
      <w:lvlText w:val=""/>
      <w:lvlJc w:val="left"/>
      <w:pPr>
        <w:tabs>
          <w:tab w:val="num" w:pos="2515"/>
        </w:tabs>
        <w:ind w:left="2515" w:hanging="360"/>
      </w:pPr>
      <w:rPr>
        <w:rFonts w:ascii="Wingdings" w:hAnsi="Wingdings" w:hint="default"/>
      </w:rPr>
    </w:lvl>
    <w:lvl w:ilvl="3" w:tplc="0C090001" w:tentative="1">
      <w:start w:val="1"/>
      <w:numFmt w:val="bullet"/>
      <w:lvlText w:val=""/>
      <w:lvlJc w:val="left"/>
      <w:pPr>
        <w:tabs>
          <w:tab w:val="num" w:pos="3235"/>
        </w:tabs>
        <w:ind w:left="3235" w:hanging="360"/>
      </w:pPr>
      <w:rPr>
        <w:rFonts w:ascii="Symbol" w:hAnsi="Symbol" w:hint="default"/>
      </w:rPr>
    </w:lvl>
    <w:lvl w:ilvl="4" w:tplc="0C090003" w:tentative="1">
      <w:start w:val="1"/>
      <w:numFmt w:val="bullet"/>
      <w:lvlText w:val="o"/>
      <w:lvlJc w:val="left"/>
      <w:pPr>
        <w:tabs>
          <w:tab w:val="num" w:pos="3955"/>
        </w:tabs>
        <w:ind w:left="3955" w:hanging="360"/>
      </w:pPr>
      <w:rPr>
        <w:rFonts w:ascii="Courier New" w:hAnsi="Courier New" w:cs="Courier New" w:hint="default"/>
      </w:rPr>
    </w:lvl>
    <w:lvl w:ilvl="5" w:tplc="0C090005" w:tentative="1">
      <w:start w:val="1"/>
      <w:numFmt w:val="bullet"/>
      <w:lvlText w:val=""/>
      <w:lvlJc w:val="left"/>
      <w:pPr>
        <w:tabs>
          <w:tab w:val="num" w:pos="4675"/>
        </w:tabs>
        <w:ind w:left="4675" w:hanging="360"/>
      </w:pPr>
      <w:rPr>
        <w:rFonts w:ascii="Wingdings" w:hAnsi="Wingdings" w:hint="default"/>
      </w:rPr>
    </w:lvl>
    <w:lvl w:ilvl="6" w:tplc="0C090001" w:tentative="1">
      <w:start w:val="1"/>
      <w:numFmt w:val="bullet"/>
      <w:lvlText w:val=""/>
      <w:lvlJc w:val="left"/>
      <w:pPr>
        <w:tabs>
          <w:tab w:val="num" w:pos="5395"/>
        </w:tabs>
        <w:ind w:left="5395" w:hanging="360"/>
      </w:pPr>
      <w:rPr>
        <w:rFonts w:ascii="Symbol" w:hAnsi="Symbol" w:hint="default"/>
      </w:rPr>
    </w:lvl>
    <w:lvl w:ilvl="7" w:tplc="0C090003" w:tentative="1">
      <w:start w:val="1"/>
      <w:numFmt w:val="bullet"/>
      <w:lvlText w:val="o"/>
      <w:lvlJc w:val="left"/>
      <w:pPr>
        <w:tabs>
          <w:tab w:val="num" w:pos="6115"/>
        </w:tabs>
        <w:ind w:left="6115" w:hanging="360"/>
      </w:pPr>
      <w:rPr>
        <w:rFonts w:ascii="Courier New" w:hAnsi="Courier New" w:cs="Courier New" w:hint="default"/>
      </w:rPr>
    </w:lvl>
    <w:lvl w:ilvl="8" w:tplc="0C090005" w:tentative="1">
      <w:start w:val="1"/>
      <w:numFmt w:val="bullet"/>
      <w:lvlText w:val=""/>
      <w:lvlJc w:val="left"/>
      <w:pPr>
        <w:tabs>
          <w:tab w:val="num" w:pos="6835"/>
        </w:tabs>
        <w:ind w:left="6835" w:hanging="360"/>
      </w:pPr>
      <w:rPr>
        <w:rFonts w:ascii="Wingdings" w:hAnsi="Wingdings" w:hint="default"/>
      </w:rPr>
    </w:lvl>
  </w:abstractNum>
  <w:abstractNum w:abstractNumId="1">
    <w:nsid w:val="094126D0"/>
    <w:multiLevelType w:val="hybridMultilevel"/>
    <w:tmpl w:val="89E458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C6D5F16"/>
    <w:multiLevelType w:val="multilevel"/>
    <w:tmpl w:val="2F52E83C"/>
    <w:lvl w:ilvl="0">
      <w:start w:val="1"/>
      <w:numFmt w:val="decimal"/>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nsid w:val="3DC32E21"/>
    <w:multiLevelType w:val="hybridMultilevel"/>
    <w:tmpl w:val="B3541A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44472112"/>
    <w:multiLevelType w:val="hybridMultilevel"/>
    <w:tmpl w:val="AB6269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C80092E"/>
    <w:multiLevelType w:val="hybridMultilevel"/>
    <w:tmpl w:val="9730A2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62465C6"/>
    <w:multiLevelType w:val="hybridMultilevel"/>
    <w:tmpl w:val="2DE052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9E02893"/>
    <w:multiLevelType w:val="hybridMultilevel"/>
    <w:tmpl w:val="779887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7254877"/>
    <w:multiLevelType w:val="hybridMultilevel"/>
    <w:tmpl w:val="99968D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4"/>
  </w:num>
  <w:num w:numId="4">
    <w:abstractNumId w:val="0"/>
  </w:num>
  <w:num w:numId="5">
    <w:abstractNumId w:val="8"/>
  </w:num>
  <w:num w:numId="6">
    <w:abstractNumId w:val="1"/>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3AC"/>
    <w:rsid w:val="00000578"/>
    <w:rsid w:val="00013CFD"/>
    <w:rsid w:val="00027686"/>
    <w:rsid w:val="000440BD"/>
    <w:rsid w:val="00044F02"/>
    <w:rsid w:val="00063318"/>
    <w:rsid w:val="000668D5"/>
    <w:rsid w:val="00095B88"/>
    <w:rsid w:val="00095DD8"/>
    <w:rsid w:val="000A4124"/>
    <w:rsid w:val="000B5B19"/>
    <w:rsid w:val="000B66A3"/>
    <w:rsid w:val="0013502C"/>
    <w:rsid w:val="00197F79"/>
    <w:rsid w:val="001B37D4"/>
    <w:rsid w:val="001C55BD"/>
    <w:rsid w:val="001D2F7B"/>
    <w:rsid w:val="001F4CE6"/>
    <w:rsid w:val="002023D8"/>
    <w:rsid w:val="00224EC3"/>
    <w:rsid w:val="00244C81"/>
    <w:rsid w:val="00260177"/>
    <w:rsid w:val="00263362"/>
    <w:rsid w:val="0027050F"/>
    <w:rsid w:val="0028782E"/>
    <w:rsid w:val="002B267D"/>
    <w:rsid w:val="002B6F4A"/>
    <w:rsid w:val="002D03AC"/>
    <w:rsid w:val="002E049E"/>
    <w:rsid w:val="00303B5A"/>
    <w:rsid w:val="00331818"/>
    <w:rsid w:val="00343A18"/>
    <w:rsid w:val="00352541"/>
    <w:rsid w:val="00356B16"/>
    <w:rsid w:val="00360A49"/>
    <w:rsid w:val="003618DA"/>
    <w:rsid w:val="003760B2"/>
    <w:rsid w:val="00380C02"/>
    <w:rsid w:val="00397AC4"/>
    <w:rsid w:val="003B1015"/>
    <w:rsid w:val="003C31AE"/>
    <w:rsid w:val="003D22D1"/>
    <w:rsid w:val="003E4494"/>
    <w:rsid w:val="003F0571"/>
    <w:rsid w:val="003F697D"/>
    <w:rsid w:val="00454C52"/>
    <w:rsid w:val="00467FF8"/>
    <w:rsid w:val="004759FD"/>
    <w:rsid w:val="004A18A8"/>
    <w:rsid w:val="004B246B"/>
    <w:rsid w:val="004B6B27"/>
    <w:rsid w:val="004D1929"/>
    <w:rsid w:val="0050659E"/>
    <w:rsid w:val="00547022"/>
    <w:rsid w:val="005743FF"/>
    <w:rsid w:val="005B0051"/>
    <w:rsid w:val="005C65B4"/>
    <w:rsid w:val="005E0F22"/>
    <w:rsid w:val="005E28BB"/>
    <w:rsid w:val="00611526"/>
    <w:rsid w:val="00620FA9"/>
    <w:rsid w:val="00640859"/>
    <w:rsid w:val="00640F35"/>
    <w:rsid w:val="006607D0"/>
    <w:rsid w:val="00663572"/>
    <w:rsid w:val="006672C2"/>
    <w:rsid w:val="00671DA1"/>
    <w:rsid w:val="0068202D"/>
    <w:rsid w:val="006836A1"/>
    <w:rsid w:val="00685800"/>
    <w:rsid w:val="00686D39"/>
    <w:rsid w:val="006A44B6"/>
    <w:rsid w:val="006A7A77"/>
    <w:rsid w:val="006F494D"/>
    <w:rsid w:val="0071491D"/>
    <w:rsid w:val="00724F60"/>
    <w:rsid w:val="00727AC1"/>
    <w:rsid w:val="00745125"/>
    <w:rsid w:val="00792942"/>
    <w:rsid w:val="007951EE"/>
    <w:rsid w:val="007B1809"/>
    <w:rsid w:val="007C087B"/>
    <w:rsid w:val="00826119"/>
    <w:rsid w:val="008847EE"/>
    <w:rsid w:val="008A55FA"/>
    <w:rsid w:val="008B0AF7"/>
    <w:rsid w:val="008D630C"/>
    <w:rsid w:val="008E38C0"/>
    <w:rsid w:val="008F0BD7"/>
    <w:rsid w:val="008F3468"/>
    <w:rsid w:val="0090707B"/>
    <w:rsid w:val="00907854"/>
    <w:rsid w:val="00910C08"/>
    <w:rsid w:val="00916661"/>
    <w:rsid w:val="00927149"/>
    <w:rsid w:val="00937173"/>
    <w:rsid w:val="00957D81"/>
    <w:rsid w:val="00964624"/>
    <w:rsid w:val="009A2BEA"/>
    <w:rsid w:val="009F3467"/>
    <w:rsid w:val="009F7DD0"/>
    <w:rsid w:val="00A1340C"/>
    <w:rsid w:val="00A23F24"/>
    <w:rsid w:val="00A400DA"/>
    <w:rsid w:val="00A4095F"/>
    <w:rsid w:val="00AA41EE"/>
    <w:rsid w:val="00AA6FA7"/>
    <w:rsid w:val="00AD7AC3"/>
    <w:rsid w:val="00AD7BD8"/>
    <w:rsid w:val="00B01207"/>
    <w:rsid w:val="00B249B3"/>
    <w:rsid w:val="00B32D41"/>
    <w:rsid w:val="00B812A4"/>
    <w:rsid w:val="00BA2368"/>
    <w:rsid w:val="00BC2525"/>
    <w:rsid w:val="00BC4165"/>
    <w:rsid w:val="00BC76D6"/>
    <w:rsid w:val="00BD5AC8"/>
    <w:rsid w:val="00BE1844"/>
    <w:rsid w:val="00C11680"/>
    <w:rsid w:val="00C471B1"/>
    <w:rsid w:val="00C87C81"/>
    <w:rsid w:val="00C9344D"/>
    <w:rsid w:val="00C97A1D"/>
    <w:rsid w:val="00CB4723"/>
    <w:rsid w:val="00CC6000"/>
    <w:rsid w:val="00CD5663"/>
    <w:rsid w:val="00D07F25"/>
    <w:rsid w:val="00D27F29"/>
    <w:rsid w:val="00D449E3"/>
    <w:rsid w:val="00D623A8"/>
    <w:rsid w:val="00D63937"/>
    <w:rsid w:val="00D720BC"/>
    <w:rsid w:val="00D759B7"/>
    <w:rsid w:val="00D93EA0"/>
    <w:rsid w:val="00DA5545"/>
    <w:rsid w:val="00DD271A"/>
    <w:rsid w:val="00DD3906"/>
    <w:rsid w:val="00DD7C4B"/>
    <w:rsid w:val="00E07A6E"/>
    <w:rsid w:val="00E12CCE"/>
    <w:rsid w:val="00E341A3"/>
    <w:rsid w:val="00E6215C"/>
    <w:rsid w:val="00E86DF9"/>
    <w:rsid w:val="00E916F8"/>
    <w:rsid w:val="00EB496B"/>
    <w:rsid w:val="00F10EC9"/>
    <w:rsid w:val="00F2659D"/>
    <w:rsid w:val="00F52719"/>
    <w:rsid w:val="00FB2B04"/>
    <w:rsid w:val="00FB55B4"/>
    <w:rsid w:val="00FB79D3"/>
    <w:rsid w:val="00FC5089"/>
    <w:rsid w:val="00FD7B32"/>
    <w:rsid w:val="00FE2E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44D"/>
    <w:rPr>
      <w:sz w:val="24"/>
      <w:lang w:eastAsia="en-US"/>
    </w:rPr>
  </w:style>
  <w:style w:type="paragraph" w:styleId="Heading3">
    <w:name w:val="heading 3"/>
    <w:basedOn w:val="Normal"/>
    <w:next w:val="Normal"/>
    <w:qFormat/>
    <w:rsid w:val="00C97A1D"/>
    <w:pPr>
      <w:keepNext/>
      <w:spacing w:before="240" w:after="60"/>
      <w:outlineLvl w:val="2"/>
    </w:pPr>
    <w:rPr>
      <w:rFonts w:ascii="Impact" w:hAnsi="Impact"/>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semiHidden/>
    <w:rsid w:val="00063318"/>
    <w:rPr>
      <w:rFonts w:ascii="Tahoma" w:hAnsi="Tahoma" w:cs="Tahoma"/>
      <w:sz w:val="16"/>
      <w:szCs w:val="16"/>
    </w:rPr>
  </w:style>
  <w:style w:type="character" w:styleId="Hyperlink">
    <w:name w:val="Hyperlink"/>
    <w:rsid w:val="00C97A1D"/>
    <w:rPr>
      <w:color w:val="0000FF"/>
      <w:u w:val="single"/>
    </w:rPr>
  </w:style>
  <w:style w:type="table" w:styleId="TableGrid">
    <w:name w:val="Table Grid"/>
    <w:basedOn w:val="TableNormal"/>
    <w:rsid w:val="00C97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F4CE6"/>
    <w:rPr>
      <w:sz w:val="16"/>
      <w:szCs w:val="16"/>
    </w:rPr>
  </w:style>
  <w:style w:type="paragraph" w:styleId="CommentText">
    <w:name w:val="annotation text"/>
    <w:basedOn w:val="Normal"/>
    <w:link w:val="CommentTextChar"/>
    <w:rsid w:val="001F4CE6"/>
    <w:rPr>
      <w:sz w:val="20"/>
    </w:rPr>
  </w:style>
  <w:style w:type="character" w:customStyle="1" w:styleId="CommentTextChar">
    <w:name w:val="Comment Text Char"/>
    <w:link w:val="CommentText"/>
    <w:rsid w:val="001F4CE6"/>
    <w:rPr>
      <w:lang w:eastAsia="en-US"/>
    </w:rPr>
  </w:style>
  <w:style w:type="paragraph" w:styleId="CommentSubject">
    <w:name w:val="annotation subject"/>
    <w:basedOn w:val="CommentText"/>
    <w:next w:val="CommentText"/>
    <w:link w:val="CommentSubjectChar"/>
    <w:rsid w:val="001F4CE6"/>
    <w:rPr>
      <w:b/>
      <w:bCs/>
    </w:rPr>
  </w:style>
  <w:style w:type="character" w:customStyle="1" w:styleId="CommentSubjectChar">
    <w:name w:val="Comment Subject Char"/>
    <w:link w:val="CommentSubject"/>
    <w:rsid w:val="001F4CE6"/>
    <w:rPr>
      <w:b/>
      <w:bCs/>
      <w:lang w:eastAsia="en-US"/>
    </w:rPr>
  </w:style>
  <w:style w:type="character" w:customStyle="1" w:styleId="FooterChar">
    <w:name w:val="Footer Char"/>
    <w:link w:val="Footer"/>
    <w:uiPriority w:val="99"/>
    <w:rsid w:val="00BC2525"/>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44D"/>
    <w:rPr>
      <w:sz w:val="24"/>
      <w:lang w:eastAsia="en-US"/>
    </w:rPr>
  </w:style>
  <w:style w:type="paragraph" w:styleId="Heading3">
    <w:name w:val="heading 3"/>
    <w:basedOn w:val="Normal"/>
    <w:next w:val="Normal"/>
    <w:qFormat/>
    <w:rsid w:val="00C97A1D"/>
    <w:pPr>
      <w:keepNext/>
      <w:spacing w:before="240" w:after="60"/>
      <w:outlineLvl w:val="2"/>
    </w:pPr>
    <w:rPr>
      <w:rFonts w:ascii="Impact" w:hAnsi="Impact"/>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semiHidden/>
    <w:rsid w:val="00063318"/>
    <w:rPr>
      <w:rFonts w:ascii="Tahoma" w:hAnsi="Tahoma" w:cs="Tahoma"/>
      <w:sz w:val="16"/>
      <w:szCs w:val="16"/>
    </w:rPr>
  </w:style>
  <w:style w:type="character" w:styleId="Hyperlink">
    <w:name w:val="Hyperlink"/>
    <w:rsid w:val="00C97A1D"/>
    <w:rPr>
      <w:color w:val="0000FF"/>
      <w:u w:val="single"/>
    </w:rPr>
  </w:style>
  <w:style w:type="table" w:styleId="TableGrid">
    <w:name w:val="Table Grid"/>
    <w:basedOn w:val="TableNormal"/>
    <w:rsid w:val="00C97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F4CE6"/>
    <w:rPr>
      <w:sz w:val="16"/>
      <w:szCs w:val="16"/>
    </w:rPr>
  </w:style>
  <w:style w:type="paragraph" w:styleId="CommentText">
    <w:name w:val="annotation text"/>
    <w:basedOn w:val="Normal"/>
    <w:link w:val="CommentTextChar"/>
    <w:rsid w:val="001F4CE6"/>
    <w:rPr>
      <w:sz w:val="20"/>
    </w:rPr>
  </w:style>
  <w:style w:type="character" w:customStyle="1" w:styleId="CommentTextChar">
    <w:name w:val="Comment Text Char"/>
    <w:link w:val="CommentText"/>
    <w:rsid w:val="001F4CE6"/>
    <w:rPr>
      <w:lang w:eastAsia="en-US"/>
    </w:rPr>
  </w:style>
  <w:style w:type="paragraph" w:styleId="CommentSubject">
    <w:name w:val="annotation subject"/>
    <w:basedOn w:val="CommentText"/>
    <w:next w:val="CommentText"/>
    <w:link w:val="CommentSubjectChar"/>
    <w:rsid w:val="001F4CE6"/>
    <w:rPr>
      <w:b/>
      <w:bCs/>
    </w:rPr>
  </w:style>
  <w:style w:type="character" w:customStyle="1" w:styleId="CommentSubjectChar">
    <w:name w:val="Comment Subject Char"/>
    <w:link w:val="CommentSubject"/>
    <w:rsid w:val="001F4CE6"/>
    <w:rPr>
      <w:b/>
      <w:bCs/>
      <w:lang w:eastAsia="en-US"/>
    </w:rPr>
  </w:style>
  <w:style w:type="character" w:customStyle="1" w:styleId="FooterChar">
    <w:name w:val="Footer Char"/>
    <w:link w:val="Footer"/>
    <w:uiPriority w:val="99"/>
    <w:rsid w:val="00BC252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A7857-BD83-4DCC-B8F6-D5D4BD275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1014</Words>
  <Characters>5477</Characters>
  <Application>Microsoft Office Word</Application>
  <DocSecurity>0</DocSecurity>
  <Lines>86</Lines>
  <Paragraphs>29</Paragraphs>
  <ScaleCrop>false</ScaleCrop>
  <HeadingPairs>
    <vt:vector size="2" baseType="variant">
      <vt:variant>
        <vt:lpstr>Title</vt:lpstr>
      </vt:variant>
      <vt:variant>
        <vt:i4>1</vt:i4>
      </vt:variant>
    </vt:vector>
  </HeadingPairs>
  <TitlesOfParts>
    <vt:vector size="1" baseType="lpstr">
      <vt:lpstr>DTF File: ……………………</vt:lpstr>
    </vt:vector>
  </TitlesOfParts>
  <Company>DTF</Company>
  <LinksUpToDate>false</LinksUpToDate>
  <CharactersWithSpaces>6462</CharactersWithSpaces>
  <SharedDoc>false</SharedDoc>
  <HLinks>
    <vt:vector size="12" baseType="variant">
      <vt:variant>
        <vt:i4>4849753</vt:i4>
      </vt:variant>
      <vt:variant>
        <vt:i4>3</vt:i4>
      </vt:variant>
      <vt:variant>
        <vt:i4>0</vt:i4>
      </vt:variant>
      <vt:variant>
        <vt:i4>5</vt:i4>
      </vt:variant>
      <vt:variant>
        <vt:lpwstr>http://www.rba.gov.au/Statistics/Bulletin/F02hist.xls</vt:lpwstr>
      </vt:variant>
      <vt:variant>
        <vt:lpwstr/>
      </vt:variant>
      <vt:variant>
        <vt:i4>5374016</vt:i4>
      </vt:variant>
      <vt:variant>
        <vt:i4>0</vt:i4>
      </vt:variant>
      <vt:variant>
        <vt:i4>0</vt:i4>
      </vt:variant>
      <vt:variant>
        <vt:i4>5</vt:i4>
      </vt:variant>
      <vt:variant>
        <vt:lpwstr>http://www.pc.gov.au/agcnco/reports/research/cnror/cnror.pdf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DTF File: ……………………</dc:title>
  <dc:creator>AYM</dc:creator>
  <cp:lastModifiedBy>Lisa Clayworth</cp:lastModifiedBy>
  <cp:revision>2</cp:revision>
  <cp:lastPrinted>2016-07-18T01:44:00Z</cp:lastPrinted>
  <dcterms:created xsi:type="dcterms:W3CDTF">2016-09-12T04:54:00Z</dcterms:created>
  <dcterms:modified xsi:type="dcterms:W3CDTF">2016-09-12T04:54:00Z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cfb2c73d-bd2d-426a-9a93-2e3b1786387a</vt:lpwstr>
  </property>
  <property fmtid="{D5CDD505-2E9C-101B-9397-08002B2CF9AE}" pid="3" name="PSPFClassification">
    <vt:lpwstr>Do Not Mark</vt:lpwstr>
  </property>
</Properties>
</file>